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44"/>
        <w:spacing w:line="360" w:lineRule="auto"/>
        <w:rPr>
          <w:b/>
          <w:bCs/>
          <w:sz w:val="72"/>
          <w:szCs w:val="72"/>
        </w:rPr>
      </w:pPr>
      <w:r>
        <w:rPr>
          <w:b/>
          <w:bCs/>
          <w:sz w:val="72"/>
          <w:szCs w:val="72"/>
        </w:rPr>
      </w:r>
      <w:r/>
    </w:p>
    <w:p>
      <w:pPr>
        <w:pStyle w:val="1344"/>
        <w:spacing w:line="360" w:lineRule="auto"/>
        <w:rPr>
          <w:b/>
          <w:bCs/>
          <w:sz w:val="72"/>
          <w:szCs w:val="72"/>
        </w:rPr>
      </w:pPr>
      <w:r>
        <w:rPr>
          <w:b/>
          <w:bCs/>
          <w:sz w:val="72"/>
          <w:szCs w:val="72"/>
        </w:rPr>
        <w:fldChar w:fldCharType="begin"/>
      </w:r>
      <w:r>
        <w:rPr>
          <w:b/>
          <w:bCs/>
          <w:sz w:val="72"/>
          <w:szCs w:val="72"/>
        </w:rPr>
        <w:instrText xml:space="preserve">ADDIN CNKISM.UserStyle</w:instrText>
      </w:r>
      <w:r>
        <w:rPr>
          <w:b/>
          <w:bCs/>
          <w:sz w:val="72"/>
          <w:szCs w:val="72"/>
        </w:rPr>
        <w:fldChar w:fldCharType="separate"/>
      </w:r>
      <w:r>
        <w:rPr>
          <w:b/>
          <w:bCs/>
          <w:sz w:val="72"/>
          <w:szCs w:val="72"/>
        </w:rPr>
        <w:fldChar w:fldCharType="end"/>
      </w:r>
      <w:r>
        <w:rPr>
          <w:b/>
          <w:bCs/>
          <w:sz w:val="72"/>
          <w:szCs w:val="72"/>
        </w:rPr>
      </w:r>
      <w:r/>
    </w:p>
    <w:p>
      <w:pPr>
        <w:pStyle w:val="1344"/>
        <w:jc w:val="center"/>
        <w:spacing w:line="360" w:lineRule="auto"/>
        <w:rPr>
          <w:rFonts w:hint="eastAsia" w:eastAsia="华文中宋"/>
          <w:b/>
          <w:sz w:val="52"/>
          <w:szCs w:val="52"/>
        </w:rPr>
      </w:pPr>
      <w:r>
        <w:rPr>
          <w:rFonts w:hint="eastAsia" w:eastAsia="华文中宋"/>
          <w:b/>
          <w:sz w:val="52"/>
          <w:szCs w:val="52"/>
        </w:rPr>
        <w:t xml:space="preserve">江苏省计量科学研究院</w:t>
      </w:r>
      <w:r>
        <w:rPr>
          <w:rFonts w:hint="eastAsia" w:eastAsia="华文中宋"/>
          <w:b/>
          <w:sz w:val="52"/>
          <w:szCs w:val="52"/>
        </w:rPr>
      </w:r>
      <w:r/>
    </w:p>
    <w:p>
      <w:pPr>
        <w:pStyle w:val="1344"/>
        <w:jc w:val="center"/>
        <w:spacing w:line="360" w:lineRule="auto"/>
        <w:rPr>
          <w:rFonts w:hint="eastAsia" w:eastAsia="华文中宋"/>
          <w:b/>
          <w:sz w:val="52"/>
          <w:szCs w:val="52"/>
        </w:rPr>
      </w:pPr>
      <w:r>
        <w:rPr>
          <w:rFonts w:hint="eastAsia" w:eastAsia="华文中宋"/>
          <w:b/>
          <w:sz w:val="52"/>
          <w:szCs w:val="52"/>
        </w:rPr>
        <w:t xml:space="preserve">（江苏省能源计量数据中心）</w:t>
      </w:r>
      <w:r>
        <w:rPr>
          <w:rFonts w:hint="eastAsia" w:eastAsia="华文中宋"/>
          <w:b/>
          <w:sz w:val="52"/>
          <w:szCs w:val="52"/>
        </w:rPr>
      </w:r>
      <w:r/>
    </w:p>
    <w:p>
      <w:pPr>
        <w:pStyle w:val="1344"/>
        <w:jc w:val="center"/>
        <w:spacing w:line="360" w:lineRule="auto"/>
        <w:rPr>
          <w:rFonts w:hint="eastAsia" w:eastAsia="华文中宋"/>
          <w:b/>
          <w:sz w:val="52"/>
          <w:szCs w:val="52"/>
        </w:rPr>
      </w:pPr>
      <w:r>
        <w:rPr>
          <w:rFonts w:hint="eastAsia" w:eastAsia="华文中宋"/>
          <w:b/>
          <w:sz w:val="52"/>
          <w:szCs w:val="52"/>
        </w:rPr>
      </w:r>
      <w:r/>
    </w:p>
    <w:p>
      <w:pPr>
        <w:pStyle w:val="1344"/>
        <w:jc w:val="center"/>
        <w:spacing w:line="360" w:lineRule="auto"/>
        <w:rPr>
          <w:rFonts w:hint="eastAsia" w:eastAsia="华文中宋"/>
          <w:bCs/>
          <w:sz w:val="52"/>
          <w:szCs w:val="15"/>
        </w:rPr>
      </w:pPr>
      <w:r>
        <w:rPr>
          <w:rFonts w:hint="eastAsia" w:eastAsia="华文中宋"/>
          <w:bCs/>
          <w:sz w:val="40"/>
          <w:szCs w:val="40"/>
        </w:rPr>
        <w:t xml:space="preserve">江苏省计量院2026年社会公用计量标准设备更新项目</w:t>
      </w:r>
      <w:r>
        <w:rPr>
          <w:rFonts w:hint="eastAsia" w:eastAsia="华文中宋"/>
          <w:bCs/>
          <w:sz w:val="52"/>
          <w:szCs w:val="15"/>
        </w:rPr>
      </w:r>
      <w:r/>
    </w:p>
    <w:p>
      <w:pPr>
        <w:pStyle w:val="1344"/>
        <w:jc w:val="center"/>
        <w:spacing w:line="360" w:lineRule="auto"/>
        <w:rPr>
          <w:b/>
          <w:sz w:val="72"/>
          <w:szCs w:val="72"/>
        </w:rPr>
      </w:pPr>
      <w:r>
        <w:rPr>
          <w:b/>
          <w:sz w:val="72"/>
          <w:szCs w:val="72"/>
        </w:rPr>
      </w:r>
      <w:r/>
    </w:p>
    <w:p>
      <w:pPr>
        <w:pStyle w:val="1344"/>
        <w:jc w:val="center"/>
        <w:spacing w:line="360" w:lineRule="auto"/>
        <w:rPr>
          <w:b/>
          <w:sz w:val="72"/>
          <w:szCs w:val="72"/>
        </w:rPr>
      </w:pPr>
      <w:r>
        <w:rPr>
          <w:b/>
          <w:sz w:val="72"/>
          <w:szCs w:val="72"/>
        </w:rPr>
        <w:t xml:space="preserve">招标文件</w:t>
      </w:r>
      <w:r>
        <w:rPr>
          <w:b/>
          <w:sz w:val="72"/>
          <w:szCs w:val="72"/>
        </w:rPr>
      </w:r>
      <w:r/>
    </w:p>
    <w:p>
      <w:pPr>
        <w:pStyle w:val="1344"/>
        <w:jc w:val="center"/>
        <w:spacing w:line="360" w:lineRule="auto"/>
        <w:rPr>
          <w:bCs/>
          <w:sz w:val="36"/>
        </w:rPr>
      </w:pPr>
      <w:r>
        <w:rPr>
          <w:bCs/>
          <w:sz w:val="36"/>
        </w:rPr>
      </w:r>
      <w:r/>
    </w:p>
    <w:p>
      <w:pPr>
        <w:pStyle w:val="1344"/>
        <w:jc w:val="center"/>
        <w:spacing w:line="440" w:lineRule="exact"/>
        <w:rPr>
          <w:bCs/>
          <w:sz w:val="36"/>
        </w:rPr>
      </w:pPr>
      <w:r>
        <w:rPr>
          <w:bCs/>
          <w:sz w:val="36"/>
        </w:rPr>
      </w:r>
      <w:r/>
    </w:p>
    <w:p>
      <w:pPr>
        <w:pStyle w:val="1344"/>
        <w:jc w:val="center"/>
        <w:spacing w:line="440" w:lineRule="exact"/>
        <w:rPr>
          <w:bCs/>
          <w:sz w:val="52"/>
        </w:rPr>
      </w:pPr>
      <w:r>
        <w:rPr>
          <w:bCs/>
          <w:sz w:val="52"/>
        </w:rPr>
      </w:r>
      <w:r/>
    </w:p>
    <w:p>
      <w:pPr>
        <w:pStyle w:val="1413"/>
        <w:ind w:firstLine="0"/>
      </w:pPr>
      <w:r/>
      <w:r/>
    </w:p>
    <w:p>
      <w:pPr>
        <w:pStyle w:val="1413"/>
        <w:ind w:firstLine="0"/>
      </w:pPr>
      <w:r/>
      <w:r/>
    </w:p>
    <w:p>
      <w:pPr>
        <w:pStyle w:val="1344"/>
        <w:jc w:val="left"/>
        <w:rPr>
          <w:b/>
          <w:sz w:val="32"/>
          <w:szCs w:val="32"/>
        </w:rPr>
      </w:pPr>
      <w:r>
        <w:rPr>
          <w:b/>
          <w:sz w:val="32"/>
          <w:szCs w:val="32"/>
        </w:rPr>
        <w:t xml:space="preserve">项目编号：</w:t>
      </w:r>
      <w:r>
        <w:rPr>
          <w:rFonts w:hint="eastAsia"/>
          <w:b/>
          <w:sz w:val="32"/>
          <w:szCs w:val="32"/>
          <w:lang w:eastAsia="zh-CN"/>
        </w:rPr>
        <w:t xml:space="preserve">JSZC-320000-SMDY-G2026-0080</w:t>
      </w:r>
      <w:r>
        <w:rPr>
          <w:b/>
          <w:sz w:val="32"/>
          <w:szCs w:val="32"/>
        </w:rPr>
        <w:t xml:space="preserve">（</w:t>
      </w:r>
      <w:r>
        <w:rPr>
          <w:rFonts w:hint="eastAsia"/>
          <w:b/>
          <w:sz w:val="32"/>
          <w:szCs w:val="32"/>
        </w:rPr>
        <w:t xml:space="preserve">2640SUMEC/ZWGG2156</w:t>
      </w:r>
      <w:r>
        <w:rPr>
          <w:b/>
          <w:sz w:val="32"/>
          <w:szCs w:val="32"/>
        </w:rPr>
        <w:t xml:space="preserve">）</w:t>
      </w:r>
      <w:r>
        <w:rPr>
          <w:b/>
          <w:sz w:val="32"/>
          <w:szCs w:val="32"/>
        </w:rPr>
      </w:r>
      <w:r/>
    </w:p>
    <w:p>
      <w:pPr>
        <w:pStyle w:val="1344"/>
        <w:ind w:firstLine="1285"/>
        <w:spacing w:line="360" w:lineRule="auto"/>
        <w:rPr>
          <w:rFonts w:hint="eastAsia"/>
          <w:b/>
          <w:sz w:val="32"/>
          <w:szCs w:val="32"/>
        </w:rPr>
      </w:pPr>
      <w:r>
        <w:rPr>
          <w:b/>
          <w:sz w:val="32"/>
          <w:szCs w:val="32"/>
        </w:rPr>
        <w:t xml:space="preserve">采购人：</w:t>
      </w:r>
      <w:r>
        <w:rPr>
          <w:rFonts w:hint="eastAsia"/>
          <w:b/>
          <w:sz w:val="32"/>
          <w:szCs w:val="32"/>
        </w:rPr>
        <w:t xml:space="preserve">江苏省计量科学研究院（江苏省能源计量数据中心）</w:t>
      </w:r>
      <w:r>
        <w:rPr>
          <w:rFonts w:hint="eastAsia"/>
          <w:b/>
          <w:sz w:val="32"/>
          <w:szCs w:val="32"/>
        </w:rPr>
      </w:r>
      <w:r/>
    </w:p>
    <w:p>
      <w:pPr>
        <w:pStyle w:val="1344"/>
        <w:ind w:firstLine="1285"/>
        <w:spacing w:line="360" w:lineRule="auto"/>
        <w:rPr>
          <w:b/>
          <w:sz w:val="32"/>
          <w:szCs w:val="32"/>
        </w:rPr>
      </w:pPr>
      <w:r>
        <w:rPr>
          <w:b/>
          <w:sz w:val="32"/>
          <w:szCs w:val="32"/>
        </w:rPr>
        <w:t xml:space="preserve">采购代理机构：江苏苏美达仪器设备有限公司</w:t>
      </w:r>
      <w:r>
        <w:rPr>
          <w:b/>
          <w:sz w:val="32"/>
          <w:szCs w:val="32"/>
        </w:rPr>
      </w:r>
      <w:r/>
    </w:p>
    <w:p>
      <w:pPr>
        <w:pStyle w:val="1413"/>
        <w:ind w:firstLine="0"/>
      </w:pPr>
      <w:r/>
      <w:r/>
    </w:p>
    <w:p>
      <w:pPr>
        <w:pStyle w:val="1344"/>
        <w:jc w:val="center"/>
        <w:spacing w:line="360" w:lineRule="auto"/>
        <w:rPr>
          <w:b/>
          <w:sz w:val="36"/>
          <w:szCs w:val="36"/>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rPr>
        <w:t xml:space="preserve">9</w:t>
      </w:r>
      <w:r>
        <w:rPr>
          <w:b/>
          <w:sz w:val="36"/>
          <w:szCs w:val="36"/>
        </w:rPr>
        <w:t xml:space="preserve">月</w:t>
      </w:r>
      <w:r>
        <w:rPr>
          <w:b/>
          <w:sz w:val="36"/>
          <w:szCs w:val="36"/>
        </w:rPr>
      </w:r>
      <w:r/>
    </w:p>
    <w:p>
      <w:pPr>
        <w:pStyle w:val="1344"/>
        <w:jc w:val="center"/>
        <w:spacing w:line="440" w:lineRule="exact"/>
        <w:rPr>
          <w:bCs/>
          <w:sz w:val="32"/>
        </w:rPr>
        <w:sectPr>
          <w:headerReference w:type="default" r:id="rId9"/>
          <w:headerReference w:type="first" r:id="rId10"/>
          <w:footerReference w:type="default" r:id="rId12"/>
          <w:footerReference w:type="first" r:id="rId13"/>
          <w:footnotePr/>
          <w:endnotePr/>
          <w:type w:val="nextPage"/>
          <w:pgSz w:w="11906" w:h="16838" w:orient="portrait"/>
          <w:pgMar w:top="1134" w:right="892" w:bottom="1134" w:left="934" w:header="851" w:footer="992" w:gutter="0"/>
          <w:pgNumType w:start="1"/>
          <w:cols w:num="1" w:sep="0" w:space="1701" w:equalWidth="1"/>
          <w:docGrid w:linePitch="360"/>
        </w:sectPr>
      </w:pPr>
      <w:r>
        <w:rPr>
          <w:bCs/>
          <w:sz w:val="32"/>
        </w:rPr>
      </w:r>
      <w:r/>
    </w:p>
    <w:p>
      <w:pPr>
        <w:pStyle w:val="1344"/>
        <w:jc w:val="center"/>
        <w:spacing w:line="440" w:lineRule="exact"/>
        <w:rPr>
          <w:b/>
          <w:sz w:val="32"/>
        </w:rPr>
      </w:pPr>
      <w:r>
        <w:rPr>
          <w:b/>
          <w:sz w:val="32"/>
        </w:rPr>
        <w:t xml:space="preserve">目   录</w:t>
      </w:r>
      <w:r>
        <w:rPr>
          <w:b/>
          <w:sz w:val="32"/>
        </w:rPr>
      </w:r>
      <w:r/>
    </w:p>
    <w:p>
      <w:pPr>
        <w:pStyle w:val="1397"/>
        <w:tabs>
          <w:tab w:val="right" w:pos="9638" w:leader="dot"/>
        </w:tabs>
      </w:pPr>
      <w:r>
        <w:rPr>
          <w:bCs/>
          <w:sz w:val="24"/>
        </w:rPr>
        <w:fldChar w:fldCharType="begin"/>
      </w:r>
      <w:r>
        <w:rPr>
          <w:bCs/>
          <w:sz w:val="24"/>
        </w:rPr>
        <w:instrText xml:space="preserve">TOC \o "1-3" \h \u </w:instrText>
      </w:r>
      <w:r>
        <w:rPr>
          <w:bCs/>
          <w:sz w:val="24"/>
        </w:rPr>
        <w:fldChar w:fldCharType="separate"/>
      </w:r>
      <w:r>
        <w:rPr>
          <w:bCs/>
        </w:rPr>
        <w:fldChar w:fldCharType="begin"/>
      </w:r>
      <w:r>
        <w:rPr>
          <w:bCs/>
        </w:rPr>
        <w:instrText xml:space="preserve"> HYPERLINK \l _Toc30069 </w:instrText>
      </w:r>
      <w:r>
        <w:rPr>
          <w:bCs/>
        </w:rPr>
        <w:fldChar w:fldCharType="separate"/>
      </w:r>
      <w:r>
        <w:rPr>
          <w:szCs w:val="28"/>
        </w:rPr>
        <w:t xml:space="preserve">第一章 投标邀请（招标公告）</w:t>
      </w:r>
      <w:r>
        <w:tab/>
      </w:r>
      <w:r>
        <w:fldChar w:fldCharType="begin"/>
      </w:r>
      <w:r>
        <w:instrText xml:space="preserve"> PAGEREF _Toc30069 \h </w:instrText>
      </w:r>
      <w:r>
        <w:fldChar w:fldCharType="separate"/>
      </w:r>
      <w:r>
        <w:t xml:space="preserve">1</w:t>
      </w:r>
      <w:r>
        <w:fldChar w:fldCharType="end"/>
      </w:r>
      <w:r>
        <w:rPr>
          <w:bCs/>
        </w:rPr>
        <w:fldChar w:fldCharType="end"/>
      </w:r>
      <w:r/>
    </w:p>
    <w:p>
      <w:pPr>
        <w:pStyle w:val="1397"/>
        <w:tabs>
          <w:tab w:val="right" w:pos="9638" w:leader="dot"/>
        </w:tabs>
      </w:pPr>
      <w:r>
        <w:rPr>
          <w:bCs/>
        </w:rPr>
        <w:fldChar w:fldCharType="begin"/>
      </w:r>
      <w:r>
        <w:rPr>
          <w:bCs/>
        </w:rPr>
        <w:instrText xml:space="preserve"> HYPERLINK \l _Toc29461 </w:instrText>
      </w:r>
      <w:r>
        <w:rPr>
          <w:bCs/>
        </w:rPr>
        <w:fldChar w:fldCharType="separate"/>
      </w:r>
      <w:r>
        <w:rPr>
          <w:szCs w:val="28"/>
        </w:rPr>
        <w:t xml:space="preserve">第二章 投标人须知</w:t>
      </w:r>
      <w:r>
        <w:tab/>
      </w:r>
      <w:r>
        <w:fldChar w:fldCharType="begin"/>
      </w:r>
      <w:r>
        <w:instrText xml:space="preserve"> PAGEREF _Toc29461 \h </w:instrText>
      </w:r>
      <w:r>
        <w:fldChar w:fldCharType="separate"/>
      </w:r>
      <w:r>
        <w:t xml:space="preserve">5</w:t>
      </w:r>
      <w:r>
        <w:fldChar w:fldCharType="end"/>
      </w:r>
      <w:r>
        <w:rPr>
          <w:bCs/>
        </w:rPr>
        <w:fldChar w:fldCharType="end"/>
      </w:r>
      <w:r/>
    </w:p>
    <w:p>
      <w:pPr>
        <w:pStyle w:val="1404"/>
        <w:tabs>
          <w:tab w:val="right" w:pos="9638" w:leader="dot"/>
        </w:tabs>
      </w:pPr>
      <w:r>
        <w:rPr>
          <w:bCs/>
        </w:rPr>
        <w:fldChar w:fldCharType="begin"/>
      </w:r>
      <w:r>
        <w:rPr>
          <w:bCs/>
        </w:rPr>
        <w:instrText xml:space="preserve"> HYPERLINK \l _Toc1580 </w:instrText>
      </w:r>
      <w:r>
        <w:rPr>
          <w:bCs/>
        </w:rPr>
        <w:fldChar w:fldCharType="separate"/>
      </w:r>
      <w:r>
        <w:rPr>
          <w:rFonts w:hint="eastAsia" w:ascii="宋体" w:hAnsi="宋体" w:cs="宋体"/>
          <w:bCs/>
          <w:szCs w:val="21"/>
        </w:rPr>
        <w:t xml:space="preserve"> 一、总 则</w:t>
      </w:r>
      <w:r>
        <w:tab/>
      </w:r>
      <w:r>
        <w:fldChar w:fldCharType="begin"/>
      </w:r>
      <w:r>
        <w:instrText xml:space="preserve"> PAGEREF _Toc1580 \h </w:instrText>
      </w:r>
      <w:r>
        <w:fldChar w:fldCharType="separate"/>
      </w:r>
      <w:r>
        <w:t xml:space="preserve">8</w:t>
      </w:r>
      <w:r>
        <w:fldChar w:fldCharType="end"/>
      </w:r>
      <w:r>
        <w:rPr>
          <w:bCs/>
        </w:rPr>
        <w:fldChar w:fldCharType="end"/>
      </w:r>
      <w:r/>
    </w:p>
    <w:p>
      <w:pPr>
        <w:pStyle w:val="1382"/>
        <w:tabs>
          <w:tab w:val="right" w:pos="9638" w:leader="dot"/>
        </w:tabs>
      </w:pPr>
      <w:r>
        <w:rPr>
          <w:bCs/>
        </w:rPr>
        <w:fldChar w:fldCharType="begin"/>
      </w:r>
      <w:r>
        <w:rPr>
          <w:bCs/>
        </w:rPr>
        <w:instrText xml:space="preserve"> HYPERLINK \l _Toc10292 </w:instrText>
      </w:r>
      <w:r>
        <w:rPr>
          <w:bCs/>
        </w:rPr>
        <w:fldChar w:fldCharType="separate"/>
      </w:r>
      <w:r>
        <w:rPr>
          <w:rFonts w:hint="eastAsia" w:ascii="宋体" w:hAnsi="宋体" w:cs="宋体"/>
          <w:bCs/>
          <w:szCs w:val="21"/>
          <w:lang w:val="zh-CN"/>
        </w:rPr>
        <w:t xml:space="preserve">1.</w:t>
      </w:r>
      <w:r>
        <w:rPr>
          <w:rFonts w:hint="eastAsia" w:ascii="宋体" w:hAnsi="宋体" w:cs="宋体"/>
          <w:szCs w:val="21"/>
          <w:lang w:val="zh-CN"/>
        </w:rPr>
        <w:t xml:space="preserve">适用法律</w:t>
      </w:r>
      <w:r>
        <w:tab/>
      </w:r>
      <w:r>
        <w:fldChar w:fldCharType="begin"/>
      </w:r>
      <w:r>
        <w:instrText xml:space="preserve"> PAGEREF _Toc10292 \h </w:instrText>
      </w:r>
      <w:r>
        <w:fldChar w:fldCharType="separate"/>
      </w:r>
      <w:r>
        <w:t xml:space="preserve">8</w:t>
      </w:r>
      <w:r>
        <w:fldChar w:fldCharType="end"/>
      </w:r>
      <w:r>
        <w:rPr>
          <w:bCs/>
        </w:rPr>
        <w:fldChar w:fldCharType="end"/>
      </w:r>
      <w:r/>
    </w:p>
    <w:p>
      <w:pPr>
        <w:pStyle w:val="1382"/>
        <w:tabs>
          <w:tab w:val="right" w:pos="9638" w:leader="dot"/>
        </w:tabs>
      </w:pPr>
      <w:r>
        <w:rPr>
          <w:bCs/>
        </w:rPr>
        <w:fldChar w:fldCharType="begin"/>
      </w:r>
      <w:r>
        <w:rPr>
          <w:bCs/>
        </w:rPr>
        <w:instrText xml:space="preserve"> HYPERLINK \l _Toc29347 </w:instrText>
      </w:r>
      <w:r>
        <w:rPr>
          <w:bCs/>
        </w:rPr>
        <w:fldChar w:fldCharType="separate"/>
      </w:r>
      <w:r>
        <w:rPr>
          <w:rFonts w:hint="eastAsia" w:ascii="宋体" w:hAnsi="宋体" w:cs="宋体"/>
          <w:bCs/>
          <w:szCs w:val="21"/>
          <w:lang w:val="zh-CN"/>
        </w:rPr>
        <w:t xml:space="preserve">2.</w:t>
      </w:r>
      <w:r>
        <w:rPr>
          <w:rFonts w:hint="eastAsia" w:ascii="宋体" w:hAnsi="宋体" w:cs="宋体"/>
          <w:szCs w:val="21"/>
          <w:lang w:val="zh-CN"/>
        </w:rPr>
        <w:t xml:space="preserve">定义</w:t>
      </w:r>
      <w:r>
        <w:tab/>
      </w:r>
      <w:r>
        <w:fldChar w:fldCharType="begin"/>
      </w:r>
      <w:r>
        <w:instrText xml:space="preserve"> PAGEREF _Toc29347 \h </w:instrText>
      </w:r>
      <w:r>
        <w:fldChar w:fldCharType="separate"/>
      </w:r>
      <w:r>
        <w:t xml:space="preserve">8</w:t>
      </w:r>
      <w:r>
        <w:fldChar w:fldCharType="end"/>
      </w:r>
      <w:r>
        <w:rPr>
          <w:bCs/>
        </w:rPr>
        <w:fldChar w:fldCharType="end"/>
      </w:r>
      <w:r/>
    </w:p>
    <w:p>
      <w:pPr>
        <w:pStyle w:val="1382"/>
        <w:tabs>
          <w:tab w:val="right" w:pos="9638" w:leader="dot"/>
        </w:tabs>
      </w:pPr>
      <w:r>
        <w:rPr>
          <w:bCs/>
        </w:rPr>
        <w:fldChar w:fldCharType="begin"/>
      </w:r>
      <w:r>
        <w:rPr>
          <w:bCs/>
        </w:rPr>
        <w:instrText xml:space="preserve"> HYPERLINK \l _Toc31346 </w:instrText>
      </w:r>
      <w:r>
        <w:rPr>
          <w:bCs/>
        </w:rPr>
        <w:fldChar w:fldCharType="separate"/>
      </w:r>
      <w:r>
        <w:rPr>
          <w:rFonts w:hint="eastAsia" w:ascii="宋体" w:hAnsi="宋体" w:cs="宋体"/>
          <w:szCs w:val="21"/>
        </w:rPr>
        <w:t xml:space="preserve">3.政策功能</w:t>
      </w:r>
      <w:r>
        <w:tab/>
      </w:r>
      <w:r>
        <w:fldChar w:fldCharType="begin"/>
      </w:r>
      <w:r>
        <w:instrText xml:space="preserve"> PAGEREF _Toc31346 \h </w:instrText>
      </w:r>
      <w:r>
        <w:fldChar w:fldCharType="separate"/>
      </w:r>
      <w:r>
        <w:t xml:space="preserve">9</w:t>
      </w:r>
      <w:r>
        <w:fldChar w:fldCharType="end"/>
      </w:r>
      <w:r>
        <w:rPr>
          <w:bCs/>
        </w:rPr>
        <w:fldChar w:fldCharType="end"/>
      </w:r>
      <w:r/>
    </w:p>
    <w:p>
      <w:pPr>
        <w:pStyle w:val="1382"/>
        <w:tabs>
          <w:tab w:val="right" w:pos="9638" w:leader="dot"/>
        </w:tabs>
      </w:pPr>
      <w:r>
        <w:rPr>
          <w:bCs/>
        </w:rPr>
        <w:fldChar w:fldCharType="begin"/>
      </w:r>
      <w:r>
        <w:rPr>
          <w:bCs/>
        </w:rPr>
        <w:instrText xml:space="preserve"> HYPERLINK \l _Toc927 </w:instrText>
      </w:r>
      <w:r>
        <w:rPr>
          <w:bCs/>
        </w:rPr>
        <w:fldChar w:fldCharType="separate"/>
      </w:r>
      <w:r>
        <w:rPr>
          <w:rFonts w:hint="eastAsia" w:ascii="宋体" w:hAnsi="宋体" w:cs="宋体"/>
          <w:szCs w:val="21"/>
          <w:lang w:val="zh-CN"/>
        </w:rPr>
        <w:t xml:space="preserve">具体内容详见第三章 评标标准。</w:t>
      </w:r>
      <w:r>
        <w:tab/>
      </w:r>
      <w:r>
        <w:fldChar w:fldCharType="begin"/>
      </w:r>
      <w:r>
        <w:instrText xml:space="preserve"> PAGEREF _Toc927 \h </w:instrText>
      </w:r>
      <w:r>
        <w:fldChar w:fldCharType="separate"/>
      </w:r>
      <w:r>
        <w:t xml:space="preserve">10</w:t>
      </w:r>
      <w:r>
        <w:fldChar w:fldCharType="end"/>
      </w:r>
      <w:r>
        <w:rPr>
          <w:bCs/>
        </w:rPr>
        <w:fldChar w:fldCharType="end"/>
      </w:r>
      <w:r/>
    </w:p>
    <w:p>
      <w:pPr>
        <w:pStyle w:val="1382"/>
        <w:tabs>
          <w:tab w:val="right" w:pos="9638" w:leader="dot"/>
        </w:tabs>
      </w:pPr>
      <w:r>
        <w:rPr>
          <w:bCs/>
        </w:rPr>
        <w:fldChar w:fldCharType="begin"/>
      </w:r>
      <w:r>
        <w:rPr>
          <w:bCs/>
        </w:rPr>
        <w:instrText xml:space="preserve"> HYPERLINK \l _Toc17530 </w:instrText>
      </w:r>
      <w:r>
        <w:rPr>
          <w:bCs/>
        </w:rPr>
        <w:fldChar w:fldCharType="separate"/>
      </w:r>
      <w:r>
        <w:rPr>
          <w:rFonts w:hint="eastAsia" w:ascii="宋体" w:hAnsi="宋体" w:cs="宋体"/>
          <w:bCs/>
          <w:szCs w:val="21"/>
          <w:lang w:val="zh-CN"/>
        </w:rPr>
        <w:t xml:space="preserve">4.</w:t>
      </w:r>
      <w:r>
        <w:rPr>
          <w:rFonts w:hint="eastAsia" w:ascii="宋体" w:hAnsi="宋体" w:cs="宋体"/>
          <w:szCs w:val="21"/>
          <w:lang w:val="zh-CN"/>
        </w:rPr>
        <w:t xml:space="preserve">投标费用</w:t>
      </w:r>
      <w:r>
        <w:tab/>
      </w:r>
      <w:r>
        <w:fldChar w:fldCharType="begin"/>
      </w:r>
      <w:r>
        <w:instrText xml:space="preserve"> PAGEREF _Toc17530 \h </w:instrText>
      </w:r>
      <w:r>
        <w:fldChar w:fldCharType="separate"/>
      </w:r>
      <w:r>
        <w:t xml:space="preserve">10</w:t>
      </w:r>
      <w:r>
        <w:fldChar w:fldCharType="end"/>
      </w:r>
      <w:r>
        <w:rPr>
          <w:bCs/>
        </w:rPr>
        <w:fldChar w:fldCharType="end"/>
      </w:r>
      <w:r/>
    </w:p>
    <w:p>
      <w:pPr>
        <w:pStyle w:val="1382"/>
        <w:tabs>
          <w:tab w:val="right" w:pos="9638" w:leader="dot"/>
        </w:tabs>
      </w:pPr>
      <w:r>
        <w:rPr>
          <w:bCs/>
        </w:rPr>
        <w:fldChar w:fldCharType="begin"/>
      </w:r>
      <w:r>
        <w:rPr>
          <w:bCs/>
        </w:rPr>
        <w:instrText xml:space="preserve"> HYPERLINK \l _Toc29233 </w:instrText>
      </w:r>
      <w:r>
        <w:rPr>
          <w:bCs/>
        </w:rPr>
        <w:fldChar w:fldCharType="separate"/>
      </w:r>
      <w:r>
        <w:rPr>
          <w:rFonts w:hint="eastAsia" w:ascii="宋体" w:hAnsi="宋体" w:cs="宋体"/>
          <w:bCs/>
          <w:szCs w:val="21"/>
          <w:lang w:val="zh-CN"/>
        </w:rPr>
        <w:t xml:space="preserve">5.</w:t>
      </w:r>
      <w:r>
        <w:rPr>
          <w:rFonts w:hint="eastAsia" w:ascii="宋体" w:hAnsi="宋体" w:cs="宋体"/>
          <w:szCs w:val="21"/>
          <w:lang w:val="zh-CN"/>
        </w:rPr>
        <w:t xml:space="preserve">招标文件的约束力</w:t>
      </w:r>
      <w:r>
        <w:tab/>
      </w:r>
      <w:r>
        <w:fldChar w:fldCharType="begin"/>
      </w:r>
      <w:r>
        <w:instrText xml:space="preserve"> PAGEREF _Toc29233 \h </w:instrText>
      </w:r>
      <w:r>
        <w:fldChar w:fldCharType="separate"/>
      </w:r>
      <w:r>
        <w:t xml:space="preserve">11</w:t>
      </w:r>
      <w:r>
        <w:fldChar w:fldCharType="end"/>
      </w:r>
      <w:r>
        <w:rPr>
          <w:bCs/>
        </w:rPr>
        <w:fldChar w:fldCharType="end"/>
      </w:r>
      <w:r/>
    </w:p>
    <w:p>
      <w:pPr>
        <w:pStyle w:val="1404"/>
        <w:tabs>
          <w:tab w:val="right" w:pos="9638" w:leader="dot"/>
        </w:tabs>
      </w:pPr>
      <w:r>
        <w:rPr>
          <w:bCs/>
        </w:rPr>
        <w:fldChar w:fldCharType="begin"/>
      </w:r>
      <w:r>
        <w:rPr>
          <w:bCs/>
        </w:rPr>
        <w:instrText xml:space="preserve"> HYPERLINK \l _Toc18405 </w:instrText>
      </w:r>
      <w:r>
        <w:rPr>
          <w:bCs/>
        </w:rPr>
        <w:fldChar w:fldCharType="separate"/>
      </w:r>
      <w:r>
        <w:rPr>
          <w:rFonts w:hint="eastAsia" w:ascii="宋体" w:hAnsi="宋体" w:cs="宋体"/>
          <w:bCs/>
          <w:szCs w:val="21"/>
        </w:rPr>
        <w:t xml:space="preserve">二、招标文件</w:t>
      </w:r>
      <w:r>
        <w:tab/>
      </w:r>
      <w:r>
        <w:fldChar w:fldCharType="begin"/>
      </w:r>
      <w:r>
        <w:instrText xml:space="preserve"> PAGEREF _Toc18405 \h </w:instrText>
      </w:r>
      <w:r>
        <w:fldChar w:fldCharType="separate"/>
      </w:r>
      <w:r>
        <w:t xml:space="preserve">11</w:t>
      </w:r>
      <w:r>
        <w:fldChar w:fldCharType="end"/>
      </w:r>
      <w:r>
        <w:rPr>
          <w:bCs/>
        </w:rPr>
        <w:fldChar w:fldCharType="end"/>
      </w:r>
      <w:r/>
    </w:p>
    <w:p>
      <w:pPr>
        <w:pStyle w:val="1382"/>
        <w:tabs>
          <w:tab w:val="right" w:pos="9638" w:leader="dot"/>
        </w:tabs>
      </w:pPr>
      <w:r>
        <w:rPr>
          <w:bCs/>
        </w:rPr>
        <w:fldChar w:fldCharType="begin"/>
      </w:r>
      <w:r>
        <w:rPr>
          <w:bCs/>
        </w:rPr>
        <w:instrText xml:space="preserve"> HYPERLINK \l _Toc23346 </w:instrText>
      </w:r>
      <w:r>
        <w:rPr>
          <w:bCs/>
        </w:rPr>
        <w:fldChar w:fldCharType="separate"/>
      </w:r>
      <w:r>
        <w:rPr>
          <w:rFonts w:hint="eastAsia" w:ascii="宋体" w:hAnsi="宋体" w:cs="宋体"/>
          <w:bCs/>
          <w:szCs w:val="21"/>
          <w:lang w:val="zh-CN"/>
        </w:rPr>
        <w:t xml:space="preserve">6.</w:t>
      </w:r>
      <w:r>
        <w:rPr>
          <w:rFonts w:hint="eastAsia" w:ascii="宋体" w:hAnsi="宋体" w:cs="宋体"/>
          <w:szCs w:val="21"/>
          <w:lang w:val="zh-CN"/>
        </w:rPr>
        <w:t xml:space="preserve">招标文件构成</w:t>
      </w:r>
      <w:r>
        <w:tab/>
      </w:r>
      <w:r>
        <w:fldChar w:fldCharType="begin"/>
      </w:r>
      <w:r>
        <w:instrText xml:space="preserve"> PAGEREF _Toc23346 \h </w:instrText>
      </w:r>
      <w:r>
        <w:fldChar w:fldCharType="separate"/>
      </w:r>
      <w:r>
        <w:t xml:space="preserve">11</w:t>
      </w:r>
      <w:r>
        <w:fldChar w:fldCharType="end"/>
      </w:r>
      <w:r>
        <w:rPr>
          <w:bCs/>
        </w:rPr>
        <w:fldChar w:fldCharType="end"/>
      </w:r>
      <w:r/>
    </w:p>
    <w:p>
      <w:pPr>
        <w:pStyle w:val="1382"/>
        <w:tabs>
          <w:tab w:val="right" w:pos="9638" w:leader="dot"/>
        </w:tabs>
      </w:pPr>
      <w:r>
        <w:rPr>
          <w:bCs/>
        </w:rPr>
        <w:fldChar w:fldCharType="begin"/>
      </w:r>
      <w:r>
        <w:rPr>
          <w:bCs/>
        </w:rPr>
        <w:instrText xml:space="preserve"> HYPERLINK \l _Toc4414 </w:instrText>
      </w:r>
      <w:r>
        <w:rPr>
          <w:bCs/>
        </w:rPr>
        <w:fldChar w:fldCharType="separate"/>
      </w:r>
      <w:r>
        <w:rPr>
          <w:rFonts w:hint="eastAsia" w:ascii="宋体" w:hAnsi="宋体" w:eastAsia="宋体" w:cs="宋体"/>
          <w:bCs/>
          <w:szCs w:val="21"/>
        </w:rPr>
        <w:t xml:space="preserve">7.招标文件的澄清、补充或修改</w:t>
      </w:r>
      <w:r>
        <w:tab/>
      </w:r>
      <w:r>
        <w:fldChar w:fldCharType="begin"/>
      </w:r>
      <w:r>
        <w:instrText xml:space="preserve"> PAGEREF _Toc4414 \h </w:instrText>
      </w:r>
      <w:r>
        <w:fldChar w:fldCharType="separate"/>
      </w:r>
      <w:r>
        <w:t xml:space="preserve">11</w:t>
      </w:r>
      <w:r>
        <w:fldChar w:fldCharType="end"/>
      </w:r>
      <w:r>
        <w:rPr>
          <w:bCs/>
        </w:rPr>
        <w:fldChar w:fldCharType="end"/>
      </w:r>
      <w:r/>
    </w:p>
    <w:p>
      <w:pPr>
        <w:pStyle w:val="1404"/>
        <w:tabs>
          <w:tab w:val="right" w:pos="9638" w:leader="dot"/>
        </w:tabs>
      </w:pPr>
      <w:r>
        <w:rPr>
          <w:bCs/>
        </w:rPr>
        <w:fldChar w:fldCharType="begin"/>
      </w:r>
      <w:r>
        <w:rPr>
          <w:bCs/>
        </w:rPr>
        <w:instrText xml:space="preserve"> HYPERLINK \l _Toc22449 </w:instrText>
      </w:r>
      <w:r>
        <w:rPr>
          <w:bCs/>
        </w:rPr>
        <w:fldChar w:fldCharType="separate"/>
      </w:r>
      <w:r>
        <w:rPr>
          <w:rFonts w:hint="eastAsia" w:ascii="宋体" w:hAnsi="宋体" w:cs="宋体"/>
          <w:bCs/>
          <w:szCs w:val="21"/>
        </w:rPr>
        <w:t xml:space="preserve">三、投标文件的编制</w:t>
      </w:r>
      <w:r>
        <w:tab/>
      </w:r>
      <w:r>
        <w:fldChar w:fldCharType="begin"/>
      </w:r>
      <w:r>
        <w:instrText xml:space="preserve"> PAGEREF _Toc22449 \h </w:instrText>
      </w:r>
      <w:r>
        <w:fldChar w:fldCharType="separate"/>
      </w:r>
      <w:r>
        <w:t xml:space="preserve">12</w:t>
      </w:r>
      <w:r>
        <w:fldChar w:fldCharType="end"/>
      </w:r>
      <w:r>
        <w:rPr>
          <w:bCs/>
        </w:rPr>
        <w:fldChar w:fldCharType="end"/>
      </w:r>
      <w:r/>
    </w:p>
    <w:p>
      <w:pPr>
        <w:pStyle w:val="1382"/>
        <w:tabs>
          <w:tab w:val="right" w:pos="9638" w:leader="dot"/>
        </w:tabs>
      </w:pPr>
      <w:r>
        <w:rPr>
          <w:bCs/>
        </w:rPr>
        <w:fldChar w:fldCharType="begin"/>
      </w:r>
      <w:r>
        <w:rPr>
          <w:bCs/>
        </w:rPr>
        <w:instrText xml:space="preserve"> HYPERLINK \l _Toc24901 </w:instrText>
      </w:r>
      <w:r>
        <w:rPr>
          <w:bCs/>
        </w:rPr>
        <w:fldChar w:fldCharType="separate"/>
      </w:r>
      <w:r>
        <w:rPr>
          <w:rFonts w:hint="eastAsia" w:ascii="宋体" w:hAnsi="宋体" w:eastAsia="宋体" w:cs="宋体"/>
          <w:bCs/>
          <w:szCs w:val="21"/>
        </w:rPr>
        <w:t xml:space="preserve">8.投标文件的语言、计量单位、货币</w:t>
      </w:r>
      <w:r>
        <w:tab/>
      </w:r>
      <w:r>
        <w:fldChar w:fldCharType="begin"/>
      </w:r>
      <w:r>
        <w:instrText xml:space="preserve"> PAGEREF _Toc24901 \h </w:instrText>
      </w:r>
      <w:r>
        <w:fldChar w:fldCharType="separate"/>
      </w:r>
      <w:r>
        <w:t xml:space="preserve">12</w:t>
      </w:r>
      <w:r>
        <w:fldChar w:fldCharType="end"/>
      </w:r>
      <w:r>
        <w:rPr>
          <w:bCs/>
        </w:rPr>
        <w:fldChar w:fldCharType="end"/>
      </w:r>
      <w:r/>
    </w:p>
    <w:p>
      <w:pPr>
        <w:pStyle w:val="1382"/>
        <w:tabs>
          <w:tab w:val="right" w:pos="9638" w:leader="dot"/>
        </w:tabs>
      </w:pPr>
      <w:r>
        <w:rPr>
          <w:bCs/>
        </w:rPr>
        <w:fldChar w:fldCharType="begin"/>
      </w:r>
      <w:r>
        <w:rPr>
          <w:bCs/>
        </w:rPr>
        <w:instrText xml:space="preserve"> HYPERLINK \l _Toc10671 </w:instrText>
      </w:r>
      <w:r>
        <w:rPr>
          <w:bCs/>
        </w:rPr>
        <w:fldChar w:fldCharType="separate"/>
      </w:r>
      <w:r>
        <w:rPr>
          <w:rFonts w:hint="eastAsia" w:ascii="宋体" w:hAnsi="宋体" w:cs="宋体"/>
          <w:bCs/>
          <w:szCs w:val="21"/>
        </w:rPr>
        <w:t xml:space="preserve">9.</w:t>
      </w:r>
      <w:r>
        <w:rPr>
          <w:rFonts w:hint="eastAsia" w:ascii="宋体" w:hAnsi="宋体" w:cs="宋体"/>
          <w:szCs w:val="21"/>
          <w:lang w:val="zh-CN"/>
        </w:rPr>
        <w:t xml:space="preserve">联合体（</w:t>
      </w:r>
      <w:r>
        <w:rPr>
          <w:rFonts w:hint="eastAsia" w:ascii="宋体" w:hAnsi="宋体" w:cs="宋体"/>
          <w:bCs/>
          <w:szCs w:val="21"/>
        </w:rPr>
        <w:t xml:space="preserve">本项目不接受联合体投标</w:t>
      </w:r>
      <w:r>
        <w:rPr>
          <w:rFonts w:hint="eastAsia" w:ascii="宋体" w:hAnsi="宋体" w:cs="宋体"/>
          <w:szCs w:val="21"/>
          <w:lang w:val="zh-CN"/>
        </w:rPr>
        <w:t xml:space="preserve">）</w:t>
      </w:r>
      <w:r>
        <w:tab/>
      </w:r>
      <w:r>
        <w:fldChar w:fldCharType="begin"/>
      </w:r>
      <w:r>
        <w:instrText xml:space="preserve"> PAGEREF _Toc10671 \h </w:instrText>
      </w:r>
      <w:r>
        <w:fldChar w:fldCharType="separate"/>
      </w:r>
      <w:r>
        <w:t xml:space="preserve">12</w:t>
      </w:r>
      <w:r>
        <w:fldChar w:fldCharType="end"/>
      </w:r>
      <w:r>
        <w:rPr>
          <w:bCs/>
        </w:rPr>
        <w:fldChar w:fldCharType="end"/>
      </w:r>
      <w:r/>
    </w:p>
    <w:p>
      <w:pPr>
        <w:pStyle w:val="1382"/>
        <w:tabs>
          <w:tab w:val="right" w:pos="9638" w:leader="dot"/>
        </w:tabs>
      </w:pPr>
      <w:r>
        <w:rPr>
          <w:bCs/>
        </w:rPr>
        <w:fldChar w:fldCharType="begin"/>
      </w:r>
      <w:r>
        <w:rPr>
          <w:bCs/>
        </w:rPr>
        <w:instrText xml:space="preserve"> HYPERLINK \l _Toc27952 </w:instrText>
      </w:r>
      <w:r>
        <w:rPr>
          <w:bCs/>
        </w:rPr>
        <w:fldChar w:fldCharType="separate"/>
      </w:r>
      <w:r>
        <w:rPr>
          <w:rFonts w:hint="eastAsia" w:ascii="宋体" w:hAnsi="宋体" w:eastAsia="宋体" w:cs="宋体"/>
          <w:bCs/>
          <w:szCs w:val="21"/>
        </w:rPr>
        <w:t xml:space="preserve">10.投标文件的组成</w:t>
      </w:r>
      <w:r>
        <w:tab/>
      </w:r>
      <w:r>
        <w:fldChar w:fldCharType="begin"/>
      </w:r>
      <w:r>
        <w:instrText xml:space="preserve"> PAGEREF _Toc27952 \h </w:instrText>
      </w:r>
      <w:r>
        <w:fldChar w:fldCharType="separate"/>
      </w:r>
      <w:r>
        <w:t xml:space="preserve">12</w:t>
      </w:r>
      <w:r>
        <w:fldChar w:fldCharType="end"/>
      </w:r>
      <w:r>
        <w:rPr>
          <w:bCs/>
        </w:rPr>
        <w:fldChar w:fldCharType="end"/>
      </w:r>
      <w:r/>
    </w:p>
    <w:p>
      <w:pPr>
        <w:pStyle w:val="1382"/>
        <w:tabs>
          <w:tab w:val="right" w:pos="9638" w:leader="dot"/>
        </w:tabs>
      </w:pPr>
      <w:r>
        <w:rPr>
          <w:bCs/>
        </w:rPr>
        <w:fldChar w:fldCharType="begin"/>
      </w:r>
      <w:r>
        <w:rPr>
          <w:bCs/>
        </w:rPr>
        <w:instrText xml:space="preserve"> HYPERLINK \l _Toc10206 </w:instrText>
      </w:r>
      <w:r>
        <w:rPr>
          <w:bCs/>
        </w:rPr>
        <w:fldChar w:fldCharType="separate"/>
      </w:r>
      <w:r>
        <w:rPr>
          <w:rFonts w:hint="eastAsia" w:ascii="宋体" w:hAnsi="宋体" w:eastAsia="宋体" w:cs="宋体"/>
          <w:bCs/>
          <w:szCs w:val="21"/>
        </w:rPr>
        <w:t xml:space="preserve">11.投标保证金（如有）</w:t>
      </w:r>
      <w:r>
        <w:tab/>
      </w:r>
      <w:r>
        <w:fldChar w:fldCharType="begin"/>
      </w:r>
      <w:r>
        <w:instrText xml:space="preserve"> PAGEREF _Toc10206 \h </w:instrText>
      </w:r>
      <w:r>
        <w:fldChar w:fldCharType="separate"/>
      </w:r>
      <w:r>
        <w:t xml:space="preserve">14</w:t>
      </w:r>
      <w:r>
        <w:fldChar w:fldCharType="end"/>
      </w:r>
      <w:r>
        <w:rPr>
          <w:bCs/>
        </w:rPr>
        <w:fldChar w:fldCharType="end"/>
      </w:r>
      <w:r/>
    </w:p>
    <w:p>
      <w:pPr>
        <w:pStyle w:val="1382"/>
        <w:tabs>
          <w:tab w:val="right" w:pos="9638" w:leader="dot"/>
        </w:tabs>
      </w:pPr>
      <w:r>
        <w:rPr>
          <w:bCs/>
        </w:rPr>
        <w:fldChar w:fldCharType="begin"/>
      </w:r>
      <w:r>
        <w:rPr>
          <w:bCs/>
        </w:rPr>
        <w:instrText xml:space="preserve"> HYPERLINK \l _Toc5619 </w:instrText>
      </w:r>
      <w:r>
        <w:rPr>
          <w:bCs/>
        </w:rPr>
        <w:fldChar w:fldCharType="separate"/>
      </w:r>
      <w:r>
        <w:rPr>
          <w:rFonts w:hint="eastAsia" w:ascii="宋体" w:hAnsi="宋体" w:eastAsia="宋体" w:cs="宋体"/>
          <w:bCs/>
          <w:szCs w:val="21"/>
        </w:rPr>
        <w:t xml:space="preserve">12.投标文件的有效期</w:t>
      </w:r>
      <w:r>
        <w:tab/>
      </w:r>
      <w:r>
        <w:fldChar w:fldCharType="begin"/>
      </w:r>
      <w:r>
        <w:instrText xml:space="preserve"> PAGEREF _Toc5619 \h </w:instrText>
      </w:r>
      <w:r>
        <w:fldChar w:fldCharType="separate"/>
      </w:r>
      <w:r>
        <w:t xml:space="preserve">14</w:t>
      </w:r>
      <w:r>
        <w:fldChar w:fldCharType="end"/>
      </w:r>
      <w:r>
        <w:rPr>
          <w:bCs/>
        </w:rPr>
        <w:fldChar w:fldCharType="end"/>
      </w:r>
      <w:r/>
    </w:p>
    <w:p>
      <w:pPr>
        <w:pStyle w:val="1382"/>
        <w:tabs>
          <w:tab w:val="right" w:pos="9638" w:leader="dot"/>
        </w:tabs>
      </w:pPr>
      <w:r>
        <w:rPr>
          <w:bCs/>
        </w:rPr>
        <w:fldChar w:fldCharType="begin"/>
      </w:r>
      <w:r>
        <w:rPr>
          <w:bCs/>
        </w:rPr>
        <w:instrText xml:space="preserve"> HYPERLINK \l _Toc10306 </w:instrText>
      </w:r>
      <w:r>
        <w:rPr>
          <w:bCs/>
        </w:rPr>
        <w:fldChar w:fldCharType="separate"/>
      </w:r>
      <w:r>
        <w:rPr>
          <w:rFonts w:hint="eastAsia" w:ascii="宋体" w:hAnsi="宋体" w:eastAsia="宋体" w:cs="宋体"/>
          <w:bCs/>
          <w:szCs w:val="21"/>
        </w:rPr>
        <w:t xml:space="preserve">13.投标文件的签署及其形式</w:t>
      </w:r>
      <w:r>
        <w:tab/>
      </w:r>
      <w:r>
        <w:fldChar w:fldCharType="begin"/>
      </w:r>
      <w:r>
        <w:instrText xml:space="preserve"> PAGEREF _Toc10306 \h </w:instrText>
      </w:r>
      <w:r>
        <w:fldChar w:fldCharType="separate"/>
      </w:r>
      <w:r>
        <w:t xml:space="preserve">14</w:t>
      </w:r>
      <w:r>
        <w:fldChar w:fldCharType="end"/>
      </w:r>
      <w:r>
        <w:rPr>
          <w:bCs/>
        </w:rPr>
        <w:fldChar w:fldCharType="end"/>
      </w:r>
      <w:r/>
    </w:p>
    <w:p>
      <w:pPr>
        <w:pStyle w:val="1404"/>
        <w:tabs>
          <w:tab w:val="right" w:pos="9638" w:leader="dot"/>
        </w:tabs>
      </w:pPr>
      <w:r>
        <w:rPr>
          <w:bCs/>
        </w:rPr>
        <w:fldChar w:fldCharType="begin"/>
      </w:r>
      <w:r>
        <w:rPr>
          <w:bCs/>
        </w:rPr>
        <w:instrText xml:space="preserve"> HYPERLINK \l _Toc30431 </w:instrText>
      </w:r>
      <w:r>
        <w:rPr>
          <w:bCs/>
        </w:rPr>
        <w:fldChar w:fldCharType="separate"/>
      </w:r>
      <w:r>
        <w:rPr>
          <w:rFonts w:hint="eastAsia" w:ascii="宋体" w:hAnsi="宋体" w:cs="宋体"/>
          <w:bCs/>
          <w:szCs w:val="21"/>
        </w:rPr>
        <w:t xml:space="preserve">四、投标文件的递交</w:t>
      </w:r>
      <w:r>
        <w:tab/>
      </w:r>
      <w:r>
        <w:fldChar w:fldCharType="begin"/>
      </w:r>
      <w:r>
        <w:instrText xml:space="preserve"> PAGEREF _Toc30431 \h </w:instrText>
      </w:r>
      <w:r>
        <w:fldChar w:fldCharType="separate"/>
      </w:r>
      <w:r>
        <w:t xml:space="preserve">14</w:t>
      </w:r>
      <w:r>
        <w:fldChar w:fldCharType="end"/>
      </w:r>
      <w:r>
        <w:rPr>
          <w:bCs/>
        </w:rPr>
        <w:fldChar w:fldCharType="end"/>
      </w:r>
      <w:r/>
    </w:p>
    <w:p>
      <w:pPr>
        <w:pStyle w:val="1382"/>
        <w:tabs>
          <w:tab w:val="right" w:pos="9638" w:leader="dot"/>
        </w:tabs>
      </w:pPr>
      <w:r>
        <w:rPr>
          <w:bCs/>
        </w:rPr>
        <w:fldChar w:fldCharType="begin"/>
      </w:r>
      <w:r>
        <w:rPr>
          <w:bCs/>
        </w:rPr>
        <w:instrText xml:space="preserve"> HYPERLINK \l _Toc26846 </w:instrText>
      </w:r>
      <w:r>
        <w:rPr>
          <w:bCs/>
        </w:rPr>
        <w:fldChar w:fldCharType="separate"/>
      </w:r>
      <w:r>
        <w:rPr>
          <w:rFonts w:hint="eastAsia" w:ascii="宋体" w:hAnsi="宋体" w:cs="宋体"/>
          <w:bCs/>
          <w:szCs w:val="21"/>
        </w:rPr>
        <w:t xml:space="preserve">14.投标文件的递交</w:t>
      </w:r>
      <w:r>
        <w:tab/>
      </w:r>
      <w:r>
        <w:fldChar w:fldCharType="begin"/>
      </w:r>
      <w:r>
        <w:instrText xml:space="preserve"> PAGEREF _Toc26846 \h </w:instrText>
      </w:r>
      <w:r>
        <w:fldChar w:fldCharType="separate"/>
      </w:r>
      <w:r>
        <w:t xml:space="preserve">15</w:t>
      </w:r>
      <w:r>
        <w:fldChar w:fldCharType="end"/>
      </w:r>
      <w:r>
        <w:rPr>
          <w:bCs/>
        </w:rPr>
        <w:fldChar w:fldCharType="end"/>
      </w:r>
      <w:r/>
    </w:p>
    <w:p>
      <w:pPr>
        <w:pStyle w:val="1382"/>
        <w:tabs>
          <w:tab w:val="right" w:pos="9638" w:leader="dot"/>
        </w:tabs>
      </w:pPr>
      <w:r>
        <w:rPr>
          <w:bCs/>
        </w:rPr>
        <w:fldChar w:fldCharType="begin"/>
      </w:r>
      <w:r>
        <w:rPr>
          <w:bCs/>
        </w:rPr>
        <w:instrText xml:space="preserve"> HYPERLINK \l _Toc28176 </w:instrText>
      </w:r>
      <w:r>
        <w:rPr>
          <w:bCs/>
        </w:rPr>
        <w:fldChar w:fldCharType="separate"/>
      </w:r>
      <w:r>
        <w:rPr>
          <w:rFonts w:hint="eastAsia" w:ascii="宋体" w:hAnsi="宋体" w:cs="宋体"/>
          <w:bCs/>
          <w:szCs w:val="21"/>
        </w:rPr>
        <w:t xml:space="preserve">15.投标截止时间</w:t>
      </w:r>
      <w:r>
        <w:tab/>
      </w:r>
      <w:r>
        <w:fldChar w:fldCharType="begin"/>
      </w:r>
      <w:r>
        <w:instrText xml:space="preserve"> PAGEREF _Toc28176 \h </w:instrText>
      </w:r>
      <w:r>
        <w:fldChar w:fldCharType="separate"/>
      </w:r>
      <w:r>
        <w:t xml:space="preserve">15</w:t>
      </w:r>
      <w:r>
        <w:fldChar w:fldCharType="end"/>
      </w:r>
      <w:r>
        <w:rPr>
          <w:bCs/>
        </w:rPr>
        <w:fldChar w:fldCharType="end"/>
      </w:r>
      <w:r/>
    </w:p>
    <w:p>
      <w:pPr>
        <w:pStyle w:val="1382"/>
        <w:tabs>
          <w:tab w:val="right" w:pos="9638" w:leader="dot"/>
        </w:tabs>
      </w:pPr>
      <w:r>
        <w:rPr>
          <w:bCs/>
        </w:rPr>
        <w:fldChar w:fldCharType="begin"/>
      </w:r>
      <w:r>
        <w:rPr>
          <w:bCs/>
        </w:rPr>
        <w:instrText xml:space="preserve"> HYPERLINK \l _Toc11994 </w:instrText>
      </w:r>
      <w:r>
        <w:rPr>
          <w:bCs/>
        </w:rPr>
        <w:fldChar w:fldCharType="separate"/>
      </w:r>
      <w:r>
        <w:rPr>
          <w:rFonts w:hint="eastAsia" w:ascii="宋体" w:hAnsi="宋体" w:cs="宋体"/>
          <w:bCs/>
          <w:szCs w:val="21"/>
        </w:rPr>
        <w:t xml:space="preserve">16.投标文件的拒收</w:t>
      </w:r>
      <w:r>
        <w:tab/>
      </w:r>
      <w:r>
        <w:fldChar w:fldCharType="begin"/>
      </w:r>
      <w:r>
        <w:instrText xml:space="preserve"> PAGEREF _Toc11994 \h </w:instrText>
      </w:r>
      <w:r>
        <w:fldChar w:fldCharType="separate"/>
      </w:r>
      <w:r>
        <w:t xml:space="preserve">15</w:t>
      </w:r>
      <w:r>
        <w:fldChar w:fldCharType="end"/>
      </w:r>
      <w:r>
        <w:rPr>
          <w:bCs/>
        </w:rPr>
        <w:fldChar w:fldCharType="end"/>
      </w:r>
      <w:r/>
    </w:p>
    <w:p>
      <w:pPr>
        <w:pStyle w:val="1382"/>
        <w:tabs>
          <w:tab w:val="right" w:pos="9638" w:leader="dot"/>
        </w:tabs>
      </w:pPr>
      <w:r>
        <w:rPr>
          <w:bCs/>
        </w:rPr>
        <w:fldChar w:fldCharType="begin"/>
      </w:r>
      <w:r>
        <w:rPr>
          <w:bCs/>
        </w:rPr>
        <w:instrText xml:space="preserve"> HYPERLINK \l _Toc5513 </w:instrText>
      </w:r>
      <w:r>
        <w:rPr>
          <w:bCs/>
        </w:rPr>
        <w:fldChar w:fldCharType="separate"/>
      </w:r>
      <w:r>
        <w:rPr>
          <w:rFonts w:hint="eastAsia" w:ascii="宋体" w:hAnsi="宋体" w:cs="宋体"/>
          <w:bCs/>
          <w:szCs w:val="21"/>
        </w:rPr>
        <w:t xml:space="preserve">17.投标文件的修改或撤回</w:t>
      </w:r>
      <w:r>
        <w:tab/>
      </w:r>
      <w:r>
        <w:fldChar w:fldCharType="begin"/>
      </w:r>
      <w:r>
        <w:instrText xml:space="preserve"> PAGEREF _Toc5513 \h </w:instrText>
      </w:r>
      <w:r>
        <w:fldChar w:fldCharType="separate"/>
      </w:r>
      <w:r>
        <w:t xml:space="preserve">15</w:t>
      </w:r>
      <w:r>
        <w:fldChar w:fldCharType="end"/>
      </w:r>
      <w:r>
        <w:rPr>
          <w:bCs/>
        </w:rPr>
        <w:fldChar w:fldCharType="end"/>
      </w:r>
      <w:r/>
    </w:p>
    <w:p>
      <w:pPr>
        <w:pStyle w:val="1404"/>
        <w:tabs>
          <w:tab w:val="right" w:pos="9638" w:leader="dot"/>
        </w:tabs>
      </w:pPr>
      <w:r>
        <w:rPr>
          <w:bCs/>
        </w:rPr>
        <w:fldChar w:fldCharType="begin"/>
      </w:r>
      <w:r>
        <w:rPr>
          <w:bCs/>
        </w:rPr>
        <w:instrText xml:space="preserve"> HYPERLINK \l _Toc22468 </w:instrText>
      </w:r>
      <w:r>
        <w:rPr>
          <w:bCs/>
        </w:rPr>
        <w:fldChar w:fldCharType="separate"/>
      </w:r>
      <w:r>
        <w:rPr>
          <w:rFonts w:hint="eastAsia" w:ascii="宋体" w:hAnsi="宋体" w:cs="宋体"/>
          <w:bCs/>
          <w:szCs w:val="21"/>
        </w:rPr>
        <w:t xml:space="preserve">五、开标与评标</w:t>
      </w:r>
      <w:r>
        <w:tab/>
      </w:r>
      <w:r>
        <w:fldChar w:fldCharType="begin"/>
      </w:r>
      <w:r>
        <w:instrText xml:space="preserve"> PAGEREF _Toc22468 \h </w:instrText>
      </w:r>
      <w:r>
        <w:fldChar w:fldCharType="separate"/>
      </w:r>
      <w:r>
        <w:t xml:space="preserve">16</w:t>
      </w:r>
      <w:r>
        <w:fldChar w:fldCharType="end"/>
      </w:r>
      <w:r>
        <w:rPr>
          <w:bCs/>
        </w:rPr>
        <w:fldChar w:fldCharType="end"/>
      </w:r>
      <w:r/>
    </w:p>
    <w:p>
      <w:pPr>
        <w:pStyle w:val="1382"/>
        <w:tabs>
          <w:tab w:val="right" w:pos="9638" w:leader="dot"/>
        </w:tabs>
      </w:pPr>
      <w:r>
        <w:rPr>
          <w:bCs/>
        </w:rPr>
        <w:fldChar w:fldCharType="begin"/>
      </w:r>
      <w:r>
        <w:rPr>
          <w:bCs/>
        </w:rPr>
        <w:instrText xml:space="preserve"> HYPERLINK \l _Toc6637 </w:instrText>
      </w:r>
      <w:r>
        <w:rPr>
          <w:bCs/>
        </w:rPr>
        <w:fldChar w:fldCharType="separate"/>
      </w:r>
      <w:r>
        <w:rPr>
          <w:rFonts w:hint="eastAsia" w:ascii="宋体" w:hAnsi="宋体" w:eastAsia="宋体" w:cs="宋体"/>
          <w:bCs/>
          <w:szCs w:val="21"/>
        </w:rPr>
        <w:t xml:space="preserve">18.开标</w:t>
      </w:r>
      <w:r>
        <w:tab/>
      </w:r>
      <w:r>
        <w:fldChar w:fldCharType="begin"/>
      </w:r>
      <w:r>
        <w:instrText xml:space="preserve"> PAGEREF _Toc6637 \h </w:instrText>
      </w:r>
      <w:r>
        <w:fldChar w:fldCharType="separate"/>
      </w:r>
      <w:r>
        <w:t xml:space="preserve">16</w:t>
      </w:r>
      <w:r>
        <w:fldChar w:fldCharType="end"/>
      </w:r>
      <w:r>
        <w:rPr>
          <w:bCs/>
        </w:rPr>
        <w:fldChar w:fldCharType="end"/>
      </w:r>
      <w:r/>
    </w:p>
    <w:p>
      <w:pPr>
        <w:pStyle w:val="1382"/>
        <w:tabs>
          <w:tab w:val="right" w:pos="9638" w:leader="dot"/>
        </w:tabs>
      </w:pPr>
      <w:r>
        <w:rPr>
          <w:bCs/>
        </w:rPr>
        <w:fldChar w:fldCharType="begin"/>
      </w:r>
      <w:r>
        <w:rPr>
          <w:bCs/>
        </w:rPr>
        <w:instrText xml:space="preserve"> HYPERLINK \l _Toc13778 </w:instrText>
      </w:r>
      <w:r>
        <w:rPr>
          <w:bCs/>
        </w:rPr>
        <w:fldChar w:fldCharType="separate"/>
      </w:r>
      <w:r>
        <w:rPr>
          <w:rFonts w:hint="eastAsia" w:ascii="宋体" w:hAnsi="宋体" w:eastAsia="宋体" w:cs="宋体"/>
          <w:bCs/>
          <w:szCs w:val="21"/>
        </w:rPr>
        <w:t xml:space="preserve">19.评标组织</w:t>
      </w:r>
      <w:r>
        <w:tab/>
      </w:r>
      <w:r>
        <w:fldChar w:fldCharType="begin"/>
      </w:r>
      <w:r>
        <w:instrText xml:space="preserve"> PAGEREF _Toc13778 \h </w:instrText>
      </w:r>
      <w:r>
        <w:fldChar w:fldCharType="separate"/>
      </w:r>
      <w:r>
        <w:t xml:space="preserve">16</w:t>
      </w:r>
      <w:r>
        <w:fldChar w:fldCharType="end"/>
      </w:r>
      <w:r>
        <w:rPr>
          <w:bCs/>
        </w:rPr>
        <w:fldChar w:fldCharType="end"/>
      </w:r>
      <w:r/>
    </w:p>
    <w:p>
      <w:pPr>
        <w:pStyle w:val="1382"/>
        <w:tabs>
          <w:tab w:val="right" w:pos="9638" w:leader="dot"/>
        </w:tabs>
      </w:pPr>
      <w:r>
        <w:rPr>
          <w:bCs/>
        </w:rPr>
        <w:fldChar w:fldCharType="begin"/>
      </w:r>
      <w:r>
        <w:rPr>
          <w:bCs/>
        </w:rPr>
        <w:instrText xml:space="preserve"> HYPERLINK \l _Toc1073 </w:instrText>
      </w:r>
      <w:r>
        <w:rPr>
          <w:bCs/>
        </w:rPr>
        <w:fldChar w:fldCharType="separate"/>
      </w:r>
      <w:r>
        <w:rPr>
          <w:rFonts w:hint="eastAsia" w:ascii="宋体" w:hAnsi="宋体" w:eastAsia="宋体" w:cs="宋体"/>
          <w:bCs/>
          <w:szCs w:val="21"/>
        </w:rPr>
        <w:t xml:space="preserve">20.对投标文件的资格性审查和符合性审查</w:t>
      </w:r>
      <w:r>
        <w:tab/>
      </w:r>
      <w:r>
        <w:fldChar w:fldCharType="begin"/>
      </w:r>
      <w:r>
        <w:instrText xml:space="preserve"> PAGEREF _Toc1073 \h </w:instrText>
      </w:r>
      <w:r>
        <w:fldChar w:fldCharType="separate"/>
      </w:r>
      <w:r>
        <w:t xml:space="preserve">16</w:t>
      </w:r>
      <w:r>
        <w:fldChar w:fldCharType="end"/>
      </w:r>
      <w:r>
        <w:rPr>
          <w:bCs/>
        </w:rPr>
        <w:fldChar w:fldCharType="end"/>
      </w:r>
      <w:r/>
    </w:p>
    <w:p>
      <w:pPr>
        <w:pStyle w:val="1382"/>
        <w:tabs>
          <w:tab w:val="right" w:pos="9638" w:leader="dot"/>
        </w:tabs>
      </w:pPr>
      <w:r>
        <w:rPr>
          <w:bCs/>
        </w:rPr>
        <w:fldChar w:fldCharType="begin"/>
      </w:r>
      <w:r>
        <w:rPr>
          <w:bCs/>
        </w:rPr>
        <w:instrText xml:space="preserve"> HYPERLINK \l _Toc5977 </w:instrText>
      </w:r>
      <w:r>
        <w:rPr>
          <w:bCs/>
        </w:rPr>
        <w:fldChar w:fldCharType="separate"/>
      </w:r>
      <w:r>
        <w:rPr>
          <w:rFonts w:hint="eastAsia" w:ascii="宋体" w:hAnsi="宋体" w:eastAsia="宋体" w:cs="宋体"/>
          <w:bCs/>
          <w:szCs w:val="21"/>
        </w:rPr>
        <w:t xml:space="preserve">21.投标文件的澄清</w:t>
      </w:r>
      <w:r>
        <w:tab/>
      </w:r>
      <w:r>
        <w:fldChar w:fldCharType="begin"/>
      </w:r>
      <w:r>
        <w:instrText xml:space="preserve"> PAGEREF _Toc5977 \h </w:instrText>
      </w:r>
      <w:r>
        <w:fldChar w:fldCharType="separate"/>
      </w:r>
      <w:r>
        <w:t xml:space="preserve">18</w:t>
      </w:r>
      <w:r>
        <w:fldChar w:fldCharType="end"/>
      </w:r>
      <w:r>
        <w:rPr>
          <w:bCs/>
        </w:rPr>
        <w:fldChar w:fldCharType="end"/>
      </w:r>
      <w:r/>
    </w:p>
    <w:p>
      <w:pPr>
        <w:pStyle w:val="1382"/>
        <w:tabs>
          <w:tab w:val="right" w:pos="9638" w:leader="dot"/>
        </w:tabs>
      </w:pPr>
      <w:r>
        <w:rPr>
          <w:bCs/>
        </w:rPr>
        <w:fldChar w:fldCharType="begin"/>
      </w:r>
      <w:r>
        <w:rPr>
          <w:bCs/>
        </w:rPr>
        <w:instrText xml:space="preserve"> HYPERLINK \l _Toc30147 </w:instrText>
      </w:r>
      <w:r>
        <w:rPr>
          <w:bCs/>
        </w:rPr>
        <w:fldChar w:fldCharType="separate"/>
      </w:r>
      <w:r>
        <w:rPr>
          <w:rFonts w:hint="eastAsia" w:ascii="宋体" w:hAnsi="宋体" w:eastAsia="宋体" w:cs="宋体"/>
          <w:bCs/>
          <w:szCs w:val="21"/>
        </w:rPr>
        <w:t xml:space="preserve">22.对投标文件的详细评审</w:t>
      </w:r>
      <w:r>
        <w:tab/>
      </w:r>
      <w:r>
        <w:fldChar w:fldCharType="begin"/>
      </w:r>
      <w:r>
        <w:instrText xml:space="preserve"> PAGEREF _Toc30147 \h </w:instrText>
      </w:r>
      <w:r>
        <w:fldChar w:fldCharType="separate"/>
      </w:r>
      <w:r>
        <w:t xml:space="preserve">19</w:t>
      </w:r>
      <w:r>
        <w:fldChar w:fldCharType="end"/>
      </w:r>
      <w:r>
        <w:rPr>
          <w:bCs/>
        </w:rPr>
        <w:fldChar w:fldCharType="end"/>
      </w:r>
      <w:r/>
    </w:p>
    <w:p>
      <w:pPr>
        <w:pStyle w:val="1382"/>
        <w:tabs>
          <w:tab w:val="right" w:pos="9638" w:leader="dot"/>
        </w:tabs>
      </w:pPr>
      <w:r>
        <w:rPr>
          <w:bCs/>
        </w:rPr>
        <w:fldChar w:fldCharType="begin"/>
      </w:r>
      <w:r>
        <w:rPr>
          <w:bCs/>
        </w:rPr>
        <w:instrText xml:space="preserve"> HYPERLINK \l _Toc6865 </w:instrText>
      </w:r>
      <w:r>
        <w:rPr>
          <w:bCs/>
        </w:rPr>
        <w:fldChar w:fldCharType="separate"/>
      </w:r>
      <w:r>
        <w:rPr>
          <w:rFonts w:hint="eastAsia" w:ascii="宋体" w:hAnsi="宋体" w:eastAsia="宋体" w:cs="宋体"/>
          <w:bCs/>
          <w:szCs w:val="21"/>
        </w:rPr>
        <w:t xml:space="preserve">23.评标过程的保密与公正</w:t>
      </w:r>
      <w:r>
        <w:tab/>
      </w:r>
      <w:r>
        <w:fldChar w:fldCharType="begin"/>
      </w:r>
      <w:r>
        <w:instrText xml:space="preserve"> PAGEREF _Toc6865 \h </w:instrText>
      </w:r>
      <w:r>
        <w:fldChar w:fldCharType="separate"/>
      </w:r>
      <w:r>
        <w:t xml:space="preserve">19</w:t>
      </w:r>
      <w:r>
        <w:fldChar w:fldCharType="end"/>
      </w:r>
      <w:r>
        <w:rPr>
          <w:bCs/>
        </w:rPr>
        <w:fldChar w:fldCharType="end"/>
      </w:r>
      <w:r/>
    </w:p>
    <w:p>
      <w:pPr>
        <w:pStyle w:val="1382"/>
        <w:tabs>
          <w:tab w:val="right" w:pos="9638" w:leader="dot"/>
        </w:tabs>
      </w:pPr>
      <w:r>
        <w:rPr>
          <w:bCs/>
        </w:rPr>
        <w:fldChar w:fldCharType="begin"/>
      </w:r>
      <w:r>
        <w:rPr>
          <w:bCs/>
        </w:rPr>
        <w:instrText xml:space="preserve"> HYPERLINK \l _Toc4851 </w:instrText>
      </w:r>
      <w:r>
        <w:rPr>
          <w:bCs/>
        </w:rPr>
        <w:fldChar w:fldCharType="separate"/>
      </w:r>
      <w:r>
        <w:rPr>
          <w:rFonts w:hint="eastAsia" w:ascii="宋体" w:hAnsi="宋体" w:eastAsia="宋体" w:cs="宋体"/>
          <w:bCs/>
          <w:szCs w:val="21"/>
        </w:rPr>
        <w:t xml:space="preserve">24.无效投标条款和废标条款</w:t>
      </w:r>
      <w:r>
        <w:tab/>
      </w:r>
      <w:r>
        <w:fldChar w:fldCharType="begin"/>
      </w:r>
      <w:r>
        <w:instrText xml:space="preserve"> PAGEREF _Toc4851 \h </w:instrText>
      </w:r>
      <w:r>
        <w:fldChar w:fldCharType="separate"/>
      </w:r>
      <w:r>
        <w:t xml:space="preserve">20</w:t>
      </w:r>
      <w:r>
        <w:fldChar w:fldCharType="end"/>
      </w:r>
      <w:r>
        <w:rPr>
          <w:bCs/>
        </w:rPr>
        <w:fldChar w:fldCharType="end"/>
      </w:r>
      <w:r/>
    </w:p>
    <w:p>
      <w:pPr>
        <w:pStyle w:val="1382"/>
        <w:tabs>
          <w:tab w:val="right" w:pos="9638" w:leader="dot"/>
        </w:tabs>
      </w:pPr>
      <w:r>
        <w:rPr>
          <w:bCs/>
        </w:rPr>
        <w:fldChar w:fldCharType="begin"/>
      </w:r>
      <w:r>
        <w:rPr>
          <w:bCs/>
        </w:rPr>
        <w:instrText xml:space="preserve"> HYPERLINK \l _Toc15388 </w:instrText>
      </w:r>
      <w:r>
        <w:rPr>
          <w:bCs/>
        </w:rPr>
        <w:fldChar w:fldCharType="separate"/>
      </w:r>
      <w:r>
        <w:rPr>
          <w:rFonts w:hint="eastAsia" w:ascii="宋体" w:hAnsi="宋体" w:eastAsia="宋体" w:cs="宋体"/>
          <w:bCs/>
          <w:szCs w:val="21"/>
        </w:rPr>
        <w:t xml:space="preserve">25.投标截止时间结束参加投标的供应商不足三家的处理</w:t>
      </w:r>
      <w:r>
        <w:tab/>
      </w:r>
      <w:r>
        <w:fldChar w:fldCharType="begin"/>
      </w:r>
      <w:r>
        <w:instrText xml:space="preserve"> PAGEREF _Toc15388 \h </w:instrText>
      </w:r>
      <w:r>
        <w:fldChar w:fldCharType="separate"/>
      </w:r>
      <w:r>
        <w:t xml:space="preserve">20</w:t>
      </w:r>
      <w:r>
        <w:fldChar w:fldCharType="end"/>
      </w:r>
      <w:r>
        <w:rPr>
          <w:bCs/>
        </w:rPr>
        <w:fldChar w:fldCharType="end"/>
      </w:r>
      <w:r/>
    </w:p>
    <w:p>
      <w:pPr>
        <w:pStyle w:val="1404"/>
        <w:tabs>
          <w:tab w:val="right" w:pos="9638" w:leader="dot"/>
        </w:tabs>
      </w:pPr>
      <w:r>
        <w:rPr>
          <w:bCs/>
        </w:rPr>
        <w:fldChar w:fldCharType="begin"/>
      </w:r>
      <w:r>
        <w:rPr>
          <w:bCs/>
        </w:rPr>
        <w:instrText xml:space="preserve"> HYPERLINK \l _Toc30117 </w:instrText>
      </w:r>
      <w:r>
        <w:rPr>
          <w:bCs/>
        </w:rPr>
        <w:fldChar w:fldCharType="separate"/>
      </w:r>
      <w:r>
        <w:rPr>
          <w:rFonts w:hint="eastAsia" w:ascii="宋体" w:hAnsi="宋体" w:cs="宋体"/>
          <w:bCs/>
          <w:szCs w:val="21"/>
        </w:rPr>
        <w:t xml:space="preserve">六、授标</w:t>
      </w:r>
      <w:r>
        <w:tab/>
      </w:r>
      <w:r>
        <w:fldChar w:fldCharType="begin"/>
      </w:r>
      <w:r>
        <w:instrText xml:space="preserve"> PAGEREF _Toc30117 \h </w:instrText>
      </w:r>
      <w:r>
        <w:fldChar w:fldCharType="separate"/>
      </w:r>
      <w:r>
        <w:t xml:space="preserve">21</w:t>
      </w:r>
      <w:r>
        <w:fldChar w:fldCharType="end"/>
      </w:r>
      <w:r>
        <w:rPr>
          <w:bCs/>
        </w:rPr>
        <w:fldChar w:fldCharType="end"/>
      </w:r>
      <w:r/>
    </w:p>
    <w:p>
      <w:pPr>
        <w:pStyle w:val="1382"/>
        <w:tabs>
          <w:tab w:val="right" w:pos="9638" w:leader="dot"/>
        </w:tabs>
      </w:pPr>
      <w:r>
        <w:rPr>
          <w:bCs/>
        </w:rPr>
        <w:fldChar w:fldCharType="begin"/>
      </w:r>
      <w:r>
        <w:rPr>
          <w:bCs/>
        </w:rPr>
        <w:instrText xml:space="preserve"> HYPERLINK \l _Toc11503 </w:instrText>
      </w:r>
      <w:r>
        <w:rPr>
          <w:bCs/>
        </w:rPr>
        <w:fldChar w:fldCharType="separate"/>
      </w:r>
      <w:r>
        <w:rPr>
          <w:rFonts w:hint="eastAsia" w:ascii="宋体" w:hAnsi="宋体" w:eastAsia="宋体" w:cs="宋体"/>
          <w:bCs/>
          <w:szCs w:val="21"/>
        </w:rPr>
        <w:t xml:space="preserve">26.确定中标供应商</w:t>
      </w:r>
      <w:r>
        <w:tab/>
      </w:r>
      <w:r>
        <w:fldChar w:fldCharType="begin"/>
      </w:r>
      <w:r>
        <w:instrText xml:space="preserve"> PAGEREF _Toc11503 \h </w:instrText>
      </w:r>
      <w:r>
        <w:fldChar w:fldCharType="separate"/>
      </w:r>
      <w:r>
        <w:t xml:space="preserve">21</w:t>
      </w:r>
      <w:r>
        <w:fldChar w:fldCharType="end"/>
      </w:r>
      <w:r>
        <w:rPr>
          <w:bCs/>
        </w:rPr>
        <w:fldChar w:fldCharType="end"/>
      </w:r>
      <w:r/>
    </w:p>
    <w:p>
      <w:pPr>
        <w:pStyle w:val="1382"/>
        <w:tabs>
          <w:tab w:val="right" w:pos="9638" w:leader="dot"/>
        </w:tabs>
      </w:pPr>
      <w:r>
        <w:rPr>
          <w:bCs/>
        </w:rPr>
        <w:fldChar w:fldCharType="begin"/>
      </w:r>
      <w:r>
        <w:rPr>
          <w:bCs/>
        </w:rPr>
        <w:instrText xml:space="preserve"> HYPERLINK \l _Toc4757 </w:instrText>
      </w:r>
      <w:r>
        <w:rPr>
          <w:bCs/>
        </w:rPr>
        <w:fldChar w:fldCharType="separate"/>
      </w:r>
      <w:r>
        <w:rPr>
          <w:rFonts w:hint="eastAsia" w:ascii="宋体" w:hAnsi="宋体" w:eastAsia="宋体" w:cs="宋体"/>
          <w:bCs/>
          <w:szCs w:val="21"/>
        </w:rPr>
        <w:t xml:space="preserve">27.中标的通知</w:t>
      </w:r>
      <w:r>
        <w:tab/>
      </w:r>
      <w:r>
        <w:fldChar w:fldCharType="begin"/>
      </w:r>
      <w:r>
        <w:instrText xml:space="preserve"> PAGEREF _Toc4757 \h </w:instrText>
      </w:r>
      <w:r>
        <w:fldChar w:fldCharType="separate"/>
      </w:r>
      <w:r>
        <w:t xml:space="preserve">21</w:t>
      </w:r>
      <w:r>
        <w:fldChar w:fldCharType="end"/>
      </w:r>
      <w:r>
        <w:rPr>
          <w:bCs/>
        </w:rPr>
        <w:fldChar w:fldCharType="end"/>
      </w:r>
      <w:r/>
    </w:p>
    <w:p>
      <w:pPr>
        <w:pStyle w:val="1382"/>
        <w:tabs>
          <w:tab w:val="right" w:pos="9638" w:leader="dot"/>
        </w:tabs>
      </w:pPr>
      <w:r>
        <w:rPr>
          <w:bCs/>
        </w:rPr>
        <w:fldChar w:fldCharType="begin"/>
      </w:r>
      <w:r>
        <w:rPr>
          <w:bCs/>
        </w:rPr>
        <w:instrText xml:space="preserve"> HYPERLINK \l _Toc22919 </w:instrText>
      </w:r>
      <w:r>
        <w:rPr>
          <w:bCs/>
        </w:rPr>
        <w:fldChar w:fldCharType="separate"/>
      </w:r>
      <w:r>
        <w:rPr>
          <w:rFonts w:hint="eastAsia" w:ascii="宋体" w:hAnsi="宋体" w:eastAsia="宋体" w:cs="宋体"/>
          <w:bCs/>
          <w:szCs w:val="21"/>
        </w:rPr>
        <w:t xml:space="preserve">28.签订合同</w:t>
      </w:r>
      <w:r>
        <w:tab/>
      </w:r>
      <w:r>
        <w:fldChar w:fldCharType="begin"/>
      </w:r>
      <w:r>
        <w:instrText xml:space="preserve"> PAGEREF _Toc22919 \h </w:instrText>
      </w:r>
      <w:r>
        <w:fldChar w:fldCharType="separate"/>
      </w:r>
      <w:r>
        <w:t xml:space="preserve">21</w:t>
      </w:r>
      <w:r>
        <w:fldChar w:fldCharType="end"/>
      </w:r>
      <w:r>
        <w:rPr>
          <w:bCs/>
        </w:rPr>
        <w:fldChar w:fldCharType="end"/>
      </w:r>
      <w:r/>
    </w:p>
    <w:p>
      <w:pPr>
        <w:pStyle w:val="1382"/>
        <w:tabs>
          <w:tab w:val="right" w:pos="9638" w:leader="dot"/>
        </w:tabs>
      </w:pPr>
      <w:r>
        <w:rPr>
          <w:bCs/>
        </w:rPr>
        <w:fldChar w:fldCharType="begin"/>
      </w:r>
      <w:r>
        <w:rPr>
          <w:bCs/>
        </w:rPr>
        <w:instrText xml:space="preserve"> HYPERLINK \l _Toc3506 </w:instrText>
      </w:r>
      <w:r>
        <w:rPr>
          <w:bCs/>
        </w:rPr>
        <w:fldChar w:fldCharType="separate"/>
      </w:r>
      <w:r>
        <w:rPr>
          <w:rFonts w:hint="eastAsia" w:ascii="宋体" w:hAnsi="宋体" w:eastAsia="宋体" w:cs="宋体"/>
          <w:bCs/>
          <w:szCs w:val="21"/>
        </w:rPr>
        <w:t xml:space="preserve">29.招标代理服务费</w:t>
      </w:r>
      <w:r>
        <w:tab/>
      </w:r>
      <w:r>
        <w:fldChar w:fldCharType="begin"/>
      </w:r>
      <w:r>
        <w:instrText xml:space="preserve"> PAGEREF _Toc3506 \h </w:instrText>
      </w:r>
      <w:r>
        <w:fldChar w:fldCharType="separate"/>
      </w:r>
      <w:r>
        <w:t xml:space="preserve">22</w:t>
      </w:r>
      <w:r>
        <w:fldChar w:fldCharType="end"/>
      </w:r>
      <w:r>
        <w:rPr>
          <w:bCs/>
        </w:rPr>
        <w:fldChar w:fldCharType="end"/>
      </w:r>
      <w:r/>
    </w:p>
    <w:p>
      <w:pPr>
        <w:pStyle w:val="1404"/>
        <w:tabs>
          <w:tab w:val="right" w:pos="9638" w:leader="dot"/>
        </w:tabs>
      </w:pPr>
      <w:r>
        <w:rPr>
          <w:bCs/>
        </w:rPr>
        <w:fldChar w:fldCharType="begin"/>
      </w:r>
      <w:r>
        <w:rPr>
          <w:bCs/>
        </w:rPr>
        <w:instrText xml:space="preserve"> HYPERLINK \l _Toc17433 </w:instrText>
      </w:r>
      <w:r>
        <w:rPr>
          <w:bCs/>
        </w:rPr>
        <w:fldChar w:fldCharType="separate"/>
      </w:r>
      <w:r>
        <w:rPr>
          <w:rFonts w:hint="eastAsia" w:ascii="宋体" w:hAnsi="宋体" w:cs="宋体"/>
          <w:bCs/>
          <w:szCs w:val="21"/>
        </w:rPr>
        <w:t xml:space="preserve">七、质疑</w:t>
      </w:r>
      <w:r>
        <w:tab/>
      </w:r>
      <w:r>
        <w:fldChar w:fldCharType="begin"/>
      </w:r>
      <w:r>
        <w:instrText xml:space="preserve"> PAGEREF _Toc17433 \h </w:instrText>
      </w:r>
      <w:r>
        <w:fldChar w:fldCharType="separate"/>
      </w:r>
      <w:r>
        <w:t xml:space="preserve">22</w:t>
      </w:r>
      <w:r>
        <w:fldChar w:fldCharType="end"/>
      </w:r>
      <w:r>
        <w:rPr>
          <w:bCs/>
        </w:rPr>
        <w:fldChar w:fldCharType="end"/>
      </w:r>
      <w:r/>
    </w:p>
    <w:p>
      <w:pPr>
        <w:pStyle w:val="1382"/>
        <w:tabs>
          <w:tab w:val="right" w:pos="9638" w:leader="dot"/>
        </w:tabs>
      </w:pPr>
      <w:r>
        <w:rPr>
          <w:bCs/>
        </w:rPr>
        <w:fldChar w:fldCharType="begin"/>
      </w:r>
      <w:r>
        <w:rPr>
          <w:bCs/>
        </w:rPr>
        <w:instrText xml:space="preserve"> HYPERLINK \l _Toc7774 </w:instrText>
      </w:r>
      <w:r>
        <w:rPr>
          <w:bCs/>
        </w:rPr>
        <w:fldChar w:fldCharType="separate"/>
      </w:r>
      <w:r>
        <w:rPr>
          <w:rFonts w:hint="eastAsia" w:ascii="宋体" w:hAnsi="宋体" w:eastAsia="宋体" w:cs="宋体"/>
          <w:bCs/>
          <w:szCs w:val="21"/>
        </w:rPr>
        <w:t xml:space="preserve">30、质疑</w:t>
      </w:r>
      <w:r>
        <w:tab/>
      </w:r>
      <w:r>
        <w:fldChar w:fldCharType="begin"/>
      </w:r>
      <w:r>
        <w:instrText xml:space="preserve"> PAGEREF _Toc7774 \h </w:instrText>
      </w:r>
      <w:r>
        <w:fldChar w:fldCharType="separate"/>
      </w:r>
      <w:r>
        <w:t xml:space="preserve">22</w:t>
      </w:r>
      <w:r>
        <w:fldChar w:fldCharType="end"/>
      </w:r>
      <w:r>
        <w:rPr>
          <w:bCs/>
        </w:rPr>
        <w:fldChar w:fldCharType="end"/>
      </w:r>
      <w:r/>
    </w:p>
    <w:p>
      <w:pPr>
        <w:pStyle w:val="1397"/>
        <w:tabs>
          <w:tab w:val="right" w:pos="9638" w:leader="dot"/>
        </w:tabs>
      </w:pPr>
      <w:r>
        <w:rPr>
          <w:bCs/>
        </w:rPr>
        <w:fldChar w:fldCharType="begin"/>
      </w:r>
      <w:r>
        <w:rPr>
          <w:bCs/>
        </w:rPr>
        <w:instrText xml:space="preserve"> HYPERLINK \l _Toc29844 </w:instrText>
      </w:r>
      <w:r>
        <w:rPr>
          <w:bCs/>
        </w:rPr>
        <w:fldChar w:fldCharType="separate"/>
      </w:r>
      <w:r>
        <w:rPr>
          <w:szCs w:val="28"/>
        </w:rPr>
        <w:t xml:space="preserve">第三章 评标标准</w:t>
      </w:r>
      <w:r>
        <w:tab/>
      </w:r>
      <w:r>
        <w:fldChar w:fldCharType="begin"/>
      </w:r>
      <w:r>
        <w:instrText xml:space="preserve"> PAGEREF _Toc29844 \h </w:instrText>
      </w:r>
      <w:r>
        <w:fldChar w:fldCharType="separate"/>
      </w:r>
      <w:r>
        <w:t xml:space="preserve">24</w:t>
      </w:r>
      <w:r>
        <w:fldChar w:fldCharType="end"/>
      </w:r>
      <w:r>
        <w:rPr>
          <w:bCs/>
        </w:rPr>
        <w:fldChar w:fldCharType="end"/>
      </w:r>
      <w:r/>
    </w:p>
    <w:p>
      <w:pPr>
        <w:pStyle w:val="1397"/>
        <w:tabs>
          <w:tab w:val="right" w:pos="9638" w:leader="dot"/>
        </w:tabs>
      </w:pPr>
      <w:r>
        <w:rPr>
          <w:bCs/>
        </w:rPr>
        <w:fldChar w:fldCharType="begin"/>
      </w:r>
      <w:r>
        <w:rPr>
          <w:bCs/>
        </w:rPr>
        <w:instrText xml:space="preserve"> HYPERLINK \l _Toc26203 </w:instrText>
      </w:r>
      <w:r>
        <w:rPr>
          <w:bCs/>
        </w:rPr>
        <w:fldChar w:fldCharType="separate"/>
      </w:r>
      <w:r>
        <w:rPr>
          <w:szCs w:val="28"/>
        </w:rPr>
        <w:t xml:space="preserve">第四章 招标技术规格及要求</w:t>
      </w:r>
      <w:r>
        <w:tab/>
      </w:r>
      <w:r>
        <w:fldChar w:fldCharType="begin"/>
      </w:r>
      <w:r>
        <w:instrText xml:space="preserve"> PAGEREF _Toc26203 \h </w:instrText>
      </w:r>
      <w:r>
        <w:fldChar w:fldCharType="separate"/>
      </w:r>
      <w:r>
        <w:t xml:space="preserve">50</w:t>
      </w:r>
      <w:r>
        <w:fldChar w:fldCharType="end"/>
      </w:r>
      <w:r>
        <w:rPr>
          <w:bCs/>
        </w:rPr>
        <w:fldChar w:fldCharType="end"/>
      </w:r>
      <w:r/>
    </w:p>
    <w:p>
      <w:pPr>
        <w:pStyle w:val="1397"/>
        <w:tabs>
          <w:tab w:val="right" w:pos="9638" w:leader="dot"/>
        </w:tabs>
      </w:pPr>
      <w:r>
        <w:rPr>
          <w:bCs/>
        </w:rPr>
        <w:fldChar w:fldCharType="begin"/>
      </w:r>
      <w:r>
        <w:rPr>
          <w:bCs/>
        </w:rPr>
        <w:instrText xml:space="preserve"> HYPERLINK \l _Toc25093 </w:instrText>
      </w:r>
      <w:r>
        <w:rPr>
          <w:bCs/>
        </w:rPr>
        <w:fldChar w:fldCharType="separate"/>
      </w:r>
      <w:r>
        <w:rPr>
          <w:szCs w:val="28"/>
        </w:rPr>
        <w:t xml:space="preserve">第五章 拟签订的合同文本</w:t>
      </w:r>
      <w:r>
        <w:tab/>
      </w:r>
      <w:r>
        <w:fldChar w:fldCharType="begin"/>
      </w:r>
      <w:r>
        <w:instrText xml:space="preserve"> PAGEREF _Toc25093 \h </w:instrText>
      </w:r>
      <w:r>
        <w:fldChar w:fldCharType="separate"/>
      </w:r>
      <w:r>
        <w:t xml:space="preserve">84</w:t>
      </w:r>
      <w:r>
        <w:fldChar w:fldCharType="end"/>
      </w:r>
      <w:r>
        <w:rPr>
          <w:bCs/>
        </w:rPr>
        <w:fldChar w:fldCharType="end"/>
      </w:r>
      <w:r/>
    </w:p>
    <w:p>
      <w:pPr>
        <w:pStyle w:val="1397"/>
        <w:tabs>
          <w:tab w:val="right" w:pos="9638" w:leader="dot"/>
        </w:tabs>
      </w:pPr>
      <w:r>
        <w:rPr>
          <w:bCs/>
        </w:rPr>
        <w:fldChar w:fldCharType="begin"/>
      </w:r>
      <w:r>
        <w:rPr>
          <w:bCs/>
        </w:rPr>
        <w:instrText xml:space="preserve"> HYPERLINK \l _Toc23244 </w:instrText>
      </w:r>
      <w:r>
        <w:rPr>
          <w:bCs/>
        </w:rPr>
        <w:fldChar w:fldCharType="separate"/>
      </w:r>
      <w:r>
        <w:rPr>
          <w:szCs w:val="28"/>
        </w:rPr>
        <w:t xml:space="preserve">第六章 投标文件格式及附件</w:t>
      </w:r>
      <w:r>
        <w:tab/>
      </w:r>
      <w:r>
        <w:fldChar w:fldCharType="begin"/>
      </w:r>
      <w:r>
        <w:instrText xml:space="preserve"> PAGEREF _Toc23244 \h </w:instrText>
      </w:r>
      <w:r>
        <w:fldChar w:fldCharType="separate"/>
      </w:r>
      <w:r>
        <w:t xml:space="preserve">90</w:t>
      </w:r>
      <w:r>
        <w:fldChar w:fldCharType="end"/>
      </w:r>
      <w:r>
        <w:rPr>
          <w:bCs/>
        </w:rPr>
        <w:fldChar w:fldCharType="end"/>
      </w:r>
      <w:r/>
    </w:p>
    <w:p>
      <w:pPr>
        <w:pStyle w:val="1404"/>
        <w:tabs>
          <w:tab w:val="right" w:pos="9638" w:leader="dot"/>
        </w:tabs>
      </w:pPr>
      <w:r>
        <w:rPr>
          <w:bCs/>
        </w:rPr>
        <w:fldChar w:fldCharType="begin"/>
      </w:r>
      <w:r>
        <w:rPr>
          <w:bCs/>
        </w:rPr>
        <w:instrText xml:space="preserve"> HYPERLINK \l _Toc6214 </w:instrText>
      </w:r>
      <w:r>
        <w:rPr>
          <w:bCs/>
        </w:rPr>
        <w:fldChar w:fldCharType="separate"/>
      </w:r>
      <w:r>
        <w:rPr>
          <w:rFonts w:ascii="Times New Roman" w:hAnsi="Times New Roman" w:eastAsia="宋体"/>
          <w:szCs w:val="28"/>
        </w:rPr>
        <w:t xml:space="preserve">资格审查索引表</w:t>
      </w:r>
      <w:r>
        <w:tab/>
      </w:r>
      <w:r>
        <w:fldChar w:fldCharType="begin"/>
      </w:r>
      <w:r>
        <w:instrText xml:space="preserve"> PAGEREF _Toc6214 \h </w:instrText>
      </w:r>
      <w:r>
        <w:fldChar w:fldCharType="separate"/>
      </w:r>
      <w:r>
        <w:t xml:space="preserve">92</w:t>
      </w:r>
      <w:r>
        <w:fldChar w:fldCharType="end"/>
      </w:r>
      <w:r>
        <w:rPr>
          <w:bCs/>
        </w:rPr>
        <w:fldChar w:fldCharType="end"/>
      </w:r>
      <w:r/>
    </w:p>
    <w:p>
      <w:pPr>
        <w:pStyle w:val="1404"/>
        <w:tabs>
          <w:tab w:val="right" w:pos="9638" w:leader="dot"/>
        </w:tabs>
      </w:pPr>
      <w:r>
        <w:rPr>
          <w:bCs/>
        </w:rPr>
        <w:fldChar w:fldCharType="begin"/>
      </w:r>
      <w:r>
        <w:rPr>
          <w:bCs/>
        </w:rPr>
        <w:instrText xml:space="preserve"> HYPERLINK \l _Toc25048 </w:instrText>
      </w:r>
      <w:r>
        <w:rPr>
          <w:bCs/>
        </w:rPr>
        <w:fldChar w:fldCharType="separate"/>
      </w:r>
      <w:r>
        <w:rPr>
          <w:rFonts w:ascii="Times New Roman" w:hAnsi="Times New Roman" w:eastAsia="宋体"/>
          <w:szCs w:val="28"/>
        </w:rPr>
        <w:t xml:space="preserve">评审索引表</w:t>
      </w:r>
      <w:r>
        <w:tab/>
      </w:r>
      <w:r>
        <w:fldChar w:fldCharType="begin"/>
      </w:r>
      <w:r>
        <w:instrText xml:space="preserve"> PAGEREF _Toc25048 \h </w:instrText>
      </w:r>
      <w:r>
        <w:fldChar w:fldCharType="separate"/>
      </w:r>
      <w:r>
        <w:t xml:space="preserve">93</w:t>
      </w:r>
      <w:r>
        <w:fldChar w:fldCharType="end"/>
      </w:r>
      <w:r>
        <w:rPr>
          <w:bCs/>
        </w:rPr>
        <w:fldChar w:fldCharType="end"/>
      </w:r>
      <w:r/>
    </w:p>
    <w:p>
      <w:pPr>
        <w:pStyle w:val="1404"/>
        <w:tabs>
          <w:tab w:val="right" w:pos="9638" w:leader="dot"/>
        </w:tabs>
      </w:pPr>
      <w:r>
        <w:rPr>
          <w:bCs/>
        </w:rPr>
        <w:fldChar w:fldCharType="begin"/>
      </w:r>
      <w:r>
        <w:rPr>
          <w:bCs/>
        </w:rPr>
        <w:instrText xml:space="preserve"> HYPERLINK \l _Toc21198 </w:instrText>
      </w:r>
      <w:r>
        <w:rPr>
          <w:bCs/>
        </w:rPr>
        <w:fldChar w:fldCharType="separate"/>
      </w:r>
      <w:r>
        <w:rPr>
          <w:rFonts w:hint="eastAsia" w:ascii="宋体" w:hAnsi="宋体" w:cs="宋体"/>
          <w:bCs/>
          <w:szCs w:val="21"/>
        </w:rPr>
        <w:t xml:space="preserve">附件一 投标函格式</w:t>
      </w:r>
      <w:r>
        <w:tab/>
      </w:r>
      <w:r>
        <w:fldChar w:fldCharType="begin"/>
      </w:r>
      <w:r>
        <w:instrText xml:space="preserve"> PAGEREF _Toc21198 \h </w:instrText>
      </w:r>
      <w:r>
        <w:fldChar w:fldCharType="separate"/>
      </w:r>
      <w:r>
        <w:t xml:space="preserve">94</w:t>
      </w:r>
      <w:r>
        <w:fldChar w:fldCharType="end"/>
      </w:r>
      <w:r>
        <w:rPr>
          <w:bCs/>
        </w:rPr>
        <w:fldChar w:fldCharType="end"/>
      </w:r>
      <w:r/>
    </w:p>
    <w:p>
      <w:pPr>
        <w:pStyle w:val="1404"/>
        <w:tabs>
          <w:tab w:val="right" w:pos="9638" w:leader="dot"/>
        </w:tabs>
      </w:pPr>
      <w:r>
        <w:rPr>
          <w:bCs/>
        </w:rPr>
        <w:fldChar w:fldCharType="begin"/>
      </w:r>
      <w:r>
        <w:rPr>
          <w:bCs/>
        </w:rPr>
        <w:instrText xml:space="preserve"> HYPERLINK \l _Toc23511 </w:instrText>
      </w:r>
      <w:r>
        <w:rPr>
          <w:bCs/>
        </w:rPr>
        <w:fldChar w:fldCharType="separate"/>
      </w:r>
      <w:r>
        <w:rPr>
          <w:bCs/>
          <w:szCs w:val="22"/>
        </w:rPr>
        <w:t xml:space="preserve">附件二 开标一览表</w:t>
      </w:r>
      <w:r>
        <w:tab/>
      </w:r>
      <w:r>
        <w:fldChar w:fldCharType="begin"/>
      </w:r>
      <w:r>
        <w:instrText xml:space="preserve"> PAGEREF _Toc23511 \h </w:instrText>
      </w:r>
      <w:r>
        <w:fldChar w:fldCharType="separate"/>
      </w:r>
      <w:r>
        <w:t xml:space="preserve">95</w:t>
      </w:r>
      <w:r>
        <w:fldChar w:fldCharType="end"/>
      </w:r>
      <w:r>
        <w:rPr>
          <w:bCs/>
        </w:rPr>
        <w:fldChar w:fldCharType="end"/>
      </w:r>
      <w:r/>
    </w:p>
    <w:p>
      <w:pPr>
        <w:pStyle w:val="1404"/>
        <w:tabs>
          <w:tab w:val="right" w:pos="9638" w:leader="dot"/>
        </w:tabs>
      </w:pPr>
      <w:r>
        <w:rPr>
          <w:bCs/>
        </w:rPr>
        <w:fldChar w:fldCharType="begin"/>
      </w:r>
      <w:r>
        <w:rPr>
          <w:bCs/>
        </w:rPr>
        <w:instrText xml:space="preserve"> HYPERLINK \l _Toc7726 </w:instrText>
      </w:r>
      <w:r>
        <w:rPr>
          <w:bCs/>
        </w:rPr>
        <w:fldChar w:fldCharType="separate"/>
      </w:r>
      <w:r>
        <w:rPr>
          <w:bCs/>
          <w:szCs w:val="22"/>
        </w:rPr>
        <w:t xml:space="preserve">附件三 分项报价表</w:t>
      </w:r>
      <w:r>
        <w:tab/>
      </w:r>
      <w:r>
        <w:fldChar w:fldCharType="begin"/>
      </w:r>
      <w:r>
        <w:instrText xml:space="preserve"> PAGEREF _Toc7726 \h </w:instrText>
      </w:r>
      <w:r>
        <w:fldChar w:fldCharType="separate"/>
      </w:r>
      <w:r>
        <w:t xml:space="preserve">96</w:t>
      </w:r>
      <w:r>
        <w:fldChar w:fldCharType="end"/>
      </w:r>
      <w:r>
        <w:rPr>
          <w:bCs/>
        </w:rPr>
        <w:fldChar w:fldCharType="end"/>
      </w:r>
      <w:r/>
    </w:p>
    <w:p>
      <w:pPr>
        <w:pStyle w:val="1404"/>
        <w:tabs>
          <w:tab w:val="right" w:pos="9638" w:leader="dot"/>
        </w:tabs>
      </w:pPr>
      <w:r>
        <w:rPr>
          <w:bCs/>
        </w:rPr>
        <w:fldChar w:fldCharType="begin"/>
      </w:r>
      <w:r>
        <w:rPr>
          <w:bCs/>
        </w:rPr>
        <w:instrText xml:space="preserve"> HYPERLINK \l _Toc11080 </w:instrText>
      </w:r>
      <w:r>
        <w:rPr>
          <w:bCs/>
        </w:rPr>
        <w:fldChar w:fldCharType="separate"/>
      </w:r>
      <w:r>
        <w:rPr>
          <w:bCs/>
          <w:szCs w:val="22"/>
        </w:rPr>
        <w:t xml:space="preserve">附件四 商务条款偏离表</w:t>
      </w:r>
      <w:r>
        <w:tab/>
      </w:r>
      <w:r>
        <w:fldChar w:fldCharType="begin"/>
      </w:r>
      <w:r>
        <w:instrText xml:space="preserve"> PAGEREF _Toc11080 \h </w:instrText>
      </w:r>
      <w:r>
        <w:fldChar w:fldCharType="separate"/>
      </w:r>
      <w:r>
        <w:t xml:space="preserve">97</w:t>
      </w:r>
      <w:r>
        <w:fldChar w:fldCharType="end"/>
      </w:r>
      <w:r>
        <w:rPr>
          <w:bCs/>
        </w:rPr>
        <w:fldChar w:fldCharType="end"/>
      </w:r>
      <w:r/>
    </w:p>
    <w:p>
      <w:pPr>
        <w:pStyle w:val="1404"/>
        <w:tabs>
          <w:tab w:val="right" w:pos="9638" w:leader="dot"/>
        </w:tabs>
      </w:pPr>
      <w:r>
        <w:rPr>
          <w:bCs/>
        </w:rPr>
        <w:fldChar w:fldCharType="begin"/>
      </w:r>
      <w:r>
        <w:rPr>
          <w:bCs/>
        </w:rPr>
        <w:instrText xml:space="preserve"> HYPERLINK \l _Toc588 </w:instrText>
      </w:r>
      <w:r>
        <w:rPr>
          <w:bCs/>
        </w:rPr>
        <w:fldChar w:fldCharType="separate"/>
      </w:r>
      <w:r>
        <w:rPr>
          <w:bCs/>
          <w:szCs w:val="22"/>
        </w:rPr>
        <w:t xml:space="preserve">附件五 技术条款偏离表</w:t>
      </w:r>
      <w:r>
        <w:tab/>
      </w:r>
      <w:r>
        <w:fldChar w:fldCharType="begin"/>
      </w:r>
      <w:r>
        <w:instrText xml:space="preserve"> PAGEREF _Toc588 \h </w:instrText>
      </w:r>
      <w:r>
        <w:fldChar w:fldCharType="separate"/>
      </w:r>
      <w:r>
        <w:t xml:space="preserve">98</w:t>
      </w:r>
      <w:r>
        <w:fldChar w:fldCharType="end"/>
      </w:r>
      <w:r>
        <w:rPr>
          <w:bCs/>
        </w:rPr>
        <w:fldChar w:fldCharType="end"/>
      </w:r>
      <w:r/>
    </w:p>
    <w:p>
      <w:pPr>
        <w:pStyle w:val="1404"/>
        <w:tabs>
          <w:tab w:val="right" w:pos="9638" w:leader="dot"/>
        </w:tabs>
      </w:pPr>
      <w:r>
        <w:rPr>
          <w:bCs/>
        </w:rPr>
        <w:fldChar w:fldCharType="begin"/>
      </w:r>
      <w:r>
        <w:rPr>
          <w:bCs/>
        </w:rPr>
        <w:instrText xml:space="preserve"> HYPERLINK \l _Toc21048 </w:instrText>
      </w:r>
      <w:r>
        <w:rPr>
          <w:bCs/>
        </w:rPr>
        <w:fldChar w:fldCharType="separate"/>
      </w:r>
      <w:r>
        <w:rPr>
          <w:bCs/>
          <w:szCs w:val="22"/>
        </w:rPr>
        <w:t xml:space="preserve">附件六 政府采购政策</w:t>
      </w:r>
      <w:r>
        <w:tab/>
      </w:r>
      <w:r>
        <w:fldChar w:fldCharType="begin"/>
      </w:r>
      <w:r>
        <w:instrText xml:space="preserve"> PAGEREF _Toc21048 \h </w:instrText>
      </w:r>
      <w:r>
        <w:fldChar w:fldCharType="separate"/>
      </w:r>
      <w:r>
        <w:t xml:space="preserve">99</w:t>
      </w:r>
      <w:r>
        <w:fldChar w:fldCharType="end"/>
      </w:r>
      <w:r>
        <w:rPr>
          <w:bCs/>
        </w:rPr>
        <w:fldChar w:fldCharType="end"/>
      </w:r>
      <w:r/>
    </w:p>
    <w:p>
      <w:pPr>
        <w:pStyle w:val="1382"/>
        <w:tabs>
          <w:tab w:val="right" w:pos="9638" w:leader="dot"/>
        </w:tabs>
      </w:pPr>
      <w:r>
        <w:rPr>
          <w:bCs/>
        </w:rPr>
        <w:fldChar w:fldCharType="begin"/>
      </w:r>
      <w:r>
        <w:rPr>
          <w:bCs/>
        </w:rPr>
        <w:instrText xml:space="preserve"> HYPERLINK \l _Toc13248 </w:instrText>
      </w:r>
      <w:r>
        <w:rPr>
          <w:bCs/>
        </w:rPr>
        <w:fldChar w:fldCharType="separate"/>
      </w:r>
      <w:r>
        <w:rPr>
          <w:rFonts w:hint="eastAsia" w:ascii="Arial" w:hAnsi="Arial" w:cs="Arial"/>
          <w:bCs/>
          <w:szCs w:val="21"/>
        </w:rPr>
        <w:t xml:space="preserve">（一） </w:t>
      </w:r>
      <w:r>
        <w:rPr>
          <w:rFonts w:ascii="Arial" w:hAnsi="Arial" w:cs="Arial"/>
          <w:bCs/>
          <w:szCs w:val="21"/>
        </w:rPr>
        <w:t xml:space="preserve">《中小企业声明函》</w:t>
      </w:r>
      <w:r>
        <w:tab/>
      </w:r>
      <w:r>
        <w:fldChar w:fldCharType="begin"/>
      </w:r>
      <w:r>
        <w:instrText xml:space="preserve"> PAGEREF _Toc13248 \h </w:instrText>
      </w:r>
      <w:r>
        <w:fldChar w:fldCharType="separate"/>
      </w:r>
      <w:r>
        <w:t xml:space="preserve">99</w:t>
      </w:r>
      <w:r>
        <w:fldChar w:fldCharType="end"/>
      </w:r>
      <w:r>
        <w:rPr>
          <w:bCs/>
        </w:rPr>
        <w:fldChar w:fldCharType="end"/>
      </w:r>
      <w:r/>
    </w:p>
    <w:p>
      <w:pPr>
        <w:pStyle w:val="1382"/>
        <w:tabs>
          <w:tab w:val="right" w:pos="9638" w:leader="dot"/>
        </w:tabs>
      </w:pPr>
      <w:r>
        <w:rPr>
          <w:bCs/>
        </w:rPr>
        <w:fldChar w:fldCharType="begin"/>
      </w:r>
      <w:r>
        <w:rPr>
          <w:bCs/>
        </w:rPr>
        <w:instrText xml:space="preserve"> HYPERLINK \l _Toc27312 </w:instrText>
      </w:r>
      <w:r>
        <w:rPr>
          <w:bCs/>
        </w:rPr>
        <w:fldChar w:fldCharType="separate"/>
      </w:r>
      <w:r>
        <w:rPr>
          <w:bCs/>
          <w:szCs w:val="21"/>
        </w:rPr>
        <w:t xml:space="preserve">（二）残疾人福利性单位声明函</w:t>
      </w:r>
      <w:r>
        <w:tab/>
      </w:r>
      <w:r>
        <w:fldChar w:fldCharType="begin"/>
      </w:r>
      <w:r>
        <w:instrText xml:space="preserve"> PAGEREF _Toc27312 \h </w:instrText>
      </w:r>
      <w:r>
        <w:fldChar w:fldCharType="separate"/>
      </w:r>
      <w:r>
        <w:t xml:space="preserve">101</w:t>
      </w:r>
      <w:r>
        <w:fldChar w:fldCharType="end"/>
      </w:r>
      <w:r>
        <w:rPr>
          <w:bCs/>
        </w:rPr>
        <w:fldChar w:fldCharType="end"/>
      </w:r>
      <w:r/>
    </w:p>
    <w:p>
      <w:pPr>
        <w:pStyle w:val="1404"/>
        <w:tabs>
          <w:tab w:val="right" w:pos="9638" w:leader="dot"/>
        </w:tabs>
      </w:pPr>
      <w:r>
        <w:rPr>
          <w:bCs/>
        </w:rPr>
        <w:fldChar w:fldCharType="begin"/>
      </w:r>
      <w:r>
        <w:rPr>
          <w:bCs/>
        </w:rPr>
        <w:instrText xml:space="preserve"> HYPERLINK \l _Toc1269 </w:instrText>
      </w:r>
      <w:r>
        <w:rPr>
          <w:bCs/>
        </w:rPr>
        <w:fldChar w:fldCharType="separate"/>
      </w:r>
      <w:r>
        <w:rPr>
          <w:rFonts w:hint="eastAsia"/>
          <w:bCs/>
          <w:szCs w:val="22"/>
        </w:rPr>
        <w:t xml:space="preserve">附：</w:t>
      </w:r>
      <w:r>
        <w:rPr>
          <w:bCs/>
          <w:szCs w:val="22"/>
          <w:lang w:val="zh-TW"/>
        </w:rPr>
        <w:t xml:space="preserve">成本比例声明函（如适用）</w:t>
      </w:r>
      <w:r>
        <w:tab/>
      </w:r>
      <w:r>
        <w:fldChar w:fldCharType="begin"/>
      </w:r>
      <w:r>
        <w:instrText xml:space="preserve"> PAGEREF _Toc1269 \h </w:instrText>
      </w:r>
      <w:r>
        <w:fldChar w:fldCharType="separate"/>
      </w:r>
      <w:r>
        <w:t xml:space="preserve">103</w:t>
      </w:r>
      <w:r>
        <w:fldChar w:fldCharType="end"/>
      </w:r>
      <w:r>
        <w:rPr>
          <w:bCs/>
        </w:rPr>
        <w:fldChar w:fldCharType="end"/>
      </w:r>
      <w:r/>
    </w:p>
    <w:p>
      <w:pPr>
        <w:pStyle w:val="1404"/>
        <w:tabs>
          <w:tab w:val="right" w:pos="9638" w:leader="dot"/>
        </w:tabs>
      </w:pPr>
      <w:r>
        <w:rPr>
          <w:bCs/>
        </w:rPr>
        <w:fldChar w:fldCharType="begin"/>
      </w:r>
      <w:r>
        <w:rPr>
          <w:bCs/>
        </w:rPr>
        <w:instrText xml:space="preserve"> HYPERLINK \l _Toc17365 </w:instrText>
      </w:r>
      <w:r>
        <w:rPr>
          <w:bCs/>
        </w:rPr>
        <w:fldChar w:fldCharType="separate"/>
      </w:r>
      <w:r>
        <w:rPr>
          <w:bCs/>
          <w:szCs w:val="22"/>
          <w:lang w:val="zh-CN"/>
        </w:rPr>
        <w:t xml:space="preserve">附件</w:t>
      </w:r>
      <w:r>
        <w:rPr>
          <w:rFonts w:hint="eastAsia"/>
          <w:bCs/>
          <w:szCs w:val="22"/>
        </w:rPr>
        <w:t xml:space="preserve">七</w:t>
      </w:r>
      <w:r>
        <w:rPr>
          <w:bCs/>
          <w:szCs w:val="22"/>
        </w:rPr>
        <w:t xml:space="preserve"> </w:t>
      </w:r>
      <w:r>
        <w:rPr>
          <w:bCs/>
          <w:szCs w:val="22"/>
          <w:lang w:val="zh-CN"/>
        </w:rPr>
        <w:t xml:space="preserve">资格证明文件</w:t>
      </w:r>
      <w:r>
        <w:tab/>
      </w:r>
      <w:r>
        <w:fldChar w:fldCharType="begin"/>
      </w:r>
      <w:r>
        <w:instrText xml:space="preserve"> PAGEREF _Toc17365 \h </w:instrText>
      </w:r>
      <w:r>
        <w:fldChar w:fldCharType="separate"/>
      </w:r>
      <w:r>
        <w:t xml:space="preserve">104</w:t>
      </w:r>
      <w:r>
        <w:fldChar w:fldCharType="end"/>
      </w:r>
      <w:r>
        <w:rPr>
          <w:bCs/>
        </w:rPr>
        <w:fldChar w:fldCharType="end"/>
      </w:r>
      <w:r/>
    </w:p>
    <w:p>
      <w:pPr>
        <w:pStyle w:val="1382"/>
        <w:tabs>
          <w:tab w:val="right" w:pos="9638" w:leader="dot"/>
        </w:tabs>
      </w:pPr>
      <w:r>
        <w:rPr>
          <w:bCs/>
        </w:rPr>
        <w:fldChar w:fldCharType="begin"/>
      </w:r>
      <w:r>
        <w:rPr>
          <w:bCs/>
        </w:rPr>
        <w:instrText xml:space="preserve"> HYPERLINK \l _Toc15706 </w:instrText>
      </w:r>
      <w:r>
        <w:rPr>
          <w:bCs/>
        </w:rPr>
        <w:fldChar w:fldCharType="separate"/>
      </w:r>
      <w:r>
        <w:rPr>
          <w:bCs/>
          <w:szCs w:val="21"/>
          <w:lang w:val="zh-CN"/>
        </w:rPr>
        <w:t xml:space="preserve">1、法人或其他组织的营业执照等证明文件（复印件加盖公章）</w:t>
      </w:r>
      <w:r>
        <w:tab/>
      </w:r>
      <w:r>
        <w:fldChar w:fldCharType="begin"/>
      </w:r>
      <w:r>
        <w:instrText xml:space="preserve"> PAGEREF _Toc15706 \h </w:instrText>
      </w:r>
      <w:r>
        <w:fldChar w:fldCharType="separate"/>
      </w:r>
      <w:r>
        <w:t xml:space="preserve">104</w:t>
      </w:r>
      <w:r>
        <w:fldChar w:fldCharType="end"/>
      </w:r>
      <w:r>
        <w:rPr>
          <w:bCs/>
        </w:rPr>
        <w:fldChar w:fldCharType="end"/>
      </w:r>
      <w:r/>
    </w:p>
    <w:p>
      <w:pPr>
        <w:pStyle w:val="1382"/>
        <w:tabs>
          <w:tab w:val="right" w:pos="9638" w:leader="dot"/>
        </w:tabs>
      </w:pPr>
      <w:r>
        <w:rPr>
          <w:bCs/>
        </w:rPr>
        <w:fldChar w:fldCharType="begin"/>
      </w:r>
      <w:r>
        <w:rPr>
          <w:bCs/>
        </w:rPr>
        <w:instrText xml:space="preserve"> HYPERLINK \l _Toc20681 </w:instrText>
      </w:r>
      <w:r>
        <w:rPr>
          <w:bCs/>
        </w:rPr>
        <w:fldChar w:fldCharType="separate"/>
      </w:r>
      <w:r>
        <w:rPr>
          <w:bCs/>
          <w:szCs w:val="21"/>
          <w:lang w:val="zh-CN"/>
        </w:rPr>
        <w:t xml:space="preserve">2、法人代表授权书</w:t>
      </w:r>
      <w:r>
        <w:tab/>
      </w:r>
      <w:r>
        <w:fldChar w:fldCharType="begin"/>
      </w:r>
      <w:r>
        <w:instrText xml:space="preserve"> PAGEREF _Toc20681 \h </w:instrText>
      </w:r>
      <w:r>
        <w:fldChar w:fldCharType="separate"/>
      </w:r>
      <w:r>
        <w:t xml:space="preserve">105</w:t>
      </w:r>
      <w:r>
        <w:fldChar w:fldCharType="end"/>
      </w:r>
      <w:r>
        <w:rPr>
          <w:bCs/>
        </w:rPr>
        <w:fldChar w:fldCharType="end"/>
      </w:r>
      <w:r/>
    </w:p>
    <w:p>
      <w:pPr>
        <w:pStyle w:val="1382"/>
        <w:tabs>
          <w:tab w:val="right" w:pos="9638" w:leader="dot"/>
        </w:tabs>
      </w:pPr>
      <w:r>
        <w:rPr>
          <w:bCs/>
        </w:rPr>
        <w:fldChar w:fldCharType="begin"/>
      </w:r>
      <w:r>
        <w:rPr>
          <w:bCs/>
        </w:rPr>
        <w:instrText xml:space="preserve"> HYPERLINK \l _Toc28466 </w:instrText>
      </w:r>
      <w:r>
        <w:rPr>
          <w:bCs/>
        </w:rPr>
        <w:fldChar w:fldCharType="separate"/>
      </w:r>
      <w:r>
        <w:rPr>
          <w:bCs/>
          <w:szCs w:val="21"/>
        </w:rPr>
        <w:t xml:space="preserve">3</w:t>
      </w:r>
      <w:r>
        <w:rPr>
          <w:bCs/>
          <w:szCs w:val="21"/>
          <w:lang w:val="zh-CN"/>
        </w:rPr>
        <w:t xml:space="preserve">、具有良好的商业信誉和健全的财务会计制度</w:t>
      </w:r>
      <w:r>
        <w:tab/>
      </w:r>
      <w:r>
        <w:fldChar w:fldCharType="begin"/>
      </w:r>
      <w:r>
        <w:instrText xml:space="preserve"> PAGEREF _Toc28466 \h </w:instrText>
      </w:r>
      <w:r>
        <w:fldChar w:fldCharType="separate"/>
      </w:r>
      <w:r>
        <w:t xml:space="preserve">106</w:t>
      </w:r>
      <w:r>
        <w:fldChar w:fldCharType="end"/>
      </w:r>
      <w:r>
        <w:rPr>
          <w:bCs/>
        </w:rPr>
        <w:fldChar w:fldCharType="end"/>
      </w:r>
      <w:r/>
    </w:p>
    <w:p>
      <w:pPr>
        <w:pStyle w:val="1382"/>
        <w:tabs>
          <w:tab w:val="right" w:pos="9638" w:leader="dot"/>
        </w:tabs>
      </w:pPr>
      <w:r>
        <w:rPr>
          <w:bCs/>
        </w:rPr>
        <w:fldChar w:fldCharType="begin"/>
      </w:r>
      <w:r>
        <w:rPr>
          <w:bCs/>
        </w:rPr>
        <w:instrText xml:space="preserve"> HYPERLINK \l _Toc16330 </w:instrText>
      </w:r>
      <w:r>
        <w:rPr>
          <w:bCs/>
        </w:rPr>
        <w:fldChar w:fldCharType="separate"/>
      </w:r>
      <w:r>
        <w:rPr>
          <w:bCs/>
          <w:szCs w:val="21"/>
        </w:rPr>
        <w:t xml:space="preserve">4、</w:t>
      </w:r>
      <w:r>
        <w:rPr>
          <w:bCs/>
          <w:szCs w:val="21"/>
          <w:lang w:val="zh-CN"/>
        </w:rPr>
        <w:t xml:space="preserve">具有履行合同所必需的设备和专业技术能力</w:t>
      </w:r>
      <w:r>
        <w:tab/>
      </w:r>
      <w:r>
        <w:fldChar w:fldCharType="begin"/>
      </w:r>
      <w:r>
        <w:instrText xml:space="preserve"> PAGEREF _Toc16330 \h </w:instrText>
      </w:r>
      <w:r>
        <w:fldChar w:fldCharType="separate"/>
      </w:r>
      <w:r>
        <w:t xml:space="preserve">107</w:t>
      </w:r>
      <w:r>
        <w:fldChar w:fldCharType="end"/>
      </w:r>
      <w:r>
        <w:rPr>
          <w:bCs/>
        </w:rPr>
        <w:fldChar w:fldCharType="end"/>
      </w:r>
      <w:r/>
    </w:p>
    <w:p>
      <w:pPr>
        <w:pStyle w:val="1382"/>
        <w:tabs>
          <w:tab w:val="right" w:pos="9638" w:leader="dot"/>
        </w:tabs>
      </w:pPr>
      <w:r>
        <w:rPr>
          <w:bCs/>
        </w:rPr>
        <w:fldChar w:fldCharType="begin"/>
      </w:r>
      <w:r>
        <w:rPr>
          <w:bCs/>
        </w:rPr>
        <w:instrText xml:space="preserve"> HYPERLINK \l _Toc26811 </w:instrText>
      </w:r>
      <w:r>
        <w:rPr>
          <w:bCs/>
        </w:rPr>
        <w:fldChar w:fldCharType="separate"/>
      </w:r>
      <w:r>
        <w:rPr>
          <w:bCs/>
          <w:szCs w:val="21"/>
        </w:rPr>
        <w:t xml:space="preserve">5、参加政府采购活动近三年内（成立时间不足三年的、自成立时间起），在经营活动中没有重大违法记录</w:t>
      </w:r>
      <w:r>
        <w:tab/>
      </w:r>
      <w:r>
        <w:fldChar w:fldCharType="begin"/>
      </w:r>
      <w:r>
        <w:instrText xml:space="preserve"> PAGEREF _Toc26811 \h </w:instrText>
      </w:r>
      <w:r>
        <w:fldChar w:fldCharType="separate"/>
      </w:r>
      <w:r>
        <w:t xml:space="preserve">108</w:t>
      </w:r>
      <w:r>
        <w:fldChar w:fldCharType="end"/>
      </w:r>
      <w:r>
        <w:rPr>
          <w:bCs/>
        </w:rPr>
        <w:fldChar w:fldCharType="end"/>
      </w:r>
      <w:r/>
    </w:p>
    <w:p>
      <w:pPr>
        <w:pStyle w:val="1382"/>
        <w:tabs>
          <w:tab w:val="right" w:pos="9638" w:leader="dot"/>
        </w:tabs>
      </w:pPr>
      <w:r>
        <w:rPr>
          <w:bCs/>
        </w:rPr>
        <w:fldChar w:fldCharType="begin"/>
      </w:r>
      <w:r>
        <w:rPr>
          <w:bCs/>
        </w:rPr>
        <w:instrText xml:space="preserve"> HYPERLINK \l _Toc810 </w:instrText>
      </w:r>
      <w:r>
        <w:rPr>
          <w:bCs/>
        </w:rPr>
        <w:fldChar w:fldCharType="separate"/>
      </w:r>
      <w:r>
        <w:rPr>
          <w:bCs/>
          <w:szCs w:val="21"/>
        </w:rPr>
        <w:t xml:space="preserve">6、依法缴纳税收的记录</w:t>
      </w:r>
      <w:r>
        <w:tab/>
      </w:r>
      <w:r>
        <w:fldChar w:fldCharType="begin"/>
      </w:r>
      <w:r>
        <w:instrText xml:space="preserve"> PAGEREF _Toc810 \h </w:instrText>
      </w:r>
      <w:r>
        <w:fldChar w:fldCharType="separate"/>
      </w:r>
      <w:r>
        <w:t xml:space="preserve">109</w:t>
      </w:r>
      <w:r>
        <w:fldChar w:fldCharType="end"/>
      </w:r>
      <w:r>
        <w:rPr>
          <w:bCs/>
        </w:rPr>
        <w:fldChar w:fldCharType="end"/>
      </w:r>
      <w:r/>
    </w:p>
    <w:p>
      <w:pPr>
        <w:pStyle w:val="1382"/>
        <w:tabs>
          <w:tab w:val="right" w:pos="9638" w:leader="dot"/>
        </w:tabs>
      </w:pPr>
      <w:r>
        <w:rPr>
          <w:bCs/>
        </w:rPr>
        <w:fldChar w:fldCharType="begin"/>
      </w:r>
      <w:r>
        <w:rPr>
          <w:bCs/>
        </w:rPr>
        <w:instrText xml:space="preserve"> HYPERLINK \l _Toc970 </w:instrText>
      </w:r>
      <w:r>
        <w:rPr>
          <w:bCs/>
        </w:rPr>
        <w:fldChar w:fldCharType="separate"/>
      </w:r>
      <w:r>
        <w:rPr>
          <w:bCs/>
          <w:szCs w:val="21"/>
        </w:rPr>
        <w:t xml:space="preserve">7、依法缴纳社会保障资金的记录</w:t>
      </w:r>
      <w:r>
        <w:tab/>
      </w:r>
      <w:r>
        <w:fldChar w:fldCharType="begin"/>
      </w:r>
      <w:r>
        <w:instrText xml:space="preserve"> PAGEREF _Toc970 \h </w:instrText>
      </w:r>
      <w:r>
        <w:fldChar w:fldCharType="separate"/>
      </w:r>
      <w:r>
        <w:t xml:space="preserve">110</w:t>
      </w:r>
      <w:r>
        <w:fldChar w:fldCharType="end"/>
      </w:r>
      <w:r>
        <w:rPr>
          <w:bCs/>
        </w:rPr>
        <w:fldChar w:fldCharType="end"/>
      </w:r>
      <w:r/>
    </w:p>
    <w:p>
      <w:pPr>
        <w:pStyle w:val="1382"/>
        <w:tabs>
          <w:tab w:val="right" w:pos="9638" w:leader="dot"/>
        </w:tabs>
      </w:pPr>
      <w:r>
        <w:rPr>
          <w:bCs/>
        </w:rPr>
        <w:fldChar w:fldCharType="begin"/>
      </w:r>
      <w:r>
        <w:rPr>
          <w:bCs/>
        </w:rPr>
        <w:instrText xml:space="preserve"> HYPERLINK \l _Toc8972 </w:instrText>
      </w:r>
      <w:r>
        <w:rPr>
          <w:bCs/>
        </w:rPr>
        <w:fldChar w:fldCharType="separate"/>
      </w:r>
      <w:r>
        <w:rPr>
          <w:bCs/>
          <w:szCs w:val="21"/>
        </w:rPr>
        <w:t xml:space="preserve">8、针对本项目的特定资格要求</w:t>
      </w:r>
      <w:r>
        <w:tab/>
      </w:r>
      <w:r>
        <w:fldChar w:fldCharType="begin"/>
      </w:r>
      <w:r>
        <w:instrText xml:space="preserve"> PAGEREF _Toc8972 \h </w:instrText>
      </w:r>
      <w:r>
        <w:fldChar w:fldCharType="separate"/>
      </w:r>
      <w:r>
        <w:t xml:space="preserve">111</w:t>
      </w:r>
      <w:r>
        <w:fldChar w:fldCharType="end"/>
      </w:r>
      <w:r>
        <w:rPr>
          <w:bCs/>
        </w:rPr>
        <w:fldChar w:fldCharType="end"/>
      </w:r>
      <w:r/>
    </w:p>
    <w:p>
      <w:pPr>
        <w:pStyle w:val="1382"/>
        <w:tabs>
          <w:tab w:val="right" w:pos="9638" w:leader="dot"/>
        </w:tabs>
      </w:pPr>
      <w:r>
        <w:rPr>
          <w:bCs/>
        </w:rPr>
        <w:fldChar w:fldCharType="begin"/>
      </w:r>
      <w:r>
        <w:rPr>
          <w:bCs/>
        </w:rPr>
        <w:instrText xml:space="preserve"> HYPERLINK \l _Toc28434 </w:instrText>
      </w:r>
      <w:r>
        <w:rPr>
          <w:bCs/>
        </w:rPr>
        <w:fldChar w:fldCharType="separate"/>
      </w:r>
      <w:r>
        <w:rPr>
          <w:bCs/>
          <w:szCs w:val="21"/>
        </w:rPr>
        <w:t xml:space="preserve">9、</w:t>
      </w:r>
      <w:r>
        <w:rPr>
          <w:rFonts w:hint="eastAsia" w:ascii="宋体" w:hAnsi="宋体" w:cs="宋体"/>
          <w:bCs/>
          <w:szCs w:val="21"/>
        </w:rPr>
        <w:t xml:space="preserve">符合招标文件第一章“拒绝下述供应商参加本次采购活动的情形”中第 1）条的声明或证明材料（加盖单位公章）</w:t>
      </w:r>
      <w:r>
        <w:tab/>
      </w:r>
      <w:r>
        <w:fldChar w:fldCharType="begin"/>
      </w:r>
      <w:r>
        <w:instrText xml:space="preserve"> PAGEREF _Toc28434 \h </w:instrText>
      </w:r>
      <w:r>
        <w:fldChar w:fldCharType="separate"/>
      </w:r>
      <w:r>
        <w:t xml:space="preserve">112</w:t>
      </w:r>
      <w:r>
        <w:fldChar w:fldCharType="end"/>
      </w:r>
      <w:r>
        <w:rPr>
          <w:bCs/>
        </w:rPr>
        <w:fldChar w:fldCharType="end"/>
      </w:r>
      <w:r/>
    </w:p>
    <w:p>
      <w:pPr>
        <w:pStyle w:val="1382"/>
        <w:tabs>
          <w:tab w:val="right" w:pos="9638" w:leader="dot"/>
        </w:tabs>
      </w:pPr>
      <w:r>
        <w:rPr>
          <w:bCs/>
        </w:rPr>
        <w:fldChar w:fldCharType="begin"/>
      </w:r>
      <w:r>
        <w:rPr>
          <w:bCs/>
        </w:rPr>
        <w:instrText xml:space="preserve"> HYPERLINK \l _Toc9743 </w:instrText>
      </w:r>
      <w:r>
        <w:rPr>
          <w:bCs/>
        </w:rPr>
        <w:fldChar w:fldCharType="separate"/>
      </w:r>
      <w:r>
        <w:rPr>
          <w:rFonts w:hint="eastAsia" w:ascii="宋体" w:hAnsi="宋体" w:cs="宋体"/>
          <w:bCs/>
          <w:szCs w:val="21"/>
        </w:rPr>
        <w:t xml:space="preserve">10、符合招标文件第一章“拒绝下述供应商参加本次采购活动的情形”中第 2）条的声明（加盖单位公章）</w:t>
      </w:r>
      <w:r>
        <w:tab/>
      </w:r>
      <w:r>
        <w:fldChar w:fldCharType="begin"/>
      </w:r>
      <w:r>
        <w:instrText xml:space="preserve"> PAGEREF _Toc9743 \h </w:instrText>
      </w:r>
      <w:r>
        <w:fldChar w:fldCharType="separate"/>
      </w:r>
      <w:r>
        <w:t xml:space="preserve">113</w:t>
      </w:r>
      <w:r>
        <w:fldChar w:fldCharType="end"/>
      </w:r>
      <w:r>
        <w:rPr>
          <w:bCs/>
        </w:rPr>
        <w:fldChar w:fldCharType="end"/>
      </w:r>
      <w:r/>
    </w:p>
    <w:p>
      <w:pPr>
        <w:pStyle w:val="1382"/>
        <w:tabs>
          <w:tab w:val="right" w:pos="9638" w:leader="dot"/>
        </w:tabs>
      </w:pPr>
      <w:r>
        <w:rPr>
          <w:bCs/>
        </w:rPr>
        <w:fldChar w:fldCharType="begin"/>
      </w:r>
      <w:r>
        <w:rPr>
          <w:bCs/>
        </w:rPr>
        <w:instrText xml:space="preserve"> HYPERLINK \l _Toc9886 </w:instrText>
      </w:r>
      <w:r>
        <w:rPr>
          <w:bCs/>
        </w:rPr>
        <w:fldChar w:fldCharType="separate"/>
      </w:r>
      <w:r>
        <w:rPr>
          <w:rFonts w:hint="eastAsia" w:ascii="宋体" w:hAnsi="宋体" w:cs="宋体"/>
          <w:bCs/>
          <w:szCs w:val="21"/>
        </w:rPr>
        <w:t xml:space="preserve">11、本项目不接受联合体投标，中标后不允许分包、转包。</w:t>
      </w:r>
      <w:r>
        <w:tab/>
      </w:r>
      <w:r>
        <w:fldChar w:fldCharType="begin"/>
      </w:r>
      <w:r>
        <w:instrText xml:space="preserve"> PAGEREF _Toc9886 \h </w:instrText>
      </w:r>
      <w:r>
        <w:fldChar w:fldCharType="separate"/>
      </w:r>
      <w:r>
        <w:t xml:space="preserve">114</w:t>
      </w:r>
      <w:r>
        <w:fldChar w:fldCharType="end"/>
      </w:r>
      <w:r>
        <w:rPr>
          <w:bCs/>
        </w:rPr>
        <w:fldChar w:fldCharType="end"/>
      </w:r>
      <w:r/>
    </w:p>
    <w:p>
      <w:pPr>
        <w:pStyle w:val="1382"/>
        <w:tabs>
          <w:tab w:val="right" w:pos="9638" w:leader="dot"/>
        </w:tabs>
      </w:pPr>
      <w:r>
        <w:rPr>
          <w:bCs/>
        </w:rPr>
        <w:fldChar w:fldCharType="begin"/>
      </w:r>
      <w:r>
        <w:rPr>
          <w:bCs/>
        </w:rPr>
        <w:instrText xml:space="preserve"> HYPERLINK \l _Toc4172 </w:instrText>
      </w:r>
      <w:r>
        <w:rPr>
          <w:bCs/>
        </w:rPr>
        <w:fldChar w:fldCharType="separate"/>
      </w:r>
      <w:r>
        <w:rPr>
          <w:rFonts w:hint="eastAsia" w:ascii="宋体" w:hAnsi="宋体" w:cs="宋体"/>
          <w:szCs w:val="21"/>
        </w:rPr>
        <w:t xml:space="preserve">参考格式：</w:t>
      </w:r>
      <w:r>
        <w:tab/>
      </w:r>
      <w:r>
        <w:fldChar w:fldCharType="begin"/>
      </w:r>
      <w:r>
        <w:instrText xml:space="preserve"> PAGEREF _Toc4172 \h </w:instrText>
      </w:r>
      <w:r>
        <w:fldChar w:fldCharType="separate"/>
      </w:r>
      <w:r>
        <w:t xml:space="preserve">114</w:t>
      </w:r>
      <w:r>
        <w:fldChar w:fldCharType="end"/>
      </w:r>
      <w:r>
        <w:rPr>
          <w:bCs/>
        </w:rPr>
        <w:fldChar w:fldCharType="end"/>
      </w:r>
      <w:r/>
    </w:p>
    <w:p>
      <w:pPr>
        <w:pStyle w:val="1404"/>
        <w:tabs>
          <w:tab w:val="right" w:pos="9638" w:leader="dot"/>
        </w:tabs>
      </w:pPr>
      <w:r>
        <w:rPr>
          <w:bCs/>
        </w:rPr>
        <w:fldChar w:fldCharType="begin"/>
      </w:r>
      <w:r>
        <w:rPr>
          <w:bCs/>
        </w:rPr>
        <w:instrText xml:space="preserve"> HYPERLINK \l _Toc13144 </w:instrText>
      </w:r>
      <w:r>
        <w:rPr>
          <w:bCs/>
        </w:rPr>
        <w:fldChar w:fldCharType="separate"/>
      </w:r>
      <w:r>
        <w:rPr>
          <w:bCs/>
          <w:szCs w:val="22"/>
          <w:lang w:val="zh-CN"/>
        </w:rPr>
        <w:t xml:space="preserve">附件</w:t>
      </w:r>
      <w:r>
        <w:rPr>
          <w:rFonts w:hint="eastAsia"/>
          <w:bCs/>
          <w:szCs w:val="22"/>
        </w:rPr>
        <w:t xml:space="preserve">八</w:t>
      </w:r>
      <w:r>
        <w:rPr>
          <w:bCs/>
          <w:szCs w:val="22"/>
          <w:lang w:val="zh-CN"/>
        </w:rPr>
        <w:t xml:space="preserve"> 供应商认为应提供的其他材料</w:t>
      </w:r>
      <w:r>
        <w:tab/>
      </w:r>
      <w:r>
        <w:fldChar w:fldCharType="begin"/>
      </w:r>
      <w:r>
        <w:instrText xml:space="preserve"> PAGEREF _Toc13144 \h </w:instrText>
      </w:r>
      <w:r>
        <w:fldChar w:fldCharType="separate"/>
      </w:r>
      <w:r>
        <w:t xml:space="preserve">115</w:t>
      </w:r>
      <w:r>
        <w:fldChar w:fldCharType="end"/>
      </w:r>
      <w:r>
        <w:rPr>
          <w:bCs/>
        </w:rPr>
        <w:fldChar w:fldCharType="end"/>
      </w:r>
      <w:r/>
    </w:p>
    <w:p>
      <w:pPr>
        <w:pStyle w:val="1344"/>
        <w:spacing w:line="440" w:lineRule="exact"/>
        <w:rPr>
          <w:bCs/>
          <w:sz w:val="24"/>
        </w:rPr>
      </w:pPr>
      <w:r>
        <w:rPr>
          <w:bCs/>
        </w:rPr>
        <w:fldChar w:fldCharType="end"/>
      </w:r>
      <w:r>
        <w:rPr>
          <w:bCs/>
          <w:sz w:val="24"/>
        </w:rPr>
      </w:r>
      <w:r/>
    </w:p>
    <w:p>
      <w:pPr>
        <w:pStyle w:val="1344"/>
        <w:jc w:val="center"/>
        <w:spacing w:line="440" w:lineRule="exact"/>
        <w:rPr>
          <w:b/>
          <w:sz w:val="28"/>
          <w:szCs w:val="28"/>
        </w:rPr>
        <w:sectPr>
          <w:footerReference w:type="default" r:id="rId14"/>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9986"/>
      <w:r/>
      <w:bookmarkStart w:id="1" w:name="_Toc1"/>
      <w:r>
        <w:rPr>
          <w:b/>
          <w:sz w:val="28"/>
          <w:szCs w:val="28"/>
        </w:rPr>
      </w:r>
      <w:r/>
    </w:p>
    <w:p>
      <w:pPr>
        <w:pStyle w:val="1344"/>
        <w:jc w:val="center"/>
        <w:spacing w:line="360" w:lineRule="auto"/>
        <w:rPr>
          <w:b/>
          <w:sz w:val="44"/>
        </w:rPr>
        <w:outlineLvl w:val="0"/>
      </w:pPr>
      <w:r/>
      <w:bookmarkStart w:id="2" w:name="_Toc30069"/>
      <w:r>
        <w:rPr>
          <w:b/>
          <w:sz w:val="28"/>
          <w:szCs w:val="28"/>
        </w:rPr>
        <w:t xml:space="preserve">第一章 投标邀请（招标公告）</w:t>
      </w:r>
      <w:bookmarkEnd w:id="0"/>
      <w:r/>
      <w:bookmarkEnd w:id="1"/>
      <w:r/>
      <w:bookmarkEnd w:id="2"/>
      <w:r>
        <w:rPr>
          <w:b/>
          <w:sz w:val="44"/>
        </w:rPr>
      </w:r>
      <w:r/>
    </w:p>
    <w:p>
      <w:pPr>
        <w:pStyle w:val="1344"/>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rPr>
          <w:rFonts w:hint="eastAsia" w:ascii="宋体" w:hAnsi="宋体" w:cs="宋体"/>
          <w:szCs w:val="21"/>
        </w:rPr>
      </w:r>
      <w:r/>
    </w:p>
    <w:p>
      <w:pPr>
        <w:pStyle w:val="1344"/>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江苏省计量科学研究院（江苏省能源计量数据中心） 江苏省计量院2026年社会公用计量标准设备更新</w:t>
      </w:r>
      <w:r>
        <w:rPr>
          <w:rFonts w:hint="eastAsia" w:ascii="宋体" w:hAnsi="宋体" w:cs="宋体"/>
          <w:szCs w:val="21"/>
        </w:rPr>
        <w:t xml:space="preserve">招标项目的潜在投标人应在</w:t>
      </w:r>
      <w:r>
        <w:rPr>
          <w:rFonts w:hint="eastAsia" w:ascii="宋体" w:hAnsi="宋体" w:cs="宋体"/>
          <w:szCs w:val="21"/>
          <w:u w:val="single"/>
        </w:rPr>
        <w:t xml:space="preserve">“苏采云”系统内免费下载</w:t>
      </w:r>
      <w:r>
        <w:rPr>
          <w:rFonts w:hint="eastAsia" w:ascii="宋体" w:hAnsi="宋体" w:cs="宋体"/>
          <w:szCs w:val="21"/>
        </w:rPr>
        <w:t xml:space="preserve">招标文件，并于</w:t>
      </w:r>
      <w:r>
        <w:rPr>
          <w:rFonts w:hint="eastAsia" w:ascii="宋体" w:hAnsi="宋体" w:cs="宋体"/>
          <w:szCs w:val="21"/>
          <w:u w:val="single"/>
        </w:rPr>
        <w:t xml:space="preserve">2026</w:t>
      </w:r>
      <w:r>
        <w:rPr>
          <w:rFonts w:hint="eastAsia" w:ascii="宋体" w:hAnsi="宋体" w:cs="宋体"/>
          <w:bCs/>
          <w:szCs w:val="21"/>
          <w:u w:val="single"/>
        </w:rPr>
        <w:t xml:space="preserve">年</w:t>
      </w:r>
      <w:r>
        <w:rPr>
          <w:rFonts w:hint="eastAsia" w:ascii="宋体" w:hAnsi="宋体" w:cs="宋体"/>
          <w:bCs/>
          <w:szCs w:val="21"/>
          <w:u w:val="single"/>
          <w:lang w:val="en-US" w:eastAsia="zh-CN"/>
        </w:rPr>
        <w:t xml:space="preserve">9</w:t>
      </w:r>
      <w:r>
        <w:rPr>
          <w:rFonts w:hint="eastAsia" w:ascii="宋体" w:hAnsi="宋体" w:cs="宋体"/>
          <w:bCs/>
          <w:szCs w:val="21"/>
          <w:u w:val="single"/>
        </w:rPr>
        <w:t xml:space="preserve">月</w:t>
      </w:r>
      <w:r>
        <w:rPr>
          <w:rFonts w:hint="eastAsia" w:ascii="宋体" w:hAnsi="宋体" w:cs="宋体"/>
          <w:bCs/>
          <w:szCs w:val="21"/>
          <w:u w:val="single"/>
          <w:lang w:val="en-US" w:eastAsia="zh-CN"/>
        </w:rPr>
        <w:t xml:space="preserve">2</w:t>
      </w:r>
      <w:r>
        <w:rPr>
          <w:rFonts w:hint="eastAsia" w:ascii="宋体" w:hAnsi="宋体" w:cs="宋体"/>
          <w:bCs/>
          <w:szCs w:val="21"/>
          <w:u w:val="single"/>
          <w:lang w:val="en-US" w:eastAsia="zh-CN"/>
        </w:rPr>
        <w:t xml:space="preserve">8</w:t>
      </w:r>
      <w:r>
        <w:rPr>
          <w:rFonts w:hint="eastAsia" w:ascii="宋体" w:hAnsi="宋体" w:cs="宋体"/>
          <w:bCs/>
          <w:szCs w:val="21"/>
          <w:u w:val="single"/>
        </w:rPr>
        <w:t xml:space="preserve">日</w:t>
      </w:r>
      <w:r>
        <w:rPr>
          <w:rFonts w:hint="eastAsia" w:ascii="宋体" w:hAnsi="宋体" w:cs="宋体"/>
          <w:bCs/>
          <w:szCs w:val="21"/>
          <w:u w:val="single"/>
          <w:lang w:val="en-US" w:eastAsia="zh-CN"/>
        </w:rPr>
        <w:t xml:space="preserve">0</w:t>
      </w:r>
      <w:r>
        <w:rPr>
          <w:rFonts w:hint="eastAsia" w:ascii="宋体" w:hAnsi="宋体" w:cs="宋体"/>
          <w:bCs/>
          <w:szCs w:val="21"/>
          <w:u w:val="single"/>
          <w:lang w:val="en-US" w:eastAsia="zh-CN"/>
        </w:rPr>
        <w:t xml:space="preserve">9</w:t>
      </w:r>
      <w:r>
        <w:rPr>
          <w:rFonts w:hint="eastAsia" w:ascii="宋体" w:hAnsi="宋体" w:cs="宋体"/>
          <w:bCs/>
          <w:szCs w:val="21"/>
          <w:u w:val="single"/>
        </w:rPr>
        <w:t xml:space="preserve">点</w:t>
      </w:r>
      <w:r>
        <w:rPr>
          <w:rFonts w:hint="eastAsia" w:ascii="宋体" w:hAnsi="宋体" w:cs="宋体"/>
          <w:bCs/>
          <w:szCs w:val="21"/>
          <w:u w:val="single"/>
          <w:lang w:val="en-US" w:eastAsia="zh-CN"/>
        </w:rPr>
        <w:t xml:space="preserve">3</w:t>
      </w:r>
      <w:r>
        <w:rPr>
          <w:rFonts w:hint="eastAsia" w:ascii="宋体" w:hAnsi="宋体" w:cs="宋体"/>
          <w:bCs/>
          <w:szCs w:val="21"/>
          <w:u w:val="single"/>
        </w:rPr>
        <w:t xml:space="preserve">0分（</w:t>
      </w:r>
      <w:r>
        <w:rPr>
          <w:rFonts w:hint="eastAsia" w:ascii="宋体" w:hAnsi="宋体" w:cs="宋体"/>
          <w:bCs/>
          <w:szCs w:val="21"/>
        </w:rPr>
        <w:t xml:space="preserve">北京时间）前递交投标文件</w:t>
      </w:r>
      <w:r>
        <w:rPr>
          <w:rFonts w:hint="eastAsia" w:ascii="宋体" w:hAnsi="宋体" w:cs="宋体"/>
          <w:szCs w:val="21"/>
        </w:rPr>
        <w:t xml:space="preserve">。</w:t>
      </w:r>
      <w:r>
        <w:rPr>
          <w:rFonts w:hint="eastAsia" w:ascii="宋体" w:hAnsi="宋体" w:cs="宋体"/>
          <w:szCs w:val="21"/>
        </w:rPr>
      </w:r>
      <w:r/>
    </w:p>
    <w:p>
      <w:pPr>
        <w:pStyle w:val="1344"/>
        <w:spacing w:line="360" w:lineRule="auto"/>
        <w:rPr>
          <w:rFonts w:hint="eastAsia" w:ascii="宋体" w:hAnsi="宋体" w:cs="宋体"/>
          <w:b/>
          <w:szCs w:val="21"/>
        </w:rPr>
      </w:pPr>
      <w:r/>
      <w:bookmarkStart w:id="3" w:name="_Toc35393621"/>
      <w:r/>
      <w:bookmarkStart w:id="4" w:name="_Toc28359079"/>
      <w:r/>
      <w:bookmarkStart w:id="5" w:name="_Toc35393790"/>
      <w:r/>
      <w:bookmarkStart w:id="6" w:name="_Toc28359002"/>
      <w:r/>
      <w:bookmarkStart w:id="7" w:name="_Hlk24379207"/>
      <w:r>
        <w:rPr>
          <w:rFonts w:hint="eastAsia" w:ascii="宋体" w:hAnsi="宋体" w:cs="宋体"/>
          <w:b/>
          <w:szCs w:val="21"/>
        </w:rPr>
        <w:t xml:space="preserve">一、项目基本情况</w:t>
      </w:r>
      <w:bookmarkEnd w:id="3"/>
      <w:r/>
      <w:bookmarkEnd w:id="4"/>
      <w:r/>
      <w:bookmarkEnd w:id="5"/>
      <w:r/>
      <w:bookmarkEnd w:id="6"/>
      <w:r>
        <w:rPr>
          <w:rFonts w:hint="eastAsia" w:ascii="宋体" w:hAnsi="宋体" w:cs="宋体"/>
          <w:b/>
          <w:szCs w:val="21"/>
        </w:rPr>
      </w:r>
      <w:r/>
    </w:p>
    <w:p>
      <w:pPr>
        <w:pStyle w:val="1344"/>
        <w:ind w:firstLine="420"/>
        <w:spacing w:line="360" w:lineRule="auto"/>
        <w:rPr>
          <w:rFonts w:hint="eastAsia" w:ascii="宋体" w:hAnsi="宋体" w:cs="宋体"/>
          <w:szCs w:val="21"/>
        </w:rPr>
      </w:pPr>
      <w:r>
        <w:rPr>
          <w:rFonts w:hint="eastAsia" w:ascii="宋体" w:hAnsi="宋体" w:cs="宋体"/>
          <w:szCs w:val="21"/>
        </w:rPr>
        <w:t xml:space="preserve">1.项目编号：</w:t>
      </w:r>
      <w:r>
        <w:rPr>
          <w:rFonts w:hint="eastAsia" w:ascii="宋体" w:hAnsi="宋体" w:cs="宋体"/>
          <w:szCs w:val="21"/>
          <w:lang w:eastAsia="zh-CN"/>
        </w:rPr>
        <w:t xml:space="preserve">JSZC-320000-SMDY-G2026-0080</w:t>
      </w:r>
      <w:r>
        <w:rPr>
          <w:rFonts w:hint="eastAsia" w:ascii="宋体" w:hAnsi="宋体" w:cs="宋体"/>
          <w:szCs w:val="21"/>
        </w:rPr>
        <w:t xml:space="preserve">（2640SUMEC/ZWGG2156）</w:t>
      </w:r>
      <w:r>
        <w:rPr>
          <w:rFonts w:hint="eastAsia" w:ascii="宋体" w:hAnsi="宋体" w:cs="宋体"/>
          <w:szCs w:val="21"/>
        </w:rPr>
      </w:r>
      <w:r/>
    </w:p>
    <w:p>
      <w:pPr>
        <w:pStyle w:val="1344"/>
        <w:ind w:firstLine="420"/>
        <w:spacing w:line="360" w:lineRule="auto"/>
        <w:rPr>
          <w:rFonts w:hint="eastAsia" w:ascii="宋体" w:hAnsi="宋体" w:cs="宋体"/>
          <w:szCs w:val="21"/>
        </w:rPr>
      </w:pPr>
      <w:r>
        <w:rPr>
          <w:rFonts w:hint="eastAsia" w:ascii="宋体" w:hAnsi="宋体" w:cs="宋体"/>
          <w:szCs w:val="21"/>
        </w:rPr>
        <w:t xml:space="preserve">2.项目名称：江苏省计量院2026年社会公用计量标准设备更新项目</w:t>
      </w:r>
      <w:r>
        <w:rPr>
          <w:rFonts w:hint="eastAsia" w:ascii="宋体" w:hAnsi="宋体" w:cs="宋体"/>
          <w:szCs w:val="21"/>
        </w:rPr>
      </w:r>
      <w:r/>
    </w:p>
    <w:p>
      <w:pPr>
        <w:pStyle w:val="1344"/>
        <w:ind w:firstLine="420"/>
        <w:spacing w:line="360" w:lineRule="auto"/>
        <w:rPr>
          <w:rFonts w:hint="eastAsia" w:ascii="宋体" w:hAnsi="宋体" w:cs="宋体"/>
          <w:szCs w:val="21"/>
        </w:rPr>
      </w:pPr>
      <w:r/>
      <w:bookmarkEnd w:id="7"/>
      <w:r>
        <w:rPr>
          <w:rFonts w:hint="eastAsia" w:ascii="宋体" w:hAnsi="宋体" w:cs="宋体"/>
          <w:szCs w:val="21"/>
        </w:rPr>
        <w:t xml:space="preserve">3.预算金额：人民币1123万元，其中分包1人民币517.06万元,分包2人民币165.85万元,分包3人民币103.6万元,分包4人民币19.64万元,分包5人民币69.8万元,分包6人民币48.4万元,分包7人民币49.6万元,分包8人民币58.05万元,分包9人民币31万元,分包10人民币60万元</w:t>
      </w:r>
      <w:r>
        <w:rPr>
          <w:rFonts w:hint="eastAsia" w:ascii="宋体" w:hAnsi="宋体" w:cs="宋体"/>
          <w:szCs w:val="21"/>
        </w:rPr>
      </w:r>
      <w:r/>
    </w:p>
    <w:p>
      <w:pPr>
        <w:pStyle w:val="1344"/>
        <w:ind w:firstLine="420"/>
        <w:spacing w:line="360" w:lineRule="auto"/>
        <w:rPr>
          <w:rFonts w:hint="eastAsia" w:ascii="宋体" w:hAnsi="宋体" w:cs="宋体"/>
          <w:szCs w:val="21"/>
        </w:rPr>
      </w:pPr>
      <w:r>
        <w:rPr>
          <w:rFonts w:hint="eastAsia" w:ascii="宋体" w:hAnsi="宋体" w:cs="宋体"/>
          <w:szCs w:val="21"/>
        </w:rPr>
        <w:t xml:space="preserve">4.最高限价：人民币1123万元，具体产品最高限价详见采购需求</w:t>
      </w:r>
      <w:r>
        <w:rPr>
          <w:rFonts w:hint="eastAsia" w:ascii="宋体" w:hAnsi="宋体" w:cs="宋体"/>
          <w:szCs w:val="21"/>
        </w:rPr>
      </w:r>
      <w:r/>
    </w:p>
    <w:p>
      <w:pPr>
        <w:pStyle w:val="1344"/>
        <w:ind w:firstLine="420"/>
        <w:spacing w:line="360" w:lineRule="auto"/>
        <w:rPr>
          <w:rFonts w:hint="eastAsia" w:ascii="宋体" w:hAnsi="宋体" w:cs="宋体"/>
          <w:szCs w:val="21"/>
        </w:rPr>
      </w:pPr>
      <w:r>
        <w:rPr>
          <w:rFonts w:hint="eastAsia" w:ascii="宋体" w:hAnsi="宋体" w:cs="宋体"/>
          <w:szCs w:val="21"/>
        </w:rPr>
        <w:t xml:space="preserve">5.采购需求：</w:t>
      </w:r>
      <w:r>
        <w:rPr>
          <w:rFonts w:hint="eastAsia" w:ascii="宋体" w:hAnsi="宋体" w:cs="宋体"/>
          <w:szCs w:val="21"/>
        </w:rPr>
      </w:r>
      <w:r/>
    </w:p>
    <w:tbl>
      <w:tblPr>
        <w:tblW w:w="4996"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50"/>
        <w:gridCol w:w="675"/>
        <w:gridCol w:w="2930"/>
        <w:gridCol w:w="994"/>
        <w:gridCol w:w="1138"/>
        <w:gridCol w:w="2178"/>
        <w:gridCol w:w="1081"/>
      </w:tblGrid>
      <w:tr>
        <w:trPr>
          <w:trHeight w:val="728"/>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344"/>
              <w:jc w:val="center"/>
              <w:rPr>
                <w:rFonts w:hint="eastAsia" w:ascii="宋体" w:hAnsi="宋体" w:cs="宋体"/>
              </w:rPr>
            </w:pPr>
            <w:r>
              <w:rPr>
                <w:rFonts w:hint="eastAsia" w:ascii="宋体" w:hAnsi="宋体" w:cs="宋体"/>
              </w:rPr>
              <w:t xml:space="preserve">分包号</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1344"/>
              <w:jc w:val="center"/>
              <w:rPr>
                <w:rFonts w:hint="eastAsia" w:ascii="宋体" w:hAnsi="宋体" w:cs="宋体"/>
              </w:rPr>
            </w:pPr>
            <w:r>
              <w:rPr>
                <w:rFonts w:hint="eastAsia" w:ascii="宋体" w:hAnsi="宋体" w:cs="宋体"/>
              </w:rPr>
              <w:t xml:space="preserve">品目号</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rPr>
                <w:rFonts w:hint="eastAsia" w:ascii="宋体" w:hAnsi="宋体" w:cs="宋体"/>
              </w:rPr>
            </w:pPr>
            <w:r>
              <w:rPr>
                <w:rFonts w:hint="eastAsia" w:ascii="宋体" w:hAnsi="宋体" w:cs="宋体"/>
              </w:rPr>
              <w:t xml:space="preserve">品目名称</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rPr>
                <w:rFonts w:hint="eastAsia" w:ascii="宋体" w:hAnsi="宋体" w:cs="宋体"/>
              </w:rPr>
            </w:pPr>
            <w:r>
              <w:rPr>
                <w:rFonts w:hint="eastAsia" w:ascii="宋体" w:hAnsi="宋体" w:cs="宋体"/>
              </w:rPr>
              <w:t xml:space="preserve">数量</w:t>
            </w:r>
            <w:r>
              <w:rPr>
                <w:rFonts w:hint="eastAsia" w:ascii="宋体" w:hAnsi="宋体" w:cs="宋体"/>
              </w:rPr>
            </w:r>
            <w:r/>
          </w:p>
          <w:p>
            <w:pPr>
              <w:pStyle w:val="1344"/>
              <w:jc w:val="center"/>
              <w:rPr>
                <w:rFonts w:hint="eastAsia" w:ascii="宋体" w:hAnsi="宋体" w:cs="宋体"/>
              </w:rPr>
            </w:pPr>
            <w:r>
              <w:rPr>
                <w:rFonts w:hint="eastAsia" w:ascii="宋体" w:hAnsi="宋体" w:cs="宋体"/>
              </w:rPr>
              <w:t xml:space="preserve">（套/台）</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rPr>
                <w:rFonts w:hint="eastAsia" w:ascii="宋体" w:hAnsi="宋体" w:cs="宋体"/>
              </w:rPr>
            </w:pPr>
            <w:r>
              <w:rPr>
                <w:rFonts w:hint="eastAsia" w:ascii="宋体" w:hAnsi="宋体" w:cs="宋体"/>
              </w:rPr>
              <w:t xml:space="preserve">最高限价（万元）</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pStyle w:val="1344"/>
              <w:jc w:val="center"/>
              <w:rPr>
                <w:rFonts w:hint="eastAsia" w:ascii="宋体" w:hAnsi="宋体" w:cs="宋体"/>
              </w:rPr>
            </w:pPr>
            <w:r>
              <w:rPr>
                <w:rFonts w:hint="eastAsia" w:ascii="宋体" w:hAnsi="宋体" w:cs="宋体"/>
              </w:rPr>
              <w:t xml:space="preserve">合同履行期限</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1344"/>
              <w:jc w:val="center"/>
              <w:rPr>
                <w:rFonts w:hint="eastAsia" w:ascii="宋体" w:hAnsi="宋体" w:cs="宋体"/>
              </w:rPr>
            </w:pPr>
            <w:r>
              <w:rPr>
                <w:rFonts w:hint="eastAsia" w:ascii="宋体" w:hAnsi="宋体" w:cs="宋体"/>
              </w:rPr>
              <w:t xml:space="preserve">是否接受进口产品</w:t>
            </w:r>
            <w:r>
              <w:rPr>
                <w:rFonts w:hint="eastAsia" w:ascii="宋体" w:hAnsi="宋体" w:cs="宋体"/>
              </w:rPr>
            </w:r>
            <w:r/>
          </w:p>
        </w:tc>
      </w:tr>
      <w:tr>
        <w:trPr>
          <w:trHeight w:val="429"/>
        </w:trPr>
        <w:tc>
          <w:tcPr>
            <w:tcBorders>
              <w:top w:val="single" w:color="000000" w:sz="4" w:space="0"/>
              <w:left w:val="single" w:color="000000" w:sz="4" w:space="0"/>
              <w:bottom w:val="none" w:color="000000" w:sz="0" w:space="0"/>
              <w:right w:val="single" w:color="000000" w:sz="4" w:space="0"/>
            </w:tcBorders>
            <w:tcW w:w="431" w:type="dxa"/>
            <w:vAlign w:val="center"/>
            <w:vMerge w:val="restart"/>
            <w:textDirection w:val="lrTb"/>
            <w:noWrap/>
          </w:tcPr>
          <w:p>
            <w:pPr>
              <w:pStyle w:val="1344"/>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1344"/>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rPr>
                <w:rFonts w:hint="eastAsia" w:ascii="宋体" w:hAnsi="宋体" w:cs="宋体"/>
              </w:rPr>
            </w:pPr>
            <w:r>
              <w:rPr>
                <w:rFonts w:hint="eastAsia" w:ascii="宋体" w:hAnsi="宋体" w:cs="宋体"/>
              </w:rPr>
              <w:t xml:space="preserve">标准砝码组</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rPr>
                <w:rFonts w:hint="eastAsia" w:ascii="宋体" w:hAnsi="宋体" w:cs="宋体"/>
              </w:rPr>
            </w:pPr>
            <w:r>
              <w:rPr>
                <w:rFonts w:hint="eastAsia" w:ascii="宋体" w:hAnsi="宋体" w:cs="宋体"/>
              </w:rPr>
              <w:t xml:space="preserve">1套（4只）</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rPr>
                <w:rFonts w:hint="eastAsia" w:ascii="宋体" w:hAnsi="宋体" w:cs="宋体"/>
              </w:rPr>
            </w:pPr>
            <w:r>
              <w:rPr>
                <w:rFonts w:hint="eastAsia" w:ascii="宋体" w:hAnsi="宋体" w:cs="宋体"/>
              </w:rPr>
              <w:t xml:space="preserve">15.00</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rPr>
                <w:rFonts w:hint="eastAsia" w:ascii="宋体" w:hAnsi="宋体" w:cs="宋体"/>
              </w:rPr>
            </w:pPr>
            <w:r>
              <w:rPr>
                <w:rFonts w:hint="eastAsia" w:ascii="宋体" w:hAnsi="宋体" w:cs="宋体"/>
              </w:rPr>
              <w:t xml:space="preserve">合同签订后6个月</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429"/>
        </w:trPr>
        <w:tc>
          <w:tcPr>
            <w:tcBorders>
              <w:top w:val="none" w:color="000000" w:sz="0" w:space="0"/>
              <w:left w:val="single" w:color="000000" w:sz="4" w:space="0"/>
              <w:bottom w:val="none" w:color="000000" w:sz="0" w:space="0"/>
              <w:right w:val="single" w:color="000000" w:sz="4" w:space="0"/>
            </w:tcBorders>
            <w:tcW w:w="431" w:type="dxa"/>
            <w:vAlign w:val="center"/>
            <w:vMerge w:val="continue"/>
            <w:textDirection w:val="lrTb"/>
            <w:noWrap/>
          </w:tcPr>
          <w:p>
            <w:pPr>
              <w:pStyle w:val="1344"/>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1344"/>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rPr>
                <w:rFonts w:hint="eastAsia" w:ascii="宋体" w:hAnsi="宋体" w:cs="宋体"/>
              </w:rPr>
            </w:pPr>
            <w:r>
              <w:rPr>
                <w:rFonts w:hint="eastAsia" w:ascii="宋体" w:hAnsi="宋体" w:cs="宋体"/>
              </w:rPr>
              <w:t xml:space="preserve">叠加式力标准机</w:t>
            </w:r>
            <w:r>
              <w:rPr>
                <w:rFonts w:hint="eastAsia" w:ascii="宋体" w:hAnsi="宋体" w:cs="宋体"/>
                <w:b/>
                <w:bCs/>
                <w:color w:val="ff0000"/>
              </w:rPr>
              <w:t xml:space="preserve">（核心产品）</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rPr>
                <w:rFonts w:hint="eastAsia" w:ascii="宋体" w:hAnsi="宋体" w:cs="宋体"/>
              </w:rPr>
            </w:pPr>
            <w:r>
              <w:rPr>
                <w:rFonts w:hint="eastAsia" w:ascii="宋体" w:hAnsi="宋体" w:cs="宋体"/>
              </w:rPr>
              <w:t xml:space="preserve">1台</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rPr>
                <w:rFonts w:hint="eastAsia" w:ascii="宋体" w:hAnsi="宋体" w:cs="宋体"/>
              </w:rPr>
            </w:pPr>
            <w:r>
              <w:rPr>
                <w:rFonts w:hint="eastAsia" w:ascii="宋体" w:hAnsi="宋体" w:cs="宋体"/>
              </w:rPr>
              <w:t xml:space="preserve">500.00</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rPr>
                <w:rFonts w:hint="eastAsia" w:ascii="宋体" w:hAnsi="宋体" w:cs="宋体"/>
              </w:rPr>
            </w:pPr>
            <w:r>
              <w:rPr>
                <w:rFonts w:hint="eastAsia" w:ascii="宋体" w:hAnsi="宋体" w:cs="宋体"/>
              </w:rPr>
              <w:t xml:space="preserve">合同签订后11个月</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429"/>
        </w:trPr>
        <w:tc>
          <w:tcPr>
            <w:tcBorders>
              <w:top w:val="none" w:color="000000" w:sz="0" w:space="0"/>
              <w:left w:val="single" w:color="000000" w:sz="4" w:space="0"/>
              <w:bottom w:val="single" w:color="000000" w:sz="4" w:space="0"/>
              <w:right w:val="single" w:color="000000" w:sz="4" w:space="0"/>
            </w:tcBorders>
            <w:tcW w:w="431" w:type="dxa"/>
            <w:vAlign w:val="center"/>
            <w:vMerge w:val="continue"/>
            <w:textDirection w:val="lrTb"/>
            <w:noWrap/>
          </w:tcPr>
          <w:p>
            <w:pPr>
              <w:pStyle w:val="1344"/>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1344"/>
              <w:jc w:val="center"/>
              <w:rPr>
                <w:rFonts w:hint="eastAsia" w:ascii="宋体" w:hAnsi="宋体" w:cs="宋体"/>
              </w:rPr>
            </w:pPr>
            <w:r>
              <w:rPr>
                <w:rFonts w:hint="eastAsia" w:ascii="宋体" w:hAnsi="宋体" w:cs="宋体"/>
              </w:rPr>
              <w:t xml:space="preserve">3</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rPr>
                <w:rFonts w:hint="eastAsia" w:ascii="宋体" w:hAnsi="宋体" w:cs="宋体"/>
              </w:rPr>
            </w:pPr>
            <w:r>
              <w:rPr>
                <w:rFonts w:hint="eastAsia" w:ascii="宋体" w:hAnsi="宋体" w:cs="宋体"/>
              </w:rPr>
              <w:t xml:space="preserve">扭矩扳子检定仪</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rPr>
                <w:rFonts w:hint="eastAsia" w:ascii="宋体" w:hAnsi="宋体" w:cs="宋体"/>
              </w:rPr>
            </w:pPr>
            <w:r>
              <w:rPr>
                <w:rFonts w:hint="eastAsia" w:ascii="宋体" w:hAnsi="宋体" w:cs="宋体"/>
              </w:rPr>
              <w:t xml:space="preserve">1台</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rPr>
                <w:rFonts w:hint="eastAsia" w:ascii="宋体" w:hAnsi="宋体" w:cs="宋体"/>
              </w:rPr>
            </w:pPr>
            <w:r>
              <w:rPr>
                <w:rFonts w:hint="eastAsia" w:ascii="宋体" w:hAnsi="宋体" w:cs="宋体"/>
              </w:rPr>
              <w:t xml:space="preserve">2.06</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rPr>
                <w:rFonts w:hint="eastAsia" w:ascii="宋体" w:hAnsi="宋体" w:cs="宋体"/>
              </w:rPr>
            </w:pPr>
            <w:r>
              <w:rPr>
                <w:rFonts w:hint="eastAsia" w:ascii="宋体" w:hAnsi="宋体" w:cs="宋体"/>
              </w:rPr>
              <w:t xml:space="preserve">合同签订后</w:t>
            </w:r>
            <w:r>
              <w:rPr>
                <w:rFonts w:ascii="宋体" w:hAnsi="宋体" w:cs="宋体"/>
              </w:rPr>
              <w:t xml:space="preserve">6</w:t>
            </w:r>
            <w:r>
              <w:rPr>
                <w:rFonts w:hint="eastAsia" w:ascii="宋体" w:hAnsi="宋体" w:cs="宋体"/>
              </w:rPr>
              <w:t xml:space="preserve">个月</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429"/>
        </w:trPr>
        <w:tc>
          <w:tcPr>
            <w:tcBorders>
              <w:top w:val="single" w:color="000000" w:sz="4" w:space="0"/>
              <w:left w:val="single" w:color="000000" w:sz="4" w:space="0"/>
              <w:bottom w:val="none" w:color="000000" w:sz="0" w:space="0"/>
              <w:right w:val="single" w:color="000000" w:sz="4" w:space="0"/>
            </w:tcBorders>
            <w:tcW w:w="431" w:type="dxa"/>
            <w:vAlign w:val="center"/>
            <w:vMerge w:val="restart"/>
            <w:textDirection w:val="lrTb"/>
            <w:noWrap/>
          </w:tcPr>
          <w:p>
            <w:pPr>
              <w:pStyle w:val="1344"/>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1344"/>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spacing w:line="360" w:lineRule="auto"/>
              <w:rPr>
                <w:rFonts w:hint="eastAsia" w:ascii="宋体" w:hAnsi="宋体" w:cs="宋体"/>
              </w:rPr>
            </w:pPr>
            <w:r>
              <w:rPr>
                <w:rFonts w:hint="eastAsia" w:ascii="宋体" w:hAnsi="宋体" w:cs="宋体"/>
                <w:szCs w:val="21"/>
              </w:rPr>
              <w:t xml:space="preserve">表面温度源</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spacing w:line="360" w:lineRule="auto"/>
              <w:rPr>
                <w:rFonts w:hint="eastAsia" w:ascii="宋体" w:hAnsi="宋体" w:cs="宋体"/>
              </w:rPr>
            </w:pPr>
            <w:r>
              <w:rPr>
                <w:rFonts w:hint="eastAsia" w:ascii="宋体" w:hAnsi="宋体" w:cs="宋体"/>
                <w:szCs w:val="21"/>
              </w:rPr>
              <w:t xml:space="preserve">1</w:t>
            </w:r>
            <w:r>
              <w:rPr>
                <w:rFonts w:hint="eastAsia" w:ascii="宋体" w:hAnsi="宋体" w:cs="宋体"/>
              </w:rPr>
              <w:t xml:space="preserve">台</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spacing w:line="360" w:lineRule="auto"/>
              <w:rPr>
                <w:rFonts w:hint="eastAsia" w:ascii="宋体" w:hAnsi="宋体" w:cs="宋体"/>
              </w:rPr>
            </w:pPr>
            <w:r>
              <w:rPr>
                <w:rFonts w:hint="eastAsia" w:ascii="宋体" w:hAnsi="宋体" w:cs="宋体"/>
                <w:szCs w:val="21"/>
              </w:rPr>
              <w:t xml:space="preserve">15.00</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spacing w:line="360" w:lineRule="auto"/>
              <w:rPr>
                <w:rFonts w:hint="eastAsia" w:ascii="宋体" w:hAnsi="宋体" w:cs="宋体"/>
              </w:rPr>
            </w:pPr>
            <w:r>
              <w:rPr>
                <w:rFonts w:hint="eastAsia" w:ascii="宋体" w:hAnsi="宋体" w:cs="宋体"/>
                <w:szCs w:val="21"/>
              </w:rPr>
              <w:t xml:space="preserve">合同签订后</w:t>
            </w:r>
            <w:r>
              <w:rPr>
                <w:rFonts w:ascii="宋体" w:hAnsi="宋体" w:cs="宋体"/>
                <w:szCs w:val="21"/>
              </w:rPr>
              <w:t xml:space="preserve">3</w:t>
            </w:r>
            <w:r>
              <w:rPr>
                <w:rFonts w:hint="eastAsia" w:ascii="宋体" w:hAnsi="宋体" w:cs="宋体"/>
                <w:szCs w:val="21"/>
              </w:rPr>
              <w:t xml:space="preserve">个月</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spacing w:line="360" w:lineRule="auto"/>
              <w:rPr>
                <w:rFonts w:hint="eastAsia" w:ascii="宋体" w:hAnsi="宋体" w:cs="宋体"/>
              </w:rPr>
            </w:pPr>
            <w:r>
              <w:rPr>
                <w:rFonts w:hint="eastAsia" w:ascii="宋体" w:hAnsi="宋体" w:cs="宋体"/>
                <w:szCs w:val="21"/>
              </w:rPr>
              <w:t xml:space="preserve">否</w:t>
            </w:r>
            <w:r>
              <w:rPr>
                <w:rFonts w:hint="eastAsia" w:ascii="宋体" w:hAnsi="宋体" w:cs="宋体"/>
              </w:rPr>
            </w:r>
            <w:r/>
          </w:p>
        </w:tc>
      </w:tr>
      <w:tr>
        <w:trPr>
          <w:trHeight w:val="429"/>
        </w:trPr>
        <w:tc>
          <w:tcPr>
            <w:tcBorders>
              <w:top w:val="none" w:color="000000" w:sz="0" w:space="0"/>
              <w:left w:val="single" w:color="000000" w:sz="4" w:space="0"/>
              <w:bottom w:val="none" w:color="000000" w:sz="0" w:space="0"/>
              <w:right w:val="single" w:color="000000" w:sz="4" w:space="0"/>
            </w:tcBorders>
            <w:tcW w:w="431" w:type="dxa"/>
            <w:vAlign w:val="center"/>
            <w:vMerge w:val="continue"/>
            <w:textDirection w:val="lrTb"/>
            <w:noWrap/>
          </w:tcPr>
          <w:p>
            <w:pPr>
              <w:pStyle w:val="1344"/>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none" w:color="000000" w:sz="0" w:space="0"/>
              <w:right w:val="single" w:color="000000" w:sz="4" w:space="0"/>
            </w:tcBorders>
            <w:tcW w:w="343" w:type="dxa"/>
            <w:vAlign w:val="center"/>
            <w:textDirection w:val="lrTb"/>
            <w:noWrap/>
          </w:tcPr>
          <w:p>
            <w:pPr>
              <w:pStyle w:val="1344"/>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spacing w:line="360" w:lineRule="auto"/>
              <w:rPr>
                <w:rFonts w:hint="eastAsia" w:ascii="宋体" w:hAnsi="宋体" w:cs="宋体"/>
              </w:rPr>
            </w:pPr>
            <w:r>
              <w:rPr>
                <w:rFonts w:hint="eastAsia" w:ascii="宋体" w:hAnsi="宋体" w:cs="宋体"/>
                <w:szCs w:val="21"/>
              </w:rPr>
              <w:t xml:space="preserve">温湿度检定箱</w:t>
            </w:r>
            <w:r>
              <w:rPr>
                <w:rFonts w:hint="eastAsia" w:ascii="宋体" w:hAnsi="宋体" w:cs="宋体"/>
                <w:b/>
                <w:color w:val="ff0000"/>
                <w:szCs w:val="21"/>
              </w:rPr>
              <w:t xml:space="preserve">（核心产品）</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spacing w:line="360" w:lineRule="auto"/>
              <w:rPr>
                <w:rFonts w:hint="eastAsia" w:ascii="宋体" w:hAnsi="宋体" w:cs="宋体"/>
              </w:rPr>
            </w:pPr>
            <w:r>
              <w:rPr>
                <w:rFonts w:hint="eastAsia" w:ascii="宋体" w:hAnsi="宋体" w:cs="宋体"/>
                <w:szCs w:val="21"/>
              </w:rPr>
              <w:t xml:space="preserve">2</w:t>
            </w:r>
            <w:r>
              <w:rPr>
                <w:rFonts w:hint="eastAsia" w:ascii="宋体" w:hAnsi="宋体" w:cs="宋体"/>
              </w:rPr>
              <w:t xml:space="preserve">台</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spacing w:line="360" w:lineRule="auto"/>
              <w:rPr>
                <w:rFonts w:hint="eastAsia" w:ascii="宋体" w:hAnsi="宋体" w:cs="宋体"/>
              </w:rPr>
            </w:pPr>
            <w:r>
              <w:rPr>
                <w:rFonts w:hint="eastAsia" w:ascii="宋体" w:hAnsi="宋体" w:cs="宋体"/>
                <w:szCs w:val="21"/>
              </w:rPr>
              <w:t xml:space="preserve">110.00</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spacing w:line="360" w:lineRule="auto"/>
              <w:rPr>
                <w:rFonts w:hint="eastAsia" w:ascii="宋体" w:hAnsi="宋体" w:cs="宋体"/>
              </w:rPr>
            </w:pPr>
            <w:r>
              <w:rPr>
                <w:rFonts w:hint="eastAsia" w:ascii="宋体" w:hAnsi="宋体" w:cs="宋体"/>
                <w:szCs w:val="21"/>
              </w:rPr>
              <w:t xml:space="preserve">合同签订后</w:t>
            </w:r>
            <w:r>
              <w:rPr>
                <w:rFonts w:ascii="宋体" w:hAnsi="宋体" w:cs="宋体"/>
                <w:szCs w:val="21"/>
              </w:rPr>
              <w:t xml:space="preserve">3</w:t>
            </w:r>
            <w:r>
              <w:rPr>
                <w:rFonts w:hint="eastAsia" w:ascii="宋体" w:hAnsi="宋体" w:cs="宋体"/>
                <w:szCs w:val="21"/>
              </w:rPr>
              <w:t xml:space="preserve">个月</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spacing w:line="360" w:lineRule="auto"/>
              <w:rPr>
                <w:rFonts w:hint="eastAsia" w:ascii="宋体" w:hAnsi="宋体" w:cs="宋体"/>
              </w:rPr>
            </w:pPr>
            <w:r>
              <w:rPr>
                <w:rFonts w:hint="eastAsia" w:ascii="宋体" w:hAnsi="宋体" w:cs="宋体"/>
                <w:szCs w:val="21"/>
              </w:rPr>
              <w:t xml:space="preserve">否</w:t>
            </w:r>
            <w:r>
              <w:rPr>
                <w:rFonts w:hint="eastAsia" w:ascii="宋体" w:hAnsi="宋体" w:cs="宋体"/>
              </w:rPr>
            </w:r>
            <w:r/>
          </w:p>
        </w:tc>
      </w:tr>
      <w:tr>
        <w:trPr>
          <w:trHeight w:val="429"/>
        </w:trPr>
        <w:tc>
          <w:tcPr>
            <w:tcBorders>
              <w:top w:val="none" w:color="000000" w:sz="0" w:space="0"/>
              <w:left w:val="single" w:color="000000" w:sz="4" w:space="0"/>
              <w:bottom w:val="none" w:color="000000" w:sz="0" w:space="0"/>
              <w:right w:val="single" w:color="000000" w:sz="4" w:space="0"/>
            </w:tcBorders>
            <w:tcW w:w="431" w:type="dxa"/>
            <w:vAlign w:val="center"/>
            <w:vMerge w:val="continue"/>
            <w:textDirection w:val="lrTb"/>
            <w:noWrap/>
          </w:tcPr>
          <w:p>
            <w:pPr>
              <w:pStyle w:val="1344"/>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1344"/>
              <w:jc w:val="center"/>
              <w:rPr>
                <w:rFonts w:hint="eastAsia" w:ascii="宋体" w:hAnsi="宋体" w:cs="宋体"/>
              </w:rPr>
            </w:pPr>
            <w:r>
              <w:rPr>
                <w:rFonts w:hint="eastAsia" w:ascii="宋体" w:hAnsi="宋体" w:cs="宋体"/>
              </w:rPr>
              <w:t xml:space="preserve">3</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spacing w:line="360" w:lineRule="auto"/>
              <w:rPr>
                <w:rFonts w:hint="eastAsia" w:ascii="宋体" w:hAnsi="宋体" w:cs="宋体"/>
              </w:rPr>
            </w:pPr>
            <w:r>
              <w:rPr>
                <w:rFonts w:hint="eastAsia" w:ascii="宋体" w:hAnsi="宋体" w:cs="宋体"/>
                <w:szCs w:val="21"/>
              </w:rPr>
              <w:t xml:space="preserve">热电偶检定炉</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spacing w:line="360" w:lineRule="auto"/>
              <w:rPr>
                <w:rFonts w:hint="eastAsia" w:ascii="宋体" w:hAnsi="宋体" w:cs="宋体"/>
              </w:rPr>
            </w:pPr>
            <w:r>
              <w:rPr>
                <w:rFonts w:hint="eastAsia" w:ascii="宋体" w:hAnsi="宋体" w:cs="宋体"/>
                <w:szCs w:val="21"/>
              </w:rPr>
              <w:t xml:space="preserve">1</w:t>
            </w:r>
            <w:r>
              <w:rPr>
                <w:rFonts w:hint="eastAsia" w:ascii="宋体" w:hAnsi="宋体" w:cs="宋体"/>
              </w:rPr>
              <w:t xml:space="preserve">台</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spacing w:line="360" w:lineRule="auto"/>
              <w:rPr>
                <w:rFonts w:hint="eastAsia" w:ascii="宋体" w:hAnsi="宋体" w:cs="宋体"/>
              </w:rPr>
            </w:pPr>
            <w:r>
              <w:rPr>
                <w:rFonts w:hint="eastAsia" w:ascii="宋体" w:hAnsi="宋体" w:cs="宋体"/>
                <w:szCs w:val="21"/>
              </w:rPr>
              <w:t xml:space="preserve">10.00</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spacing w:line="360" w:lineRule="auto"/>
              <w:rPr>
                <w:rFonts w:hint="eastAsia" w:ascii="宋体" w:hAnsi="宋体" w:cs="宋体"/>
              </w:rPr>
            </w:pPr>
            <w:r>
              <w:rPr>
                <w:rFonts w:hint="eastAsia" w:ascii="宋体" w:hAnsi="宋体" w:cs="宋体"/>
                <w:szCs w:val="21"/>
              </w:rPr>
              <w:t xml:space="preserve">合同签订后</w:t>
            </w:r>
            <w:r>
              <w:rPr>
                <w:rFonts w:ascii="宋体" w:hAnsi="宋体" w:cs="宋体"/>
                <w:szCs w:val="21"/>
              </w:rPr>
              <w:t xml:space="preserve">3</w:t>
            </w:r>
            <w:r>
              <w:rPr>
                <w:rFonts w:hint="eastAsia" w:ascii="宋体" w:hAnsi="宋体" w:cs="宋体"/>
                <w:szCs w:val="21"/>
              </w:rPr>
              <w:t xml:space="preserve">个月</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spacing w:line="360" w:lineRule="auto"/>
              <w:rPr>
                <w:rFonts w:hint="eastAsia" w:ascii="宋体" w:hAnsi="宋体" w:cs="宋体"/>
              </w:rPr>
            </w:pPr>
            <w:r>
              <w:rPr>
                <w:rFonts w:hint="eastAsia" w:ascii="宋体" w:hAnsi="宋体" w:cs="宋体"/>
                <w:szCs w:val="21"/>
              </w:rPr>
              <w:t xml:space="preserve">否</w:t>
            </w:r>
            <w:r>
              <w:rPr>
                <w:rFonts w:hint="eastAsia" w:ascii="宋体" w:hAnsi="宋体" w:cs="宋体"/>
              </w:rPr>
            </w:r>
            <w:r/>
          </w:p>
        </w:tc>
      </w:tr>
      <w:tr>
        <w:trPr>
          <w:trHeight w:val="429"/>
        </w:trPr>
        <w:tc>
          <w:tcPr>
            <w:tcBorders>
              <w:top w:val="none" w:color="000000" w:sz="0" w:space="0"/>
              <w:left w:val="single" w:color="000000" w:sz="4" w:space="0"/>
              <w:bottom w:val="none" w:color="000000" w:sz="0" w:space="0"/>
              <w:right w:val="single" w:color="000000" w:sz="4" w:space="0"/>
            </w:tcBorders>
            <w:tcW w:w="431" w:type="dxa"/>
            <w:vAlign w:val="center"/>
            <w:vMerge w:val="continue"/>
            <w:textDirection w:val="lrTb"/>
            <w:noWrap/>
          </w:tcPr>
          <w:p>
            <w:pPr>
              <w:pStyle w:val="1344"/>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none" w:color="000000" w:sz="0" w:space="0"/>
              <w:right w:val="single" w:color="000000" w:sz="4" w:space="0"/>
            </w:tcBorders>
            <w:tcW w:w="343" w:type="dxa"/>
            <w:vAlign w:val="center"/>
            <w:textDirection w:val="lrTb"/>
            <w:noWrap/>
          </w:tcPr>
          <w:p>
            <w:pPr>
              <w:pStyle w:val="1344"/>
              <w:jc w:val="center"/>
              <w:rPr>
                <w:rFonts w:hint="eastAsia" w:ascii="宋体" w:hAnsi="宋体" w:cs="宋体"/>
              </w:rPr>
            </w:pPr>
            <w:r>
              <w:rPr>
                <w:rFonts w:hint="eastAsia" w:ascii="宋体" w:hAnsi="宋体" w:cs="宋体"/>
              </w:rPr>
              <w:t xml:space="preserve">4</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spacing w:line="360" w:lineRule="auto"/>
              <w:rPr>
                <w:rFonts w:hint="eastAsia" w:ascii="宋体" w:hAnsi="宋体" w:cs="宋体"/>
              </w:rPr>
            </w:pPr>
            <w:r>
              <w:rPr>
                <w:rFonts w:hint="eastAsia" w:ascii="宋体" w:hAnsi="宋体" w:cs="宋体"/>
                <w:szCs w:val="21"/>
              </w:rPr>
              <w:t xml:space="preserve">标准铂电阻温度计</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spacing w:line="360" w:lineRule="auto"/>
              <w:rPr>
                <w:rFonts w:hint="eastAsia" w:ascii="宋体" w:hAnsi="宋体" w:cs="宋体"/>
              </w:rPr>
            </w:pPr>
            <w:r>
              <w:rPr>
                <w:rFonts w:ascii="宋体" w:hAnsi="宋体" w:cs="宋体"/>
                <w:szCs w:val="21"/>
              </w:rPr>
              <w:t xml:space="preserve">2</w:t>
            </w:r>
            <w:r>
              <w:rPr>
                <w:rFonts w:hint="eastAsia" w:ascii="宋体" w:hAnsi="宋体" w:cs="宋体"/>
              </w:rPr>
              <w:t xml:space="preserve">台</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spacing w:line="360" w:lineRule="auto"/>
              <w:rPr>
                <w:rFonts w:hint="eastAsia" w:ascii="宋体" w:hAnsi="宋体" w:cs="宋体"/>
              </w:rPr>
            </w:pPr>
            <w:r>
              <w:rPr>
                <w:rFonts w:ascii="宋体" w:hAnsi="宋体" w:cs="宋体"/>
                <w:szCs w:val="21"/>
              </w:rPr>
              <w:t xml:space="preserve">6</w:t>
            </w:r>
            <w:r>
              <w:rPr>
                <w:rFonts w:hint="eastAsia" w:ascii="宋体" w:hAnsi="宋体" w:cs="宋体"/>
                <w:szCs w:val="21"/>
              </w:rPr>
              <w:t xml:space="preserve">.00</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spacing w:line="360" w:lineRule="auto"/>
              <w:rPr>
                <w:rFonts w:hint="eastAsia" w:ascii="宋体" w:hAnsi="宋体" w:cs="宋体"/>
              </w:rPr>
            </w:pPr>
            <w:r>
              <w:rPr>
                <w:rFonts w:hint="eastAsia" w:ascii="宋体" w:hAnsi="宋体" w:cs="宋体"/>
                <w:szCs w:val="21"/>
              </w:rPr>
              <w:t xml:space="preserve">合同签订后</w:t>
            </w:r>
            <w:r>
              <w:rPr>
                <w:rFonts w:ascii="宋体" w:hAnsi="宋体" w:cs="宋体"/>
                <w:szCs w:val="21"/>
              </w:rPr>
              <w:t xml:space="preserve">3</w:t>
            </w:r>
            <w:r>
              <w:rPr>
                <w:rFonts w:hint="eastAsia" w:ascii="宋体" w:hAnsi="宋体" w:cs="宋体"/>
                <w:szCs w:val="21"/>
              </w:rPr>
              <w:t xml:space="preserve">个月</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spacing w:line="360" w:lineRule="auto"/>
              <w:rPr>
                <w:rFonts w:hint="eastAsia" w:ascii="宋体" w:hAnsi="宋体" w:cs="宋体"/>
              </w:rPr>
            </w:pPr>
            <w:r>
              <w:rPr>
                <w:rFonts w:hint="eastAsia" w:ascii="宋体" w:hAnsi="宋体" w:cs="宋体"/>
                <w:szCs w:val="21"/>
              </w:rPr>
              <w:t xml:space="preserve">否</w:t>
            </w:r>
            <w:r>
              <w:rPr>
                <w:rFonts w:hint="eastAsia" w:ascii="宋体" w:hAnsi="宋体" w:cs="宋体"/>
              </w:rPr>
            </w:r>
            <w:r/>
          </w:p>
        </w:tc>
      </w:tr>
      <w:tr>
        <w:trPr>
          <w:trHeight w:val="429"/>
        </w:trPr>
        <w:tc>
          <w:tcPr>
            <w:tcBorders>
              <w:top w:val="none" w:color="000000" w:sz="0" w:space="0"/>
              <w:left w:val="single" w:color="000000" w:sz="4" w:space="0"/>
              <w:bottom w:val="none" w:color="000000" w:sz="0" w:space="0"/>
              <w:right w:val="single" w:color="000000" w:sz="4" w:space="0"/>
            </w:tcBorders>
            <w:tcW w:w="431" w:type="dxa"/>
            <w:vAlign w:val="center"/>
            <w:vMerge w:val="continue"/>
            <w:textDirection w:val="lrTb"/>
            <w:noWrap/>
          </w:tcPr>
          <w:p>
            <w:pPr>
              <w:pStyle w:val="1344"/>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1344"/>
              <w:jc w:val="center"/>
              <w:rPr>
                <w:rFonts w:hint="eastAsia" w:ascii="宋体" w:hAnsi="宋体" w:cs="宋体"/>
              </w:rPr>
            </w:pPr>
            <w:r>
              <w:rPr>
                <w:rFonts w:hint="eastAsia" w:ascii="宋体" w:hAnsi="宋体" w:cs="宋体"/>
              </w:rPr>
              <w:t xml:space="preserve">5</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spacing w:line="360" w:lineRule="auto"/>
              <w:rPr>
                <w:rFonts w:hint="eastAsia" w:ascii="宋体" w:hAnsi="宋体" w:cs="宋体"/>
              </w:rPr>
            </w:pPr>
            <w:r>
              <w:rPr>
                <w:rFonts w:hint="eastAsia" w:ascii="宋体" w:hAnsi="宋体" w:cs="宋体"/>
                <w:szCs w:val="21"/>
              </w:rPr>
              <w:t xml:space="preserve">活塞式压力计</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spacing w:line="360" w:lineRule="auto"/>
              <w:rPr>
                <w:rFonts w:hint="eastAsia" w:ascii="宋体" w:hAnsi="宋体" w:cs="宋体"/>
              </w:rPr>
            </w:pPr>
            <w:r>
              <w:rPr>
                <w:rFonts w:hint="eastAsia" w:ascii="宋体" w:hAnsi="宋体" w:cs="宋体"/>
                <w:szCs w:val="21"/>
              </w:rPr>
              <w:t xml:space="preserve">1</w:t>
            </w:r>
            <w:r>
              <w:rPr>
                <w:rFonts w:hint="eastAsia" w:ascii="宋体" w:hAnsi="宋体" w:cs="宋体"/>
              </w:rPr>
              <w:t xml:space="preserve">台</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spacing w:line="360" w:lineRule="auto"/>
              <w:rPr>
                <w:rFonts w:hint="eastAsia" w:ascii="宋体" w:hAnsi="宋体" w:cs="宋体"/>
              </w:rPr>
            </w:pPr>
            <w:r>
              <w:rPr>
                <w:rFonts w:hint="eastAsia" w:ascii="宋体" w:hAnsi="宋体" w:cs="宋体"/>
                <w:szCs w:val="21"/>
              </w:rPr>
              <w:t xml:space="preserve">15.00</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spacing w:line="360" w:lineRule="auto"/>
              <w:rPr>
                <w:rFonts w:hint="eastAsia" w:ascii="宋体" w:hAnsi="宋体" w:cs="宋体"/>
              </w:rPr>
            </w:pPr>
            <w:r>
              <w:rPr>
                <w:rFonts w:hint="eastAsia" w:ascii="宋体" w:hAnsi="宋体" w:cs="宋体"/>
                <w:szCs w:val="21"/>
              </w:rPr>
              <w:t xml:space="preserve">合同签订后</w:t>
            </w:r>
            <w:r>
              <w:rPr>
                <w:rFonts w:ascii="宋体" w:hAnsi="宋体" w:cs="宋体"/>
                <w:szCs w:val="21"/>
              </w:rPr>
              <w:t xml:space="preserve">3</w:t>
            </w:r>
            <w:r>
              <w:rPr>
                <w:rFonts w:hint="eastAsia" w:ascii="宋体" w:hAnsi="宋体" w:cs="宋体"/>
                <w:szCs w:val="21"/>
              </w:rPr>
              <w:t xml:space="preserve">个月</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spacing w:line="360" w:lineRule="auto"/>
              <w:rPr>
                <w:rFonts w:hint="eastAsia" w:ascii="宋体" w:hAnsi="宋体" w:cs="宋体"/>
              </w:rPr>
            </w:pPr>
            <w:r>
              <w:rPr>
                <w:rFonts w:hint="eastAsia" w:ascii="宋体" w:hAnsi="宋体" w:cs="宋体"/>
                <w:szCs w:val="21"/>
              </w:rPr>
              <w:t xml:space="preserve">否</w:t>
            </w:r>
            <w:r>
              <w:rPr>
                <w:rFonts w:hint="eastAsia" w:ascii="宋体" w:hAnsi="宋体" w:cs="宋体"/>
              </w:rPr>
            </w:r>
            <w:r/>
          </w:p>
        </w:tc>
      </w:tr>
      <w:tr>
        <w:trPr>
          <w:trHeight w:val="429"/>
        </w:trPr>
        <w:tc>
          <w:tcPr>
            <w:tcBorders>
              <w:top w:val="none" w:color="000000" w:sz="0" w:space="0"/>
              <w:left w:val="single" w:color="000000" w:sz="4" w:space="0"/>
              <w:bottom w:val="none" w:color="000000" w:sz="0" w:space="0"/>
              <w:right w:val="single" w:color="000000" w:sz="4" w:space="0"/>
            </w:tcBorders>
            <w:tcW w:w="431" w:type="dxa"/>
            <w:vAlign w:val="center"/>
            <w:vMerge w:val="continue"/>
            <w:textDirection w:val="lrTb"/>
            <w:noWrap/>
          </w:tcPr>
          <w:p>
            <w:pPr>
              <w:pStyle w:val="1344"/>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none" w:color="000000" w:sz="0" w:space="0"/>
              <w:right w:val="single" w:color="000000" w:sz="4" w:space="0"/>
            </w:tcBorders>
            <w:tcW w:w="343" w:type="dxa"/>
            <w:vAlign w:val="center"/>
            <w:vMerge w:val="restart"/>
            <w:textDirection w:val="lrTb"/>
            <w:noWrap/>
          </w:tcPr>
          <w:p>
            <w:pPr>
              <w:pStyle w:val="1344"/>
              <w:jc w:val="center"/>
              <w:rPr>
                <w:rFonts w:hint="eastAsia" w:ascii="宋体" w:hAnsi="宋体" w:cs="宋体"/>
              </w:rPr>
            </w:pPr>
            <w:r>
              <w:rPr>
                <w:rFonts w:hint="eastAsia" w:ascii="宋体" w:hAnsi="宋体" w:cs="宋体"/>
              </w:rPr>
              <w:t xml:space="preserve">6</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spacing w:line="360" w:lineRule="auto"/>
              <w:rPr>
                <w:rFonts w:hint="eastAsia" w:ascii="宋体" w:hAnsi="宋体" w:cs="宋体"/>
              </w:rPr>
            </w:pPr>
            <w:r>
              <w:rPr>
                <w:rFonts w:hint="eastAsia" w:ascii="宋体" w:hAnsi="宋体" w:cs="宋体"/>
                <w:szCs w:val="21"/>
              </w:rPr>
              <w:t xml:space="preserve">活塞式压力计</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spacing w:line="360" w:lineRule="auto"/>
              <w:rPr>
                <w:rFonts w:hint="eastAsia" w:ascii="宋体" w:hAnsi="宋体" w:cs="宋体"/>
              </w:rPr>
            </w:pPr>
            <w:r>
              <w:rPr>
                <w:rFonts w:hint="eastAsia" w:ascii="宋体" w:hAnsi="宋体" w:cs="宋体"/>
                <w:szCs w:val="21"/>
              </w:rPr>
              <w:t xml:space="preserve">1</w:t>
            </w:r>
            <w:r>
              <w:rPr>
                <w:rFonts w:hint="eastAsia" w:ascii="宋体" w:hAnsi="宋体" w:cs="宋体"/>
              </w:rPr>
              <w:t xml:space="preserve">台</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spacing w:line="360" w:lineRule="auto"/>
              <w:rPr>
                <w:rFonts w:hint="eastAsia" w:ascii="宋体" w:hAnsi="宋体" w:cs="宋体"/>
              </w:rPr>
            </w:pPr>
            <w:r>
              <w:rPr>
                <w:rFonts w:hint="eastAsia" w:ascii="宋体" w:hAnsi="宋体" w:cs="宋体"/>
                <w:szCs w:val="21"/>
              </w:rPr>
              <w:t xml:space="preserve">3.25</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spacing w:line="360" w:lineRule="auto"/>
              <w:rPr>
                <w:rFonts w:hint="eastAsia" w:ascii="宋体" w:hAnsi="宋体" w:cs="宋体"/>
              </w:rPr>
            </w:pPr>
            <w:r>
              <w:rPr>
                <w:rFonts w:hint="eastAsia" w:ascii="宋体" w:hAnsi="宋体" w:cs="宋体"/>
                <w:szCs w:val="21"/>
              </w:rPr>
              <w:t xml:space="preserve">合同签订后</w:t>
            </w:r>
            <w:r>
              <w:rPr>
                <w:rFonts w:ascii="宋体" w:hAnsi="宋体" w:cs="宋体"/>
                <w:szCs w:val="21"/>
              </w:rPr>
              <w:t xml:space="preserve">3</w:t>
            </w:r>
            <w:r>
              <w:rPr>
                <w:rFonts w:hint="eastAsia" w:ascii="宋体" w:hAnsi="宋体" w:cs="宋体"/>
                <w:szCs w:val="21"/>
              </w:rPr>
              <w:t xml:space="preserve">个月</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spacing w:line="360" w:lineRule="auto"/>
              <w:rPr>
                <w:rFonts w:hint="eastAsia" w:ascii="宋体" w:hAnsi="宋体" w:cs="宋体"/>
              </w:rPr>
            </w:pPr>
            <w:r>
              <w:rPr>
                <w:rFonts w:hint="eastAsia" w:ascii="宋体" w:hAnsi="宋体" w:cs="宋体"/>
                <w:szCs w:val="21"/>
              </w:rPr>
              <w:t xml:space="preserve">否</w:t>
            </w:r>
            <w:r>
              <w:rPr>
                <w:rFonts w:hint="eastAsia" w:ascii="宋体" w:hAnsi="宋体" w:cs="宋体"/>
              </w:rPr>
            </w:r>
            <w:r/>
          </w:p>
        </w:tc>
      </w:tr>
      <w:tr>
        <w:trPr>
          <w:trHeight w:val="429"/>
        </w:trPr>
        <w:tc>
          <w:tcPr>
            <w:tcBorders>
              <w:top w:val="none" w:color="000000" w:sz="0" w:space="0"/>
              <w:left w:val="single" w:color="000000" w:sz="4" w:space="0"/>
              <w:bottom w:val="single" w:color="000000" w:sz="4" w:space="0"/>
              <w:right w:val="single" w:color="000000" w:sz="4" w:space="0"/>
            </w:tcBorders>
            <w:tcW w:w="431" w:type="dxa"/>
            <w:vAlign w:val="center"/>
            <w:vMerge w:val="continue"/>
            <w:textDirection w:val="lrTb"/>
            <w:noWrap/>
          </w:tcPr>
          <w:p>
            <w:pPr>
              <w:pStyle w:val="1344"/>
              <w:jc w:val="center"/>
              <w:rPr>
                <w:rFonts w:hint="eastAsia" w:ascii="宋体" w:hAnsi="宋体" w:cs="宋体"/>
              </w:rPr>
            </w:pPr>
            <w:r>
              <w:rPr>
                <w:rFonts w:hint="eastAsia" w:ascii="宋体" w:hAnsi="宋体" w:cs="宋体"/>
              </w:rPr>
            </w:r>
            <w:r/>
          </w:p>
        </w:tc>
        <w:tc>
          <w:tcPr>
            <w:tcBorders>
              <w:top w:val="none" w:color="000000" w:sz="0" w:space="0"/>
              <w:left w:val="single" w:color="000000" w:sz="4" w:space="0"/>
              <w:bottom w:val="single" w:color="000000" w:sz="4" w:space="0"/>
              <w:right w:val="single" w:color="000000" w:sz="4" w:space="0"/>
            </w:tcBorders>
            <w:tcW w:w="343" w:type="dxa"/>
            <w:vAlign w:val="center"/>
            <w:vMerge w:val="continue"/>
            <w:textDirection w:val="lrTb"/>
            <w:noWrap/>
          </w:tcPr>
          <w:p>
            <w:pPr>
              <w:pStyle w:val="1344"/>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spacing w:line="360" w:lineRule="auto"/>
              <w:rPr>
                <w:rFonts w:hint="eastAsia" w:ascii="宋体" w:hAnsi="宋体" w:cs="宋体"/>
              </w:rPr>
            </w:pPr>
            <w:r>
              <w:rPr>
                <w:rFonts w:hint="eastAsia" w:ascii="宋体" w:hAnsi="宋体" w:cs="宋体"/>
                <w:szCs w:val="21"/>
              </w:rPr>
              <w:t xml:space="preserve">活塞式压力计</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spacing w:line="360" w:lineRule="auto"/>
              <w:rPr>
                <w:rFonts w:hint="eastAsia" w:ascii="宋体" w:hAnsi="宋体" w:cs="宋体"/>
              </w:rPr>
            </w:pPr>
            <w:r>
              <w:rPr>
                <w:rFonts w:hint="eastAsia" w:ascii="宋体" w:hAnsi="宋体" w:cs="宋体"/>
                <w:szCs w:val="21"/>
              </w:rPr>
              <w:t xml:space="preserve">1</w:t>
            </w:r>
            <w:r>
              <w:rPr>
                <w:rFonts w:hint="eastAsia" w:ascii="宋体" w:hAnsi="宋体" w:cs="宋体"/>
              </w:rPr>
              <w:t xml:space="preserve">台</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spacing w:line="360" w:lineRule="auto"/>
              <w:rPr>
                <w:rFonts w:hint="eastAsia" w:ascii="宋体" w:hAnsi="宋体" w:cs="宋体"/>
              </w:rPr>
            </w:pPr>
            <w:r>
              <w:rPr>
                <w:rFonts w:hint="eastAsia" w:ascii="宋体" w:hAnsi="宋体" w:cs="宋体"/>
                <w:szCs w:val="21"/>
              </w:rPr>
              <w:t xml:space="preserve">3.25</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spacing w:line="360" w:lineRule="auto"/>
              <w:rPr>
                <w:rFonts w:hint="eastAsia" w:ascii="宋体" w:hAnsi="宋体" w:cs="宋体"/>
              </w:rPr>
            </w:pPr>
            <w:r>
              <w:rPr>
                <w:rFonts w:hint="eastAsia" w:ascii="宋体" w:hAnsi="宋体" w:cs="宋体"/>
                <w:szCs w:val="21"/>
              </w:rPr>
              <w:t xml:space="preserve">合同签订后</w:t>
            </w:r>
            <w:r>
              <w:rPr>
                <w:rFonts w:ascii="宋体" w:hAnsi="宋体" w:cs="宋体"/>
                <w:szCs w:val="21"/>
              </w:rPr>
              <w:t xml:space="preserve">3</w:t>
            </w:r>
            <w:r>
              <w:rPr>
                <w:rFonts w:hint="eastAsia" w:ascii="宋体" w:hAnsi="宋体" w:cs="宋体"/>
                <w:szCs w:val="21"/>
              </w:rPr>
              <w:t xml:space="preserve">个月</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spacing w:line="360" w:lineRule="auto"/>
              <w:rPr>
                <w:rFonts w:hint="eastAsia" w:ascii="宋体" w:hAnsi="宋体" w:cs="宋体"/>
              </w:rPr>
            </w:pPr>
            <w:r>
              <w:rPr>
                <w:rFonts w:hint="eastAsia" w:ascii="宋体" w:hAnsi="宋体" w:cs="宋体"/>
                <w:szCs w:val="21"/>
              </w:rPr>
              <w:t xml:space="preserve">否</w:t>
            </w:r>
            <w:r>
              <w:rPr>
                <w:rFonts w:hint="eastAsia" w:ascii="宋体" w:hAnsi="宋体" w:cs="宋体"/>
              </w:rPr>
            </w:r>
            <w:r/>
          </w:p>
        </w:tc>
      </w:tr>
      <w:tr>
        <w:trPr>
          <w:trHeight w:val="429"/>
        </w:trPr>
        <w:tc>
          <w:tcPr>
            <w:tcBorders>
              <w:top w:val="single" w:color="000000" w:sz="4" w:space="0"/>
              <w:left w:val="single" w:color="000000" w:sz="4" w:space="0"/>
              <w:bottom w:val="single" w:color="000000" w:sz="4" w:space="0"/>
              <w:right w:val="single" w:color="000000" w:sz="4" w:space="0"/>
            </w:tcBorders>
            <w:tcW w:w="431" w:type="dxa"/>
            <w:vAlign w:val="center"/>
            <w:vMerge w:val="continue"/>
            <w:textDirection w:val="lrTb"/>
            <w:noWrap/>
          </w:tcPr>
          <w:p>
            <w:pPr>
              <w:pStyle w:val="1344"/>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3" w:type="dxa"/>
            <w:vAlign w:val="center"/>
            <w:vMerge w:val="continue"/>
            <w:textDirection w:val="lrTb"/>
            <w:noWrap/>
          </w:tcPr>
          <w:p>
            <w:pPr>
              <w:pStyle w:val="1344"/>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spacing w:line="360" w:lineRule="auto"/>
              <w:rPr>
                <w:rFonts w:hint="eastAsia" w:ascii="宋体" w:hAnsi="宋体" w:cs="宋体"/>
              </w:rPr>
            </w:pPr>
            <w:r>
              <w:rPr>
                <w:rFonts w:hint="eastAsia" w:ascii="宋体" w:hAnsi="宋体" w:cs="宋体"/>
                <w:szCs w:val="21"/>
              </w:rPr>
              <w:t xml:space="preserve">活塞式压力计</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spacing w:line="360" w:lineRule="auto"/>
              <w:rPr>
                <w:rFonts w:hint="eastAsia" w:ascii="宋体" w:hAnsi="宋体" w:cs="宋体"/>
              </w:rPr>
            </w:pPr>
            <w:r>
              <w:rPr>
                <w:rFonts w:hint="eastAsia" w:ascii="宋体" w:hAnsi="宋体" w:cs="宋体"/>
                <w:szCs w:val="21"/>
              </w:rPr>
              <w:t xml:space="preserve">1</w:t>
            </w:r>
            <w:r>
              <w:rPr>
                <w:rFonts w:hint="eastAsia" w:ascii="宋体" w:hAnsi="宋体" w:cs="宋体"/>
              </w:rPr>
              <w:t xml:space="preserve">台</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spacing w:line="360" w:lineRule="auto"/>
              <w:rPr>
                <w:rFonts w:hint="eastAsia" w:ascii="宋体" w:hAnsi="宋体" w:cs="宋体"/>
              </w:rPr>
            </w:pPr>
            <w:r>
              <w:rPr>
                <w:rFonts w:hint="eastAsia" w:ascii="宋体" w:hAnsi="宋体" w:cs="宋体"/>
                <w:szCs w:val="21"/>
              </w:rPr>
              <w:t xml:space="preserve">3.35</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spacing w:line="360" w:lineRule="auto"/>
              <w:rPr>
                <w:rFonts w:hint="eastAsia" w:ascii="宋体" w:hAnsi="宋体" w:cs="宋体"/>
              </w:rPr>
            </w:pPr>
            <w:r>
              <w:rPr>
                <w:rFonts w:hint="eastAsia" w:ascii="宋体" w:hAnsi="宋体" w:cs="宋体"/>
                <w:szCs w:val="21"/>
              </w:rPr>
              <w:t xml:space="preserve">合同签订后</w:t>
            </w:r>
            <w:r>
              <w:rPr>
                <w:rFonts w:ascii="宋体" w:hAnsi="宋体" w:cs="宋体"/>
                <w:szCs w:val="21"/>
              </w:rPr>
              <w:t xml:space="preserve">3</w:t>
            </w:r>
            <w:r>
              <w:rPr>
                <w:rFonts w:hint="eastAsia" w:ascii="宋体" w:hAnsi="宋体" w:cs="宋体"/>
                <w:szCs w:val="21"/>
              </w:rPr>
              <w:t xml:space="preserve">个月</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spacing w:line="360" w:lineRule="auto"/>
              <w:rPr>
                <w:rFonts w:hint="eastAsia" w:ascii="宋体" w:hAnsi="宋体" w:cs="宋体"/>
              </w:rPr>
            </w:pPr>
            <w:r>
              <w:rPr>
                <w:rFonts w:hint="eastAsia" w:ascii="宋体" w:hAnsi="宋体" w:cs="宋体"/>
                <w:szCs w:val="21"/>
              </w:rPr>
              <w:t xml:space="preserve">否</w:t>
            </w:r>
            <w:r>
              <w:rPr>
                <w:rFonts w:hint="eastAsia" w:ascii="宋体" w:hAnsi="宋体" w:cs="宋体"/>
              </w:rPr>
            </w:r>
            <w:r/>
          </w:p>
        </w:tc>
      </w:tr>
      <w:tr>
        <w:trPr>
          <w:trHeight w:val="429"/>
        </w:trPr>
        <w:tc>
          <w:tcPr>
            <w:tcBorders>
              <w:top w:val="single" w:color="000000" w:sz="4" w:space="0"/>
              <w:left w:val="single" w:color="000000" w:sz="4" w:space="0"/>
              <w:bottom w:val="none" w:color="000000" w:sz="0" w:space="0"/>
              <w:right w:val="single" w:color="000000" w:sz="4" w:space="0"/>
            </w:tcBorders>
            <w:tcW w:w="431" w:type="dxa"/>
            <w:vAlign w:val="center"/>
            <w:vMerge w:val="restart"/>
            <w:textDirection w:val="lrTb"/>
            <w:noWrap/>
          </w:tcPr>
          <w:p>
            <w:pPr>
              <w:pStyle w:val="1344"/>
              <w:jc w:val="center"/>
              <w:rPr>
                <w:rFonts w:hint="eastAsia" w:ascii="宋体" w:hAnsi="宋体" w:cs="宋体"/>
              </w:rPr>
            </w:pPr>
            <w:r>
              <w:rPr>
                <w:rFonts w:hint="eastAsia" w:ascii="宋体" w:hAnsi="宋体" w:cs="宋体"/>
              </w:rPr>
              <w:t xml:space="preserve">3</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1344"/>
              <w:jc w:val="center"/>
              <w:spacing w:line="360" w:lineRule="auto"/>
              <w:rPr>
                <w:rFonts w:hint="eastAsia" w:ascii="宋体" w:hAnsi="宋体" w:cs="宋体"/>
              </w:rPr>
            </w:pPr>
            <w:r>
              <w:rPr>
                <w:rFonts w:hint="eastAsia" w:ascii="宋体" w:hAnsi="宋体" w:cs="宋体"/>
                <w:szCs w:val="21"/>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rPr>
                <w:rFonts w:hint="eastAsia" w:ascii="宋体" w:hAnsi="宋体" w:cs="宋体"/>
                <w:szCs w:val="21"/>
              </w:rPr>
            </w:pPr>
            <w:r>
              <w:rPr>
                <w:rFonts w:hint="eastAsia" w:ascii="宋体" w:hAnsi="宋体" w:cs="宋体"/>
                <w:szCs w:val="21"/>
              </w:rPr>
              <w:t xml:space="preserve">酸度计检定仪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1.20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合同签订后6个月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r>
      <w:tr>
        <w:trPr>
          <w:trHeight w:val="429"/>
        </w:trPr>
        <w:tc>
          <w:tcPr>
            <w:tcBorders>
              <w:top w:val="none" w:color="000000" w:sz="0" w:space="0"/>
              <w:left w:val="single" w:color="000000" w:sz="4" w:space="0"/>
              <w:bottom w:val="none" w:color="000000" w:sz="0" w:space="0"/>
              <w:right w:val="single" w:color="000000" w:sz="4" w:space="0"/>
            </w:tcBorders>
            <w:tcW w:w="431" w:type="dxa"/>
            <w:vAlign w:val="center"/>
            <w:vMerge w:val="continue"/>
            <w:textDirection w:val="lrTb"/>
            <w:noWrap/>
          </w:tcPr>
          <w:p>
            <w:pPr>
              <w:pStyle w:val="1344"/>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1344"/>
              <w:jc w:val="center"/>
              <w:spacing w:line="360" w:lineRule="auto"/>
              <w:rPr>
                <w:rFonts w:hint="eastAsia" w:ascii="宋体" w:hAnsi="宋体" w:cs="宋体"/>
              </w:rPr>
            </w:pPr>
            <w:r>
              <w:rPr>
                <w:rFonts w:hint="eastAsia" w:ascii="宋体" w:hAnsi="宋体" w:cs="宋体"/>
                <w:szCs w:val="21"/>
              </w:rPr>
              <w:t xml:space="preserve">2</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rPr>
                <w:rFonts w:hint="eastAsia" w:ascii="宋体" w:hAnsi="宋体" w:cs="宋体"/>
                <w:szCs w:val="21"/>
              </w:rPr>
            </w:pPr>
            <w:r>
              <w:rPr>
                <w:rFonts w:hint="eastAsia" w:ascii="宋体" w:hAnsi="宋体" w:cs="宋体"/>
                <w:szCs w:val="21"/>
              </w:rPr>
              <w:t xml:space="preserve">超声功率计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6.40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合同签订后6个月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r>
      <w:tr>
        <w:trPr>
          <w:trHeight w:val="429"/>
        </w:trPr>
        <w:tc>
          <w:tcPr>
            <w:tcBorders>
              <w:top w:val="none" w:color="000000" w:sz="0" w:space="0"/>
              <w:left w:val="single" w:color="000000" w:sz="4" w:space="0"/>
              <w:bottom w:val="none" w:color="000000" w:sz="0" w:space="0"/>
              <w:right w:val="single" w:color="000000" w:sz="4" w:space="0"/>
            </w:tcBorders>
            <w:tcW w:w="431" w:type="dxa"/>
            <w:vAlign w:val="center"/>
            <w:vMerge w:val="continue"/>
            <w:textDirection w:val="lrTb"/>
            <w:noWrap/>
          </w:tcPr>
          <w:p>
            <w:pPr>
              <w:pStyle w:val="1344"/>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1344"/>
              <w:jc w:val="center"/>
              <w:spacing w:line="360" w:lineRule="auto"/>
              <w:rPr>
                <w:rFonts w:hint="eastAsia" w:ascii="宋体" w:hAnsi="宋体" w:cs="宋体"/>
              </w:rPr>
            </w:pPr>
            <w:r>
              <w:rPr>
                <w:rFonts w:hint="eastAsia" w:ascii="宋体" w:hAnsi="宋体" w:cs="宋体"/>
                <w:szCs w:val="21"/>
              </w:rPr>
              <w:t xml:space="preserve">3</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rPr>
                <w:rFonts w:hint="eastAsia" w:ascii="宋体" w:hAnsi="宋体" w:cs="宋体"/>
                <w:szCs w:val="21"/>
              </w:rPr>
            </w:pPr>
            <w:r>
              <w:rPr>
                <w:rFonts w:hint="eastAsia" w:ascii="宋体" w:hAnsi="宋体" w:cs="宋体"/>
                <w:szCs w:val="21"/>
              </w:rPr>
              <w:t xml:space="preserve">心脑电图机检定仪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7.00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合同签订后6个月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r>
      <w:tr>
        <w:trPr>
          <w:trHeight w:val="429"/>
        </w:trPr>
        <w:tc>
          <w:tcPr>
            <w:tcBorders>
              <w:top w:val="none" w:color="000000" w:sz="0" w:space="0"/>
              <w:left w:val="single" w:color="000000" w:sz="4" w:space="0"/>
              <w:bottom w:val="none" w:color="000000" w:sz="0" w:space="0"/>
              <w:right w:val="single" w:color="000000" w:sz="4" w:space="0"/>
            </w:tcBorders>
            <w:tcW w:w="431" w:type="dxa"/>
            <w:vAlign w:val="center"/>
            <w:vMerge w:val="continue"/>
            <w:textDirection w:val="lrTb"/>
            <w:noWrap/>
          </w:tcPr>
          <w:p>
            <w:pPr>
              <w:pStyle w:val="1344"/>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1344"/>
              <w:jc w:val="center"/>
              <w:spacing w:line="360" w:lineRule="auto"/>
              <w:rPr>
                <w:rFonts w:hint="eastAsia" w:ascii="宋体" w:hAnsi="宋体" w:cs="宋体"/>
              </w:rPr>
            </w:pPr>
            <w:r>
              <w:rPr>
                <w:rFonts w:hint="eastAsia" w:ascii="宋体" w:hAnsi="宋体" w:cs="宋体"/>
                <w:szCs w:val="21"/>
              </w:rPr>
              <w:t xml:space="preserve">4</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rPr>
                <w:rFonts w:ascii="宋体" w:hAnsi="宋体" w:cs="宋体"/>
                <w:szCs w:val="21"/>
              </w:rPr>
            </w:pPr>
            <w:r>
              <w:rPr>
                <w:rFonts w:hint="eastAsia" w:ascii="宋体" w:hAnsi="宋体" w:cs="宋体"/>
                <w:szCs w:val="21"/>
              </w:rPr>
              <w:t xml:space="preserve">呼吸机质量检测仪</w:t>
            </w:r>
            <w:r>
              <w:rPr>
                <w:rFonts w:ascii="宋体" w:hAnsi="宋体" w:cs="宋体"/>
                <w:szCs w:val="21"/>
              </w:rPr>
            </w:r>
            <w:r/>
          </w:p>
          <w:p>
            <w:pPr>
              <w:pStyle w:val="1344"/>
              <w:jc w:val="center"/>
              <w:rPr>
                <w:rFonts w:hint="eastAsia" w:ascii="宋体" w:hAnsi="宋体" w:cs="宋体"/>
                <w:szCs w:val="21"/>
              </w:rPr>
            </w:pPr>
            <w:r>
              <w:rPr>
                <w:rFonts w:hint="eastAsia" w:ascii="宋体" w:hAnsi="宋体" w:cs="宋体"/>
                <w:b/>
                <w:bCs/>
                <w:color w:val="ff0000"/>
                <w:szCs w:val="21"/>
              </w:rPr>
              <w:t xml:space="preserve">（核心产品）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64.00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合同签订后6个月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r>
      <w:tr>
        <w:trPr>
          <w:trHeight w:val="429"/>
        </w:trPr>
        <w:tc>
          <w:tcPr>
            <w:tcBorders>
              <w:top w:val="none" w:color="000000" w:sz="0" w:space="0"/>
              <w:left w:val="single" w:color="000000" w:sz="4" w:space="0"/>
              <w:bottom w:val="none" w:color="000000" w:sz="0" w:space="0"/>
              <w:right w:val="single" w:color="000000" w:sz="4" w:space="0"/>
            </w:tcBorders>
            <w:tcW w:w="431" w:type="dxa"/>
            <w:vAlign w:val="center"/>
            <w:vMerge w:val="continue"/>
            <w:textDirection w:val="lrTb"/>
            <w:noWrap/>
          </w:tcPr>
          <w:p>
            <w:pPr>
              <w:pStyle w:val="1344"/>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1344"/>
              <w:jc w:val="center"/>
              <w:spacing w:line="360" w:lineRule="auto"/>
              <w:rPr>
                <w:rFonts w:hint="eastAsia" w:ascii="宋体" w:hAnsi="宋体" w:cs="宋体"/>
              </w:rPr>
            </w:pPr>
            <w:r>
              <w:rPr>
                <w:rFonts w:hint="eastAsia" w:ascii="宋体" w:hAnsi="宋体" w:cs="宋体"/>
                <w:szCs w:val="21"/>
              </w:rPr>
              <w:t xml:space="preserve">5</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rPr>
                <w:rFonts w:hint="eastAsia" w:ascii="宋体" w:hAnsi="宋体" w:cs="宋体"/>
                <w:szCs w:val="21"/>
              </w:rPr>
            </w:pPr>
            <w:r>
              <w:rPr>
                <w:rFonts w:hint="eastAsia" w:ascii="宋体" w:hAnsi="宋体" w:cs="宋体"/>
                <w:szCs w:val="21"/>
              </w:rPr>
              <w:t xml:space="preserve">无创血压模拟仪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7.00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合同签订后6个月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r>
      <w:tr>
        <w:trPr>
          <w:trHeight w:val="429"/>
        </w:trPr>
        <w:tc>
          <w:tcPr>
            <w:tcBorders>
              <w:top w:val="none" w:color="000000" w:sz="0" w:space="0"/>
              <w:left w:val="single" w:color="000000" w:sz="4" w:space="0"/>
              <w:bottom w:val="none" w:color="000000" w:sz="0" w:space="0"/>
              <w:right w:val="single" w:color="000000" w:sz="4" w:space="0"/>
            </w:tcBorders>
            <w:tcW w:w="431" w:type="dxa"/>
            <w:vAlign w:val="center"/>
            <w:vMerge w:val="continue"/>
            <w:textDirection w:val="lrTb"/>
            <w:noWrap/>
          </w:tcPr>
          <w:p>
            <w:pPr>
              <w:pStyle w:val="1344"/>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1344"/>
              <w:jc w:val="center"/>
              <w:spacing w:line="360" w:lineRule="auto"/>
              <w:rPr>
                <w:rFonts w:hint="eastAsia" w:ascii="宋体" w:hAnsi="宋体" w:cs="宋体"/>
              </w:rPr>
            </w:pPr>
            <w:r>
              <w:rPr>
                <w:rFonts w:hint="eastAsia" w:ascii="宋体" w:hAnsi="宋体" w:cs="宋体"/>
                <w:szCs w:val="21"/>
              </w:rPr>
              <w:t xml:space="preserve">6</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rPr>
                <w:rFonts w:ascii="宋体" w:hAnsi="宋体" w:cs="宋体"/>
                <w:szCs w:val="21"/>
              </w:rPr>
            </w:pPr>
            <w:r>
              <w:rPr>
                <w:rFonts w:hint="eastAsia" w:ascii="宋体" w:hAnsi="宋体" w:cs="宋体"/>
                <w:szCs w:val="21"/>
              </w:rPr>
              <w:t xml:space="preserve">影像测量仪</w:t>
            </w:r>
            <w:r>
              <w:rPr>
                <w:rFonts w:ascii="宋体" w:hAnsi="宋体" w:cs="宋体"/>
                <w:szCs w:val="21"/>
              </w:rPr>
            </w:r>
            <w:r/>
          </w:p>
          <w:p>
            <w:pPr>
              <w:pStyle w:val="1344"/>
              <w:jc w:val="center"/>
              <w:rPr>
                <w:rFonts w:hint="eastAsia" w:ascii="宋体" w:hAnsi="宋体" w:cs="宋体"/>
                <w:szCs w:val="21"/>
              </w:rPr>
            </w:pPr>
            <w:r>
              <w:rPr>
                <w:rFonts w:hint="eastAsia" w:ascii="宋体" w:hAnsi="宋体" w:cs="宋体"/>
                <w:szCs w:val="21"/>
              </w:rPr>
              <w:t xml:space="preserve">（医用磁共振成像模体）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9.00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合同签订后6个月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r>
      <w:tr>
        <w:trPr>
          <w:trHeight w:val="429"/>
        </w:trPr>
        <w:tc>
          <w:tcPr>
            <w:tcBorders>
              <w:top w:val="none" w:color="000000" w:sz="0" w:space="0"/>
              <w:left w:val="single" w:color="000000" w:sz="4" w:space="0"/>
              <w:bottom w:val="single" w:color="000000" w:sz="4" w:space="0"/>
              <w:right w:val="single" w:color="000000" w:sz="4" w:space="0"/>
            </w:tcBorders>
            <w:tcW w:w="431" w:type="dxa"/>
            <w:vAlign w:val="center"/>
            <w:vMerge w:val="continue"/>
            <w:textDirection w:val="lrTb"/>
            <w:noWrap/>
          </w:tcPr>
          <w:p>
            <w:pPr>
              <w:pStyle w:val="1344"/>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1344"/>
              <w:jc w:val="center"/>
              <w:spacing w:line="360" w:lineRule="auto"/>
              <w:rPr>
                <w:rFonts w:hint="eastAsia" w:ascii="宋体" w:hAnsi="宋体" w:cs="宋体"/>
              </w:rPr>
            </w:pPr>
            <w:r>
              <w:rPr>
                <w:rFonts w:hint="eastAsia" w:ascii="宋体" w:hAnsi="宋体" w:cs="宋体"/>
                <w:szCs w:val="21"/>
              </w:rPr>
              <w:t xml:space="preserve">7</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rPr>
                <w:rFonts w:ascii="宋体" w:hAnsi="宋体" w:cs="宋体"/>
                <w:szCs w:val="21"/>
              </w:rPr>
            </w:pPr>
            <w:r>
              <w:rPr>
                <w:rFonts w:hint="eastAsia" w:ascii="宋体" w:hAnsi="宋体" w:cs="宋体"/>
                <w:szCs w:val="21"/>
              </w:rPr>
              <w:t xml:space="preserve">生命体征模拟仪</w:t>
            </w:r>
            <w:r>
              <w:rPr>
                <w:rFonts w:ascii="宋体" w:hAnsi="宋体" w:cs="宋体"/>
                <w:szCs w:val="21"/>
              </w:rPr>
            </w:r>
            <w:r/>
          </w:p>
          <w:p>
            <w:pPr>
              <w:pStyle w:val="1344"/>
              <w:jc w:val="center"/>
              <w:rPr>
                <w:rFonts w:hint="eastAsia" w:ascii="宋体" w:hAnsi="宋体" w:cs="宋体"/>
                <w:szCs w:val="21"/>
              </w:rPr>
            </w:pPr>
            <w:r>
              <w:rPr>
                <w:rFonts w:hint="eastAsia" w:ascii="宋体" w:hAnsi="宋体" w:cs="宋体"/>
                <w:szCs w:val="21"/>
              </w:rPr>
              <w:t xml:space="preserve">（除颤器分析仪）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9.00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合同签订后6个月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r>
      <w:tr>
        <w:trPr>
          <w:trHeight w:val="429"/>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344"/>
              <w:jc w:val="center"/>
              <w:rPr>
                <w:rFonts w:hint="eastAsia" w:ascii="宋体" w:hAnsi="宋体" w:cs="宋体"/>
              </w:rPr>
            </w:pPr>
            <w:r>
              <w:rPr>
                <w:rFonts w:hint="eastAsia" w:ascii="宋体" w:hAnsi="宋体" w:cs="宋体"/>
              </w:rPr>
              <w:t xml:space="preserve">4</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钟罩式气体流量标准装置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1套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19.6</w:t>
            </w:r>
            <w:r>
              <w:rPr>
                <w:rFonts w:ascii="宋体" w:hAnsi="宋体" w:cs="宋体"/>
                <w:szCs w:val="21"/>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合同签订后</w:t>
            </w:r>
            <w:r>
              <w:rPr>
                <w:rFonts w:ascii="宋体" w:hAnsi="宋体" w:cs="宋体"/>
                <w:szCs w:val="21"/>
              </w:rPr>
              <w:t xml:space="preserve">7</w:t>
            </w:r>
            <w:r>
              <w:rPr>
                <w:rFonts w:hint="eastAsia" w:ascii="宋体" w:hAnsi="宋体" w:cs="宋体"/>
                <w:szCs w:val="21"/>
              </w:rPr>
              <w:t xml:space="preserve">个月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r>
      <w:tr>
        <w:trPr>
          <w:trHeight w:val="429"/>
        </w:trPr>
        <w:tc>
          <w:tcPr>
            <w:tcBorders>
              <w:top w:val="single" w:color="000000" w:sz="4" w:space="0"/>
              <w:left w:val="single" w:color="000000" w:sz="4" w:space="0"/>
              <w:bottom w:val="none" w:color="000000" w:sz="0" w:space="0"/>
              <w:right w:val="single" w:color="000000" w:sz="4" w:space="0"/>
            </w:tcBorders>
            <w:tcW w:w="431" w:type="dxa"/>
            <w:vAlign w:val="center"/>
            <w:vMerge w:val="restart"/>
            <w:textDirection w:val="lrTb"/>
            <w:noWrap/>
          </w:tcPr>
          <w:p>
            <w:pPr>
              <w:pStyle w:val="1344"/>
              <w:jc w:val="center"/>
              <w:rPr>
                <w:rFonts w:ascii="宋体" w:hAnsi="宋体" w:cs="宋体"/>
              </w:rPr>
            </w:pPr>
            <w:r>
              <w:rPr>
                <w:rFonts w:hint="eastAsia" w:ascii="宋体" w:hAnsi="宋体" w:cs="宋体"/>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1344"/>
              <w:jc w:val="center"/>
              <w:rPr>
                <w:rFonts w:hint="eastAsia" w:ascii="宋体" w:hAnsi="宋体" w:cs="宋体"/>
                <w:szCs w:val="21"/>
              </w:rPr>
            </w:pPr>
            <w:r>
              <w:rPr>
                <w:rFonts w:hint="eastAsia" w:ascii="宋体" w:hAnsi="宋体" w:cs="宋体"/>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rPr>
                <w:rFonts w:hint="eastAsia" w:ascii="宋体" w:hAnsi="宋体" w:cs="宋体"/>
                <w:szCs w:val="21"/>
              </w:rPr>
            </w:pPr>
            <w:r>
              <w:rPr>
                <w:rFonts w:hint="eastAsia" w:ascii="宋体" w:hAnsi="宋体" w:cs="宋体"/>
              </w:rPr>
              <w:t xml:space="preserve">电压比例标准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rPr>
                <w:rFonts w:hint="eastAsia" w:ascii="宋体" w:hAnsi="宋体" w:cs="宋体"/>
                <w:szCs w:val="21"/>
              </w:rPr>
            </w:pPr>
            <w:r>
              <w:rPr>
                <w:rFonts w:hint="eastAsia" w:ascii="宋体" w:hAnsi="宋体" w:cs="宋体"/>
              </w:rPr>
              <w:t xml:space="preserve">1台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rPr>
                <w:rFonts w:hint="eastAsia" w:ascii="宋体" w:hAnsi="宋体" w:cs="宋体"/>
                <w:szCs w:val="21"/>
              </w:rPr>
            </w:pPr>
            <w:r>
              <w:rPr>
                <w:rFonts w:hint="eastAsia" w:ascii="宋体" w:hAnsi="宋体" w:cs="宋体"/>
              </w:rPr>
              <w:t xml:space="preserve">5.00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rPr>
                <w:rFonts w:hint="eastAsia" w:ascii="宋体" w:hAnsi="宋体" w:cs="宋体"/>
                <w:szCs w:val="21"/>
              </w:rPr>
            </w:pPr>
            <w:r>
              <w:rPr>
                <w:rFonts w:hint="eastAsia" w:ascii="宋体" w:hAnsi="宋体" w:cs="宋体"/>
              </w:rPr>
              <w:t xml:space="preserve">合同签订后</w:t>
            </w:r>
            <w:r>
              <w:rPr>
                <w:rFonts w:ascii="宋体" w:hAnsi="宋体" w:cs="宋体"/>
              </w:rPr>
              <w:t xml:space="preserve">6</w:t>
            </w:r>
            <w:r>
              <w:rPr>
                <w:rFonts w:hint="eastAsia" w:ascii="宋体" w:hAnsi="宋体" w:cs="宋体"/>
              </w:rPr>
              <w:t xml:space="preserve">个月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rPr>
                <w:rFonts w:hint="eastAsia" w:ascii="宋体" w:hAnsi="宋体" w:cs="宋体"/>
                <w:szCs w:val="21"/>
              </w:rPr>
            </w:pPr>
            <w:r>
              <w:rPr>
                <w:rFonts w:hint="eastAsia" w:ascii="宋体" w:hAnsi="宋体" w:cs="宋体"/>
              </w:rPr>
              <w:t xml:space="preserve">否</w:t>
            </w:r>
            <w:r>
              <w:rPr>
                <w:rFonts w:hint="eastAsia" w:ascii="宋体" w:hAnsi="宋体" w:cs="宋体"/>
                <w:szCs w:val="21"/>
              </w:rPr>
            </w:r>
            <w:r/>
          </w:p>
        </w:tc>
      </w:tr>
      <w:tr>
        <w:trPr>
          <w:trHeight w:val="429"/>
        </w:trPr>
        <w:tc>
          <w:tcPr>
            <w:tcBorders>
              <w:top w:val="none" w:color="000000" w:sz="0" w:space="0"/>
              <w:left w:val="single" w:color="000000" w:sz="4" w:space="0"/>
              <w:bottom w:val="none" w:color="000000" w:sz="0" w:space="0"/>
              <w:right w:val="single" w:color="000000" w:sz="4" w:space="0"/>
            </w:tcBorders>
            <w:tcW w:w="431" w:type="dxa"/>
            <w:vAlign w:val="center"/>
            <w:vMerge w:val="continue"/>
            <w:textDirection w:val="lrTb"/>
            <w:noWrap/>
          </w:tcPr>
          <w:p>
            <w:pPr>
              <w:pStyle w:val="1344"/>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1344"/>
              <w:jc w:val="center"/>
              <w:rPr>
                <w:rFonts w:hint="eastAsia" w:ascii="宋体" w:hAnsi="宋体" w:cs="宋体"/>
                <w:szCs w:val="21"/>
              </w:rPr>
            </w:pPr>
            <w:r>
              <w:rPr>
                <w:rFonts w:hint="eastAsia" w:ascii="宋体" w:hAnsi="宋体" w:cs="宋体"/>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rPr>
                <w:rFonts w:hint="eastAsia" w:ascii="宋体" w:hAnsi="宋体" w:cs="宋体"/>
                <w:szCs w:val="21"/>
              </w:rPr>
            </w:pPr>
            <w:r>
              <w:rPr>
                <w:rFonts w:hint="eastAsia" w:ascii="宋体" w:hAnsi="宋体" w:cs="宋体"/>
              </w:rPr>
              <w:t xml:space="preserve">数字式高阻检定仪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rPr>
                <w:rFonts w:hint="eastAsia" w:ascii="宋体" w:hAnsi="宋体" w:cs="宋体"/>
                <w:szCs w:val="21"/>
              </w:rPr>
            </w:pPr>
            <w:r>
              <w:rPr>
                <w:rFonts w:hint="eastAsia" w:ascii="宋体" w:hAnsi="宋体" w:cs="宋体"/>
              </w:rPr>
              <w:t xml:space="preserve">1台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rPr>
                <w:rFonts w:hint="eastAsia" w:ascii="宋体" w:hAnsi="宋体" w:cs="宋体"/>
                <w:szCs w:val="21"/>
              </w:rPr>
            </w:pPr>
            <w:r>
              <w:rPr>
                <w:rFonts w:hint="eastAsia" w:ascii="宋体" w:hAnsi="宋体" w:cs="宋体"/>
              </w:rPr>
              <w:t xml:space="preserve">4.80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rPr>
                <w:rFonts w:hint="eastAsia" w:ascii="宋体" w:hAnsi="宋体" w:cs="宋体"/>
                <w:szCs w:val="21"/>
              </w:rPr>
            </w:pPr>
            <w:r>
              <w:rPr>
                <w:rFonts w:hint="eastAsia" w:ascii="宋体" w:hAnsi="宋体" w:cs="宋体"/>
              </w:rPr>
              <w:t xml:space="preserve">合同签订后</w:t>
            </w:r>
            <w:r>
              <w:rPr>
                <w:rFonts w:ascii="宋体" w:hAnsi="宋体" w:cs="宋体"/>
              </w:rPr>
              <w:t xml:space="preserve">6</w:t>
            </w:r>
            <w:r>
              <w:rPr>
                <w:rFonts w:hint="eastAsia" w:ascii="宋体" w:hAnsi="宋体" w:cs="宋体"/>
              </w:rPr>
              <w:t xml:space="preserve">个月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rPr>
                <w:rFonts w:hint="eastAsia" w:ascii="宋体" w:hAnsi="宋体" w:cs="宋体"/>
                <w:szCs w:val="21"/>
                <w:highlight w:val="yellow"/>
              </w:rPr>
            </w:pPr>
            <w:r>
              <w:rPr>
                <w:rFonts w:hint="eastAsia" w:ascii="宋体" w:hAnsi="宋体" w:cs="宋体"/>
              </w:rPr>
              <w:t xml:space="preserve">否</w:t>
            </w:r>
            <w:r>
              <w:rPr>
                <w:rFonts w:hint="eastAsia" w:ascii="宋体" w:hAnsi="宋体" w:cs="宋体"/>
                <w:szCs w:val="21"/>
                <w:highlight w:val="yellow"/>
              </w:rPr>
            </w:r>
            <w:r/>
          </w:p>
        </w:tc>
      </w:tr>
      <w:tr>
        <w:trPr>
          <w:trHeight w:val="429"/>
        </w:trPr>
        <w:tc>
          <w:tcPr>
            <w:tcBorders>
              <w:top w:val="none" w:color="000000" w:sz="0" w:space="0"/>
              <w:left w:val="single" w:color="000000" w:sz="4" w:space="0"/>
              <w:bottom w:val="single" w:color="000000" w:sz="4" w:space="0"/>
              <w:right w:val="single" w:color="000000" w:sz="4" w:space="0"/>
            </w:tcBorders>
            <w:tcW w:w="431" w:type="dxa"/>
            <w:vAlign w:val="center"/>
            <w:vMerge w:val="continue"/>
            <w:textDirection w:val="lrTb"/>
            <w:noWrap/>
          </w:tcPr>
          <w:p>
            <w:pPr>
              <w:pStyle w:val="1344"/>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1344"/>
              <w:jc w:val="center"/>
              <w:rPr>
                <w:rFonts w:hint="eastAsia" w:ascii="宋体" w:hAnsi="宋体" w:cs="宋体"/>
                <w:szCs w:val="21"/>
              </w:rPr>
            </w:pPr>
            <w:r>
              <w:rPr>
                <w:rFonts w:hint="eastAsia" w:ascii="宋体" w:hAnsi="宋体" w:cs="宋体"/>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rPr>
                <w:rFonts w:ascii="宋体" w:hAnsi="宋体" w:cs="宋体"/>
              </w:rPr>
            </w:pPr>
            <w:r>
              <w:rPr>
                <w:rFonts w:hint="eastAsia" w:ascii="宋体" w:hAnsi="宋体" w:cs="宋体"/>
              </w:rPr>
              <w:t xml:space="preserve">0.02级三相电能表检定装置</w:t>
            </w:r>
            <w:r>
              <w:rPr>
                <w:rFonts w:ascii="宋体" w:hAnsi="宋体" w:cs="宋体"/>
              </w:rPr>
            </w:r>
            <w:r/>
          </w:p>
          <w:p>
            <w:pPr>
              <w:pStyle w:val="1344"/>
              <w:jc w:val="center"/>
              <w:rPr>
                <w:rFonts w:hint="eastAsia" w:ascii="宋体" w:hAnsi="宋体" w:cs="宋体"/>
                <w:szCs w:val="21"/>
              </w:rPr>
            </w:pPr>
            <w:r>
              <w:rPr>
                <w:rFonts w:hint="eastAsia" w:ascii="宋体" w:hAnsi="宋体" w:cs="宋体"/>
                <w:b/>
                <w:bCs/>
                <w:color w:val="ff0000"/>
              </w:rPr>
              <w:t xml:space="preserve">（核心产品）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rPr>
                <w:rFonts w:hint="eastAsia" w:ascii="宋体" w:hAnsi="宋体" w:cs="宋体"/>
                <w:szCs w:val="21"/>
              </w:rPr>
            </w:pPr>
            <w:r>
              <w:rPr>
                <w:rFonts w:hint="eastAsia" w:ascii="宋体" w:hAnsi="宋体" w:cs="宋体"/>
              </w:rPr>
              <w:t xml:space="preserve">1套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rPr>
                <w:rFonts w:hint="eastAsia" w:ascii="宋体" w:hAnsi="宋体" w:cs="宋体"/>
                <w:szCs w:val="21"/>
              </w:rPr>
            </w:pPr>
            <w:r>
              <w:rPr>
                <w:rFonts w:hint="eastAsia" w:ascii="宋体" w:hAnsi="宋体" w:cs="宋体"/>
              </w:rPr>
              <w:t xml:space="preserve">60.00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rPr>
                <w:rFonts w:hint="eastAsia" w:ascii="宋体" w:hAnsi="宋体" w:cs="宋体"/>
                <w:szCs w:val="21"/>
              </w:rPr>
            </w:pPr>
            <w:r>
              <w:rPr>
                <w:rFonts w:hint="eastAsia" w:ascii="宋体" w:hAnsi="宋体" w:cs="宋体"/>
              </w:rPr>
              <w:t xml:space="preserve">合同签订后6个月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rPr>
                <w:rFonts w:hint="eastAsia" w:ascii="宋体" w:hAnsi="宋体" w:cs="宋体"/>
                <w:szCs w:val="21"/>
                <w:highlight w:val="yellow"/>
              </w:rPr>
            </w:pPr>
            <w:r>
              <w:rPr>
                <w:rFonts w:hint="eastAsia" w:ascii="宋体" w:hAnsi="宋体" w:cs="宋体"/>
              </w:rPr>
              <w:t xml:space="preserve">否</w:t>
            </w:r>
            <w:r>
              <w:rPr>
                <w:rFonts w:hint="eastAsia" w:ascii="宋体" w:hAnsi="宋体" w:cs="宋体"/>
                <w:szCs w:val="21"/>
                <w:highlight w:val="yellow"/>
              </w:rPr>
            </w:r>
            <w:r/>
          </w:p>
        </w:tc>
      </w:tr>
      <w:tr>
        <w:trPr>
          <w:trHeight w:val="429"/>
        </w:trPr>
        <w:tc>
          <w:tcPr>
            <w:tcBorders>
              <w:top w:val="single" w:color="000000" w:sz="4" w:space="0"/>
              <w:left w:val="single" w:color="000000" w:sz="4" w:space="0"/>
              <w:bottom w:val="none" w:color="000000" w:sz="0" w:space="0"/>
              <w:right w:val="single" w:color="000000" w:sz="4" w:space="0"/>
            </w:tcBorders>
            <w:tcW w:w="431" w:type="dxa"/>
            <w:vAlign w:val="center"/>
            <w:vMerge w:val="restart"/>
            <w:textDirection w:val="lrTb"/>
            <w:noWrap/>
          </w:tcPr>
          <w:p>
            <w:pPr>
              <w:pStyle w:val="1344"/>
              <w:jc w:val="center"/>
              <w:rPr>
                <w:rFonts w:ascii="宋体" w:hAnsi="宋体" w:cs="宋体"/>
              </w:rPr>
            </w:pPr>
            <w:r>
              <w:rPr>
                <w:rFonts w:hint="eastAsia" w:ascii="宋体" w:hAnsi="宋体" w:cs="宋体"/>
              </w:rPr>
              <w:t xml:space="preserve">6</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1344"/>
              <w:jc w:val="center"/>
              <w:spacing w:line="360" w:lineRule="auto"/>
              <w:rPr>
                <w:rFonts w:hint="eastAsia" w:ascii="宋体" w:hAnsi="宋体" w:cs="宋体"/>
              </w:rPr>
            </w:pPr>
            <w:r>
              <w:rPr>
                <w:rFonts w:hint="eastAsia" w:ascii="宋体" w:hAnsi="宋体" w:cs="宋体"/>
                <w:szCs w:val="21"/>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spacing w:line="360" w:lineRule="auto"/>
              <w:rPr>
                <w:rFonts w:hint="eastAsia" w:ascii="宋体" w:hAnsi="宋体" w:cs="宋体"/>
                <w:b/>
                <w:bCs/>
                <w:color w:val="ff0000"/>
              </w:rPr>
            </w:pPr>
            <w:r>
              <w:rPr>
                <w:rFonts w:hint="eastAsia" w:ascii="宋体" w:hAnsi="宋体" w:cs="宋体"/>
                <w:szCs w:val="21"/>
              </w:rPr>
              <w:t xml:space="preserve">数字多用表</w:t>
            </w:r>
            <w:r>
              <w:rPr>
                <w:rFonts w:hint="eastAsia" w:ascii="宋体" w:hAnsi="宋体" w:cs="宋体"/>
                <w:b/>
                <w:bCs/>
                <w:color w:val="ff0000"/>
                <w:szCs w:val="21"/>
              </w:rPr>
              <w:t xml:space="preserve">（核心产品）</w:t>
            </w:r>
            <w:r>
              <w:rPr>
                <w:rFonts w:hint="eastAsia" w:ascii="宋体" w:hAnsi="宋体" w:cs="宋体"/>
                <w:b/>
                <w:bCs/>
                <w:color w:val="ff0000"/>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spacing w:line="360" w:lineRule="auto"/>
              <w:rPr>
                <w:rFonts w:hint="eastAsia" w:ascii="宋体" w:hAnsi="宋体" w:cs="宋体"/>
              </w:rPr>
            </w:pPr>
            <w:r>
              <w:rPr>
                <w:rFonts w:hint="eastAsia" w:ascii="宋体" w:hAnsi="宋体" w:cs="宋体"/>
                <w:szCs w:val="21"/>
              </w:rPr>
              <w:t xml:space="preserve">1</w:t>
            </w:r>
            <w:r>
              <w:rPr>
                <w:rFonts w:hint="eastAsia" w:ascii="宋体" w:hAnsi="宋体" w:cs="宋体"/>
              </w:rPr>
              <w:t xml:space="preserve">台</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spacing w:line="360" w:lineRule="auto"/>
              <w:rPr>
                <w:rFonts w:hint="eastAsia" w:ascii="宋体" w:hAnsi="宋体" w:cs="宋体"/>
              </w:rPr>
            </w:pPr>
            <w:r>
              <w:rPr>
                <w:rFonts w:hint="eastAsia" w:ascii="宋体" w:hAnsi="宋体" w:cs="宋体"/>
                <w:szCs w:val="21"/>
              </w:rPr>
              <w:t xml:space="preserve">30.00</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spacing w:line="360" w:lineRule="auto"/>
              <w:rPr>
                <w:rFonts w:hint="eastAsia" w:ascii="宋体" w:hAnsi="宋体" w:cs="宋体"/>
              </w:rPr>
            </w:pPr>
            <w:r>
              <w:rPr>
                <w:rFonts w:hint="eastAsia" w:ascii="宋体" w:hAnsi="宋体" w:cs="宋体"/>
                <w:szCs w:val="21"/>
              </w:rPr>
              <w:t xml:space="preserve">合同签订后9个月</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spacing w:line="360" w:lineRule="auto"/>
              <w:rPr>
                <w:rFonts w:hint="eastAsia" w:ascii="宋体" w:hAnsi="宋体" w:cs="宋体"/>
              </w:rPr>
            </w:pPr>
            <w:r>
              <w:rPr>
                <w:rFonts w:hint="eastAsia" w:ascii="宋体" w:hAnsi="宋体" w:cs="宋体"/>
                <w:szCs w:val="21"/>
              </w:rPr>
              <w:t xml:space="preserve">否</w:t>
            </w:r>
            <w:r>
              <w:rPr>
                <w:rFonts w:hint="eastAsia" w:ascii="宋体" w:hAnsi="宋体" w:cs="宋体"/>
              </w:rPr>
            </w:r>
            <w:r/>
          </w:p>
        </w:tc>
      </w:tr>
      <w:tr>
        <w:trPr>
          <w:trHeight w:val="508"/>
        </w:trPr>
        <w:tc>
          <w:tcPr>
            <w:tcBorders>
              <w:top w:val="none" w:color="000000" w:sz="0" w:space="0"/>
              <w:left w:val="single" w:color="000000" w:sz="4" w:space="0"/>
              <w:bottom w:val="single" w:color="000000" w:sz="4" w:space="0"/>
              <w:right w:val="single" w:color="000000" w:sz="4" w:space="0"/>
            </w:tcBorders>
            <w:tcW w:w="431" w:type="dxa"/>
            <w:vAlign w:val="center"/>
            <w:vMerge w:val="continue"/>
            <w:textDirection w:val="lrTb"/>
            <w:noWrap/>
          </w:tcPr>
          <w:p>
            <w:pPr>
              <w:pStyle w:val="1344"/>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1344"/>
              <w:jc w:val="center"/>
              <w:spacing w:line="360" w:lineRule="auto"/>
              <w:rPr>
                <w:rFonts w:hint="eastAsia" w:ascii="宋体" w:hAnsi="宋体" w:cs="宋体"/>
              </w:rPr>
            </w:pPr>
            <w:r>
              <w:rPr>
                <w:rFonts w:hint="eastAsia" w:ascii="宋体" w:hAnsi="宋体" w:cs="宋体"/>
                <w:szCs w:val="21"/>
              </w:rPr>
              <w:t xml:space="preserve">2</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spacing w:line="360" w:lineRule="auto"/>
              <w:rPr>
                <w:rFonts w:hint="eastAsia" w:ascii="宋体" w:hAnsi="宋体" w:cs="宋体"/>
                <w:b/>
                <w:bCs/>
                <w:color w:val="ff0000"/>
              </w:rPr>
            </w:pPr>
            <w:r>
              <w:rPr>
                <w:rFonts w:hint="eastAsia" w:ascii="宋体" w:hAnsi="宋体" w:cs="宋体"/>
                <w:szCs w:val="21"/>
              </w:rPr>
              <w:t xml:space="preserve">数字式高阻检定仪</w:t>
            </w:r>
            <w:r>
              <w:rPr>
                <w:rFonts w:hint="eastAsia" w:ascii="宋体" w:hAnsi="宋体" w:cs="宋体"/>
                <w:b/>
                <w:bCs/>
                <w:color w:val="ff0000"/>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spacing w:line="360" w:lineRule="auto"/>
              <w:rPr>
                <w:rFonts w:hint="eastAsia" w:ascii="宋体" w:hAnsi="宋体" w:cs="宋体"/>
              </w:rPr>
            </w:pPr>
            <w:r>
              <w:rPr>
                <w:rFonts w:hint="eastAsia" w:ascii="宋体" w:hAnsi="宋体" w:cs="宋体"/>
                <w:szCs w:val="21"/>
              </w:rPr>
              <w:t xml:space="preserve">1</w:t>
            </w:r>
            <w:r>
              <w:rPr>
                <w:rFonts w:hint="eastAsia" w:ascii="宋体" w:hAnsi="宋体" w:cs="宋体"/>
              </w:rPr>
              <w:t xml:space="preserve">台</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spacing w:line="360" w:lineRule="auto"/>
              <w:rPr>
                <w:rFonts w:hint="eastAsia" w:ascii="宋体" w:hAnsi="宋体" w:cs="宋体"/>
              </w:rPr>
            </w:pPr>
            <w:r>
              <w:rPr>
                <w:rFonts w:hint="eastAsia" w:ascii="宋体" w:hAnsi="宋体" w:cs="宋体"/>
                <w:szCs w:val="21"/>
              </w:rPr>
              <w:t xml:space="preserve">18.40</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spacing w:line="360" w:lineRule="auto"/>
              <w:rPr>
                <w:rFonts w:hint="eastAsia" w:ascii="宋体" w:hAnsi="宋体" w:cs="宋体"/>
              </w:rPr>
            </w:pPr>
            <w:r>
              <w:rPr>
                <w:rFonts w:hint="eastAsia" w:ascii="宋体" w:hAnsi="宋体" w:cs="宋体"/>
                <w:szCs w:val="21"/>
              </w:rPr>
              <w:t xml:space="preserve">合同签订后</w:t>
            </w:r>
            <w:r>
              <w:rPr>
                <w:rFonts w:ascii="宋体" w:hAnsi="宋体" w:cs="宋体"/>
                <w:szCs w:val="21"/>
              </w:rPr>
              <w:t xml:space="preserve">9</w:t>
            </w:r>
            <w:r>
              <w:rPr>
                <w:rFonts w:hint="eastAsia" w:ascii="宋体" w:hAnsi="宋体" w:cs="宋体"/>
                <w:szCs w:val="21"/>
              </w:rPr>
              <w:t xml:space="preserve">个月</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spacing w:line="360" w:lineRule="auto"/>
              <w:rPr>
                <w:rFonts w:hint="eastAsia" w:ascii="宋体" w:hAnsi="宋体" w:cs="宋体"/>
              </w:rPr>
            </w:pPr>
            <w:r>
              <w:rPr>
                <w:rFonts w:hint="eastAsia" w:ascii="宋体" w:hAnsi="宋体" w:cs="宋体"/>
                <w:szCs w:val="21"/>
              </w:rPr>
              <w:t xml:space="preserve">否</w:t>
            </w:r>
            <w:r>
              <w:rPr>
                <w:rFonts w:hint="eastAsia" w:ascii="宋体" w:hAnsi="宋体" w:cs="宋体"/>
              </w:rPr>
            </w:r>
            <w:r/>
          </w:p>
        </w:tc>
      </w:tr>
      <w:tr>
        <w:trPr>
          <w:trHeight w:val="429"/>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344"/>
              <w:jc w:val="center"/>
              <w:rPr>
                <w:rFonts w:ascii="宋体" w:hAnsi="宋体" w:cs="宋体"/>
              </w:rPr>
            </w:pPr>
            <w:r>
              <w:rPr>
                <w:rFonts w:hint="eastAsia" w:ascii="宋体" w:hAnsi="宋体" w:cs="宋体"/>
              </w:rPr>
              <w:t xml:space="preserve">7</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标准振动台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1套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49.6</w:t>
            </w:r>
            <w:r>
              <w:rPr>
                <w:rFonts w:ascii="宋体" w:hAnsi="宋体" w:cs="宋体"/>
                <w:szCs w:val="21"/>
              </w:rPr>
              <w:t xml:space="preserve">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合同签订后</w:t>
            </w:r>
            <w:r>
              <w:rPr>
                <w:rFonts w:ascii="宋体" w:hAnsi="宋体" w:cs="宋体"/>
                <w:szCs w:val="21"/>
              </w:rPr>
              <w:t xml:space="preserve">6</w:t>
            </w:r>
            <w:r>
              <w:rPr>
                <w:rFonts w:hint="eastAsia" w:ascii="宋体" w:hAnsi="宋体" w:cs="宋体"/>
                <w:szCs w:val="21"/>
              </w:rPr>
              <w:t xml:space="preserve">个月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r>
      <w:tr>
        <w:trPr>
          <w:trHeight w:val="429"/>
        </w:trPr>
        <w:tc>
          <w:tcPr>
            <w:tcBorders>
              <w:top w:val="single" w:color="000000" w:sz="4" w:space="0"/>
              <w:left w:val="single" w:color="000000" w:sz="4" w:space="0"/>
              <w:bottom w:val="none" w:color="000000" w:sz="0" w:space="0"/>
              <w:right w:val="single" w:color="000000" w:sz="4" w:space="0"/>
            </w:tcBorders>
            <w:tcW w:w="431" w:type="dxa"/>
            <w:vAlign w:val="center"/>
            <w:vMerge w:val="restart"/>
            <w:textDirection w:val="lrTb"/>
            <w:noWrap/>
          </w:tcPr>
          <w:p>
            <w:pPr>
              <w:pStyle w:val="1344"/>
              <w:jc w:val="center"/>
              <w:rPr>
                <w:rFonts w:ascii="宋体" w:hAnsi="宋体" w:cs="宋体"/>
              </w:rPr>
            </w:pPr>
            <w:r>
              <w:rPr>
                <w:rFonts w:hint="eastAsia" w:ascii="宋体" w:hAnsi="宋体" w:cs="宋体"/>
              </w:rPr>
              <w:t xml:space="preserve">8</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声校准器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spacing w:line="360" w:lineRule="auto"/>
              <w:rPr>
                <w:rFonts w:hint="eastAsia" w:ascii="宋体" w:hAnsi="宋体" w:cs="宋体"/>
                <w:szCs w:val="21"/>
              </w:rPr>
            </w:pPr>
            <w:r>
              <w:rPr>
                <w:rFonts w:ascii="宋体" w:hAnsi="宋体" w:cs="宋体"/>
                <w:szCs w:val="21"/>
              </w:rPr>
              <w:t xml:space="preserve">7.80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合同签订后</w:t>
            </w:r>
            <w:r>
              <w:rPr>
                <w:rFonts w:ascii="宋体" w:hAnsi="宋体" w:cs="宋体"/>
                <w:szCs w:val="21"/>
              </w:rPr>
              <w:t xml:space="preserve">6</w:t>
            </w:r>
            <w:r>
              <w:rPr>
                <w:rFonts w:hint="eastAsia" w:ascii="宋体" w:hAnsi="宋体" w:cs="宋体"/>
                <w:szCs w:val="21"/>
              </w:rPr>
              <w:t xml:space="preserve">个月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r>
      <w:tr>
        <w:trPr>
          <w:trHeight w:val="429"/>
        </w:trPr>
        <w:tc>
          <w:tcPr>
            <w:tcBorders>
              <w:top w:val="none" w:color="000000" w:sz="0" w:space="0"/>
              <w:left w:val="single" w:color="000000" w:sz="4" w:space="0"/>
              <w:bottom w:val="none" w:color="000000" w:sz="0" w:space="0"/>
              <w:right w:val="single" w:color="000000" w:sz="4" w:space="0"/>
            </w:tcBorders>
            <w:tcW w:w="431" w:type="dxa"/>
            <w:vAlign w:val="center"/>
            <w:vMerge w:val="continue"/>
            <w:textDirection w:val="lrTb"/>
            <w:noWrap/>
          </w:tcPr>
          <w:p>
            <w:pPr>
              <w:pStyle w:val="1344"/>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声校准器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4.0</w:t>
            </w:r>
            <w:r>
              <w:rPr>
                <w:rFonts w:ascii="宋体" w:hAnsi="宋体" w:cs="宋体"/>
                <w:szCs w:val="21"/>
              </w:rPr>
              <w:t xml:space="preserve">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合同签订后</w:t>
            </w:r>
            <w:r>
              <w:rPr>
                <w:rFonts w:ascii="宋体" w:hAnsi="宋体" w:cs="宋体"/>
                <w:szCs w:val="21"/>
              </w:rPr>
              <w:t xml:space="preserve">6</w:t>
            </w:r>
            <w:r>
              <w:rPr>
                <w:rFonts w:hint="eastAsia" w:ascii="宋体" w:hAnsi="宋体" w:cs="宋体"/>
                <w:szCs w:val="21"/>
              </w:rPr>
              <w:t xml:space="preserve">个月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r>
      <w:tr>
        <w:trPr>
          <w:trHeight w:val="429"/>
        </w:trPr>
        <w:tc>
          <w:tcPr>
            <w:tcBorders>
              <w:top w:val="none" w:color="000000" w:sz="0" w:space="0"/>
              <w:left w:val="single" w:color="000000" w:sz="4" w:space="0"/>
              <w:bottom w:val="single" w:color="000000" w:sz="4" w:space="0"/>
              <w:right w:val="single" w:color="000000" w:sz="4" w:space="0"/>
            </w:tcBorders>
            <w:tcW w:w="431" w:type="dxa"/>
            <w:vAlign w:val="center"/>
            <w:vMerge w:val="continue"/>
            <w:textDirection w:val="lrTb"/>
            <w:noWrap/>
          </w:tcPr>
          <w:p>
            <w:pPr>
              <w:pStyle w:val="1344"/>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多通道声分析仪</w:t>
            </w:r>
            <w:r>
              <w:rPr>
                <w:rFonts w:hint="eastAsia" w:ascii="宋体" w:hAnsi="宋体" w:cs="宋体"/>
                <w:b/>
                <w:bCs/>
                <w:color w:val="ff0000"/>
                <w:szCs w:val="21"/>
              </w:rPr>
              <w:t xml:space="preserve">（核心产品）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46.25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合同签订后</w:t>
            </w:r>
            <w:r>
              <w:rPr>
                <w:rFonts w:ascii="宋体" w:hAnsi="宋体" w:cs="宋体"/>
                <w:szCs w:val="21"/>
              </w:rPr>
              <w:t xml:space="preserve">6</w:t>
            </w:r>
            <w:r>
              <w:rPr>
                <w:rFonts w:hint="eastAsia" w:ascii="宋体" w:hAnsi="宋体" w:cs="宋体"/>
                <w:szCs w:val="21"/>
              </w:rPr>
              <w:t xml:space="preserve">个月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r>
      <w:tr>
        <w:trPr>
          <w:trHeight w:val="429"/>
        </w:trPr>
        <w:tc>
          <w:tcPr>
            <w:tcBorders>
              <w:top w:val="single" w:color="000000" w:sz="4" w:space="0"/>
              <w:left w:val="single" w:color="000000" w:sz="4" w:space="0"/>
              <w:bottom w:val="none" w:color="000000" w:sz="0" w:space="0"/>
              <w:right w:val="single" w:color="000000" w:sz="4" w:space="0"/>
            </w:tcBorders>
            <w:tcW w:w="431" w:type="dxa"/>
            <w:vAlign w:val="center"/>
            <w:vMerge w:val="restart"/>
            <w:textDirection w:val="lrTb"/>
            <w:noWrap/>
          </w:tcPr>
          <w:p>
            <w:pPr>
              <w:pStyle w:val="1344"/>
              <w:jc w:val="center"/>
              <w:rPr>
                <w:rFonts w:ascii="宋体" w:hAnsi="宋体" w:cs="宋体"/>
              </w:rPr>
            </w:pPr>
            <w:r>
              <w:rPr>
                <w:rFonts w:hint="eastAsia" w:ascii="宋体" w:hAnsi="宋体" w:cs="宋体"/>
              </w:rPr>
              <w:t xml:space="preserve">9</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铷原子频率标准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10.00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合同签订后</w:t>
            </w:r>
            <w:r>
              <w:rPr>
                <w:rFonts w:ascii="宋体" w:hAnsi="宋体" w:cs="宋体"/>
                <w:szCs w:val="21"/>
              </w:rPr>
              <w:t xml:space="preserve">6</w:t>
            </w:r>
            <w:r>
              <w:rPr>
                <w:rFonts w:hint="eastAsia" w:ascii="宋体" w:hAnsi="宋体" w:cs="宋体"/>
                <w:szCs w:val="21"/>
              </w:rPr>
              <w:t xml:space="preserve">个月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r>
      <w:tr>
        <w:trPr>
          <w:trHeight w:val="429"/>
        </w:trPr>
        <w:tc>
          <w:tcPr>
            <w:tcBorders>
              <w:top w:val="none" w:color="000000" w:sz="0" w:space="0"/>
              <w:left w:val="single" w:color="000000" w:sz="4" w:space="0"/>
              <w:bottom w:val="none" w:color="000000" w:sz="0" w:space="0"/>
              <w:right w:val="single" w:color="000000" w:sz="4" w:space="0"/>
            </w:tcBorders>
            <w:tcW w:w="431" w:type="dxa"/>
            <w:vAlign w:val="center"/>
            <w:vMerge w:val="continue"/>
            <w:textDirection w:val="lrTb"/>
            <w:noWrap/>
          </w:tcPr>
          <w:p>
            <w:pPr>
              <w:pStyle w:val="1344"/>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频标比对器</w:t>
            </w:r>
            <w:r>
              <w:rPr>
                <w:rFonts w:hint="eastAsia" w:ascii="宋体" w:hAnsi="宋体" w:cs="宋体"/>
                <w:b/>
                <w:bCs/>
                <w:color w:val="ff0000"/>
                <w:szCs w:val="21"/>
              </w:rPr>
              <w:t xml:space="preserve">（核心产品）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16.00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合同签订后</w:t>
            </w:r>
            <w:r>
              <w:rPr>
                <w:rFonts w:ascii="宋体" w:hAnsi="宋体" w:cs="宋体"/>
                <w:szCs w:val="21"/>
              </w:rPr>
              <w:t xml:space="preserve">6</w:t>
            </w:r>
            <w:r>
              <w:rPr>
                <w:rFonts w:hint="eastAsia" w:ascii="宋体" w:hAnsi="宋体" w:cs="宋体"/>
                <w:szCs w:val="21"/>
              </w:rPr>
              <w:t xml:space="preserve">个月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spacing w:line="360" w:lineRule="auto"/>
              <w:rPr>
                <w:rFonts w:hint="eastAsia" w:ascii="宋体" w:hAnsi="宋体" w:cs="宋体"/>
                <w:szCs w:val="21"/>
                <w:highlight w:val="yellow"/>
              </w:rPr>
            </w:pPr>
            <w:r>
              <w:rPr>
                <w:rFonts w:hint="eastAsia" w:ascii="宋体" w:hAnsi="宋体" w:cs="宋体"/>
                <w:szCs w:val="21"/>
              </w:rPr>
              <w:t xml:space="preserve">否</w:t>
            </w:r>
            <w:r>
              <w:rPr>
                <w:rFonts w:hint="eastAsia" w:ascii="宋体" w:hAnsi="宋体" w:cs="宋体"/>
                <w:szCs w:val="21"/>
                <w:highlight w:val="yellow"/>
              </w:rPr>
            </w:r>
            <w:r/>
          </w:p>
        </w:tc>
      </w:tr>
      <w:tr>
        <w:trPr>
          <w:trHeight w:val="429"/>
        </w:trPr>
        <w:tc>
          <w:tcPr>
            <w:tcBorders>
              <w:top w:val="none" w:color="000000" w:sz="0" w:space="0"/>
              <w:left w:val="single" w:color="000000" w:sz="4" w:space="0"/>
              <w:bottom w:val="single" w:color="000000" w:sz="4" w:space="0"/>
              <w:right w:val="single" w:color="000000" w:sz="4" w:space="0"/>
            </w:tcBorders>
            <w:tcW w:w="431" w:type="dxa"/>
            <w:vAlign w:val="center"/>
            <w:vMerge w:val="continue"/>
            <w:textDirection w:val="lrTb"/>
            <w:noWrap/>
          </w:tcPr>
          <w:p>
            <w:pPr>
              <w:pStyle w:val="1344"/>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通用计数器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5.00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合同签订后</w:t>
            </w:r>
            <w:r>
              <w:rPr>
                <w:rFonts w:ascii="宋体" w:hAnsi="宋体" w:cs="宋体"/>
                <w:szCs w:val="21"/>
              </w:rPr>
              <w:t xml:space="preserve">6</w:t>
            </w:r>
            <w:r>
              <w:rPr>
                <w:rFonts w:hint="eastAsia" w:ascii="宋体" w:hAnsi="宋体" w:cs="宋体"/>
                <w:szCs w:val="21"/>
              </w:rPr>
              <w:t xml:space="preserve">个月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spacing w:line="360" w:lineRule="auto"/>
              <w:rPr>
                <w:rFonts w:hint="eastAsia" w:ascii="宋体" w:hAnsi="宋体" w:cs="宋体"/>
                <w:szCs w:val="21"/>
                <w:highlight w:val="yellow"/>
              </w:rPr>
            </w:pPr>
            <w:r>
              <w:rPr>
                <w:rFonts w:hint="eastAsia" w:ascii="宋体" w:hAnsi="宋体" w:cs="宋体"/>
                <w:szCs w:val="21"/>
              </w:rPr>
              <w:t xml:space="preserve">否</w:t>
            </w:r>
            <w:r>
              <w:rPr>
                <w:rFonts w:hint="eastAsia" w:ascii="宋体" w:hAnsi="宋体" w:cs="宋体"/>
                <w:szCs w:val="21"/>
                <w:highlight w:val="yellow"/>
              </w:rPr>
            </w:r>
            <w:r/>
          </w:p>
        </w:tc>
      </w:tr>
      <w:tr>
        <w:trPr>
          <w:trHeight w:val="429"/>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344"/>
              <w:jc w:val="center"/>
              <w:rPr>
                <w:rFonts w:ascii="宋体" w:hAnsi="宋体" w:cs="宋体"/>
              </w:rPr>
            </w:pPr>
            <w:r>
              <w:rPr>
                <w:rFonts w:hint="eastAsia" w:ascii="宋体" w:hAnsi="宋体" w:cs="宋体"/>
              </w:rPr>
              <w:t xml:space="preserve">10</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1344"/>
              <w:jc w:val="center"/>
              <w:rPr>
                <w:rFonts w:hint="eastAsia" w:ascii="宋体" w:hAnsi="宋体" w:cs="宋体"/>
                <w:szCs w:val="21"/>
              </w:rPr>
            </w:pPr>
            <w:r>
              <w:rPr>
                <w:rFonts w:hint="eastAsia" w:ascii="宋体" w:hAnsi="宋体" w:cs="宋体"/>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rPr>
                <w:rFonts w:hint="eastAsia" w:ascii="宋体" w:hAnsi="宋体" w:cs="宋体"/>
                <w:szCs w:val="21"/>
              </w:rPr>
            </w:pPr>
            <w:r>
              <w:rPr>
                <w:rFonts w:hint="eastAsia" w:ascii="宋体" w:hAnsi="宋体" w:eastAsia="宋体" w:cs="宋体"/>
                <w:szCs w:val="21"/>
              </w:rPr>
              <w:t xml:space="preserve">0.01级三相标准功率电能表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rPr>
                <w:rFonts w:hint="eastAsia" w:ascii="宋体" w:hAnsi="宋体" w:cs="宋体"/>
                <w:szCs w:val="21"/>
              </w:rPr>
            </w:pPr>
            <w:r>
              <w:rPr>
                <w:rFonts w:hint="eastAsia" w:ascii="宋体" w:hAnsi="宋体" w:cs="宋体"/>
              </w:rPr>
              <w:t xml:space="preserve">1台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rPr>
                <w:rFonts w:hint="eastAsia" w:ascii="宋体" w:hAnsi="宋体" w:cs="宋体"/>
                <w:szCs w:val="21"/>
              </w:rPr>
            </w:pPr>
            <w:r>
              <w:rPr>
                <w:rFonts w:hint="eastAsia" w:ascii="宋体" w:hAnsi="宋体" w:cs="宋体"/>
              </w:rPr>
              <w:t xml:space="preserve">60.00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rPr>
                <w:rFonts w:hint="eastAsia" w:ascii="宋体" w:hAnsi="宋体" w:cs="宋体"/>
                <w:szCs w:val="21"/>
              </w:rPr>
            </w:pPr>
            <w:r>
              <w:rPr>
                <w:rFonts w:hint="eastAsia" w:ascii="宋体" w:hAnsi="宋体" w:cs="宋体"/>
              </w:rPr>
              <w:t xml:space="preserve">合同签订后6个月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rPr>
                <w:rFonts w:hint="eastAsia" w:ascii="宋体" w:hAnsi="宋体" w:cs="宋体"/>
                <w:szCs w:val="21"/>
              </w:rPr>
            </w:pPr>
            <w:r>
              <w:rPr>
                <w:rFonts w:hint="eastAsia" w:ascii="宋体" w:hAnsi="宋体" w:cs="宋体"/>
              </w:rPr>
              <w:t xml:space="preserve">否</w:t>
            </w:r>
            <w:r>
              <w:rPr>
                <w:rFonts w:hint="eastAsia" w:ascii="宋体" w:hAnsi="宋体" w:cs="宋体"/>
                <w:szCs w:val="21"/>
              </w:rPr>
            </w:r>
            <w:r/>
          </w:p>
        </w:tc>
      </w:tr>
    </w:tbl>
    <w:p>
      <w:pPr>
        <w:pStyle w:val="1344"/>
        <w:ind w:firstLine="420"/>
        <w:spacing w:line="360" w:lineRule="auto"/>
        <w:rPr>
          <w:rFonts w:hint="eastAsia" w:ascii="宋体" w:hAnsi="宋体" w:cs="宋体"/>
          <w:szCs w:val="21"/>
        </w:rPr>
      </w:pPr>
      <w:r>
        <w:rPr>
          <w:rFonts w:hint="eastAsia" w:ascii="宋体" w:hAnsi="宋体" w:cs="宋体"/>
          <w:szCs w:val="21"/>
        </w:rPr>
        <w:t xml:space="preserve">6.合同履行期限（交货期）：见采购需求</w:t>
      </w:r>
      <w:r>
        <w:rPr>
          <w:rFonts w:hint="eastAsia" w:ascii="宋体" w:hAnsi="宋体" w:cs="宋体"/>
          <w:szCs w:val="21"/>
        </w:rPr>
      </w:r>
      <w:r/>
    </w:p>
    <w:p>
      <w:pPr>
        <w:pStyle w:val="1344"/>
        <w:ind w:firstLine="420"/>
        <w:spacing w:line="360" w:lineRule="auto"/>
        <w:rPr>
          <w:rFonts w:hint="eastAsia" w:ascii="宋体" w:hAnsi="宋体" w:cs="宋体"/>
          <w:szCs w:val="21"/>
        </w:rPr>
      </w:pPr>
      <w:r>
        <w:rPr>
          <w:rFonts w:hint="eastAsia" w:ascii="宋体" w:hAnsi="宋体" w:cs="宋体"/>
          <w:szCs w:val="21"/>
        </w:rPr>
        <w:t xml:space="preserve">7.本项目不接受联合体投标，中标后不允许转包、分包。</w:t>
      </w:r>
      <w:r>
        <w:rPr>
          <w:rFonts w:hint="eastAsia" w:ascii="宋体" w:hAnsi="宋体" w:cs="宋体"/>
          <w:szCs w:val="21"/>
        </w:rPr>
      </w:r>
      <w:r/>
    </w:p>
    <w:p>
      <w:pPr>
        <w:pStyle w:val="1344"/>
        <w:spacing w:line="360" w:lineRule="auto"/>
        <w:rPr>
          <w:rFonts w:hint="eastAsia" w:ascii="宋体" w:hAnsi="宋体" w:cs="宋体"/>
          <w:b/>
          <w:bCs/>
          <w:szCs w:val="21"/>
        </w:rPr>
      </w:pPr>
      <w:r/>
      <w:bookmarkStart w:id="8" w:name="_Toc28359003"/>
      <w:r/>
      <w:bookmarkStart w:id="9" w:name="_Toc28359080"/>
      <w:r/>
      <w:bookmarkStart w:id="10" w:name="_Toc35393622"/>
      <w:r/>
      <w:bookmarkStart w:id="11" w:name="_Toc35393791"/>
      <w:r>
        <w:rPr>
          <w:rFonts w:hint="eastAsia" w:ascii="宋体" w:hAnsi="宋体" w:cs="宋体"/>
          <w:b/>
          <w:bCs/>
          <w:szCs w:val="21"/>
        </w:rPr>
        <w:t xml:space="preserve">二、申请人的资格要求</w:t>
      </w:r>
      <w:bookmarkEnd w:id="8"/>
      <w:r/>
      <w:bookmarkEnd w:id="9"/>
      <w:r/>
      <w:bookmarkEnd w:id="10"/>
      <w:r/>
      <w:bookmarkEnd w:id="11"/>
      <w:r>
        <w:rPr>
          <w:rFonts w:hint="eastAsia" w:ascii="宋体" w:hAnsi="宋体" w:cs="宋体"/>
          <w:b/>
          <w:bCs/>
          <w:szCs w:val="21"/>
        </w:rPr>
      </w:r>
      <w:r/>
    </w:p>
    <w:p>
      <w:pPr>
        <w:pStyle w:val="1344"/>
        <w:spacing w:line="360" w:lineRule="auto"/>
        <w:widowControl/>
        <w:rPr>
          <w:rFonts w:hint="eastAsia" w:ascii="宋体" w:hAnsi="宋体" w:cs="宋体"/>
          <w:b/>
          <w:bCs/>
          <w:szCs w:val="21"/>
        </w:rPr>
      </w:pPr>
      <w:r/>
      <w:bookmarkStart w:id="12" w:name="_Toc28359081"/>
      <w:r/>
      <w:bookmarkStart w:id="13" w:name="_Toc28359004"/>
      <w:r>
        <w:rPr>
          <w:rFonts w:hint="eastAsia" w:ascii="宋体" w:hAnsi="宋体" w:cs="宋体"/>
          <w:b/>
          <w:bCs/>
          <w:szCs w:val="21"/>
        </w:rPr>
        <w:t xml:space="preserve">（一）满足《中华人民共和国政府采购法》第二十二条规定：</w:t>
      </w:r>
      <w:r>
        <w:rPr>
          <w:rFonts w:hint="eastAsia" w:ascii="宋体" w:hAnsi="宋体" w:cs="宋体"/>
          <w:b/>
          <w:bCs/>
          <w:szCs w:val="21"/>
        </w:rPr>
      </w:r>
      <w:r/>
    </w:p>
    <w:p>
      <w:pPr>
        <w:pStyle w:val="1344"/>
        <w:ind w:firstLine="420"/>
        <w:spacing w:line="480" w:lineRule="exact"/>
        <w:widowControl/>
        <w:rPr>
          <w:rFonts w:hint="eastAsia" w:ascii="宋体" w:cs="宋体"/>
          <w:szCs w:val="21"/>
        </w:rPr>
      </w:pPr>
      <w:r>
        <w:rPr>
          <w:rFonts w:hint="eastAsia" w:ascii="宋体" w:cs="宋体"/>
          <w:szCs w:val="21"/>
        </w:rPr>
        <w:t xml:space="preserve">1.</w:t>
      </w:r>
      <w:r>
        <w:rPr>
          <w:rFonts w:hint="eastAsia" w:ascii="宋体" w:cs="宋体"/>
        </w:rPr>
        <w:t xml:space="preserve">具有独立承担民事责任的能力，提供法人或其他组织的营业执照等证明文件，复印件加盖公章</w:t>
      </w:r>
      <w:r>
        <w:rPr>
          <w:rFonts w:hint="eastAsia" w:ascii="宋体" w:cs="宋体"/>
          <w:szCs w:val="21"/>
        </w:rPr>
        <w:t xml:space="preserve">；</w:t>
      </w:r>
      <w:r>
        <w:rPr>
          <w:rFonts w:hint="eastAsia" w:ascii="宋体" w:cs="宋体"/>
          <w:szCs w:val="21"/>
        </w:rPr>
      </w:r>
      <w:r/>
    </w:p>
    <w:p>
      <w:pPr>
        <w:pStyle w:val="1344"/>
        <w:ind w:firstLine="420"/>
        <w:spacing w:line="480" w:lineRule="exact"/>
        <w:widowControl/>
        <w:rPr>
          <w:rFonts w:hint="eastAsia" w:ascii="宋体" w:cs="宋体"/>
          <w:szCs w:val="21"/>
        </w:rPr>
      </w:pPr>
      <w:r>
        <w:rPr>
          <w:rFonts w:hint="eastAsia" w:ascii="宋体" w:cs="宋体"/>
          <w:szCs w:val="21"/>
        </w:rPr>
        <w:t xml:space="preserve">2.法人代表授权书（原件）及法定代表人、授权代表身份证复印件（如果是法定代表人直接参与投标的可以不提供授权书）；</w:t>
      </w:r>
      <w:r>
        <w:rPr>
          <w:rFonts w:hint="eastAsia" w:ascii="宋体" w:cs="宋体"/>
          <w:szCs w:val="21"/>
        </w:rPr>
      </w:r>
      <w:r/>
    </w:p>
    <w:p>
      <w:pPr>
        <w:pStyle w:val="1344"/>
        <w:ind w:firstLine="420"/>
        <w:spacing w:line="480" w:lineRule="exact"/>
        <w:widowControl/>
        <w:rPr>
          <w:rFonts w:hint="eastAsia" w:ascii="宋体" w:cs="宋体"/>
          <w:szCs w:val="21"/>
        </w:rPr>
      </w:pPr>
      <w:r>
        <w:rPr>
          <w:rFonts w:hint="eastAsia" w:ascii="宋体" w:cs="宋体"/>
          <w:szCs w:val="21"/>
        </w:rPr>
        <w:t xml:space="preserve">3.具有良好的商业信誉和健全的财务会计制度，提供</w:t>
      </w:r>
      <w:r>
        <w:rPr>
          <w:rFonts w:hint="eastAsia" w:ascii="宋体" w:cs="宋体"/>
        </w:rPr>
        <w:t xml:space="preserve">距开标时间六个月内任意一月份的</w:t>
      </w:r>
      <w:r>
        <w:rPr>
          <w:rFonts w:hint="eastAsia" w:ascii="宋体" w:cs="宋体"/>
          <w:szCs w:val="21"/>
        </w:rPr>
        <w:t xml:space="preserve">财务状况报告（至少包括资产负债表和利润表）（法人或者其他组织成立未满三个月的可以不提供），或其银行出具的资信证书（复印件）（开标前六个月内），或其上一年度（2025年度）经审计的财务报告复印件加盖公章；</w:t>
      </w:r>
      <w:r>
        <w:rPr>
          <w:rFonts w:hint="eastAsia" w:ascii="宋体" w:cs="宋体"/>
          <w:szCs w:val="21"/>
        </w:rPr>
      </w:r>
      <w:r/>
    </w:p>
    <w:p>
      <w:pPr>
        <w:pStyle w:val="1344"/>
        <w:ind w:firstLine="420"/>
        <w:spacing w:line="480" w:lineRule="exact"/>
        <w:widowControl/>
        <w:rPr>
          <w:rFonts w:hint="eastAsia" w:ascii="宋体" w:cs="宋体"/>
        </w:rPr>
      </w:pPr>
      <w:r>
        <w:rPr>
          <w:rFonts w:hint="eastAsia" w:ascii="宋体" w:cs="宋体"/>
          <w:szCs w:val="21"/>
        </w:rPr>
        <w:t xml:space="preserve">4.</w:t>
      </w:r>
      <w:r>
        <w:rPr>
          <w:rFonts w:hint="eastAsia" w:ascii="宋体" w:cs="宋体"/>
        </w:rPr>
        <w:t xml:space="preserve">具有履行合同所必需的设备和专业技术能力（根据项目需求提供履行合同所必需的设备和专业技术能力的证明材料或相关加盖公章的承诺函，承诺函自行编写）；</w:t>
      </w:r>
      <w:r>
        <w:rPr>
          <w:rFonts w:hint="eastAsia" w:ascii="宋体" w:cs="宋体"/>
        </w:rPr>
      </w:r>
      <w:r/>
    </w:p>
    <w:p>
      <w:pPr>
        <w:pStyle w:val="1344"/>
        <w:ind w:firstLine="420"/>
        <w:spacing w:line="480" w:lineRule="exact"/>
        <w:widowControl/>
        <w:rPr>
          <w:rFonts w:hint="eastAsia" w:ascii="宋体" w:cs="宋体"/>
          <w:szCs w:val="21"/>
        </w:rPr>
      </w:pPr>
      <w:r>
        <w:rPr>
          <w:rFonts w:hint="eastAsia" w:ascii="宋体" w:cs="宋体"/>
          <w:szCs w:val="21"/>
        </w:rPr>
        <w:t xml:space="preserve">5.参加政府采购活动近三年内</w:t>
      </w:r>
      <w:r>
        <w:rPr>
          <w:rFonts w:hint="eastAsia" w:ascii="宋体" w:cs="宋体"/>
        </w:rPr>
        <w:t xml:space="preserve">（成立时间不足三年的、自成立时间起）</w:t>
      </w:r>
      <w:r>
        <w:rPr>
          <w:rFonts w:hint="eastAsia" w:ascii="宋体" w:cs="宋体"/>
          <w:szCs w:val="21"/>
        </w:rPr>
        <w:t xml:space="preserve">，在经营活动中没有重大违法记录（提供承诺书，格式自拟，</w:t>
      </w:r>
      <w:r>
        <w:rPr>
          <w:rFonts w:hint="eastAsia" w:ascii="宋体" w:cs="宋体"/>
        </w:rPr>
        <w:t xml:space="preserve">重大违法记录是指供应商因违法经营受到刑事处罚或责令停产停业、吊销许可证或者执照、较大数额罚款等行政处罚</w:t>
      </w:r>
      <w:r>
        <w:rPr>
          <w:rFonts w:hint="eastAsia" w:ascii="宋体" w:cs="宋体"/>
          <w:szCs w:val="21"/>
        </w:rPr>
        <w:t xml:space="preserve">）；</w:t>
      </w:r>
      <w:r>
        <w:rPr>
          <w:rFonts w:hint="eastAsia" w:ascii="宋体" w:cs="宋体"/>
          <w:szCs w:val="21"/>
        </w:rPr>
      </w:r>
      <w:r/>
    </w:p>
    <w:p>
      <w:pPr>
        <w:pStyle w:val="1344"/>
        <w:ind w:firstLine="420"/>
        <w:spacing w:line="480" w:lineRule="exact"/>
        <w:widowControl/>
        <w:rPr>
          <w:rFonts w:hint="eastAsia" w:ascii="宋体" w:cs="宋体"/>
          <w:szCs w:val="21"/>
        </w:rPr>
      </w:pPr>
      <w:r>
        <w:rPr>
          <w:rFonts w:hint="eastAsia" w:ascii="宋体" w:cs="宋体"/>
          <w:szCs w:val="21"/>
        </w:rPr>
        <w:t xml:space="preserve">6.</w:t>
      </w:r>
      <w:r>
        <w:rPr>
          <w:rFonts w:hint="eastAsia" w:ascii="宋体" w:cs="宋体"/>
        </w:rPr>
        <w:t xml:space="preserve">有依法缴纳税收的良好记录</w:t>
      </w:r>
      <w:r>
        <w:rPr>
          <w:rFonts w:hint="eastAsia" w:ascii="宋体" w:cs="宋体"/>
          <w:szCs w:val="21"/>
        </w:rPr>
        <w:t xml:space="preserve">，</w:t>
      </w:r>
      <w:r>
        <w:rPr>
          <w:rFonts w:hint="eastAsia" w:ascii="宋体" w:cs="宋体"/>
        </w:rPr>
        <w:t xml:space="preserve">提供距开标时间六个月内任意一月份的纳税凭据复印件加盖公章（依法免税的应提供相应文件说明）；</w:t>
      </w:r>
      <w:r>
        <w:rPr>
          <w:rFonts w:hint="eastAsia" w:ascii="宋体" w:cs="宋体"/>
          <w:szCs w:val="21"/>
        </w:rPr>
      </w:r>
      <w:r/>
    </w:p>
    <w:p>
      <w:pPr>
        <w:pStyle w:val="1344"/>
        <w:ind w:firstLine="420"/>
        <w:spacing w:line="480" w:lineRule="exact"/>
        <w:widowControl/>
        <w:rPr>
          <w:rFonts w:hint="eastAsia" w:ascii="宋体" w:hAnsi="宋体" w:cs="宋体"/>
          <w:szCs w:val="21"/>
        </w:rPr>
      </w:pPr>
      <w:r>
        <w:rPr>
          <w:rFonts w:hint="eastAsia" w:ascii="宋体" w:cs="宋体"/>
          <w:szCs w:val="21"/>
        </w:rPr>
        <w:t xml:space="preserve">7.有依法缴纳</w:t>
      </w:r>
      <w:r>
        <w:rPr>
          <w:rFonts w:hint="eastAsia" w:ascii="宋体" w:cs="宋体"/>
        </w:rPr>
        <w:t xml:space="preserve">社会保障资金的良好记录</w:t>
      </w:r>
      <w:r>
        <w:rPr>
          <w:rFonts w:hint="eastAsia" w:ascii="宋体" w:cs="宋体"/>
          <w:szCs w:val="21"/>
        </w:rPr>
        <w:t xml:space="preserve">，</w:t>
      </w:r>
      <w:r>
        <w:rPr>
          <w:rFonts w:hint="eastAsia" w:ascii="宋体" w:cs="宋体"/>
        </w:rPr>
        <w:t xml:space="preserve">提供距开标时间六个月内任意一月份的依法缴纳社会保障资金的凭据复印件加盖公章</w:t>
      </w:r>
      <w:r>
        <w:rPr>
          <w:rFonts w:hint="eastAsia" w:ascii="宋体" w:hAnsi="宋体" w:cs="宋体"/>
          <w:szCs w:val="21"/>
        </w:rPr>
        <w:t xml:space="preserve">。</w:t>
      </w:r>
      <w:r>
        <w:rPr>
          <w:rFonts w:hint="eastAsia" w:ascii="宋体" w:hAnsi="宋体" w:cs="宋体"/>
          <w:szCs w:val="21"/>
        </w:rPr>
      </w:r>
      <w:r/>
    </w:p>
    <w:p>
      <w:pPr>
        <w:pStyle w:val="1344"/>
        <w:spacing w:line="360" w:lineRule="auto"/>
        <w:rPr>
          <w:rFonts w:hint="eastAsia" w:ascii="宋体" w:hAnsi="宋体" w:cs="宋体"/>
          <w:szCs w:val="21"/>
        </w:rPr>
      </w:pPr>
      <w:r>
        <w:rPr>
          <w:rFonts w:hint="eastAsia" w:ascii="宋体" w:hAnsi="宋体" w:cs="宋体"/>
          <w:b/>
          <w:bCs/>
          <w:szCs w:val="21"/>
        </w:rPr>
        <w:t xml:space="preserve">（二）落实政府采购政策需满足的资格要求：</w:t>
      </w:r>
      <w:r>
        <w:rPr>
          <w:rFonts w:hint="eastAsia" w:ascii="宋体" w:hAnsi="宋体" w:cs="宋体"/>
          <w:szCs w:val="21"/>
        </w:rPr>
        <w:t xml:space="preserve">无（本项目不属于专门面向中小企业采购的项目）</w:t>
      </w:r>
      <w:r>
        <w:rPr>
          <w:rFonts w:hint="eastAsia" w:ascii="宋体" w:hAnsi="宋体" w:cs="宋体"/>
          <w:szCs w:val="21"/>
        </w:rPr>
      </w:r>
      <w:r/>
    </w:p>
    <w:p>
      <w:pPr>
        <w:pStyle w:val="1344"/>
        <w:spacing w:line="360" w:lineRule="auto"/>
        <w:widowControl/>
        <w:rPr>
          <w:rFonts w:hint="eastAsia" w:ascii="宋体" w:hAnsi="宋体" w:cs="宋体"/>
          <w:b/>
          <w:bCs/>
          <w:szCs w:val="21"/>
        </w:rPr>
      </w:pPr>
      <w:r>
        <w:rPr>
          <w:rFonts w:hint="eastAsia" w:ascii="宋体" w:hAnsi="宋体" w:cs="宋体"/>
          <w:b/>
          <w:bCs/>
          <w:szCs w:val="21"/>
        </w:rPr>
        <w:t xml:space="preserve">（三）本项目的特定资格要求：</w:t>
      </w:r>
      <w:r>
        <w:rPr>
          <w:rFonts w:hint="eastAsia" w:ascii="宋体" w:hAnsi="宋体" w:cs="宋体"/>
          <w:b/>
          <w:bCs/>
          <w:szCs w:val="21"/>
        </w:rPr>
      </w:r>
      <w:r/>
    </w:p>
    <w:p>
      <w:pPr>
        <w:pStyle w:val="1344"/>
        <w:ind w:firstLine="420"/>
        <w:spacing w:line="360" w:lineRule="auto"/>
        <w:widowControl/>
        <w:rPr>
          <w:rFonts w:hint="eastAsia" w:ascii="宋体" w:hAnsi="宋体" w:cs="宋体"/>
          <w:szCs w:val="21"/>
        </w:rPr>
      </w:pPr>
      <w:r>
        <w:rPr>
          <w:rFonts w:hint="eastAsia" w:ascii="宋体" w:hAnsi="宋体" w:cs="宋体"/>
          <w:szCs w:val="21"/>
        </w:rPr>
        <w:t xml:space="preserve">1.本次采购不接受进口产品投标。【注：本文件所称进口产品是指通过中国海关报关验放进入中国境内且产自关境外的产品】</w:t>
      </w:r>
      <w:r>
        <w:rPr>
          <w:rFonts w:hint="eastAsia" w:ascii="宋体" w:hAnsi="宋体" w:cs="宋体"/>
          <w:szCs w:val="21"/>
        </w:rPr>
      </w:r>
      <w:r/>
    </w:p>
    <w:p>
      <w:pPr>
        <w:pStyle w:val="1344"/>
        <w:ind w:firstLine="420"/>
        <w:spacing w:line="360" w:lineRule="auto"/>
        <w:rPr>
          <w:rFonts w:hint="eastAsia" w:ascii="宋体" w:hAnsi="宋体" w:cs="宋体"/>
          <w:szCs w:val="21"/>
        </w:rPr>
      </w:pPr>
      <w:r>
        <w:rPr>
          <w:rFonts w:hint="eastAsia" w:ascii="宋体" w:hAnsi="宋体" w:cs="宋体"/>
          <w:szCs w:val="21"/>
        </w:rPr>
        <w:t xml:space="preserve">2.拒绝下述供应商参加本次采购活动的情形：</w:t>
      </w:r>
      <w:r>
        <w:rPr>
          <w:rFonts w:hint="eastAsia" w:ascii="宋体" w:hAnsi="宋体" w:cs="宋体"/>
          <w:szCs w:val="21"/>
        </w:rPr>
      </w:r>
      <w:r/>
    </w:p>
    <w:p>
      <w:pPr>
        <w:pStyle w:val="1344"/>
        <w:ind w:firstLine="420"/>
        <w:spacing w:line="360" w:lineRule="auto"/>
        <w:rPr>
          <w:rFonts w:hint="eastAsia" w:ascii="宋体" w:hAnsi="宋体" w:cs="宋体"/>
          <w:szCs w:val="21"/>
        </w:rPr>
      </w:pPr>
      <w:r>
        <w:rPr>
          <w:rFonts w:hint="eastAsia" w:ascii="宋体" w:hAnsi="宋体" w:cs="宋体"/>
          <w:szCs w:val="21"/>
        </w:rPr>
        <w:t xml:space="preserve">（1）供应商单位负责人为同一人或者存在直接控股、管理关系的不同供应商，不得参加同一合同项下的政府采购活动。</w:t>
      </w:r>
      <w:r>
        <w:rPr>
          <w:rFonts w:hint="eastAsia" w:ascii="宋体" w:hAnsi="宋体" w:cs="宋体"/>
          <w:szCs w:val="21"/>
        </w:rPr>
      </w:r>
      <w:r/>
    </w:p>
    <w:p>
      <w:pPr>
        <w:pStyle w:val="1344"/>
        <w:ind w:firstLine="420"/>
        <w:spacing w:line="360" w:lineRule="auto"/>
        <w:rPr>
          <w:rFonts w:hint="eastAsia" w:ascii="宋体" w:hAnsi="宋体" w:cs="宋体"/>
          <w:szCs w:val="21"/>
        </w:rPr>
      </w:pPr>
      <w:r>
        <w:rPr>
          <w:rFonts w:hint="eastAsia" w:ascii="宋体" w:hAnsi="宋体" w:cs="宋体"/>
          <w:szCs w:val="21"/>
        </w:rPr>
        <w:t xml:space="preserve">（2）凡为采购项目提供整体设计、规范编制或者项目管理、监理、检测等服务的供应商，不得再参加本项目的采购活动。</w:t>
      </w:r>
      <w:r>
        <w:rPr>
          <w:rFonts w:hint="eastAsia" w:ascii="宋体" w:hAnsi="宋体" w:cs="宋体"/>
          <w:szCs w:val="21"/>
        </w:rPr>
      </w:r>
      <w:r/>
    </w:p>
    <w:p>
      <w:pPr>
        <w:pStyle w:val="1344"/>
        <w:ind w:firstLine="420"/>
        <w:spacing w:line="360" w:lineRule="auto"/>
        <w:rPr>
          <w:rFonts w:hint="eastAsia" w:ascii="宋体" w:hAnsi="宋体" w:cs="宋体"/>
          <w:szCs w:val="21"/>
        </w:rPr>
      </w:pPr>
      <w:r>
        <w:rPr>
          <w:rFonts w:hint="eastAsia" w:ascii="宋体" w:hAnsi="宋体" w:cs="宋体"/>
          <w:szCs w:val="21"/>
        </w:rPr>
        <w:t xml:space="preserve">（3）拒绝列入失信被执行人、重大税收违法案件当事人名单、政府采购严重违法失信行为记录名单的供应商参与政府采购活动。</w:t>
      </w:r>
      <w:r>
        <w:rPr>
          <w:rFonts w:hint="eastAsia" w:ascii="宋体" w:hAnsi="宋体" w:cs="宋体"/>
          <w:szCs w:val="21"/>
        </w:rPr>
      </w:r>
      <w:r/>
    </w:p>
    <w:p>
      <w:pPr>
        <w:pStyle w:val="1344"/>
        <w:spacing w:line="360" w:lineRule="auto"/>
        <w:widowControl/>
        <w:rPr>
          <w:rFonts w:hint="eastAsia" w:ascii="宋体" w:hAnsi="宋体" w:cs="宋体"/>
          <w:szCs w:val="21"/>
        </w:rPr>
      </w:pPr>
      <w:r/>
      <w:bookmarkStart w:id="14" w:name="_Toc35393623"/>
      <w:r/>
      <w:bookmarkStart w:id="15" w:name="_Toc35393792"/>
      <w:r>
        <w:rPr>
          <w:rFonts w:hint="eastAsia" w:ascii="宋体" w:hAnsi="宋体" w:cs="宋体"/>
          <w:b/>
          <w:bCs/>
          <w:szCs w:val="21"/>
        </w:rPr>
        <w:t xml:space="preserve">三、获取招标文件</w:t>
      </w:r>
      <w:bookmarkEnd w:id="12"/>
      <w:r/>
      <w:bookmarkEnd w:id="13"/>
      <w:r/>
      <w:bookmarkEnd w:id="14"/>
      <w:r/>
      <w:bookmarkEnd w:id="15"/>
      <w:r>
        <w:rPr>
          <w:rFonts w:hint="eastAsia" w:ascii="宋体" w:hAnsi="宋体" w:cs="宋体"/>
          <w:szCs w:val="21"/>
        </w:rPr>
      </w:r>
      <w:r/>
    </w:p>
    <w:p>
      <w:pPr>
        <w:pStyle w:val="1344"/>
        <w:ind w:firstLine="420"/>
        <w:spacing w:line="360" w:lineRule="auto"/>
        <w:rPr>
          <w:rFonts w:hint="eastAsia" w:ascii="宋体" w:hAnsi="宋体" w:cs="宋体"/>
          <w:szCs w:val="21"/>
        </w:rPr>
      </w:pPr>
      <w:r>
        <w:rPr>
          <w:rFonts w:hint="eastAsia" w:ascii="宋体" w:hAnsi="宋体" w:cs="宋体"/>
          <w:szCs w:val="21"/>
        </w:rPr>
        <w:t xml:space="preserve">时间：自招标文件公告发布之日起5个工作日。</w:t>
      </w:r>
      <w:bookmarkStart w:id="16" w:name="_Toc28359082"/>
      <w:r/>
      <w:bookmarkStart w:id="17" w:name="_Toc28359005"/>
      <w:r/>
      <w:bookmarkStart w:id="18" w:name="_Toc35393793"/>
      <w:r/>
      <w:bookmarkStart w:id="19" w:name="_Toc35393624"/>
      <w:r>
        <w:rPr>
          <w:rFonts w:hint="eastAsia" w:ascii="宋体" w:hAnsi="宋体" w:cs="宋体"/>
          <w:szCs w:val="21"/>
        </w:rPr>
      </w:r>
      <w:r/>
    </w:p>
    <w:p>
      <w:pPr>
        <w:pStyle w:val="1344"/>
        <w:ind w:firstLine="420"/>
        <w:spacing w:line="360" w:lineRule="auto"/>
        <w:rPr>
          <w:rFonts w:hint="eastAsia" w:ascii="宋体" w:hAnsi="宋体" w:cs="宋体"/>
          <w:szCs w:val="21"/>
        </w:rPr>
      </w:pPr>
      <w:r>
        <w:rPr>
          <w:rFonts w:hint="eastAsia" w:ascii="宋体" w:hAnsi="宋体" w:cs="宋体"/>
          <w:szCs w:val="21"/>
        </w:rPr>
        <w:t xml:space="preserve">地点：“苏采云”系统内免费下载（投标人必须在苏采云系统中获取采购文件，方能参与政府采购项目）</w:t>
      </w:r>
      <w:r>
        <w:rPr>
          <w:rFonts w:hint="eastAsia" w:ascii="宋体" w:hAnsi="宋体" w:cs="宋体"/>
          <w:szCs w:val="21"/>
        </w:rPr>
      </w:r>
      <w:r/>
    </w:p>
    <w:p>
      <w:pPr>
        <w:pStyle w:val="1344"/>
        <w:ind w:firstLine="420"/>
        <w:spacing w:line="360" w:lineRule="auto"/>
        <w:rPr>
          <w:rFonts w:hint="eastAsia" w:ascii="宋体" w:hAnsi="宋体" w:cs="宋体"/>
          <w:szCs w:val="21"/>
        </w:rPr>
      </w:pPr>
      <w:r>
        <w:rPr>
          <w:rFonts w:hint="eastAsia" w:ascii="宋体" w:hAnsi="宋体" w:cs="宋体"/>
          <w:szCs w:val="21"/>
        </w:rPr>
        <w:t xml:space="preserve">方式：苏采云系统注册登记成功后系统内免费下载。</w:t>
      </w:r>
      <w:r>
        <w:rPr>
          <w:rFonts w:hint="eastAsia" w:ascii="宋体" w:hAnsi="宋体" w:cs="宋体"/>
          <w:szCs w:val="21"/>
        </w:rPr>
      </w:r>
      <w:r/>
    </w:p>
    <w:p>
      <w:pPr>
        <w:pStyle w:val="1344"/>
        <w:ind w:firstLine="420"/>
        <w:spacing w:line="360" w:lineRule="auto"/>
        <w:rPr>
          <w:rFonts w:hint="eastAsia" w:ascii="宋体" w:hAnsi="宋体" w:cs="宋体"/>
          <w:szCs w:val="21"/>
        </w:rPr>
      </w:pPr>
      <w:r>
        <w:rPr>
          <w:rFonts w:hint="eastAsia" w:ascii="宋体" w:hAnsi="宋体" w:cs="宋体"/>
          <w:szCs w:val="21"/>
        </w:rPr>
        <w:t xml:space="preserve">售价：0元。</w:t>
      </w:r>
      <w:r>
        <w:rPr>
          <w:rFonts w:hint="eastAsia" w:ascii="宋体" w:hAnsi="宋体" w:cs="宋体"/>
          <w:szCs w:val="21"/>
        </w:rPr>
      </w:r>
      <w:r/>
    </w:p>
    <w:p>
      <w:pPr>
        <w:pStyle w:val="1344"/>
        <w:spacing w:line="360" w:lineRule="auto"/>
        <w:rPr>
          <w:rFonts w:hint="eastAsia" w:ascii="宋体" w:hAnsi="宋体" w:cs="宋体"/>
          <w:b/>
          <w:bCs/>
          <w:szCs w:val="21"/>
        </w:rPr>
      </w:pPr>
      <w:r>
        <w:rPr>
          <w:rFonts w:hint="eastAsia" w:ascii="宋体" w:hAnsi="宋体" w:cs="宋体"/>
          <w:b/>
          <w:bCs/>
          <w:szCs w:val="21"/>
        </w:rPr>
        <w:t xml:space="preserve">四、提交投标文件</w:t>
      </w:r>
      <w:bookmarkEnd w:id="16"/>
      <w:r/>
      <w:bookmarkEnd w:id="17"/>
      <w:r>
        <w:rPr>
          <w:rFonts w:hint="eastAsia" w:ascii="宋体" w:hAnsi="宋体" w:cs="宋体"/>
          <w:b/>
          <w:bCs/>
          <w:szCs w:val="21"/>
        </w:rPr>
        <w:t xml:space="preserve">截止时间、开标时间和地点</w:t>
      </w:r>
      <w:bookmarkEnd w:id="18"/>
      <w:r/>
      <w:bookmarkEnd w:id="19"/>
      <w:r>
        <w:rPr>
          <w:rFonts w:hint="eastAsia" w:ascii="宋体" w:hAnsi="宋体" w:cs="宋体"/>
          <w:b/>
          <w:bCs/>
          <w:szCs w:val="21"/>
        </w:rPr>
      </w:r>
      <w:r/>
    </w:p>
    <w:p>
      <w:pPr>
        <w:pStyle w:val="1344"/>
        <w:ind w:firstLine="420"/>
        <w:spacing w:line="360" w:lineRule="auto"/>
        <w:rPr>
          <w:rFonts w:hint="eastAsia" w:ascii="宋体" w:hAnsi="宋体" w:cs="宋体"/>
          <w:szCs w:val="21"/>
        </w:rPr>
      </w:pPr>
      <w:r/>
      <w:bookmarkStart w:id="20" w:name="_Toc28359084"/>
      <w:r/>
      <w:bookmarkStart w:id="21" w:name="_Toc35393625"/>
      <w:r/>
      <w:bookmarkStart w:id="22" w:name="_Toc35393794"/>
      <w:r/>
      <w:bookmarkStart w:id="23" w:name="_Toc28359007"/>
      <w:r>
        <w:rPr>
          <w:rFonts w:hint="eastAsia" w:ascii="宋体" w:hAnsi="宋体" w:cs="宋体"/>
          <w:szCs w:val="21"/>
        </w:rPr>
        <w:t xml:space="preserve">提交投标文件截止时间、开标时间：2026年</w:t>
      </w:r>
      <w:r>
        <w:rPr>
          <w:rFonts w:hint="eastAsia" w:ascii="宋体" w:hAnsi="宋体" w:cs="宋体"/>
          <w:szCs w:val="21"/>
          <w:lang w:val="en-US" w:eastAsia="zh-CN"/>
        </w:rPr>
        <w:t xml:space="preserve">9</w:t>
      </w:r>
      <w:r>
        <w:rPr>
          <w:rFonts w:hint="eastAsia" w:ascii="宋体" w:hAnsi="宋体" w:cs="宋体"/>
          <w:szCs w:val="21"/>
        </w:rPr>
        <w:t xml:space="preserve">月</w:t>
      </w:r>
      <w:r>
        <w:rPr>
          <w:rFonts w:hint="eastAsia" w:ascii="宋体" w:hAnsi="宋体" w:cs="宋体"/>
          <w:szCs w:val="21"/>
          <w:lang w:val="en-US" w:eastAsia="zh-CN"/>
        </w:rPr>
        <w:t xml:space="preserve">28</w:t>
      </w:r>
      <w:r>
        <w:rPr>
          <w:rFonts w:hint="eastAsia" w:ascii="宋体" w:hAnsi="宋体" w:cs="宋体"/>
          <w:szCs w:val="21"/>
        </w:rPr>
        <w:t xml:space="preserve">日</w:t>
      </w:r>
      <w:r>
        <w:rPr>
          <w:rFonts w:hint="eastAsia" w:ascii="宋体" w:hAnsi="宋体" w:cs="宋体"/>
          <w:szCs w:val="21"/>
          <w:lang w:val="en-US" w:eastAsia="zh-CN"/>
        </w:rPr>
        <w:t xml:space="preserve">09</w:t>
      </w:r>
      <w:r>
        <w:rPr>
          <w:rFonts w:hint="eastAsia" w:ascii="宋体" w:hAnsi="宋体" w:cs="宋体"/>
          <w:szCs w:val="21"/>
        </w:rPr>
        <w:t xml:space="preserve">点</w:t>
      </w:r>
      <w:r>
        <w:rPr>
          <w:rFonts w:hint="eastAsia" w:ascii="宋体" w:hAnsi="宋体" w:cs="宋体"/>
          <w:szCs w:val="21"/>
          <w:lang w:val="en-US" w:eastAsia="zh-CN"/>
        </w:rPr>
        <w:t xml:space="preserve">3</w:t>
      </w:r>
      <w:r>
        <w:rPr>
          <w:rFonts w:hint="eastAsia" w:ascii="宋体" w:hAnsi="宋体" w:cs="宋体"/>
          <w:szCs w:val="21"/>
        </w:rPr>
        <w:t xml:space="preserve">0分（北京时间）</w:t>
      </w:r>
      <w:r>
        <w:rPr>
          <w:rFonts w:hint="eastAsia" w:ascii="宋体" w:hAnsi="宋体" w:cs="宋体"/>
          <w:szCs w:val="21"/>
        </w:rPr>
      </w:r>
      <w:r/>
    </w:p>
    <w:p>
      <w:pPr>
        <w:pStyle w:val="1344"/>
        <w:ind w:firstLine="420"/>
        <w:spacing w:line="360" w:lineRule="auto"/>
        <w:rPr>
          <w:rFonts w:hint="eastAsia" w:ascii="宋体" w:hAnsi="宋体" w:cs="宋体"/>
          <w:b/>
          <w:szCs w:val="21"/>
        </w:rPr>
      </w:pPr>
      <w:r>
        <w:rPr>
          <w:rFonts w:hint="eastAsia" w:ascii="宋体" w:hAnsi="宋体" w:cs="宋体"/>
          <w:bCs/>
          <w:szCs w:val="21"/>
        </w:rPr>
        <w:t xml:space="preserve">地点：“苏采云”系统（网址： http://jszfcg.jsczt.cn/）“开标大厅”</w:t>
      </w:r>
      <w:r>
        <w:rPr>
          <w:rFonts w:hint="eastAsia" w:ascii="宋体" w:hAnsi="宋体" w:cs="宋体"/>
          <w:b/>
          <w:szCs w:val="21"/>
        </w:rPr>
      </w:r>
      <w:r/>
    </w:p>
    <w:p>
      <w:pPr>
        <w:pStyle w:val="1344"/>
        <w:spacing w:line="360" w:lineRule="auto"/>
        <w:rPr>
          <w:rFonts w:hint="eastAsia" w:ascii="宋体" w:hAnsi="宋体" w:cs="宋体"/>
          <w:b/>
          <w:bCs/>
          <w:szCs w:val="21"/>
        </w:rPr>
      </w:pPr>
      <w:r>
        <w:rPr>
          <w:rFonts w:hint="eastAsia" w:ascii="宋体" w:hAnsi="宋体" w:cs="宋体"/>
          <w:b/>
          <w:bCs/>
          <w:szCs w:val="21"/>
        </w:rPr>
        <w:t xml:space="preserve">五、公告期限</w:t>
      </w:r>
      <w:bookmarkEnd w:id="20"/>
      <w:r/>
      <w:bookmarkEnd w:id="21"/>
      <w:r/>
      <w:bookmarkEnd w:id="22"/>
      <w:r/>
      <w:bookmarkEnd w:id="23"/>
      <w:r>
        <w:rPr>
          <w:rFonts w:hint="eastAsia" w:ascii="宋体" w:hAnsi="宋体" w:cs="宋体"/>
          <w:b/>
          <w:bCs/>
          <w:szCs w:val="21"/>
        </w:rPr>
      </w:r>
      <w:r/>
    </w:p>
    <w:p>
      <w:pPr>
        <w:pStyle w:val="1344"/>
        <w:ind w:firstLine="420"/>
        <w:spacing w:line="360" w:lineRule="auto"/>
        <w:rPr>
          <w:rFonts w:hint="eastAsia" w:ascii="宋体" w:hAnsi="宋体" w:cs="宋体"/>
          <w:szCs w:val="21"/>
        </w:rPr>
      </w:pPr>
      <w:r>
        <w:rPr>
          <w:rFonts w:hint="eastAsia" w:ascii="宋体" w:hAnsi="宋体" w:cs="宋体"/>
          <w:szCs w:val="21"/>
        </w:rPr>
        <w:t xml:space="preserve">自本公告发布之日起5个工作日。</w:t>
      </w:r>
      <w:r>
        <w:rPr>
          <w:rFonts w:hint="eastAsia" w:ascii="宋体" w:hAnsi="宋体" w:cs="宋体"/>
          <w:szCs w:val="21"/>
        </w:rPr>
      </w:r>
      <w:r/>
    </w:p>
    <w:p>
      <w:pPr>
        <w:pStyle w:val="1344"/>
        <w:spacing w:line="360" w:lineRule="auto"/>
        <w:rPr>
          <w:rFonts w:hint="eastAsia" w:ascii="宋体" w:hAnsi="宋体" w:cs="宋体"/>
          <w:b/>
          <w:bCs/>
          <w:szCs w:val="21"/>
        </w:rPr>
      </w:pPr>
      <w:r/>
      <w:bookmarkStart w:id="24" w:name="_Toc35393795"/>
      <w:r/>
      <w:bookmarkStart w:id="25" w:name="_Toc35393626"/>
      <w:r>
        <w:rPr>
          <w:rFonts w:hint="eastAsia" w:ascii="宋体" w:hAnsi="宋体" w:cs="宋体"/>
          <w:b/>
          <w:bCs/>
          <w:szCs w:val="21"/>
        </w:rPr>
        <w:t xml:space="preserve">六、其他补充事宜</w:t>
      </w:r>
      <w:bookmarkEnd w:id="24"/>
      <w:r/>
      <w:bookmarkEnd w:id="25"/>
      <w:r>
        <w:rPr>
          <w:rFonts w:hint="eastAsia" w:ascii="宋体" w:hAnsi="宋体" w:cs="宋体"/>
          <w:b/>
          <w:bCs/>
          <w:szCs w:val="21"/>
        </w:rPr>
      </w:r>
      <w:r/>
    </w:p>
    <w:p>
      <w:pPr>
        <w:pStyle w:val="1344"/>
        <w:ind w:firstLine="420"/>
        <w:spacing w:line="360" w:lineRule="auto"/>
        <w:rPr>
          <w:rFonts w:hint="eastAsia" w:ascii="宋体" w:hAnsi="宋体" w:cs="宋体"/>
          <w:szCs w:val="21"/>
        </w:rPr>
      </w:pPr>
      <w:r/>
      <w:bookmarkStart w:id="26" w:name="_Toc35393627"/>
      <w:r/>
      <w:bookmarkStart w:id="27" w:name="_Toc28359085"/>
      <w:r/>
      <w:bookmarkStart w:id="28" w:name="_Toc35393796"/>
      <w:r/>
      <w:bookmarkStart w:id="29" w:name="_Toc28359008"/>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bCs/>
          <w:szCs w:val="21"/>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cs="宋体"/>
          <w:szCs w:val="21"/>
        </w:rPr>
        <w:t xml:space="preserve">《国务院办公厅关于在政府采购中实施本国产品标准及相关政策的通知》</w:t>
      </w:r>
      <w:r>
        <w:rPr>
          <w:rFonts w:hint="eastAsia" w:ascii="宋体" w:hAnsi="宋体" w:cs="宋体"/>
          <w:bCs/>
          <w:szCs w:val="21"/>
        </w:rPr>
        <w:t xml:space="preserve">等政府采购文件。</w:t>
      </w:r>
      <w:r>
        <w:rPr>
          <w:rFonts w:hint="eastAsia" w:ascii="宋体" w:hAnsi="宋体" w:cs="宋体"/>
          <w:szCs w:val="21"/>
        </w:rPr>
      </w:r>
      <w:r/>
    </w:p>
    <w:p>
      <w:pPr>
        <w:pStyle w:val="1344"/>
        <w:ind w:firstLine="420"/>
        <w:spacing w:line="360" w:lineRule="auto"/>
        <w:rPr>
          <w:rFonts w:hint="eastAsia" w:ascii="宋体" w:hAnsi="宋体" w:cs="宋体"/>
          <w:szCs w:val="21"/>
        </w:rPr>
      </w:pPr>
      <w:r>
        <w:rPr>
          <w:rFonts w:hint="eastAsia" w:ascii="宋体" w:hAnsi="宋体" w:cs="宋体"/>
          <w:szCs w:val="21"/>
        </w:rPr>
        <w:t xml:space="preserve">2.项目编号：</w:t>
      </w:r>
      <w:r>
        <w:rPr>
          <w:rFonts w:hint="eastAsia" w:ascii="宋体" w:hAnsi="宋体" w:cs="宋体"/>
          <w:szCs w:val="21"/>
          <w:lang w:eastAsia="zh-CN"/>
        </w:rPr>
        <w:t xml:space="preserve">JSZC-320000-SMDY-G2026-0080</w:t>
      </w:r>
      <w:r>
        <w:rPr>
          <w:rFonts w:hint="eastAsia" w:ascii="宋体" w:hAnsi="宋体" w:cs="宋体"/>
          <w:szCs w:val="21"/>
        </w:rPr>
        <w:t xml:space="preserve">（2640SUMEC/ZWGG2156）</w:t>
      </w:r>
      <w:r>
        <w:rPr>
          <w:rFonts w:hint="eastAsia" w:ascii="宋体" w:hAnsi="宋体" w:cs="宋体"/>
          <w:szCs w:val="21"/>
        </w:rPr>
      </w:r>
      <w:r/>
    </w:p>
    <w:p>
      <w:pPr>
        <w:pStyle w:val="1344"/>
        <w:spacing w:line="360" w:lineRule="auto"/>
        <w:rPr>
          <w:rFonts w:hint="eastAsia" w:ascii="宋体" w:hAnsi="宋体" w:cs="宋体"/>
          <w:b/>
          <w:bCs/>
          <w:szCs w:val="21"/>
        </w:rPr>
      </w:pPr>
      <w:r>
        <w:rPr>
          <w:rFonts w:hint="eastAsia" w:ascii="宋体" w:hAnsi="宋体" w:cs="宋体"/>
          <w:b/>
          <w:bCs/>
          <w:szCs w:val="21"/>
        </w:rPr>
        <w:t xml:space="preserve">七、对本次招标提出询问，请按以下方式联系。</w:t>
      </w:r>
      <w:bookmarkEnd w:id="26"/>
      <w:r/>
      <w:bookmarkEnd w:id="27"/>
      <w:r/>
      <w:bookmarkEnd w:id="28"/>
      <w:r/>
      <w:bookmarkEnd w:id="29"/>
      <w:r>
        <w:rPr>
          <w:rFonts w:hint="eastAsia" w:ascii="宋体" w:hAnsi="宋体" w:cs="宋体"/>
          <w:b/>
          <w:bCs/>
          <w:szCs w:val="21"/>
        </w:rPr>
      </w:r>
      <w:r/>
    </w:p>
    <w:p>
      <w:pPr>
        <w:pStyle w:val="1344"/>
        <w:jc w:val="left"/>
        <w:spacing w:line="360" w:lineRule="auto"/>
        <w:widowControl/>
        <w:rPr>
          <w:rFonts w:hint="eastAsia" w:ascii="宋体" w:hAnsi="宋体" w:cs="宋体"/>
          <w:szCs w:val="21"/>
        </w:rPr>
      </w:pPr>
      <w:r>
        <w:rPr>
          <w:rFonts w:hint="eastAsia" w:ascii="宋体" w:hAnsi="宋体" w:cs="宋体"/>
          <w:szCs w:val="21"/>
        </w:rPr>
        <w:t xml:space="preserve">　　1.采购人信息</w:t>
      </w:r>
      <w:r>
        <w:rPr>
          <w:rFonts w:hint="eastAsia" w:ascii="宋体" w:hAnsi="宋体" w:cs="宋体"/>
          <w:szCs w:val="21"/>
        </w:rPr>
      </w:r>
      <w:r/>
    </w:p>
    <w:p>
      <w:pPr>
        <w:pStyle w:val="1344"/>
        <w:ind w:left="1037" w:hanging="399"/>
        <w:jc w:val="left"/>
        <w:spacing w:line="360" w:lineRule="auto"/>
        <w:rPr>
          <w:rFonts w:hint="eastAsia" w:ascii="宋体" w:hAnsi="宋体" w:cs="宋体"/>
          <w:szCs w:val="21"/>
        </w:rPr>
      </w:pPr>
      <w:r>
        <w:rPr>
          <w:rFonts w:hint="eastAsia" w:ascii="宋体" w:hAnsi="宋体" w:cs="宋体"/>
          <w:szCs w:val="21"/>
        </w:rPr>
        <w:t xml:space="preserve">名 称：江苏省计量科学研究院（江苏省能源计量数据中心）</w:t>
      </w:r>
      <w:r>
        <w:rPr>
          <w:rFonts w:hint="eastAsia" w:ascii="宋体" w:hAnsi="宋体" w:cs="宋体"/>
          <w:szCs w:val="21"/>
        </w:rPr>
      </w:r>
      <w:r/>
    </w:p>
    <w:p>
      <w:pPr>
        <w:pStyle w:val="1344"/>
        <w:ind w:left="1037" w:hanging="399"/>
        <w:jc w:val="left"/>
        <w:spacing w:line="360" w:lineRule="auto"/>
        <w:rPr>
          <w:rFonts w:hint="eastAsia" w:ascii="宋体" w:hAnsi="宋体" w:cs="宋体"/>
          <w:szCs w:val="21"/>
        </w:rPr>
      </w:pPr>
      <w:r/>
      <w:bookmarkStart w:id="30" w:name="_Toc28359086"/>
      <w:r/>
      <w:bookmarkStart w:id="31" w:name="_Toc28359009"/>
      <w:r>
        <w:rPr>
          <w:rFonts w:hint="eastAsia" w:ascii="宋体" w:hAnsi="宋体" w:cs="宋体"/>
          <w:szCs w:val="21"/>
        </w:rPr>
        <w:t xml:space="preserve">地址：南京市栖霞区文澜路95号</w:t>
      </w:r>
      <w:r>
        <w:rPr>
          <w:rFonts w:hint="eastAsia" w:ascii="宋体" w:hAnsi="宋体" w:cs="宋体"/>
          <w:szCs w:val="21"/>
        </w:rPr>
      </w:r>
      <w:r/>
    </w:p>
    <w:p>
      <w:pPr>
        <w:pStyle w:val="1344"/>
        <w:ind w:left="1037" w:hanging="399"/>
        <w:jc w:val="left"/>
        <w:spacing w:line="360" w:lineRule="auto"/>
        <w:rPr>
          <w:rFonts w:hint="eastAsia" w:ascii="宋体" w:hAnsi="宋体" w:cs="宋体"/>
          <w:szCs w:val="21"/>
        </w:rPr>
      </w:pPr>
      <w:r>
        <w:rPr>
          <w:rFonts w:hint="eastAsia" w:ascii="宋体" w:hAnsi="宋体" w:cs="宋体"/>
          <w:szCs w:val="21"/>
        </w:rPr>
        <w:t xml:space="preserve">联系人：曹工</w:t>
      </w:r>
      <w:r>
        <w:rPr>
          <w:rFonts w:hint="eastAsia" w:ascii="宋体" w:hAnsi="宋体" w:cs="宋体"/>
          <w:szCs w:val="21"/>
        </w:rPr>
      </w:r>
      <w:r/>
    </w:p>
    <w:p>
      <w:pPr>
        <w:pStyle w:val="1344"/>
        <w:ind w:left="1037" w:hanging="399"/>
        <w:jc w:val="left"/>
        <w:spacing w:line="360" w:lineRule="auto"/>
        <w:rPr>
          <w:rFonts w:hint="eastAsia" w:ascii="宋体" w:hAnsi="宋体" w:cs="宋体"/>
          <w:szCs w:val="21"/>
        </w:rPr>
      </w:pPr>
      <w:r>
        <w:rPr>
          <w:rFonts w:hint="eastAsia" w:ascii="宋体" w:hAnsi="宋体" w:cs="宋体"/>
          <w:szCs w:val="21"/>
        </w:rPr>
        <w:t xml:space="preserve">电话：025-86435533</w:t>
      </w:r>
      <w:r>
        <w:rPr>
          <w:rFonts w:hint="eastAsia" w:ascii="宋体" w:hAnsi="宋体" w:cs="宋体"/>
          <w:szCs w:val="21"/>
        </w:rPr>
      </w:r>
      <w:r/>
    </w:p>
    <w:p>
      <w:pPr>
        <w:pStyle w:val="1344"/>
        <w:ind w:firstLine="420"/>
        <w:jc w:val="left"/>
        <w:spacing w:line="360" w:lineRule="auto"/>
        <w:rPr>
          <w:rFonts w:hint="eastAsia" w:ascii="宋体" w:hAnsi="宋体" w:cs="宋体"/>
          <w:szCs w:val="21"/>
        </w:rPr>
      </w:pPr>
      <w:r>
        <w:rPr>
          <w:rFonts w:hint="eastAsia" w:ascii="宋体" w:hAnsi="宋体" w:cs="宋体"/>
          <w:szCs w:val="21"/>
        </w:rPr>
        <w:t xml:space="preserve">2.采购代理机构信息</w:t>
      </w:r>
      <w:bookmarkEnd w:id="30"/>
      <w:r/>
      <w:bookmarkEnd w:id="31"/>
      <w:r>
        <w:rPr>
          <w:rFonts w:hint="eastAsia" w:ascii="宋体" w:hAnsi="宋体" w:cs="宋体"/>
          <w:szCs w:val="21"/>
        </w:rPr>
      </w:r>
      <w:r/>
    </w:p>
    <w:p>
      <w:pPr>
        <w:pStyle w:val="1344"/>
        <w:ind w:firstLine="638"/>
        <w:spacing w:line="360" w:lineRule="auto"/>
        <w:rPr>
          <w:rFonts w:hint="eastAsia" w:ascii="宋体" w:hAnsi="宋体" w:cs="宋体"/>
          <w:szCs w:val="21"/>
        </w:rPr>
      </w:pPr>
      <w:r>
        <w:rPr>
          <w:rFonts w:hint="eastAsia" w:ascii="宋体" w:hAnsi="宋体" w:cs="宋体"/>
          <w:szCs w:val="21"/>
        </w:rPr>
        <w:t xml:space="preserve">名 称：江苏苏美达仪器设备有限公司</w:t>
      </w:r>
      <w:r>
        <w:rPr>
          <w:rFonts w:hint="eastAsia" w:ascii="宋体" w:hAnsi="宋体" w:cs="宋体"/>
          <w:szCs w:val="21"/>
        </w:rPr>
      </w:r>
      <w:r/>
    </w:p>
    <w:p>
      <w:pPr>
        <w:pStyle w:val="1344"/>
        <w:ind w:firstLine="638"/>
        <w:spacing w:line="360" w:lineRule="auto"/>
        <w:rPr>
          <w:rFonts w:hint="eastAsia" w:ascii="宋体" w:hAnsi="宋体" w:cs="宋体"/>
          <w:szCs w:val="21"/>
        </w:rPr>
      </w:pPr>
      <w:r>
        <w:rPr>
          <w:rFonts w:hint="eastAsia" w:ascii="宋体" w:hAnsi="宋体" w:cs="宋体"/>
          <w:szCs w:val="21"/>
        </w:rPr>
        <w:t xml:space="preserve">地　址：南京市长江路198号</w:t>
      </w:r>
      <w:r>
        <w:rPr>
          <w:rFonts w:hint="eastAsia" w:ascii="宋体" w:hAnsi="宋体" w:cs="宋体"/>
          <w:szCs w:val="21"/>
        </w:rPr>
      </w:r>
      <w:r/>
    </w:p>
    <w:p>
      <w:pPr>
        <w:pStyle w:val="1344"/>
        <w:ind w:firstLine="638"/>
        <w:spacing w:line="360" w:lineRule="auto"/>
        <w:rPr>
          <w:rFonts w:ascii="宋体" w:hAnsi="宋体" w:cs="宋体"/>
          <w:szCs w:val="21"/>
        </w:rPr>
      </w:pPr>
      <w:r>
        <w:rPr>
          <w:rFonts w:hint="eastAsia" w:ascii="宋体" w:hAnsi="宋体" w:cs="宋体"/>
          <w:szCs w:val="21"/>
        </w:rPr>
        <w:t xml:space="preserve">联系方式：</w:t>
      </w:r>
      <w:bookmarkStart w:id="32" w:name="_Toc28359087"/>
      <w:r/>
      <w:bookmarkStart w:id="33" w:name="_Toc28359010"/>
      <w:r>
        <w:rPr>
          <w:rFonts w:hint="eastAsia" w:ascii="宋体" w:hAnsi="宋体" w:cs="宋体"/>
          <w:b/>
          <w:bCs/>
          <w:szCs w:val="21"/>
        </w:rPr>
        <w:t xml:space="preserve">文件发售：</w:t>
      </w:r>
      <w:r>
        <w:rPr>
          <w:rFonts w:hint="eastAsia" w:ascii="宋体" w:hAnsi="宋体" w:cs="宋体"/>
          <w:szCs w:val="21"/>
        </w:rPr>
        <w:t xml:space="preserve">李婧怡025-84532580，</w:t>
      </w:r>
      <w:r>
        <w:rPr>
          <w:rFonts w:hint="eastAsia" w:ascii="宋体" w:hAnsi="宋体" w:cs="宋体"/>
          <w:b/>
          <w:bCs/>
          <w:szCs w:val="21"/>
        </w:rPr>
        <w:t xml:space="preserve">技术咨询：</w:t>
      </w:r>
      <w:r>
        <w:rPr>
          <w:rFonts w:hint="eastAsia" w:ascii="宋体" w:hAnsi="宋体" w:cs="宋体"/>
          <w:szCs w:val="21"/>
        </w:rPr>
        <w:t xml:space="preserve">王嘉卉 025-84532585、杨慧 025-84532526</w:t>
      </w:r>
      <w:r>
        <w:rPr>
          <w:rFonts w:ascii="宋体" w:hAnsi="宋体" w:cs="宋体"/>
          <w:szCs w:val="21"/>
        </w:rPr>
      </w:r>
      <w:r/>
    </w:p>
    <w:p>
      <w:pPr>
        <w:pStyle w:val="1344"/>
        <w:ind w:firstLine="420"/>
        <w:spacing w:line="360" w:lineRule="auto"/>
        <w:rPr>
          <w:rFonts w:hint="eastAsia" w:ascii="宋体" w:hAnsi="宋体" w:cs="宋体"/>
          <w:szCs w:val="21"/>
          <w:u w:val="single"/>
        </w:rPr>
      </w:pPr>
      <w:r>
        <w:rPr>
          <w:rFonts w:hint="eastAsia" w:ascii="宋体" w:hAnsi="宋体" w:cs="宋体"/>
          <w:szCs w:val="21"/>
        </w:rPr>
        <w:t xml:space="preserve">3.项目联系方式</w:t>
      </w:r>
      <w:bookmarkEnd w:id="32"/>
      <w:r/>
      <w:bookmarkEnd w:id="33"/>
      <w:r>
        <w:rPr>
          <w:rFonts w:hint="eastAsia" w:ascii="宋体" w:hAnsi="宋体" w:cs="宋体"/>
          <w:szCs w:val="21"/>
          <w:u w:val="single"/>
        </w:rPr>
      </w:r>
      <w:r/>
    </w:p>
    <w:p>
      <w:pPr>
        <w:pStyle w:val="1383"/>
        <w:ind w:firstLine="638"/>
        <w:spacing w:line="360" w:lineRule="auto"/>
        <w:rPr>
          <w:rFonts w:hint="eastAsia" w:hAnsi="宋体" w:cs="宋体"/>
          <w:color w:val="000000"/>
          <w:szCs w:val="21"/>
        </w:rPr>
      </w:pPr>
      <w:r>
        <w:rPr>
          <w:rFonts w:hint="eastAsia" w:hAnsi="宋体" w:cs="宋体"/>
          <w:szCs w:val="21"/>
        </w:rPr>
        <w:t xml:space="preserve">项目联系人：王嘉卉 </w:t>
      </w:r>
      <w:r>
        <w:rPr>
          <w:rFonts w:hint="eastAsia" w:hAnsi="宋体" w:cs="宋体"/>
          <w:color w:val="000000"/>
          <w:szCs w:val="21"/>
        </w:rPr>
      </w:r>
      <w:r/>
    </w:p>
    <w:p>
      <w:pPr>
        <w:pStyle w:val="1383"/>
        <w:ind w:firstLine="638"/>
        <w:spacing w:line="360" w:lineRule="auto"/>
        <w:rPr>
          <w:rFonts w:hint="eastAsia" w:hAnsi="宋体" w:cs="宋体"/>
          <w:szCs w:val="21"/>
        </w:rPr>
      </w:pPr>
      <w:r>
        <w:rPr>
          <w:rFonts w:hint="eastAsia" w:hAnsi="宋体" w:cs="宋体"/>
          <w:szCs w:val="21"/>
        </w:rPr>
        <w:t xml:space="preserve">电　话：025-84532585</w:t>
      </w:r>
      <w:r>
        <w:rPr>
          <w:rFonts w:hint="eastAsia" w:hAnsi="宋体" w:cs="宋体"/>
          <w:szCs w:val="21"/>
        </w:rPr>
      </w:r>
      <w:r/>
    </w:p>
    <w:p>
      <w:pPr>
        <w:pStyle w:val="1344"/>
        <w:jc w:val="right"/>
        <w:spacing w:line="360" w:lineRule="auto"/>
        <w:rPr>
          <w:b/>
          <w:szCs w:val="21"/>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pPr>
      <w:r>
        <w:rPr>
          <w:b/>
          <w:szCs w:val="21"/>
        </w:rPr>
      </w:r>
      <w:r/>
    </w:p>
    <w:p>
      <w:pPr>
        <w:pStyle w:val="1344"/>
        <w:jc w:val="center"/>
        <w:spacing w:line="440" w:lineRule="exact"/>
        <w:rPr>
          <w:b/>
          <w:sz w:val="28"/>
          <w:szCs w:val="28"/>
        </w:rPr>
        <w:outlineLvl w:val="0"/>
      </w:pPr>
      <w:r/>
      <w:bookmarkStart w:id="34" w:name="_Toc29461"/>
      <w:r/>
      <w:bookmarkStart w:id="35" w:name="_Toc28996"/>
      <w:r/>
      <w:bookmarkStart w:id="36" w:name="_Toc519"/>
      <w:r>
        <w:rPr>
          <w:b/>
          <w:sz w:val="28"/>
          <w:szCs w:val="28"/>
        </w:rPr>
        <w:t xml:space="preserve">第二章 投标人须知</w:t>
      </w:r>
      <w:bookmarkEnd w:id="34"/>
      <w:r/>
      <w:bookmarkEnd w:id="35"/>
      <w:r/>
      <w:bookmarkEnd w:id="36"/>
      <w:r>
        <w:rPr>
          <w:b/>
          <w:sz w:val="28"/>
          <w:szCs w:val="28"/>
        </w:rPr>
      </w:r>
      <w:r/>
    </w:p>
    <w:p>
      <w:pPr>
        <w:pStyle w:val="1344"/>
        <w:spacing w:line="440" w:lineRule="exact"/>
        <w:shd w:val="clear" w:color="auto" w:fill="ffffff"/>
        <w:widowControl/>
        <w:rPr>
          <w:b/>
          <w:bCs/>
          <w:color w:val="000000"/>
          <w:sz w:val="24"/>
        </w:rPr>
      </w:pPr>
      <w:r>
        <w:rPr>
          <w:b/>
          <w:bCs/>
          <w:color w:val="000000"/>
          <w:sz w:val="24"/>
        </w:rPr>
        <w:t xml:space="preserve">投标人须知前附表（本表是对投标人须知的具体补充和修改，如有矛盾，应以本表为准）</w:t>
      </w:r>
      <w:r>
        <w:rPr>
          <w:b/>
          <w:bCs/>
          <w:color w:val="000000"/>
          <w:sz w:val="24"/>
        </w:rPr>
      </w:r>
      <w:r/>
    </w:p>
    <w:tbl>
      <w:tblPr>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pStyle w:val="1344"/>
              <w:jc w:val="center"/>
              <w:spacing w:line="360" w:lineRule="auto"/>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9175" w:type="dxa"/>
            <w:vAlign w:val="center"/>
            <w:textDirection w:val="lrTb"/>
            <w:noWrap w:val="false"/>
          </w:tcPr>
          <w:p>
            <w:pPr>
              <w:pStyle w:val="1344"/>
              <w:jc w:val="center"/>
              <w:spacing w:line="360" w:lineRule="auto"/>
              <w:rPr>
                <w:rFonts w:hint="eastAsia" w:ascii="宋体" w:hAnsi="宋体" w:cs="宋体"/>
                <w:b/>
                <w:szCs w:val="21"/>
              </w:rPr>
            </w:pPr>
            <w:r>
              <w:rPr>
                <w:rFonts w:hint="eastAsia" w:ascii="宋体" w:hAnsi="宋体" w:cs="宋体"/>
                <w:b/>
                <w:szCs w:val="21"/>
              </w:rPr>
              <w:t xml:space="preserve">主要内容</w:t>
            </w:r>
            <w:r>
              <w:rPr>
                <w:rFonts w:hint="eastAsia" w:ascii="宋体" w:hAnsi="宋体" w:cs="宋体"/>
                <w:b/>
                <w:szCs w:val="21"/>
              </w:rPr>
            </w:r>
            <w:r/>
          </w:p>
        </w:tc>
      </w:tr>
      <w:tr>
        <w:trPr>
          <w:trHeight w:val="240"/>
        </w:trPr>
        <w:tc>
          <w:tcPr>
            <w:tcW w:w="881" w:type="dxa"/>
            <w:vAlign w:val="center"/>
            <w:textDirection w:val="lrTb"/>
            <w:noWrap w:val="false"/>
          </w:tcPr>
          <w:p>
            <w:pPr>
              <w:pStyle w:val="1344"/>
              <w:jc w:val="center"/>
              <w:spacing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r>
            <w:r/>
          </w:p>
        </w:tc>
        <w:tc>
          <w:tcPr>
            <w:tcW w:w="9175" w:type="dxa"/>
            <w:vAlign w:val="center"/>
            <w:textDirection w:val="lrTb"/>
            <w:noWrap w:val="false"/>
          </w:tcPr>
          <w:p>
            <w:pPr>
              <w:pStyle w:val="1344"/>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采购人：江苏省计量科学研究院（江苏省能源计量数据中心）</w:t>
            </w:r>
            <w:r>
              <w:rPr>
                <w:rFonts w:hint="eastAsia" w:ascii="宋体" w:hAnsi="宋体" w:cs="宋体"/>
                <w:szCs w:val="21"/>
              </w:rPr>
            </w:r>
            <w:r/>
          </w:p>
          <w:p>
            <w:pPr>
              <w:pStyle w:val="1344"/>
              <w:spacing w:line="360" w:lineRule="auto"/>
              <w:shd w:val="clear" w:color="auto" w:fill="ffffff"/>
              <w:widowControl/>
              <w:rPr>
                <w:rFonts w:hint="eastAsia" w:ascii="宋体" w:hAnsi="宋体" w:cs="宋体"/>
                <w:szCs w:val="21"/>
              </w:rPr>
            </w:pPr>
            <w:r>
              <w:rPr>
                <w:rFonts w:hint="eastAsia" w:ascii="宋体" w:hAnsi="宋体" w:cs="宋体"/>
                <w:szCs w:val="21"/>
              </w:rPr>
              <w:t xml:space="preserve">联系人：曹工</w:t>
            </w:r>
            <w:r>
              <w:rPr>
                <w:rFonts w:hint="eastAsia" w:ascii="宋体" w:hAnsi="宋体" w:cs="宋体"/>
                <w:szCs w:val="21"/>
              </w:rPr>
            </w:r>
            <w:r/>
          </w:p>
          <w:p>
            <w:pPr>
              <w:pStyle w:val="1344"/>
              <w:spacing w:line="360" w:lineRule="auto"/>
              <w:shd w:val="clear" w:color="auto" w:fill="ffffff"/>
              <w:widowControl/>
              <w:rPr>
                <w:rFonts w:hint="eastAsia" w:ascii="宋体" w:hAnsi="宋体" w:cs="宋体"/>
                <w:szCs w:val="21"/>
              </w:rPr>
            </w:pPr>
            <w:r>
              <w:rPr>
                <w:rFonts w:hint="eastAsia" w:ascii="宋体" w:hAnsi="宋体" w:cs="宋体"/>
                <w:szCs w:val="21"/>
              </w:rPr>
              <w:t xml:space="preserve">电话：025-86435533 </w:t>
            </w:r>
            <w:r>
              <w:rPr>
                <w:rFonts w:hint="eastAsia" w:ascii="宋体" w:hAnsi="宋体" w:cs="宋体"/>
                <w:szCs w:val="21"/>
              </w:rPr>
            </w:r>
            <w:r/>
          </w:p>
          <w:p>
            <w:pPr>
              <w:pStyle w:val="1344"/>
              <w:spacing w:line="360" w:lineRule="auto"/>
              <w:shd w:val="clear" w:color="auto" w:fill="ffffff"/>
              <w:widowControl/>
              <w:rPr>
                <w:rFonts w:hint="eastAsia" w:ascii="宋体" w:hAnsi="宋体" w:cs="宋体"/>
                <w:szCs w:val="21"/>
              </w:rPr>
            </w:pPr>
            <w:r>
              <w:rPr>
                <w:rFonts w:hint="eastAsia" w:ascii="宋体" w:hAnsi="宋体" w:cs="宋体"/>
                <w:szCs w:val="21"/>
              </w:rPr>
              <w:t xml:space="preserve">地址：南京市栖霞区文澜路95号</w:t>
            </w:r>
            <w:r>
              <w:rPr>
                <w:rFonts w:hint="eastAsia" w:ascii="宋体" w:hAnsi="宋体" w:cs="宋体"/>
                <w:szCs w:val="21"/>
              </w:rPr>
            </w:r>
            <w:r/>
          </w:p>
        </w:tc>
      </w:tr>
      <w:tr>
        <w:trPr>
          <w:trHeight w:val="240"/>
        </w:trPr>
        <w:tc>
          <w:tcPr>
            <w:tcW w:w="881" w:type="dxa"/>
            <w:vAlign w:val="center"/>
            <w:textDirection w:val="lrTb"/>
            <w:noWrap w:val="false"/>
          </w:tcPr>
          <w:p>
            <w:pPr>
              <w:pStyle w:val="1344"/>
              <w:jc w:val="center"/>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r>
            <w:r/>
          </w:p>
        </w:tc>
        <w:tc>
          <w:tcPr>
            <w:tcW w:w="9175" w:type="dxa"/>
            <w:vAlign w:val="center"/>
            <w:textDirection w:val="lrTb"/>
            <w:noWrap w:val="false"/>
          </w:tcPr>
          <w:p>
            <w:pPr>
              <w:pStyle w:val="1344"/>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采购代理机构：江苏苏美达仪器设备有限公司</w:t>
            </w:r>
            <w:r>
              <w:rPr>
                <w:rFonts w:hint="eastAsia" w:ascii="宋体" w:hAnsi="宋体" w:cs="宋体"/>
                <w:szCs w:val="21"/>
              </w:rPr>
            </w:r>
            <w:r/>
          </w:p>
          <w:p>
            <w:pPr>
              <w:pStyle w:val="1344"/>
              <w:spacing w:line="360" w:lineRule="auto"/>
              <w:rPr>
                <w:rFonts w:hint="eastAsia" w:ascii="宋体" w:hAnsi="宋体" w:cs="宋体"/>
                <w:szCs w:val="21"/>
              </w:rPr>
            </w:pPr>
            <w:r>
              <w:rPr>
                <w:rFonts w:hint="eastAsia" w:ascii="宋体" w:hAnsi="宋体" w:cs="宋体"/>
                <w:szCs w:val="21"/>
              </w:rPr>
              <w:t xml:space="preserve">文件发售联系人：李婧怡025-84532580 lijingyi@sumec.com.cn</w:t>
            </w:r>
            <w:r>
              <w:rPr>
                <w:rFonts w:hint="eastAsia" w:ascii="宋体" w:hAnsi="宋体" w:cs="宋体"/>
                <w:szCs w:val="21"/>
              </w:rPr>
            </w:r>
            <w:r/>
          </w:p>
          <w:p>
            <w:pPr>
              <w:pStyle w:val="1344"/>
              <w:spacing w:line="360" w:lineRule="auto"/>
              <w:rPr>
                <w:rFonts w:hint="eastAsia" w:ascii="宋体" w:hAnsi="宋体" w:cs="宋体"/>
                <w:szCs w:val="21"/>
              </w:rPr>
            </w:pPr>
            <w:r>
              <w:rPr>
                <w:rFonts w:hint="eastAsia" w:ascii="宋体" w:hAnsi="宋体" w:cs="宋体"/>
                <w:szCs w:val="21"/>
              </w:rPr>
              <w:t xml:space="preserve">技术咨询联系人：王嘉卉 025-84532585、杨慧 025-84532526</w:t>
            </w:r>
            <w:r>
              <w:rPr>
                <w:rFonts w:hint="eastAsia" w:ascii="宋体" w:hAnsi="宋体" w:cs="宋体"/>
                <w:szCs w:val="21"/>
              </w:rPr>
            </w:r>
            <w:r/>
          </w:p>
          <w:p>
            <w:pPr>
              <w:pStyle w:val="1344"/>
              <w:spacing w:line="360" w:lineRule="auto"/>
              <w:shd w:val="clear" w:color="auto" w:fill="ffffff"/>
              <w:widowControl/>
              <w:rPr>
                <w:rFonts w:hint="eastAsia" w:ascii="宋体" w:hAnsi="宋体" w:cs="宋体"/>
                <w:szCs w:val="21"/>
              </w:rPr>
            </w:pPr>
            <w:r>
              <w:rPr>
                <w:rFonts w:hint="eastAsia" w:ascii="宋体" w:hAnsi="宋体" w:cs="宋体"/>
                <w:szCs w:val="21"/>
              </w:rPr>
              <w:t xml:space="preserve">联系地址：南京市长江路198号</w:t>
            </w:r>
            <w:r>
              <w:rPr>
                <w:rFonts w:hint="eastAsia" w:ascii="宋体" w:hAnsi="宋体" w:cs="宋体"/>
                <w:szCs w:val="21"/>
              </w:rPr>
            </w:r>
            <w:r/>
          </w:p>
        </w:tc>
      </w:tr>
      <w:tr>
        <w:trPr>
          <w:trHeight w:val="240"/>
        </w:trPr>
        <w:tc>
          <w:tcPr>
            <w:tcW w:w="881" w:type="dxa"/>
            <w:vAlign w:val="center"/>
            <w:textDirection w:val="lrTb"/>
            <w:noWrap w:val="false"/>
          </w:tcPr>
          <w:p>
            <w:pPr>
              <w:pStyle w:val="1344"/>
              <w:jc w:val="center"/>
              <w:spacing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bCs/>
                <w:szCs w:val="21"/>
              </w:rPr>
            </w:r>
            <w:r/>
          </w:p>
        </w:tc>
        <w:tc>
          <w:tcPr>
            <w:tcW w:w="9175" w:type="dxa"/>
            <w:vAlign w:val="center"/>
            <w:textDirection w:val="lrTb"/>
            <w:noWrap w:val="false"/>
          </w:tcPr>
          <w:p>
            <w:pPr>
              <w:pStyle w:val="1344"/>
              <w:spacing w:line="360" w:lineRule="auto"/>
              <w:shd w:val="clear" w:color="auto" w:fill="ffffff"/>
              <w:widowControl/>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 xml:space="preserve">江苏省计量院2026年社会公用计量标准设备更新项目</w:t>
            </w:r>
            <w:r>
              <w:rPr>
                <w:rFonts w:hint="eastAsia" w:ascii="宋体" w:hAnsi="宋体" w:cs="宋体"/>
                <w:szCs w:val="21"/>
              </w:rPr>
            </w:r>
            <w:r/>
          </w:p>
          <w:p>
            <w:pPr>
              <w:pStyle w:val="1344"/>
              <w:spacing w:line="360" w:lineRule="auto"/>
              <w:shd w:val="clear" w:color="auto" w:fill="ffffff"/>
              <w:widowControl/>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lang w:eastAsia="zh-CN"/>
              </w:rPr>
              <w:t xml:space="preserve">JSZC-320000-SMDY-G2026-0080</w:t>
            </w:r>
            <w:r>
              <w:rPr>
                <w:rFonts w:hint="eastAsia" w:ascii="宋体" w:hAnsi="宋体" w:cs="宋体"/>
                <w:szCs w:val="21"/>
              </w:rPr>
              <w:t xml:space="preserve">（2640SUMEC/ZWGG2156）</w:t>
            </w:r>
            <w:r>
              <w:rPr>
                <w:rFonts w:hint="eastAsia" w:ascii="宋体" w:hAnsi="宋体" w:cs="宋体"/>
                <w:szCs w:val="21"/>
              </w:rPr>
            </w:r>
            <w:r/>
          </w:p>
        </w:tc>
      </w:tr>
      <w:tr>
        <w:trPr>
          <w:trHeight w:val="240"/>
        </w:trPr>
        <w:tc>
          <w:tcPr>
            <w:tcW w:w="881" w:type="dxa"/>
            <w:vAlign w:val="center"/>
            <w:textDirection w:val="lrTb"/>
            <w:noWrap w:val="false"/>
          </w:tcPr>
          <w:p>
            <w:pPr>
              <w:pStyle w:val="1344"/>
              <w:jc w:val="center"/>
              <w:spacing w:line="360" w:lineRule="auto"/>
              <w:rPr>
                <w:rFonts w:hint="eastAsia" w:ascii="宋体" w:hAnsi="宋体" w:cs="宋体"/>
                <w:bCs/>
                <w:szCs w:val="21"/>
              </w:rPr>
            </w:pPr>
            <w:r>
              <w:rPr>
                <w:rFonts w:hint="eastAsia" w:ascii="宋体" w:hAnsi="宋体" w:cs="宋体"/>
                <w:bCs/>
                <w:szCs w:val="21"/>
              </w:rPr>
              <w:t xml:space="preserve">4</w:t>
            </w:r>
            <w:r>
              <w:rPr>
                <w:rFonts w:hint="eastAsia" w:ascii="宋体" w:hAnsi="宋体" w:cs="宋体"/>
                <w:bCs/>
                <w:szCs w:val="21"/>
              </w:rPr>
            </w:r>
            <w:r/>
          </w:p>
        </w:tc>
        <w:tc>
          <w:tcPr>
            <w:tcW w:w="9175" w:type="dxa"/>
            <w:vAlign w:val="center"/>
            <w:textDirection w:val="lrTb"/>
            <w:noWrap w:val="false"/>
          </w:tcPr>
          <w:p>
            <w:pPr>
              <w:pStyle w:val="1344"/>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采购方式：公开招标</w:t>
            </w:r>
            <w:r>
              <w:rPr>
                <w:rFonts w:hint="eastAsia" w:ascii="宋体" w:hAnsi="宋体" w:cs="宋体"/>
                <w:szCs w:val="21"/>
              </w:rPr>
            </w:r>
            <w:r/>
          </w:p>
        </w:tc>
      </w:tr>
      <w:tr>
        <w:trPr>
          <w:trHeight w:val="240"/>
        </w:trPr>
        <w:tc>
          <w:tcPr>
            <w:tcW w:w="881" w:type="dxa"/>
            <w:vAlign w:val="center"/>
            <w:textDirection w:val="lrTb"/>
            <w:noWrap w:val="false"/>
          </w:tcPr>
          <w:p>
            <w:pPr>
              <w:pStyle w:val="1344"/>
              <w:jc w:val="center"/>
              <w:spacing w:line="360" w:lineRule="auto"/>
              <w:rPr>
                <w:rFonts w:hint="eastAsia" w:ascii="宋体" w:hAnsi="宋体" w:cs="宋体"/>
                <w:bCs/>
                <w:szCs w:val="21"/>
              </w:rPr>
            </w:pPr>
            <w:r>
              <w:rPr>
                <w:rFonts w:hint="eastAsia" w:ascii="宋体" w:hAnsi="宋体" w:cs="宋体"/>
                <w:bCs/>
                <w:szCs w:val="21"/>
              </w:rPr>
              <w:t xml:space="preserve">5</w:t>
            </w:r>
            <w:r>
              <w:rPr>
                <w:rFonts w:hint="eastAsia" w:ascii="宋体" w:hAnsi="宋体" w:cs="宋体"/>
                <w:bCs/>
                <w:szCs w:val="21"/>
              </w:rPr>
            </w:r>
            <w:r/>
          </w:p>
        </w:tc>
        <w:tc>
          <w:tcPr>
            <w:tcW w:w="9175" w:type="dxa"/>
            <w:vAlign w:val="center"/>
            <w:textDirection w:val="lrTb"/>
            <w:noWrap w:val="false"/>
          </w:tcPr>
          <w:p>
            <w:pPr>
              <w:pStyle w:val="1344"/>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投标有效期：开标之日起90天</w:t>
            </w:r>
            <w:r>
              <w:rPr>
                <w:rFonts w:hint="eastAsia" w:ascii="宋体" w:hAnsi="宋体" w:cs="宋体"/>
                <w:szCs w:val="21"/>
              </w:rPr>
            </w:r>
            <w:r/>
          </w:p>
        </w:tc>
      </w:tr>
      <w:tr>
        <w:trPr>
          <w:trHeight w:val="446"/>
        </w:trPr>
        <w:tc>
          <w:tcPr>
            <w:tcW w:w="881" w:type="dxa"/>
            <w:vAlign w:val="center"/>
            <w:textDirection w:val="lrTb"/>
            <w:noWrap w:val="false"/>
          </w:tcPr>
          <w:p>
            <w:pPr>
              <w:pStyle w:val="1344"/>
              <w:jc w:val="center"/>
              <w:spacing w:line="360" w:lineRule="auto"/>
              <w:rPr>
                <w:rFonts w:hint="eastAsia" w:ascii="宋体" w:hAnsi="宋体" w:cs="宋体"/>
                <w:bCs/>
                <w:szCs w:val="21"/>
              </w:rPr>
            </w:pPr>
            <w:r>
              <w:rPr>
                <w:rFonts w:hint="eastAsia" w:ascii="宋体" w:hAnsi="宋体" w:cs="宋体"/>
                <w:bCs/>
                <w:szCs w:val="21"/>
              </w:rPr>
              <w:t xml:space="preserve">6</w:t>
            </w:r>
            <w:r>
              <w:rPr>
                <w:rFonts w:hint="eastAsia" w:ascii="宋体" w:hAnsi="宋体" w:cs="宋体"/>
                <w:bCs/>
                <w:szCs w:val="21"/>
              </w:rPr>
            </w:r>
            <w:r/>
          </w:p>
        </w:tc>
        <w:tc>
          <w:tcPr>
            <w:tcW w:w="9175" w:type="dxa"/>
            <w:vAlign w:val="center"/>
            <w:textDirection w:val="lrTb"/>
            <w:noWrap w:val="false"/>
          </w:tcPr>
          <w:p>
            <w:pPr>
              <w:pStyle w:val="1344"/>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投标保证金：本次采购不收取，本文件中与投标保证金有关条款不生效</w:t>
            </w:r>
            <w:r>
              <w:rPr>
                <w:rFonts w:hint="eastAsia" w:ascii="宋体" w:hAnsi="宋体" w:cs="宋体"/>
                <w:szCs w:val="21"/>
              </w:rPr>
            </w:r>
            <w:r/>
          </w:p>
        </w:tc>
      </w:tr>
      <w:tr>
        <w:trPr>
          <w:trHeight w:val="530"/>
        </w:trPr>
        <w:tc>
          <w:tcPr>
            <w:tcW w:w="881" w:type="dxa"/>
            <w:vAlign w:val="center"/>
            <w:textDirection w:val="lrTb"/>
            <w:noWrap w:val="false"/>
          </w:tcPr>
          <w:p>
            <w:pPr>
              <w:pStyle w:val="1344"/>
              <w:jc w:val="center"/>
              <w:spacing w:line="360" w:lineRule="auto"/>
              <w:rPr>
                <w:rFonts w:hint="eastAsia" w:ascii="宋体" w:hAnsi="宋体" w:cs="宋体"/>
                <w:bCs/>
                <w:szCs w:val="21"/>
              </w:rPr>
            </w:pPr>
            <w:r>
              <w:rPr>
                <w:rFonts w:hint="eastAsia" w:ascii="宋体" w:hAnsi="宋体" w:cs="宋体"/>
                <w:bCs/>
                <w:szCs w:val="21"/>
              </w:rPr>
              <w:t xml:space="preserve">7</w:t>
            </w:r>
            <w:r>
              <w:rPr>
                <w:rFonts w:hint="eastAsia" w:ascii="宋体" w:hAnsi="宋体" w:cs="宋体"/>
                <w:bCs/>
                <w:szCs w:val="21"/>
              </w:rPr>
            </w:r>
            <w:r/>
          </w:p>
        </w:tc>
        <w:tc>
          <w:tcPr>
            <w:tcW w:w="9175" w:type="dxa"/>
            <w:vAlign w:val="center"/>
            <w:textDirection w:val="lrTb"/>
            <w:noWrap w:val="false"/>
          </w:tcPr>
          <w:p>
            <w:pPr>
              <w:pStyle w:val="1344"/>
              <w:jc w:val="left"/>
              <w:spacing w:line="360" w:lineRule="auto"/>
              <w:rPr>
                <w:rFonts w:hint="eastAsia" w:ascii="宋体" w:hAnsi="宋体" w:cs="宋体"/>
                <w:szCs w:val="21"/>
              </w:rPr>
            </w:pPr>
            <w:r>
              <w:rPr>
                <w:rFonts w:hint="eastAsia" w:ascii="宋体" w:hAnsi="宋体" w:cs="宋体"/>
                <w:szCs w:val="21"/>
              </w:rPr>
              <w:t xml:space="preserve">投标文件份数：</w:t>
            </w:r>
            <w:r>
              <w:rPr>
                <w:rFonts w:hint="eastAsia" w:ascii="宋体" w:hAnsi="宋体" w:cs="宋体"/>
                <w:szCs w:val="21"/>
              </w:rPr>
              <w:t xml:space="preserve">电子投标文件一份(通过系统提交)；纸质投标文件正本一份，副本三份</w:t>
            </w:r>
            <w:r>
              <w:rPr>
                <w:rFonts w:hint="eastAsia" w:ascii="宋体" w:hAnsi="宋体" w:cs="宋体"/>
                <w:b/>
                <w:bCs/>
                <w:color w:val="ff0000"/>
                <w:szCs w:val="21"/>
              </w:rPr>
              <w:t xml:space="preserve">（评审结束后由中标候选人邮寄至采购代理机构，未中标单位不需要提供）</w:t>
            </w:r>
            <w:r>
              <w:rPr>
                <w:rFonts w:hint="eastAsia" w:ascii="宋体" w:hAnsi="宋体" w:cs="宋体"/>
                <w:color w:val="ff0000"/>
                <w:szCs w:val="21"/>
              </w:rPr>
              <w:t xml:space="preserve">。</w:t>
            </w:r>
            <w:r>
              <w:rPr>
                <w:rFonts w:hint="eastAsia" w:ascii="宋体" w:hAnsi="宋体" w:cs="宋体"/>
                <w:szCs w:val="21"/>
              </w:rPr>
            </w:r>
            <w:r/>
          </w:p>
        </w:tc>
      </w:tr>
      <w:tr>
        <w:trPr>
          <w:trHeight w:val="1367"/>
        </w:trPr>
        <w:tc>
          <w:tcPr>
            <w:tcW w:w="881" w:type="dxa"/>
            <w:vAlign w:val="center"/>
            <w:textDirection w:val="lrTb"/>
            <w:noWrap w:val="false"/>
          </w:tcPr>
          <w:p>
            <w:pPr>
              <w:pStyle w:val="1344"/>
              <w:jc w:val="center"/>
              <w:spacing w:line="360" w:lineRule="auto"/>
              <w:rPr>
                <w:rFonts w:hint="eastAsia" w:ascii="宋体" w:hAnsi="宋体" w:cs="宋体"/>
                <w:bCs/>
                <w:szCs w:val="21"/>
              </w:rPr>
            </w:pPr>
            <w:r>
              <w:rPr>
                <w:rFonts w:hint="eastAsia" w:ascii="宋体" w:hAnsi="宋体" w:cs="宋体"/>
                <w:bCs/>
                <w:szCs w:val="21"/>
              </w:rPr>
              <w:t xml:space="preserve">8</w:t>
            </w:r>
            <w:r>
              <w:rPr>
                <w:rFonts w:hint="eastAsia" w:ascii="宋体" w:hAnsi="宋体" w:cs="宋体"/>
                <w:bCs/>
                <w:szCs w:val="21"/>
              </w:rPr>
            </w:r>
            <w:r/>
          </w:p>
        </w:tc>
        <w:tc>
          <w:tcPr>
            <w:tcW w:w="9175" w:type="dxa"/>
            <w:vAlign w:val="center"/>
            <w:textDirection w:val="lrTb"/>
            <w:noWrap w:val="false"/>
          </w:tcPr>
          <w:p>
            <w:pPr>
              <w:pStyle w:val="1344"/>
              <w:jc w:val="left"/>
              <w:spacing w:line="360" w:lineRule="auto"/>
              <w:rPr>
                <w:rFonts w:hint="eastAsia" w:ascii="宋体" w:hAnsi="宋体" w:cs="宋体"/>
                <w:szCs w:val="21"/>
              </w:rPr>
            </w:pPr>
            <w:r>
              <w:rPr>
                <w:rFonts w:hint="eastAsia" w:ascii="宋体" w:hAnsi="宋体" w:cs="宋体"/>
                <w:szCs w:val="21"/>
              </w:rPr>
              <w:t xml:space="preserve">递交投标文件开始时间：</w:t>
            </w:r>
            <w:r>
              <w:rPr>
                <w:rFonts w:hint="eastAsia" w:ascii="宋体" w:hAnsi="宋体" w:cs="宋体"/>
                <w:szCs w:val="21"/>
              </w:rPr>
              <w:t xml:space="preserve">详见招标公告</w:t>
            </w:r>
            <w:r>
              <w:rPr>
                <w:rFonts w:hint="eastAsia" w:ascii="宋体" w:hAnsi="宋体" w:cs="宋体"/>
                <w:szCs w:val="21"/>
              </w:rPr>
            </w:r>
            <w:r/>
          </w:p>
          <w:p>
            <w:pPr>
              <w:pStyle w:val="1344"/>
              <w:jc w:val="left"/>
              <w:spacing w:line="360" w:lineRule="auto"/>
              <w:rPr>
                <w:rFonts w:hint="eastAsia" w:ascii="宋体" w:hAnsi="宋体" w:cs="宋体"/>
                <w:szCs w:val="21"/>
              </w:rPr>
            </w:pPr>
            <w:r>
              <w:rPr>
                <w:rFonts w:hint="eastAsia" w:ascii="宋体" w:hAnsi="宋体" w:cs="宋体"/>
                <w:szCs w:val="21"/>
              </w:rPr>
              <w:t xml:space="preserve">递交投标文件截止时间、开标时间：</w:t>
            </w:r>
            <w:r>
              <w:rPr>
                <w:rFonts w:hint="eastAsia" w:ascii="宋体" w:hAnsi="宋体" w:cs="宋体"/>
                <w:szCs w:val="21"/>
              </w:rPr>
              <w:t xml:space="preserve">详见招标公告</w:t>
            </w:r>
            <w:r>
              <w:rPr>
                <w:rFonts w:hint="eastAsia" w:ascii="宋体" w:hAnsi="宋体" w:cs="宋体"/>
                <w:szCs w:val="21"/>
              </w:rPr>
            </w:r>
            <w:r/>
          </w:p>
          <w:p>
            <w:pPr>
              <w:pStyle w:val="1344"/>
              <w:jc w:val="left"/>
              <w:spacing w:line="360" w:lineRule="auto"/>
              <w:rPr>
                <w:rFonts w:hint="eastAsia" w:ascii="宋体" w:hAnsi="宋体" w:cs="宋体"/>
                <w:szCs w:val="21"/>
              </w:rPr>
            </w:pPr>
            <w:r>
              <w:rPr>
                <w:rFonts w:hint="eastAsia" w:ascii="宋体" w:hAnsi="宋体" w:cs="宋体"/>
                <w:szCs w:val="21"/>
              </w:rPr>
              <w:t xml:space="preserve">地点：</w:t>
            </w:r>
            <w:r>
              <w:rPr>
                <w:rFonts w:hint="eastAsia" w:ascii="宋体" w:hAnsi="宋体" w:cs="宋体"/>
                <w:szCs w:val="21"/>
              </w:rPr>
              <w:t xml:space="preserve">详见招标公告</w:t>
            </w:r>
            <w:r>
              <w:rPr>
                <w:rFonts w:hint="eastAsia" w:ascii="宋体" w:hAnsi="宋体" w:cs="宋体"/>
                <w:szCs w:val="21"/>
              </w:rPr>
            </w:r>
            <w:r/>
          </w:p>
        </w:tc>
      </w:tr>
      <w:tr>
        <w:trPr>
          <w:trHeight w:val="90"/>
        </w:trPr>
        <w:tc>
          <w:tcPr>
            <w:tcW w:w="881" w:type="dxa"/>
            <w:vAlign w:val="center"/>
            <w:textDirection w:val="lrTb"/>
            <w:noWrap w:val="false"/>
          </w:tcPr>
          <w:p>
            <w:pPr>
              <w:pStyle w:val="1344"/>
              <w:jc w:val="center"/>
              <w:spacing w:line="360" w:lineRule="auto"/>
              <w:rPr>
                <w:rFonts w:hint="eastAsia" w:ascii="宋体" w:hAnsi="宋体" w:cs="宋体"/>
                <w:bCs/>
                <w:szCs w:val="21"/>
              </w:rPr>
            </w:pPr>
            <w:r>
              <w:rPr>
                <w:rFonts w:hint="eastAsia" w:ascii="宋体" w:hAnsi="宋体" w:cs="宋体"/>
                <w:bCs/>
                <w:szCs w:val="21"/>
              </w:rPr>
              <w:t xml:space="preserve">9</w:t>
            </w:r>
            <w:r>
              <w:rPr>
                <w:rFonts w:hint="eastAsia" w:ascii="宋体" w:hAnsi="宋体" w:cs="宋体"/>
                <w:bCs/>
                <w:szCs w:val="21"/>
              </w:rPr>
            </w:r>
            <w:r/>
          </w:p>
        </w:tc>
        <w:tc>
          <w:tcPr>
            <w:tcW w:w="9175" w:type="dxa"/>
            <w:vAlign w:val="center"/>
            <w:textDirection w:val="lrTb"/>
            <w:noWrap w:val="false"/>
          </w:tcPr>
          <w:p>
            <w:pPr>
              <w:pStyle w:val="1344"/>
              <w:spacing w:line="360" w:lineRule="auto"/>
              <w:rPr>
                <w:rFonts w:hint="eastAsia" w:ascii="宋体" w:hAnsi="宋体" w:cs="宋体"/>
                <w:szCs w:val="21"/>
              </w:rPr>
            </w:pPr>
            <w:r>
              <w:rPr>
                <w:rFonts w:hint="eastAsia" w:ascii="宋体" w:hAnsi="宋体" w:cs="宋体"/>
                <w:szCs w:val="21"/>
              </w:rPr>
              <w:t xml:space="preserve">投标报价：</w:t>
            </w:r>
            <w:r>
              <w:rPr>
                <w:rFonts w:hint="eastAsia" w:ascii="宋体" w:hAnsi="宋体" w:cs="宋体"/>
                <w:szCs w:val="21"/>
              </w:rPr>
            </w:r>
            <w:r/>
          </w:p>
          <w:p>
            <w:pPr>
              <w:pStyle w:val="1413"/>
              <w:numPr>
                <w:ilvl w:val="0"/>
                <w:numId w:val="1"/>
              </w:numPr>
              <w:ind w:firstLine="0"/>
              <w:rPr>
                <w:rFonts w:hint="eastAsia" w:ascii="宋体" w:hAnsi="宋体" w:cs="宋体"/>
                <w:sz w:val="21"/>
              </w:rPr>
            </w:pPr>
            <w:r>
              <w:rPr>
                <w:rFonts w:hint="eastAsia" w:ascii="宋体" w:hAnsi="宋体" w:cs="宋体"/>
                <w:sz w:val="21"/>
              </w:rPr>
              <w:t xml:space="preserve">所有投标响应均以人民币报价。供应商的投标响应报价应遵守“中华人民共和国价格法”。该报价为到采购人指定地点现场的全部费用，含相关税费，运输费，保险费，安装费及相关服务费等一切可能发生的费用。</w:t>
            </w:r>
            <w:r>
              <w:rPr>
                <w:rFonts w:hint="eastAsia" w:ascii="宋体" w:hAnsi="宋体" w:cs="宋体"/>
                <w:sz w:val="21"/>
              </w:rPr>
            </w:r>
            <w:r/>
          </w:p>
          <w:p>
            <w:pPr>
              <w:pStyle w:val="1413"/>
              <w:ind w:firstLine="0"/>
              <w:rPr>
                <w:rFonts w:hint="eastAsia" w:ascii="宋体" w:hAnsi="宋体" w:cs="宋体"/>
                <w:sz w:val="21"/>
              </w:rPr>
            </w:pPr>
            <w:r>
              <w:rPr>
                <w:rFonts w:hint="eastAsia" w:ascii="宋体" w:hAnsi="宋体" w:cs="宋体"/>
                <w:sz w:val="21"/>
              </w:rPr>
              <w:t xml:space="preserve">2、报价时应充分考虑所有可能影响到报价的因素，一旦评审结束最终成交，如发生漏、缺、少项，都将被认为是成交供应商的报价让利行为，损失自负。</w:t>
            </w:r>
            <w:r>
              <w:rPr>
                <w:rFonts w:hint="eastAsia" w:ascii="宋体" w:hAnsi="宋体" w:cs="宋体"/>
                <w:sz w:val="21"/>
              </w:rPr>
            </w:r>
            <w:r/>
          </w:p>
        </w:tc>
      </w:tr>
      <w:tr>
        <w:trPr>
          <w:trHeight w:val="550"/>
        </w:trPr>
        <w:tc>
          <w:tcPr>
            <w:tcW w:w="881" w:type="dxa"/>
            <w:vAlign w:val="center"/>
            <w:textDirection w:val="lrTb"/>
            <w:noWrap w:val="false"/>
          </w:tcPr>
          <w:p>
            <w:pPr>
              <w:pStyle w:val="1344"/>
              <w:jc w:val="center"/>
              <w:spacing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10</w:t>
            </w:r>
            <w:r>
              <w:rPr>
                <w:rFonts w:hint="eastAsia" w:ascii="宋体" w:hAnsi="宋体" w:cs="宋体"/>
                <w:bCs/>
                <w:color w:val="000000"/>
                <w:szCs w:val="21"/>
              </w:rPr>
            </w:r>
            <w:r/>
          </w:p>
        </w:tc>
        <w:tc>
          <w:tcPr>
            <w:tcW w:w="9175" w:type="dxa"/>
            <w:vAlign w:val="center"/>
            <w:textDirection w:val="lrTb"/>
            <w:noWrap w:val="false"/>
          </w:tcPr>
          <w:p>
            <w:pPr>
              <w:pStyle w:val="1408"/>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现场勘查要求：本项目不组织。</w:t>
            </w:r>
            <w:r>
              <w:rPr>
                <w:rFonts w:hint="eastAsia" w:ascii="宋体" w:hAnsi="宋体" w:eastAsia="宋体" w:cs="宋体"/>
                <w:color w:val="000000"/>
                <w:sz w:val="21"/>
                <w:szCs w:val="21"/>
              </w:rPr>
            </w:r>
            <w:r/>
          </w:p>
        </w:tc>
      </w:tr>
      <w:tr>
        <w:trPr>
          <w:trHeight w:val="389"/>
        </w:trPr>
        <w:tc>
          <w:tcPr>
            <w:tcW w:w="881" w:type="dxa"/>
            <w:vAlign w:val="center"/>
            <w:textDirection w:val="lrTb"/>
            <w:noWrap w:val="false"/>
          </w:tcPr>
          <w:p>
            <w:pPr>
              <w:pStyle w:val="1344"/>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r>
            <w:r/>
          </w:p>
        </w:tc>
        <w:tc>
          <w:tcPr>
            <w:tcW w:w="9175" w:type="dxa"/>
            <w:vAlign w:val="center"/>
            <w:textDirection w:val="lrTb"/>
            <w:noWrap w:val="false"/>
          </w:tcPr>
          <w:p>
            <w:pPr>
              <w:pStyle w:val="1344"/>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信用信息：</w:t>
            </w:r>
            <w:r>
              <w:rPr>
                <w:rFonts w:hint="eastAsia" w:ascii="宋体" w:hAnsi="宋体" w:cs="宋体"/>
                <w:b/>
                <w:bCs/>
                <w:szCs w:val="21"/>
              </w:rPr>
            </w:r>
            <w:r/>
          </w:p>
          <w:p>
            <w:pPr>
              <w:pStyle w:val="1344"/>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1）信用信息查询渠道：“信用中国”网站(www.creditchina.gov.cn)、中国政府采购网(www.ccgp.gov.cn)等。</w:t>
            </w:r>
            <w:r>
              <w:rPr>
                <w:rFonts w:hint="eastAsia" w:ascii="宋体" w:hAnsi="宋体" w:cs="宋体"/>
                <w:color w:val="000000"/>
                <w:szCs w:val="21"/>
              </w:rPr>
            </w:r>
            <w:r/>
          </w:p>
          <w:p>
            <w:pPr>
              <w:pStyle w:val="1344"/>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2）信用信息查询截止时点：</w:t>
            </w:r>
            <w:r>
              <w:rPr>
                <w:rFonts w:hint="eastAsia" w:ascii="宋体" w:hAnsi="宋体" w:cs="宋体"/>
                <w:szCs w:val="21"/>
              </w:rPr>
              <w:t xml:space="preserve">递交投标文件截止之日24时前</w:t>
            </w:r>
            <w:r>
              <w:rPr>
                <w:rFonts w:hint="eastAsia" w:ascii="宋体" w:hAnsi="宋体" w:cs="宋体"/>
                <w:color w:val="000000"/>
                <w:szCs w:val="21"/>
              </w:rPr>
              <w:t xml:space="preserve">。</w:t>
            </w:r>
            <w:r>
              <w:rPr>
                <w:rFonts w:hint="eastAsia" w:ascii="宋体" w:hAnsi="宋体" w:cs="宋体"/>
                <w:color w:val="000000"/>
                <w:szCs w:val="21"/>
              </w:rPr>
            </w:r>
            <w:r/>
          </w:p>
          <w:p>
            <w:pPr>
              <w:pStyle w:val="1344"/>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3）信用信息查询记录和证据留存的具体方式：信用信息查询记录将以网站截图打印稿形式与其他采购文件一并保存。</w:t>
            </w:r>
            <w:r>
              <w:rPr>
                <w:rFonts w:hint="eastAsia" w:ascii="宋体" w:hAnsi="宋体" w:cs="宋体"/>
                <w:color w:val="000000"/>
                <w:szCs w:val="21"/>
              </w:rPr>
            </w:r>
            <w:r/>
          </w:p>
          <w:p>
            <w:pPr>
              <w:pStyle w:val="1344"/>
              <w:spacing w:line="360" w:lineRule="auto"/>
              <w:shd w:val="clear" w:color="auto" w:fill="ffffff"/>
              <w:widowControl/>
              <w:rPr>
                <w:rFonts w:hint="eastAsia" w:ascii="宋体" w:hAnsi="宋体" w:cs="宋体"/>
                <w:b/>
                <w:bCs/>
                <w:szCs w:val="21"/>
              </w:rPr>
            </w:pPr>
            <w:r>
              <w:rPr>
                <w:rFonts w:hint="eastAsia" w:ascii="宋体" w:hAnsi="宋体" w:cs="宋体"/>
                <w:color w:val="000000"/>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rPr>
                <w:rFonts w:hint="eastAsia" w:ascii="宋体" w:hAnsi="宋体" w:cs="宋体"/>
                <w:b/>
                <w:bCs/>
                <w:szCs w:val="21"/>
              </w:rPr>
            </w:r>
            <w:r/>
          </w:p>
        </w:tc>
      </w:tr>
      <w:tr>
        <w:trPr>
          <w:trHeight w:val="529"/>
        </w:trPr>
        <w:tc>
          <w:tcPr>
            <w:tcW w:w="881" w:type="dxa"/>
            <w:vAlign w:val="center"/>
            <w:textDirection w:val="lrTb"/>
            <w:noWrap w:val="false"/>
          </w:tcPr>
          <w:p>
            <w:pPr>
              <w:pStyle w:val="1344"/>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W w:w="9175" w:type="dxa"/>
            <w:vAlign w:val="center"/>
            <w:textDirection w:val="lrTb"/>
            <w:noWrap w:val="false"/>
          </w:tcPr>
          <w:p>
            <w:pPr>
              <w:pStyle w:val="1344"/>
              <w:jc w:val="left"/>
              <w:spacing w:line="360" w:lineRule="auto"/>
              <w:rPr>
                <w:rFonts w:hint="eastAsia" w:ascii="宋体" w:hAnsi="宋体" w:cs="宋体"/>
                <w:b/>
                <w:bCs/>
                <w:szCs w:val="21"/>
              </w:rPr>
            </w:pPr>
            <w:r>
              <w:rPr>
                <w:rFonts w:hint="eastAsia" w:ascii="宋体" w:hAnsi="宋体" w:cs="宋体"/>
                <w:b/>
                <w:bCs/>
                <w:szCs w:val="21"/>
              </w:rPr>
              <w:t xml:space="preserve">核心产品：</w:t>
            </w:r>
            <w:r>
              <w:rPr>
                <w:rFonts w:hint="eastAsia" w:ascii="宋体" w:hAnsi="宋体" w:cs="宋体"/>
                <w:b/>
                <w:bCs/>
                <w:szCs w:val="21"/>
              </w:rPr>
            </w:r>
            <w:r/>
          </w:p>
          <w:p>
            <w:pPr>
              <w:pStyle w:val="1344"/>
              <w:jc w:val="left"/>
              <w:spacing w:line="360" w:lineRule="auto"/>
              <w:rPr>
                <w:rFonts w:hint="eastAsia" w:ascii="宋体" w:hAnsi="宋体" w:cs="宋体"/>
                <w:b/>
                <w:bCs/>
                <w:szCs w:val="21"/>
                <w:highlight w:val="none"/>
              </w:rPr>
            </w:pPr>
            <w:r>
              <w:rPr>
                <w:rFonts w:hint="eastAsia" w:ascii="宋体" w:hAnsi="宋体" w:cs="宋体"/>
                <w:b/>
                <w:bCs/>
                <w:szCs w:val="21"/>
              </w:rPr>
              <w:t xml:space="preserve">分包1：</w:t>
            </w:r>
            <w:r>
              <w:rPr>
                <w:rFonts w:hint="eastAsia" w:ascii="宋体" w:hAnsi="宋体" w:cs="宋体"/>
              </w:rPr>
              <w:t xml:space="preserve">叠加</w:t>
            </w:r>
            <w:r>
              <w:rPr>
                <w:rFonts w:hint="eastAsia" w:ascii="宋体" w:hAnsi="宋体" w:cs="宋体"/>
                <w:highlight w:val="none"/>
              </w:rPr>
              <w:t xml:space="preserve">式力标准机</w:t>
            </w:r>
            <w:r>
              <w:rPr>
                <w:rFonts w:hint="eastAsia" w:ascii="宋体" w:hAnsi="宋体" w:cs="宋体"/>
                <w:b/>
                <w:bCs/>
                <w:szCs w:val="21"/>
                <w:highlight w:val="none"/>
              </w:rPr>
            </w:r>
            <w:r/>
          </w:p>
          <w:p>
            <w:pPr>
              <w:pStyle w:val="1344"/>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分包2：</w:t>
            </w:r>
            <w:r>
              <w:rPr>
                <w:rFonts w:hint="eastAsia" w:ascii="宋体" w:hAnsi="宋体" w:cs="宋体"/>
                <w:szCs w:val="21"/>
                <w:highlight w:val="none"/>
              </w:rPr>
              <w:t xml:space="preserve">温湿度检定箱（本分包所有温湿度检定箱需为同一品牌同一型号）</w:t>
            </w:r>
            <w:r>
              <w:rPr>
                <w:rFonts w:hint="eastAsia" w:ascii="宋体" w:hAnsi="宋体" w:cs="宋体"/>
                <w:b/>
                <w:bCs/>
                <w:szCs w:val="21"/>
                <w:highlight w:val="none"/>
              </w:rPr>
            </w:r>
            <w:r/>
          </w:p>
          <w:p>
            <w:pPr>
              <w:pStyle w:val="1344"/>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分包3：</w:t>
            </w:r>
            <w:r>
              <w:rPr>
                <w:rFonts w:hint="eastAsia" w:ascii="宋体" w:hAnsi="宋体" w:cs="宋体"/>
                <w:szCs w:val="21"/>
                <w:highlight w:val="none"/>
              </w:rPr>
              <w:t xml:space="preserve">呼吸机质量检测仪（本分包所有呼吸机质量检测仪需为同一品牌同一型号）</w:t>
            </w:r>
            <w:r>
              <w:rPr>
                <w:rFonts w:hint="eastAsia" w:ascii="宋体" w:hAnsi="宋体" w:cs="宋体"/>
                <w:b/>
                <w:bCs/>
                <w:szCs w:val="21"/>
                <w:highlight w:val="none"/>
              </w:rPr>
            </w:r>
            <w:r/>
          </w:p>
          <w:p>
            <w:pPr>
              <w:pStyle w:val="1344"/>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分包4：</w:t>
            </w:r>
            <w:r>
              <w:rPr>
                <w:rFonts w:hint="eastAsia" w:ascii="宋体" w:hAnsi="宋体" w:cs="宋体"/>
                <w:szCs w:val="21"/>
                <w:highlight w:val="none"/>
              </w:rPr>
              <w:t xml:space="preserve">本分包为单一产品</w:t>
            </w:r>
            <w:r>
              <w:rPr>
                <w:rFonts w:hint="eastAsia" w:ascii="宋体" w:hAnsi="宋体" w:cs="宋体"/>
                <w:b/>
                <w:bCs/>
                <w:szCs w:val="21"/>
                <w:highlight w:val="none"/>
              </w:rPr>
              <w:br w:type="textWrapping" w:clear="all"/>
            </w:r>
            <w:r>
              <w:rPr>
                <w:rFonts w:hint="eastAsia" w:ascii="宋体" w:hAnsi="宋体" w:cs="宋体"/>
                <w:b/>
                <w:bCs/>
                <w:szCs w:val="21"/>
                <w:highlight w:val="none"/>
              </w:rPr>
              <w:t xml:space="preserve">分包5：</w:t>
            </w:r>
            <w:r>
              <w:rPr>
                <w:rFonts w:hint="eastAsia" w:ascii="宋体" w:hAnsi="宋体" w:cs="宋体"/>
                <w:szCs w:val="21"/>
                <w:highlight w:val="none"/>
              </w:rPr>
              <w:t xml:space="preserve">0.02级三相电能表检定装置</w:t>
            </w:r>
            <w:r>
              <w:rPr>
                <w:rFonts w:hint="eastAsia" w:ascii="宋体" w:hAnsi="宋体" w:cs="宋体"/>
                <w:b/>
                <w:bCs/>
                <w:szCs w:val="21"/>
                <w:highlight w:val="none"/>
              </w:rPr>
            </w:r>
            <w:r/>
          </w:p>
          <w:p>
            <w:pPr>
              <w:pStyle w:val="1344"/>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分包6：</w:t>
            </w:r>
            <w:r>
              <w:rPr>
                <w:rFonts w:hint="eastAsia" w:ascii="宋体" w:hAnsi="宋体" w:cs="宋体"/>
                <w:szCs w:val="21"/>
                <w:highlight w:val="none"/>
              </w:rPr>
              <w:t xml:space="preserve">数字多用表</w:t>
            </w:r>
            <w:r>
              <w:rPr>
                <w:rFonts w:hint="eastAsia" w:ascii="宋体" w:hAnsi="宋体" w:cs="宋体"/>
                <w:b/>
                <w:bCs/>
                <w:szCs w:val="21"/>
                <w:highlight w:val="none"/>
              </w:rPr>
            </w:r>
            <w:r/>
          </w:p>
          <w:p>
            <w:pPr>
              <w:pStyle w:val="1344"/>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分包7：</w:t>
            </w:r>
            <w:r>
              <w:rPr>
                <w:rFonts w:hint="eastAsia" w:ascii="宋体" w:hAnsi="宋体" w:cs="宋体"/>
                <w:szCs w:val="21"/>
                <w:highlight w:val="none"/>
              </w:rPr>
              <w:t xml:space="preserve">本分包为单一产品</w:t>
            </w:r>
            <w:r>
              <w:rPr>
                <w:rFonts w:hint="eastAsia" w:ascii="宋体" w:hAnsi="宋体" w:cs="宋体"/>
                <w:b/>
                <w:bCs/>
                <w:szCs w:val="21"/>
                <w:highlight w:val="none"/>
              </w:rPr>
            </w:r>
            <w:r/>
          </w:p>
          <w:p>
            <w:pPr>
              <w:pStyle w:val="1344"/>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分包8：</w:t>
            </w:r>
            <w:r>
              <w:rPr>
                <w:rFonts w:hint="eastAsia" w:ascii="宋体" w:hAnsi="宋体" w:cs="宋体"/>
                <w:szCs w:val="21"/>
                <w:highlight w:val="none"/>
              </w:rPr>
              <w:t xml:space="preserve">多通道声分析仪</w:t>
            </w:r>
            <w:r>
              <w:rPr>
                <w:rFonts w:hint="eastAsia" w:ascii="宋体" w:hAnsi="宋体" w:cs="宋体"/>
                <w:b/>
                <w:bCs/>
                <w:szCs w:val="21"/>
                <w:highlight w:val="none"/>
              </w:rPr>
            </w:r>
            <w:r/>
          </w:p>
          <w:p>
            <w:pPr>
              <w:pStyle w:val="1344"/>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分包9：</w:t>
            </w:r>
            <w:r>
              <w:rPr>
                <w:rFonts w:hint="eastAsia" w:ascii="宋体" w:hAnsi="宋体" w:cs="宋体"/>
                <w:szCs w:val="21"/>
                <w:highlight w:val="none"/>
              </w:rPr>
              <w:t xml:space="preserve">频标比对器</w:t>
            </w:r>
            <w:r>
              <w:rPr>
                <w:rFonts w:hint="eastAsia" w:ascii="宋体" w:hAnsi="宋体" w:cs="宋体"/>
                <w:b/>
                <w:bCs/>
                <w:szCs w:val="21"/>
                <w:highlight w:val="none"/>
              </w:rPr>
            </w:r>
            <w:r/>
          </w:p>
          <w:p>
            <w:pPr>
              <w:pStyle w:val="1344"/>
              <w:jc w:val="left"/>
              <w:spacing w:line="360" w:lineRule="auto"/>
              <w:rPr>
                <w:rFonts w:ascii="宋体" w:hAnsi="宋体" w:cs="宋体"/>
                <w:b/>
                <w:bCs/>
                <w:szCs w:val="21"/>
                <w:highlight w:val="none"/>
              </w:rPr>
            </w:pPr>
            <w:r>
              <w:rPr>
                <w:rFonts w:hint="eastAsia" w:ascii="宋体" w:hAnsi="宋体" w:cs="宋体"/>
                <w:b/>
                <w:bCs/>
                <w:szCs w:val="21"/>
                <w:highlight w:val="none"/>
              </w:rPr>
              <w:t xml:space="preserve">分包10：</w:t>
            </w:r>
            <w:r>
              <w:rPr>
                <w:rFonts w:hint="eastAsia" w:ascii="宋体" w:hAnsi="宋体" w:cs="宋体"/>
                <w:szCs w:val="21"/>
                <w:highlight w:val="none"/>
              </w:rPr>
              <w:t xml:space="preserve">本分包为单一产品</w:t>
            </w:r>
            <w:r>
              <w:rPr>
                <w:rFonts w:ascii="宋体" w:hAnsi="宋体" w:cs="宋体"/>
                <w:b/>
                <w:bCs/>
                <w:szCs w:val="21"/>
                <w:highlight w:val="none"/>
              </w:rPr>
            </w:r>
            <w:r/>
          </w:p>
          <w:p>
            <w:pPr>
              <w:pStyle w:val="1344"/>
              <w:spacing w:line="360" w:lineRule="auto"/>
              <w:shd w:val="clear" w:color="auto" w:fill="ffffff"/>
              <w:widowControl/>
              <w:rPr>
                <w:rFonts w:hint="eastAsia" w:ascii="宋体" w:hAnsi="宋体" w:cs="宋体"/>
                <w:b/>
                <w:bCs/>
                <w:szCs w:val="21"/>
              </w:rPr>
            </w:pPr>
            <w:r>
              <w:rPr>
                <w:rFonts w:hint="eastAsia" w:ascii="宋体" w:hAnsi="宋体" w:cs="宋体"/>
                <w:szCs w:val="21"/>
                <w:shd w:val="clear" w:color="auto" w:fill="ffffff"/>
              </w:rPr>
              <w:t xml:space="preserve">核心产品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其他同品牌供应商不作为中标候选人。</w:t>
            </w:r>
            <w:r>
              <w:rPr>
                <w:rFonts w:hint="eastAsia" w:ascii="宋体" w:hAnsi="宋体" w:cs="宋体"/>
                <w:b/>
                <w:bCs/>
                <w:szCs w:val="21"/>
              </w:rPr>
            </w:r>
            <w:r/>
          </w:p>
        </w:tc>
      </w:tr>
      <w:tr>
        <w:trPr>
          <w:trHeight w:val="767"/>
        </w:trPr>
        <w:tc>
          <w:tcPr>
            <w:tcW w:w="881" w:type="dxa"/>
            <w:vAlign w:val="center"/>
            <w:textDirection w:val="lrTb"/>
            <w:noWrap w:val="false"/>
          </w:tcPr>
          <w:p>
            <w:pPr>
              <w:pStyle w:val="1344"/>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W w:w="9175" w:type="dxa"/>
            <w:vAlign w:val="center"/>
            <w:textDirection w:val="lrTb"/>
            <w:noWrap w:val="false"/>
          </w:tcPr>
          <w:p>
            <w:pPr>
              <w:pStyle w:val="1344"/>
              <w:spacing w:line="360" w:lineRule="auto"/>
              <w:shd w:val="clear" w:color="auto" w:fill="ffffff"/>
              <w:widowControl/>
              <w:rPr>
                <w:rFonts w:hint="eastAsia" w:ascii="宋体" w:hAnsi="宋体" w:cs="宋体"/>
                <w:b/>
                <w:bCs/>
                <w:color w:val="000000"/>
                <w:szCs w:val="21"/>
              </w:rPr>
            </w:pPr>
            <w:r>
              <w:rPr>
                <w:rFonts w:hint="eastAsia" w:ascii="宋体" w:hAnsi="宋体" w:cs="宋体"/>
                <w:b/>
                <w:bCs/>
                <w:color w:val="000000"/>
                <w:szCs w:val="21"/>
              </w:rPr>
              <w:t xml:space="preserve">采购标的对应中</w:t>
            </w:r>
            <w:r>
              <w:rPr>
                <w:rFonts w:hint="eastAsia" w:ascii="宋体" w:hAnsi="宋体" w:cs="宋体"/>
                <w:b/>
                <w:bCs/>
                <w:szCs w:val="21"/>
              </w:rPr>
              <w:t xml:space="preserve">小企业划分标准所属行业：</w:t>
            </w:r>
            <w:r>
              <w:rPr>
                <w:rFonts w:hint="eastAsia" w:ascii="宋体" w:hAnsi="宋体" w:cs="宋体"/>
                <w:b/>
                <w:bCs/>
                <w:color w:val="000000"/>
                <w:szCs w:val="21"/>
              </w:rPr>
              <w:t xml:space="preserve">工业</w:t>
            </w:r>
            <w:r>
              <w:rPr>
                <w:rFonts w:hint="eastAsia" w:ascii="宋体" w:hAnsi="宋体" w:cs="宋体"/>
                <w:b/>
                <w:bCs/>
                <w:color w:val="000000"/>
                <w:szCs w:val="21"/>
                <w:shd w:val="clear" w:color="auto" w:fill="ffffff"/>
                <w:lang w:bidi="ar"/>
              </w:rPr>
              <w:t xml:space="preserve">（制造业）</w:t>
            </w:r>
            <w:r>
              <w:rPr>
                <w:rFonts w:hint="eastAsia" w:ascii="宋体" w:hAnsi="宋体" w:cs="宋体"/>
                <w:b/>
                <w:bCs/>
                <w:color w:val="000000"/>
                <w:szCs w:val="21"/>
              </w:rPr>
            </w:r>
            <w:r/>
          </w:p>
        </w:tc>
      </w:tr>
      <w:tr>
        <w:trPr>
          <w:trHeight w:val="299"/>
        </w:trPr>
        <w:tc>
          <w:tcPr>
            <w:tcW w:w="881" w:type="dxa"/>
            <w:vAlign w:val="center"/>
            <w:textDirection w:val="lrTb"/>
            <w:noWrap w:val="false"/>
          </w:tcPr>
          <w:p>
            <w:pPr>
              <w:pStyle w:val="1344"/>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14</w:t>
            </w:r>
            <w:r>
              <w:rPr>
                <w:rFonts w:hint="eastAsia" w:ascii="宋体" w:hAnsi="宋体" w:cs="宋体"/>
                <w:color w:val="000000"/>
                <w:szCs w:val="21"/>
              </w:rPr>
            </w:r>
            <w:r/>
          </w:p>
        </w:tc>
        <w:tc>
          <w:tcPr>
            <w:tcW w:w="9175" w:type="dxa"/>
            <w:vAlign w:val="center"/>
            <w:textDirection w:val="lrTb"/>
            <w:noWrap w:val="false"/>
          </w:tcPr>
          <w:p>
            <w:pPr>
              <w:pStyle w:val="1344"/>
              <w:jc w:val="left"/>
              <w:spacing w:line="360" w:lineRule="auto"/>
              <w:rPr>
                <w:rFonts w:hint="eastAsia" w:ascii="宋体" w:hAnsi="宋体" w:cs="宋体"/>
                <w:szCs w:val="21"/>
              </w:rPr>
            </w:pPr>
            <w:r>
              <w:rPr>
                <w:rFonts w:hint="eastAsia" w:ascii="宋体" w:hAnsi="宋体" w:cs="宋体"/>
                <w:szCs w:val="21"/>
              </w:rPr>
              <w:t xml:space="preserve">招标代理服务费：</w:t>
            </w:r>
            <w:r>
              <w:rPr>
                <w:rFonts w:hint="eastAsia" w:ascii="宋体" w:hAnsi="宋体" w:cs="宋体"/>
                <w:szCs w:val="21"/>
              </w:rPr>
            </w:r>
            <w:r/>
          </w:p>
          <w:p>
            <w:pPr>
              <w:pStyle w:val="1344"/>
              <w:spacing w:line="360" w:lineRule="auto"/>
              <w:shd w:val="clear" w:color="auto" w:fill="ffffff"/>
              <w:widowControl/>
              <w:rPr>
                <w:rFonts w:hint="eastAsia" w:ascii="宋体" w:hAnsi="宋体" w:cs="宋体"/>
                <w:bCs/>
                <w:szCs w:val="21"/>
              </w:rPr>
            </w:pPr>
            <w:r>
              <w:rPr>
                <w:rFonts w:hint="eastAsia" w:ascii="宋体" w:hAnsi="宋体" w:cs="宋体"/>
                <w:szCs w:val="21"/>
              </w:rPr>
              <w:t xml:space="preserve">合同签订后一周内，中标供应商参照《招标代理服务费管理暂行办法》（国家发展计划委员会计价格【2002】1980号）代理货物招标收费基准费率80%计算（最低3000元整）向采购代理机构交付每包的招标代理服务费，招标代理服务费一次付清。</w:t>
            </w:r>
            <w:r>
              <w:rPr>
                <w:rFonts w:hint="eastAsia" w:ascii="宋体" w:hAnsi="宋体" w:cs="宋体"/>
                <w:bCs/>
                <w:szCs w:val="21"/>
              </w:rPr>
            </w:r>
            <w:r/>
          </w:p>
          <w:p>
            <w:pPr>
              <w:pStyle w:val="1413"/>
              <w:ind w:firstLine="0"/>
              <w:rPr>
                <w:rFonts w:hint="eastAsia" w:ascii="宋体" w:hAnsi="宋体" w:cs="宋体"/>
                <w:bCs/>
                <w:sz w:val="21"/>
              </w:rPr>
            </w:pPr>
            <w:r>
              <w:rPr>
                <w:rFonts w:hint="eastAsia" w:ascii="宋体" w:hAnsi="宋体" w:cs="宋体"/>
                <w:bCs/>
                <w:sz w:val="21"/>
              </w:rPr>
              <w:t xml:space="preserve">收款信息：</w:t>
            </w:r>
            <w:r>
              <w:rPr>
                <w:rFonts w:hint="eastAsia" w:ascii="宋体" w:hAnsi="宋体" w:cs="宋体"/>
                <w:bCs/>
                <w:sz w:val="21"/>
              </w:rPr>
            </w:r>
            <w:r/>
          </w:p>
          <w:p>
            <w:pPr>
              <w:pStyle w:val="1413"/>
              <w:ind w:firstLine="0"/>
              <w:rPr>
                <w:rFonts w:hint="eastAsia" w:ascii="宋体" w:hAnsi="宋体" w:cs="宋体"/>
                <w:bCs/>
                <w:sz w:val="21"/>
              </w:rPr>
            </w:pPr>
            <w:r>
              <w:rPr>
                <w:rFonts w:hint="eastAsia" w:ascii="宋体" w:hAnsi="宋体" w:cs="宋体"/>
                <w:bCs/>
                <w:sz w:val="21"/>
              </w:rPr>
              <w:t xml:space="preserve">户名：江苏苏美达仪器设备有限公司</w:t>
            </w:r>
            <w:r>
              <w:rPr>
                <w:rFonts w:hint="eastAsia" w:ascii="宋体" w:hAnsi="宋体" w:cs="宋体"/>
                <w:bCs/>
                <w:sz w:val="21"/>
              </w:rPr>
            </w:r>
            <w:r/>
          </w:p>
          <w:p>
            <w:pPr>
              <w:pStyle w:val="1413"/>
              <w:ind w:firstLine="0"/>
              <w:rPr>
                <w:rFonts w:hint="eastAsia" w:ascii="宋体" w:hAnsi="宋体" w:cs="宋体"/>
                <w:bCs/>
                <w:sz w:val="21"/>
              </w:rPr>
            </w:pPr>
            <w:r>
              <w:rPr>
                <w:rFonts w:hint="eastAsia" w:ascii="宋体" w:hAnsi="宋体" w:cs="宋体"/>
                <w:bCs/>
                <w:sz w:val="21"/>
              </w:rPr>
              <w:t xml:space="preserve">开户银行：农行南京广州路支行</w:t>
            </w:r>
            <w:r>
              <w:rPr>
                <w:rFonts w:hint="eastAsia" w:ascii="宋体" w:hAnsi="宋体" w:cs="宋体"/>
                <w:bCs/>
                <w:sz w:val="21"/>
              </w:rPr>
            </w:r>
            <w:r/>
          </w:p>
          <w:p>
            <w:pPr>
              <w:pStyle w:val="1344"/>
              <w:spacing w:line="360" w:lineRule="auto"/>
              <w:rPr>
                <w:rFonts w:hint="eastAsia" w:ascii="宋体" w:hAnsi="宋体" w:cs="宋体"/>
                <w:color w:val="000000"/>
                <w:szCs w:val="21"/>
              </w:rPr>
            </w:pPr>
            <w:r>
              <w:rPr>
                <w:rFonts w:hint="eastAsia" w:ascii="宋体" w:hAnsi="宋体" w:cs="宋体"/>
                <w:bCs/>
                <w:szCs w:val="21"/>
              </w:rPr>
              <w:t xml:space="preserve">账户：10100301040003106</w:t>
            </w:r>
            <w:r>
              <w:rPr>
                <w:rFonts w:hint="eastAsia" w:ascii="宋体" w:hAnsi="宋体" w:cs="宋体"/>
                <w:color w:val="000000"/>
                <w:szCs w:val="21"/>
              </w:rPr>
            </w:r>
            <w:r/>
          </w:p>
        </w:tc>
      </w:tr>
      <w:tr>
        <w:trPr>
          <w:trHeight w:val="299"/>
        </w:trPr>
        <w:tc>
          <w:tcPr>
            <w:tcW w:w="881" w:type="dxa"/>
            <w:vAlign w:val="center"/>
            <w:textDirection w:val="lrTb"/>
            <w:noWrap w:val="false"/>
          </w:tcPr>
          <w:p>
            <w:pPr>
              <w:pStyle w:val="1344"/>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15</w:t>
            </w:r>
            <w:r>
              <w:rPr>
                <w:rFonts w:hint="eastAsia" w:ascii="宋体" w:hAnsi="宋体" w:cs="宋体"/>
                <w:color w:val="000000"/>
                <w:szCs w:val="21"/>
              </w:rPr>
            </w:r>
            <w:r/>
          </w:p>
        </w:tc>
        <w:tc>
          <w:tcPr>
            <w:tcW w:w="9175" w:type="dxa"/>
            <w:vAlign w:val="center"/>
            <w:textDirection w:val="lrTb"/>
            <w:noWrap w:val="false"/>
          </w:tcPr>
          <w:p>
            <w:pPr>
              <w:pStyle w:val="1344"/>
              <w:spacing w:line="360" w:lineRule="auto"/>
              <w:rPr>
                <w:rFonts w:hint="eastAsia" w:ascii="宋体" w:hAnsi="宋体" w:cs="宋体"/>
                <w:bCs/>
                <w:szCs w:val="21"/>
              </w:rPr>
            </w:pPr>
            <w:r>
              <w:rPr>
                <w:rFonts w:hint="eastAsia" w:ascii="宋体" w:hAnsi="宋体" w:cs="宋体"/>
                <w:bCs/>
                <w:szCs w:val="21"/>
              </w:rPr>
              <w:t xml:space="preserve">1、供应商对采购活动事项有疑问的，可以提出询问，联系方式详见第一章技术咨询联系人。</w:t>
            </w:r>
            <w:r>
              <w:rPr>
                <w:rFonts w:hint="eastAsia" w:ascii="宋体" w:hAnsi="宋体" w:cs="宋体"/>
                <w:bCs/>
                <w:szCs w:val="21"/>
              </w:rPr>
            </w:r>
            <w:r/>
          </w:p>
          <w:p>
            <w:pPr>
              <w:pStyle w:val="1344"/>
              <w:spacing w:line="360" w:lineRule="auto"/>
              <w:rPr>
                <w:rFonts w:hint="eastAsia" w:ascii="宋体" w:hAnsi="宋体" w:cs="宋体"/>
                <w:bCs/>
                <w:szCs w:val="21"/>
              </w:rPr>
            </w:pPr>
            <w:r>
              <w:rPr>
                <w:rFonts w:hint="eastAsia" w:ascii="宋体" w:hAnsi="宋体" w:cs="宋体"/>
                <w:bCs/>
                <w:szCs w:val="21"/>
              </w:rPr>
              <w:t xml:space="preserve">2、供应商认为采购文件、采购过程、中标或者成交结果使自己的权益受到损害的，可以在知道或者应知权益受到损害之日起7个工作日内，提出质疑。</w:t>
            </w:r>
            <w:r>
              <w:rPr>
                <w:rFonts w:hint="eastAsia" w:ascii="宋体" w:hAnsi="宋体" w:cs="宋体"/>
                <w:bCs/>
                <w:szCs w:val="21"/>
              </w:rPr>
            </w:r>
            <w:r/>
          </w:p>
          <w:p>
            <w:pPr>
              <w:pStyle w:val="1344"/>
              <w:spacing w:line="360" w:lineRule="auto"/>
              <w:rPr>
                <w:rFonts w:hint="eastAsia" w:ascii="宋体" w:hAnsi="宋体" w:cs="宋体"/>
                <w:bCs/>
                <w:szCs w:val="21"/>
              </w:rPr>
            </w:pPr>
            <w:r>
              <w:rPr>
                <w:rFonts w:hint="eastAsia" w:ascii="宋体" w:hAnsi="宋体" w:cs="宋体"/>
                <w:bCs/>
                <w:szCs w:val="21"/>
              </w:rPr>
              <w:t xml:space="preserve">（1）接收质疑函的方式：供应商应在法定质疑期内将质疑函以书面形式（原件）送达代理机构，针对本项目同一采购程序环节的质疑应一次性提出。</w:t>
            </w:r>
            <w:r>
              <w:rPr>
                <w:rFonts w:hint="eastAsia" w:ascii="宋体" w:hAnsi="宋体" w:cs="宋体"/>
                <w:bCs/>
                <w:szCs w:val="21"/>
              </w:rPr>
            </w:r>
            <w:r/>
          </w:p>
          <w:p>
            <w:pPr>
              <w:pStyle w:val="1344"/>
              <w:spacing w:line="360" w:lineRule="auto"/>
              <w:rPr>
                <w:rFonts w:hint="eastAsia" w:ascii="宋体" w:hAnsi="宋体" w:cs="宋体"/>
                <w:bCs/>
                <w:szCs w:val="21"/>
              </w:rPr>
            </w:pPr>
            <w:r>
              <w:rPr>
                <w:rFonts w:hint="eastAsia" w:ascii="宋体" w:hAnsi="宋体" w:cs="宋体"/>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cs="宋体"/>
                <w:bCs/>
                <w:szCs w:val="21"/>
              </w:rPr>
            </w:r>
            <w:r/>
          </w:p>
          <w:p>
            <w:pPr>
              <w:pStyle w:val="1344"/>
              <w:ind w:firstLine="210"/>
              <w:spacing w:line="360" w:lineRule="auto"/>
              <w:rPr>
                <w:rFonts w:hint="eastAsia" w:ascii="宋体" w:hAnsi="宋体" w:cs="宋体"/>
                <w:bCs/>
                <w:szCs w:val="21"/>
              </w:rPr>
            </w:pPr>
            <w:r>
              <w:rPr>
                <w:rFonts w:hint="eastAsia" w:ascii="宋体" w:hAnsi="宋体" w:cs="宋体"/>
                <w:bCs/>
                <w:szCs w:val="21"/>
              </w:rPr>
              <w:t xml:space="preserve">①供应商的姓名或者名称、地址、邮编、联系人及联系电话；</w:t>
            </w:r>
            <w:r>
              <w:rPr>
                <w:rFonts w:hint="eastAsia" w:ascii="宋体" w:hAnsi="宋体" w:cs="宋体"/>
                <w:bCs/>
                <w:szCs w:val="21"/>
              </w:rPr>
            </w:r>
            <w:r/>
          </w:p>
          <w:p>
            <w:pPr>
              <w:pStyle w:val="1344"/>
              <w:ind w:firstLine="210"/>
              <w:spacing w:line="360" w:lineRule="auto"/>
              <w:rPr>
                <w:rFonts w:hint="eastAsia" w:ascii="宋体" w:hAnsi="宋体" w:cs="宋体"/>
                <w:bCs/>
                <w:szCs w:val="21"/>
              </w:rPr>
            </w:pPr>
            <w:r>
              <w:rPr>
                <w:rFonts w:hint="eastAsia" w:ascii="宋体" w:hAnsi="宋体" w:cs="宋体"/>
                <w:bCs/>
                <w:szCs w:val="21"/>
              </w:rPr>
              <w:t xml:space="preserve">②质疑项目的名称、编号；</w:t>
            </w:r>
            <w:r>
              <w:rPr>
                <w:rFonts w:hint="eastAsia" w:ascii="宋体" w:hAnsi="宋体" w:cs="宋体"/>
                <w:bCs/>
                <w:szCs w:val="21"/>
              </w:rPr>
            </w:r>
            <w:r/>
          </w:p>
          <w:p>
            <w:pPr>
              <w:pStyle w:val="1344"/>
              <w:ind w:firstLine="210"/>
              <w:spacing w:line="360" w:lineRule="auto"/>
              <w:rPr>
                <w:rFonts w:hint="eastAsia" w:ascii="宋体" w:hAnsi="宋体" w:cs="宋体"/>
                <w:bCs/>
                <w:szCs w:val="21"/>
              </w:rPr>
            </w:pPr>
            <w:r>
              <w:rPr>
                <w:rFonts w:hint="eastAsia" w:ascii="宋体" w:hAnsi="宋体" w:cs="宋体"/>
                <w:bCs/>
                <w:szCs w:val="21"/>
              </w:rPr>
              <w:t xml:space="preserve">③具体、明确的质疑事项和与质疑事项相关的请求；</w:t>
            </w:r>
            <w:r>
              <w:rPr>
                <w:rFonts w:hint="eastAsia" w:ascii="宋体" w:hAnsi="宋体" w:cs="宋体"/>
                <w:bCs/>
                <w:szCs w:val="21"/>
              </w:rPr>
            </w:r>
            <w:r/>
          </w:p>
          <w:p>
            <w:pPr>
              <w:pStyle w:val="1344"/>
              <w:ind w:firstLine="210"/>
              <w:spacing w:line="360" w:lineRule="auto"/>
              <w:rPr>
                <w:rFonts w:hint="eastAsia" w:ascii="宋体" w:hAnsi="宋体" w:cs="宋体"/>
                <w:bCs/>
                <w:szCs w:val="21"/>
              </w:rPr>
            </w:pPr>
            <w:r>
              <w:rPr>
                <w:rFonts w:hint="eastAsia" w:ascii="宋体" w:hAnsi="宋体" w:cs="宋体"/>
                <w:bCs/>
                <w:szCs w:val="21"/>
              </w:rPr>
              <w:t xml:space="preserve">④事实依据；</w:t>
            </w:r>
            <w:r>
              <w:rPr>
                <w:rFonts w:hint="eastAsia" w:ascii="宋体" w:hAnsi="宋体" w:cs="宋体"/>
                <w:bCs/>
                <w:szCs w:val="21"/>
              </w:rPr>
            </w:r>
            <w:r/>
          </w:p>
          <w:p>
            <w:pPr>
              <w:pStyle w:val="1344"/>
              <w:ind w:firstLine="210"/>
              <w:spacing w:line="360" w:lineRule="auto"/>
              <w:rPr>
                <w:rFonts w:hint="eastAsia" w:ascii="宋体" w:hAnsi="宋体" w:cs="宋体"/>
                <w:bCs/>
                <w:szCs w:val="21"/>
              </w:rPr>
            </w:pPr>
            <w:r>
              <w:rPr>
                <w:rFonts w:hint="eastAsia" w:ascii="宋体" w:hAnsi="宋体" w:cs="宋体"/>
                <w:bCs/>
                <w:szCs w:val="21"/>
              </w:rPr>
              <w:t xml:space="preserve">⑤必要的法律依据；</w:t>
            </w:r>
            <w:r>
              <w:rPr>
                <w:rFonts w:hint="eastAsia" w:ascii="宋体" w:hAnsi="宋体" w:cs="宋体"/>
                <w:bCs/>
                <w:szCs w:val="21"/>
              </w:rPr>
            </w:r>
            <w:r/>
          </w:p>
          <w:p>
            <w:pPr>
              <w:pStyle w:val="1344"/>
              <w:ind w:firstLine="210"/>
              <w:spacing w:line="360" w:lineRule="auto"/>
              <w:rPr>
                <w:rFonts w:hint="eastAsia" w:ascii="宋体" w:hAnsi="宋体" w:cs="宋体"/>
                <w:bCs/>
                <w:szCs w:val="21"/>
              </w:rPr>
            </w:pPr>
            <w:r>
              <w:rPr>
                <w:rFonts w:hint="eastAsia" w:ascii="宋体" w:hAnsi="宋体" w:cs="宋体"/>
                <w:bCs/>
                <w:szCs w:val="21"/>
              </w:rPr>
              <w:t xml:space="preserve">⑥提出质疑的日期；</w:t>
            </w:r>
            <w:r>
              <w:rPr>
                <w:rFonts w:hint="eastAsia" w:ascii="宋体" w:hAnsi="宋体" w:cs="宋体"/>
                <w:bCs/>
                <w:szCs w:val="21"/>
              </w:rPr>
            </w:r>
            <w:r/>
          </w:p>
          <w:p>
            <w:pPr>
              <w:pStyle w:val="1344"/>
              <w:ind w:firstLine="210"/>
              <w:spacing w:line="360" w:lineRule="auto"/>
              <w:rPr>
                <w:rFonts w:hint="eastAsia"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cs="宋体"/>
                <w:bCs/>
                <w:szCs w:val="21"/>
              </w:rPr>
            </w:r>
            <w:r/>
          </w:p>
          <w:p>
            <w:pPr>
              <w:pStyle w:val="1344"/>
              <w:spacing w:line="360" w:lineRule="auto"/>
              <w:rPr>
                <w:rFonts w:hint="eastAsia" w:ascii="宋体" w:hAnsi="宋体" w:cs="宋体"/>
                <w:bCs/>
                <w:szCs w:val="21"/>
              </w:rPr>
            </w:pPr>
            <w:r>
              <w:rPr>
                <w:rFonts w:hint="eastAsia" w:ascii="宋体" w:hAnsi="宋体" w:cs="宋体"/>
                <w:bCs/>
                <w:szCs w:val="21"/>
              </w:rPr>
              <w:t xml:space="preserve">（3）质疑供应商若对项目的某一分包进行质疑，质疑函中应列明具体分包号。</w:t>
            </w:r>
            <w:r>
              <w:rPr>
                <w:rFonts w:hint="eastAsia" w:ascii="宋体" w:hAnsi="宋体" w:cs="宋体"/>
                <w:bCs/>
                <w:szCs w:val="21"/>
              </w:rPr>
            </w:r>
            <w:r/>
          </w:p>
          <w:p>
            <w:pPr>
              <w:pStyle w:val="1344"/>
              <w:spacing w:line="360" w:lineRule="auto"/>
              <w:rPr>
                <w:rFonts w:hint="eastAsia" w:ascii="宋体" w:hAnsi="宋体" w:cs="宋体"/>
                <w:bCs/>
                <w:szCs w:val="21"/>
              </w:rPr>
            </w:pPr>
            <w:r>
              <w:rPr>
                <w:rFonts w:hint="eastAsia" w:ascii="宋体" w:hAnsi="宋体" w:cs="宋体"/>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cs="宋体"/>
                <w:bCs/>
                <w:szCs w:val="21"/>
              </w:rPr>
            </w:r>
            <w:r/>
          </w:p>
          <w:p>
            <w:pPr>
              <w:pStyle w:val="1344"/>
              <w:spacing w:line="360" w:lineRule="auto"/>
              <w:rPr>
                <w:rFonts w:hint="eastAsia" w:ascii="宋体" w:hAnsi="宋体" w:cs="宋体"/>
                <w:bCs/>
                <w:color w:val="000000"/>
                <w:szCs w:val="21"/>
              </w:rPr>
            </w:pPr>
            <w:r>
              <w:rPr>
                <w:rFonts w:hint="eastAsia" w:ascii="宋体" w:hAnsi="宋体" w:cs="宋体"/>
                <w:bCs/>
                <w:szCs w:val="21"/>
              </w:rPr>
              <w:t xml:space="preserve">（5）</w:t>
            </w:r>
            <w:r>
              <w:rPr>
                <w:rFonts w:hint="eastAsia" w:ascii="宋体" w:hAnsi="宋体" w:cs="宋体"/>
                <w:bCs/>
                <w:color w:val="000000"/>
                <w:szCs w:val="21"/>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hint="eastAsia" w:ascii="宋体" w:hAnsi="宋体" w:cs="宋体"/>
                <w:bCs/>
                <w:color w:val="000000"/>
                <w:szCs w:val="21"/>
              </w:rPr>
            </w:r>
            <w:r/>
          </w:p>
          <w:p>
            <w:pPr>
              <w:pStyle w:val="1344"/>
              <w:spacing w:line="360" w:lineRule="auto"/>
              <w:rPr>
                <w:rFonts w:hint="eastAsia" w:ascii="宋体" w:hAnsi="宋体" w:cs="宋体"/>
                <w:bCs/>
                <w:szCs w:val="21"/>
              </w:rPr>
            </w:pPr>
            <w:r>
              <w:rPr>
                <w:rFonts w:hint="eastAsia" w:ascii="宋体" w:hAnsi="宋体" w:cs="宋体"/>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bCs/>
                <w:szCs w:val="21"/>
              </w:rPr>
            </w:r>
            <w:r/>
          </w:p>
          <w:p>
            <w:pPr>
              <w:pStyle w:val="1344"/>
              <w:spacing w:line="360" w:lineRule="auto"/>
              <w:rPr>
                <w:rFonts w:hint="eastAsia" w:ascii="宋体" w:hAnsi="宋体" w:cs="宋体"/>
                <w:bCs/>
                <w:szCs w:val="21"/>
              </w:rPr>
            </w:pPr>
            <w:r>
              <w:rPr>
                <w:rFonts w:hint="eastAsia" w:ascii="宋体" w:hAnsi="宋体" w:cs="宋体"/>
                <w:bCs/>
                <w:szCs w:val="21"/>
              </w:rPr>
              <w:t xml:space="preserve">（7）本项目质疑函的联系部门、联系电话和通讯地址如下：</w:t>
            </w:r>
            <w:r>
              <w:rPr>
                <w:rFonts w:hint="eastAsia" w:ascii="宋体" w:hAnsi="宋体" w:cs="宋体"/>
                <w:bCs/>
                <w:szCs w:val="21"/>
              </w:rPr>
            </w:r>
            <w:r/>
          </w:p>
          <w:p>
            <w:pPr>
              <w:pStyle w:val="1344"/>
              <w:ind w:firstLine="210"/>
              <w:spacing w:line="360" w:lineRule="auto"/>
              <w:rPr>
                <w:rFonts w:hint="eastAsia" w:ascii="宋体" w:hAnsi="宋体" w:cs="宋体"/>
                <w:bCs/>
                <w:szCs w:val="21"/>
              </w:rPr>
            </w:pPr>
            <w:r>
              <w:rPr>
                <w:rFonts w:hint="eastAsia" w:ascii="宋体" w:hAnsi="宋体" w:cs="宋体"/>
                <w:bCs/>
                <w:szCs w:val="21"/>
              </w:rPr>
              <w:t xml:space="preserve">联系部门：江苏苏美达仪器设备有限公司招标中心 黄经理</w:t>
            </w:r>
            <w:r>
              <w:rPr>
                <w:rFonts w:hint="eastAsia" w:ascii="宋体" w:hAnsi="宋体" w:cs="宋体"/>
                <w:bCs/>
                <w:szCs w:val="21"/>
              </w:rPr>
            </w:r>
            <w:r/>
          </w:p>
          <w:p>
            <w:pPr>
              <w:pStyle w:val="1344"/>
              <w:ind w:firstLine="210"/>
              <w:spacing w:line="360" w:lineRule="auto"/>
              <w:rPr>
                <w:rFonts w:hint="eastAsia" w:ascii="宋体" w:hAnsi="宋体" w:cs="宋体"/>
                <w:bCs/>
                <w:szCs w:val="21"/>
              </w:rPr>
            </w:pPr>
            <w:r>
              <w:rPr>
                <w:rFonts w:hint="eastAsia" w:ascii="宋体" w:hAnsi="宋体" w:cs="宋体"/>
                <w:bCs/>
                <w:szCs w:val="21"/>
              </w:rPr>
              <w:t xml:space="preserve">联系电话：025-84531274</w:t>
            </w:r>
            <w:r>
              <w:rPr>
                <w:rFonts w:hint="eastAsia" w:ascii="宋体" w:hAnsi="宋体" w:cs="宋体"/>
                <w:bCs/>
                <w:szCs w:val="21"/>
              </w:rPr>
            </w:r>
            <w:r/>
          </w:p>
          <w:p>
            <w:pPr>
              <w:pStyle w:val="1344"/>
              <w:ind w:firstLine="210"/>
              <w:spacing w:line="360" w:lineRule="auto"/>
              <w:rPr>
                <w:rFonts w:hint="eastAsia" w:ascii="宋体" w:hAnsi="宋体" w:cs="宋体"/>
                <w:szCs w:val="21"/>
              </w:rPr>
            </w:pPr>
            <w:r>
              <w:rPr>
                <w:rFonts w:hint="eastAsia" w:ascii="宋体" w:hAnsi="宋体" w:cs="宋体"/>
                <w:bCs/>
                <w:szCs w:val="21"/>
              </w:rPr>
              <w:t xml:space="preserve">通讯地址：</w:t>
            </w:r>
            <w:r>
              <w:rPr>
                <w:rFonts w:hint="eastAsia" w:ascii="宋体" w:hAnsi="宋体" w:cs="宋体"/>
                <w:szCs w:val="21"/>
              </w:rPr>
              <w:t xml:space="preserve">江苏省南京市长江路198号苏美达大厦14F</w:t>
            </w:r>
            <w:r>
              <w:rPr>
                <w:rFonts w:hint="eastAsia" w:ascii="宋体" w:hAnsi="宋体" w:cs="宋体"/>
                <w:szCs w:val="21"/>
              </w:rPr>
            </w:r>
            <w:r/>
          </w:p>
        </w:tc>
      </w:tr>
      <w:tr>
        <w:trPr>
          <w:trHeight w:val="1075"/>
        </w:trPr>
        <w:tc>
          <w:tcPr>
            <w:tcW w:w="881" w:type="dxa"/>
            <w:vAlign w:val="center"/>
            <w:textDirection w:val="lrTb"/>
            <w:noWrap w:val="false"/>
          </w:tcPr>
          <w:p>
            <w:pPr>
              <w:pStyle w:val="1344"/>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16</w:t>
            </w:r>
            <w:r>
              <w:rPr>
                <w:rFonts w:hint="eastAsia" w:ascii="宋体" w:hAnsi="宋体" w:cs="宋体"/>
                <w:color w:val="000000"/>
                <w:szCs w:val="21"/>
              </w:rPr>
            </w:r>
            <w:r/>
          </w:p>
        </w:tc>
        <w:tc>
          <w:tcPr>
            <w:tcW w:w="9175" w:type="dxa"/>
            <w:vAlign w:val="center"/>
            <w:textDirection w:val="lrTb"/>
            <w:noWrap w:val="false"/>
          </w:tcPr>
          <w:p>
            <w:pPr>
              <w:pStyle w:val="1344"/>
              <w:spacing w:line="360" w:lineRule="auto"/>
              <w:shd w:val="clear" w:color="auto" w:fill="ffffff"/>
              <w:widowControl/>
              <w:rPr>
                <w:rFonts w:hint="eastAsia" w:ascii="宋体" w:hAnsi="宋体" w:cs="宋体"/>
                <w:bCs/>
                <w:szCs w:val="21"/>
              </w:rPr>
            </w:pPr>
            <w:r>
              <w:rPr>
                <w:rFonts w:hint="eastAsia" w:ascii="宋体" w:hAnsi="宋体" w:cs="宋体"/>
                <w:color w:val="000000"/>
                <w:szCs w:val="21"/>
              </w:rPr>
              <w:t xml:space="preserve">投标报价中的投标价不得超过招标公告、招标文件规定的预算价或最高限价，超过规定的预算价或最高限价的投标文件，按无效投标处理。 </w:t>
            </w:r>
            <w:r>
              <w:rPr>
                <w:rFonts w:hint="eastAsia" w:ascii="宋体" w:hAnsi="宋体" w:cs="宋体"/>
                <w:bCs/>
                <w:szCs w:val="21"/>
              </w:rPr>
            </w:r>
            <w:r/>
          </w:p>
        </w:tc>
      </w:tr>
      <w:tr>
        <w:trPr>
          <w:trHeight w:val="1075"/>
        </w:trPr>
        <w:tc>
          <w:tcPr>
            <w:tcW w:w="881" w:type="dxa"/>
            <w:vAlign w:val="center"/>
            <w:textDirection w:val="lrTb"/>
            <w:noWrap w:val="false"/>
          </w:tcPr>
          <w:p>
            <w:pPr>
              <w:pStyle w:val="1344"/>
              <w:jc w:val="center"/>
              <w:spacing w:line="360" w:lineRule="auto"/>
              <w:shd w:val="clear" w:color="auto" w:fill="ffffff"/>
              <w:widowControl/>
              <w:rPr>
                <w:rFonts w:hint="eastAsia" w:ascii="宋体" w:hAnsi="宋体" w:cs="宋体"/>
                <w:szCs w:val="21"/>
              </w:rPr>
            </w:pPr>
            <w:r>
              <w:rPr>
                <w:rFonts w:hint="eastAsia" w:ascii="宋体" w:hAnsi="宋体" w:cs="宋体"/>
                <w:szCs w:val="21"/>
              </w:rPr>
              <w:t xml:space="preserve">17</w:t>
            </w:r>
            <w:r>
              <w:rPr>
                <w:rFonts w:hint="eastAsia" w:ascii="宋体" w:hAnsi="宋体" w:cs="宋体"/>
                <w:szCs w:val="21"/>
              </w:rPr>
            </w:r>
            <w:r/>
          </w:p>
        </w:tc>
        <w:tc>
          <w:tcPr>
            <w:tcW w:w="9175" w:type="dxa"/>
            <w:vAlign w:val="center"/>
            <w:textDirection w:val="lrTb"/>
            <w:noWrap w:val="false"/>
          </w:tcPr>
          <w:p>
            <w:pPr>
              <w:pStyle w:val="1344"/>
              <w:spacing w:line="360" w:lineRule="auto"/>
              <w:rPr>
                <w:rFonts w:hint="eastAsia" w:ascii="宋体" w:hAnsi="宋体" w:cs="宋体"/>
                <w:szCs w:val="21"/>
              </w:rPr>
            </w:pPr>
            <w:r>
              <w:rPr>
                <w:rFonts w:hint="eastAsia" w:ascii="宋体" w:hAnsi="宋体" w:cs="宋体"/>
                <w:szCs w:val="21"/>
              </w:rPr>
              <w:t xml:space="preserve">关于“苏采云”系统的提示说明</w:t>
            </w:r>
            <w:r>
              <w:rPr>
                <w:rFonts w:hint="eastAsia" w:ascii="宋体" w:hAnsi="宋体" w:cs="宋体"/>
                <w:szCs w:val="21"/>
              </w:rPr>
            </w:r>
            <w:r/>
          </w:p>
          <w:p>
            <w:pPr>
              <w:pStyle w:val="1344"/>
              <w:spacing w:line="360" w:lineRule="auto"/>
              <w:rPr>
                <w:rFonts w:hint="eastAsia" w:ascii="宋体" w:hAnsi="宋体" w:cs="宋体"/>
                <w:szCs w:val="21"/>
              </w:rPr>
            </w:pPr>
            <w:r>
              <w:rPr>
                <w:rFonts w:hint="eastAsia" w:ascii="宋体" w:hAnsi="宋体" w:cs="宋体"/>
                <w:szCs w:val="21"/>
              </w:rPr>
              <w:t xml:space="preserve">1.潜在供应商访问电子招标响应交易平台的网络地址和方法：</w:t>
            </w:r>
            <w:r>
              <w:rPr>
                <w:rFonts w:hint="eastAsia" w:ascii="宋体" w:hAnsi="宋体" w:cs="宋体"/>
                <w:szCs w:val="21"/>
              </w:rPr>
            </w:r>
            <w:r/>
          </w:p>
          <w:p>
            <w:pPr>
              <w:pStyle w:val="1344"/>
              <w:spacing w:line="360" w:lineRule="auto"/>
              <w:rPr>
                <w:rFonts w:hint="eastAsia" w:ascii="宋体" w:hAnsi="宋体" w:cs="宋体"/>
                <w:szCs w:val="21"/>
              </w:rPr>
            </w:pPr>
            <w:r>
              <w:rPr>
                <w:rFonts w:hint="eastAsia" w:ascii="宋体" w:hAnsi="宋体" w:cs="宋体"/>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cs="宋体"/>
                <w:szCs w:val="21"/>
              </w:rPr>
            </w:r>
            <w:r/>
          </w:p>
          <w:p>
            <w:pPr>
              <w:pStyle w:val="1344"/>
              <w:spacing w:line="360" w:lineRule="auto"/>
              <w:rPr>
                <w:rFonts w:hint="eastAsia" w:ascii="宋体" w:hAnsi="宋体" w:cs="宋体"/>
                <w:szCs w:val="21"/>
              </w:rPr>
            </w:pPr>
            <w:r>
              <w:rPr>
                <w:rFonts w:hint="eastAsia" w:ascii="宋体" w:hAnsi="宋体" w:cs="宋体"/>
                <w:szCs w:val="21"/>
              </w:rPr>
              <w:t xml:space="preserve">2.潜在供应商访问“苏采云”系统的网络地址和方法：“苏采云”系统的网址：http://jszfcg.jsczt.cn/。</w:t>
            </w:r>
            <w:r>
              <w:rPr>
                <w:rFonts w:hint="eastAsia" w:ascii="宋体" w:hAnsi="宋体" w:cs="宋体"/>
                <w:szCs w:val="21"/>
              </w:rPr>
            </w:r>
            <w:r/>
          </w:p>
          <w:p>
            <w:pPr>
              <w:pStyle w:val="1344"/>
              <w:spacing w:line="360" w:lineRule="auto"/>
              <w:rPr>
                <w:rFonts w:hint="eastAsia" w:ascii="宋体" w:hAnsi="宋体" w:cs="宋体"/>
                <w:szCs w:val="21"/>
              </w:rPr>
            </w:pPr>
            <w:r>
              <w:rPr>
                <w:rFonts w:hint="eastAsia" w:ascii="宋体" w:hAnsi="宋体" w:cs="宋体"/>
                <w:szCs w:val="21"/>
              </w:rPr>
              <w:t xml:space="preserve">3.“CA数字证书”的获取：</w:t>
            </w:r>
            <w:r>
              <w:rPr>
                <w:rFonts w:hint="eastAsia" w:ascii="宋体" w:hAnsi="宋体" w:cs="宋体"/>
                <w:szCs w:val="21"/>
              </w:rPr>
            </w:r>
            <w:r/>
          </w:p>
          <w:p>
            <w:pPr>
              <w:pStyle w:val="1344"/>
              <w:spacing w:line="360" w:lineRule="auto"/>
              <w:rPr>
                <w:rFonts w:hint="eastAsia" w:ascii="宋体" w:hAnsi="宋体" w:cs="宋体"/>
                <w:szCs w:val="21"/>
              </w:rPr>
            </w:pPr>
            <w:r>
              <w:rPr>
                <w:rFonts w:hint="eastAsia" w:ascii="宋体" w:hAnsi="宋体" w:cs="宋体"/>
                <w:szCs w:val="21"/>
              </w:rPr>
              <w:t xml:space="preserve">响应供应商需办理“CA数字证书”，CA办理指南及“苏采云”操作手册可至江苏省政府采购网―办事指南-资料下载中心下载。</w:t>
            </w:r>
            <w:r>
              <w:rPr>
                <w:rFonts w:hint="eastAsia" w:ascii="宋体" w:hAnsi="宋体" w:cs="宋体"/>
                <w:szCs w:val="21"/>
              </w:rPr>
            </w:r>
            <w:r/>
          </w:p>
          <w:p>
            <w:pPr>
              <w:pStyle w:val="1344"/>
              <w:spacing w:line="360" w:lineRule="auto"/>
              <w:rPr>
                <w:rFonts w:hint="eastAsia" w:ascii="宋体" w:hAnsi="宋体" w:cs="宋体"/>
                <w:szCs w:val="21"/>
              </w:rPr>
            </w:pPr>
            <w:r>
              <w:rPr>
                <w:rFonts w:hint="eastAsia" w:ascii="宋体" w:hAnsi="宋体" w:cs="宋体"/>
                <w:szCs w:val="21"/>
              </w:rPr>
              <w:t xml:space="preserve">通过苏采云系统首页（http://jszfcg.jscz.gov.cn/）的“苏采云控件驱动下载”，选择“政务CA、方正签章控件驱动安装包及安装说明”下载安装，具体安装方法详见下载文件内的《安装说明》。</w:t>
            </w:r>
            <w:r>
              <w:rPr>
                <w:rFonts w:hint="eastAsia" w:ascii="宋体" w:hAnsi="宋体" w:cs="宋体"/>
                <w:szCs w:val="21"/>
              </w:rPr>
            </w:r>
            <w:r/>
          </w:p>
          <w:p>
            <w:pPr>
              <w:pStyle w:val="1344"/>
              <w:spacing w:line="360" w:lineRule="auto"/>
              <w:rPr>
                <w:rFonts w:hint="eastAsia" w:ascii="宋体" w:hAnsi="宋体" w:cs="宋体"/>
                <w:szCs w:val="21"/>
              </w:rPr>
            </w:pPr>
            <w:r>
              <w:rPr>
                <w:rFonts w:hint="eastAsia" w:ascii="宋体" w:hAnsi="宋体" w:cs="宋体"/>
                <w:szCs w:val="21"/>
              </w:rPr>
              <w:t xml:space="preserve">4.采购文件（后缀名为“.kedt”）、供应商操作手册及政府采购客户端工具可通过“苏采云”系统--已报名项目--报名详情页面内相应链接进行下载。</w:t>
            </w:r>
            <w:r>
              <w:rPr>
                <w:rFonts w:hint="eastAsia" w:ascii="宋体" w:hAnsi="宋体" w:cs="宋体"/>
                <w:szCs w:val="21"/>
              </w:rPr>
            </w:r>
            <w:r/>
          </w:p>
          <w:p>
            <w:pPr>
              <w:pStyle w:val="1344"/>
              <w:spacing w:line="360" w:lineRule="auto"/>
              <w:rPr>
                <w:rFonts w:hint="eastAsia" w:ascii="宋体" w:hAnsi="宋体" w:cs="宋体"/>
                <w:szCs w:val="21"/>
              </w:rPr>
            </w:pPr>
            <w:r>
              <w:rPr>
                <w:rFonts w:hint="eastAsia" w:ascii="宋体" w:hAnsi="宋体" w:cs="宋体"/>
                <w:szCs w:val="21"/>
              </w:rPr>
              <w:t xml:space="preserve">5.请潜在供应商提前安装相应的控件（详见《江苏省政府采购管理交易系统（苏采云）供应商操作手册》）并使用谷歌浏览器登录“苏采云”系统参与不见面开评标。</w:t>
            </w:r>
            <w:r>
              <w:rPr>
                <w:rFonts w:hint="eastAsia" w:ascii="宋体" w:hAnsi="宋体" w:cs="宋体"/>
                <w:szCs w:val="21"/>
              </w:rPr>
            </w:r>
            <w:r/>
          </w:p>
          <w:p>
            <w:pPr>
              <w:pStyle w:val="1344"/>
              <w:spacing w:line="360" w:lineRule="auto"/>
              <w:rPr>
                <w:rFonts w:hint="eastAsia" w:ascii="宋体" w:hAnsi="宋体" w:cs="宋体"/>
                <w:b/>
                <w:bCs/>
                <w:szCs w:val="21"/>
              </w:rPr>
            </w:pPr>
            <w:r>
              <w:rPr>
                <w:rFonts w:hint="eastAsia" w:ascii="宋体" w:hAnsi="宋体" w:cs="宋体"/>
                <w:b/>
                <w:bCs/>
                <w:szCs w:val="21"/>
              </w:rPr>
              <w:t xml:space="preserve">注：如潜在供应商未按上述要求操作，将自行承担所产生的风险。</w:t>
            </w:r>
            <w:r>
              <w:rPr>
                <w:rFonts w:hint="eastAsia" w:ascii="宋体" w:hAnsi="宋体" w:cs="宋体"/>
                <w:b/>
                <w:bCs/>
                <w:szCs w:val="21"/>
              </w:rPr>
            </w:r>
            <w:r/>
          </w:p>
        </w:tc>
      </w:tr>
    </w:tbl>
    <w:p>
      <w:pPr>
        <w:pStyle w:val="1344"/>
        <w:ind w:firstLine="420"/>
        <w:spacing w:line="360" w:lineRule="auto"/>
        <w:shd w:val="clear" w:color="auto" w:fill="ffffff"/>
        <w:widowControl/>
        <w:rPr>
          <w:rFonts w:hint="eastAsia" w:ascii="宋体" w:hAnsi="宋体" w:cs="宋体"/>
          <w:color w:val="000000"/>
          <w:szCs w:val="21"/>
        </w:rPr>
        <w:outlineLvl w:val="1"/>
      </w:pPr>
      <w:r/>
      <w:bookmarkStart w:id="37" w:name="_Toc1580"/>
      <w:r>
        <w:rPr>
          <w:rFonts w:hint="eastAsia" w:ascii="宋体" w:hAnsi="宋体" w:cs="宋体"/>
          <w:b/>
          <w:bCs/>
          <w:color w:val="000000"/>
          <w:szCs w:val="21"/>
        </w:rPr>
        <w:t xml:space="preserve"> </w:t>
      </w:r>
      <w:bookmarkStart w:id="38" w:name="_Toc19894"/>
      <w:r/>
      <w:bookmarkStart w:id="39" w:name="_Toc19726"/>
      <w:r>
        <w:rPr>
          <w:rFonts w:hint="eastAsia" w:ascii="宋体" w:hAnsi="宋体" w:cs="宋体"/>
          <w:b/>
          <w:bCs/>
          <w:color w:val="000000"/>
          <w:szCs w:val="21"/>
        </w:rPr>
        <w:t xml:space="preserve">一、总 则</w:t>
      </w:r>
      <w:bookmarkEnd w:id="37"/>
      <w:r/>
      <w:bookmarkEnd w:id="38"/>
      <w:r/>
      <w:bookmarkEnd w:id="39"/>
      <w:r>
        <w:rPr>
          <w:rFonts w:hint="eastAsia" w:ascii="宋体" w:hAnsi="宋体" w:cs="宋体"/>
          <w:color w:val="000000"/>
          <w:szCs w:val="21"/>
        </w:rPr>
      </w:r>
      <w:r/>
    </w:p>
    <w:p>
      <w:pPr>
        <w:pStyle w:val="1344"/>
        <w:ind w:firstLine="420"/>
        <w:spacing w:line="360" w:lineRule="auto"/>
        <w:rPr>
          <w:rFonts w:hint="eastAsia" w:ascii="宋体" w:hAnsi="宋体" w:cs="宋体"/>
          <w:b/>
          <w:szCs w:val="21"/>
          <w:lang w:val="zh-CN"/>
        </w:rPr>
        <w:outlineLvl w:val="2"/>
      </w:pPr>
      <w:r/>
      <w:bookmarkStart w:id="40" w:name="_Toc5219"/>
      <w:r/>
      <w:bookmarkStart w:id="41" w:name="_Toc10292"/>
      <w:r/>
      <w:bookmarkStart w:id="42" w:name="_Toc3951"/>
      <w:r/>
      <w:bookmarkStart w:id="43" w:name="_Toc16938520"/>
      <w:r/>
      <w:bookmarkStart w:id="44" w:name="_Toc513029204"/>
      <w:r/>
      <w:bookmarkStart w:id="45" w:name="_Toc458694821"/>
      <w:r/>
      <w:bookmarkStart w:id="46" w:name="_Toc24947"/>
      <w:r/>
      <w:bookmarkStart w:id="47" w:name="_Toc20823276"/>
      <w:r>
        <w:rPr>
          <w:rFonts w:hint="eastAsia" w:ascii="宋体" w:hAnsi="宋体" w:cs="宋体"/>
          <w:b/>
          <w:bCs/>
          <w:color w:val="000000"/>
          <w:szCs w:val="21"/>
          <w:lang w:val="zh-CN"/>
        </w:rPr>
        <w:t xml:space="preserve">1.</w:t>
      </w:r>
      <w:r>
        <w:rPr>
          <w:rFonts w:hint="eastAsia" w:ascii="宋体" w:hAnsi="宋体" w:cs="宋体"/>
          <w:b/>
          <w:szCs w:val="21"/>
          <w:lang w:val="zh-CN"/>
        </w:rPr>
        <w:t xml:space="preserve">适用法律</w:t>
      </w:r>
      <w:bookmarkEnd w:id="40"/>
      <w:r/>
      <w:bookmarkEnd w:id="41"/>
      <w:r/>
      <w:bookmarkEnd w:id="42"/>
      <w:r>
        <w:rPr>
          <w:rFonts w:hint="eastAsia" w:ascii="宋体" w:hAnsi="宋体" w:cs="宋体"/>
          <w:b/>
          <w:szCs w:val="21"/>
          <w:lang w:val="zh-CN"/>
        </w:rPr>
      </w:r>
      <w:r/>
    </w:p>
    <w:p>
      <w:pPr>
        <w:pStyle w:val="1344"/>
        <w:ind w:firstLine="420"/>
        <w:spacing w:line="360" w:lineRule="auto"/>
        <w:rPr>
          <w:rFonts w:hint="eastAsia" w:ascii="宋体" w:hAnsi="宋体" w:cs="宋体"/>
          <w:szCs w:val="21"/>
          <w:lang w:val="zh-CN"/>
        </w:rPr>
      </w:pPr>
      <w:r>
        <w:rPr>
          <w:rFonts w:hint="eastAsia" w:ascii="宋体" w:hAnsi="宋体" w:cs="宋体"/>
          <w:color w:val="000000"/>
          <w:szCs w:val="21"/>
          <w:lang w:val="zh-CN"/>
        </w:rPr>
        <w:t xml:space="preserve">1</w:t>
      </w:r>
      <w:r>
        <w:rPr>
          <w:rFonts w:hint="eastAsia" w:ascii="宋体" w:hAnsi="宋体" w:cs="宋体"/>
          <w:szCs w:val="21"/>
          <w:lang w:val="zh-CN"/>
        </w:rPr>
        <w:t xml:space="preserve">.1 《中华人民共和国政府采购法》《中华人民共和国政府采购法实施条例》《政府采购货物和服务招标投标管理办法》等有关法律、规章和规定等。</w:t>
      </w:r>
      <w:r>
        <w:rPr>
          <w:rFonts w:hint="eastAsia" w:ascii="宋体" w:hAnsi="宋体" w:cs="宋体"/>
          <w:szCs w:val="21"/>
          <w:lang w:val="zh-CN"/>
        </w:rPr>
      </w:r>
      <w:r/>
    </w:p>
    <w:p>
      <w:pPr>
        <w:pStyle w:val="1344"/>
        <w:ind w:firstLine="420"/>
        <w:spacing w:line="360" w:lineRule="auto"/>
        <w:rPr>
          <w:rFonts w:hint="eastAsia" w:ascii="宋体" w:hAnsi="宋体" w:cs="宋体"/>
          <w:b/>
          <w:szCs w:val="21"/>
          <w:lang w:val="zh-CN"/>
        </w:rPr>
        <w:outlineLvl w:val="2"/>
      </w:pPr>
      <w:r/>
      <w:bookmarkStart w:id="48" w:name="_Toc10994"/>
      <w:r/>
      <w:bookmarkStart w:id="49" w:name="_Toc29347"/>
      <w:r/>
      <w:bookmarkStart w:id="50" w:name="_Toc6911"/>
      <w:r>
        <w:rPr>
          <w:rFonts w:hint="eastAsia" w:ascii="宋体" w:hAnsi="宋体" w:cs="宋体"/>
          <w:b/>
          <w:bCs/>
          <w:szCs w:val="21"/>
          <w:lang w:val="zh-CN"/>
        </w:rPr>
        <w:t xml:space="preserve">2.</w:t>
      </w:r>
      <w:r>
        <w:rPr>
          <w:rFonts w:hint="eastAsia" w:ascii="宋体" w:hAnsi="宋体" w:cs="宋体"/>
          <w:b/>
          <w:szCs w:val="21"/>
          <w:lang w:val="zh-CN"/>
        </w:rPr>
        <w:t xml:space="preserve">定义</w:t>
      </w:r>
      <w:bookmarkEnd w:id="48"/>
      <w:r/>
      <w:bookmarkEnd w:id="49"/>
      <w:r/>
      <w:bookmarkEnd w:id="50"/>
      <w:r>
        <w:rPr>
          <w:rFonts w:hint="eastAsia" w:ascii="宋体" w:hAnsi="宋体" w:cs="宋体"/>
          <w:b/>
          <w:szCs w:val="21"/>
          <w:lang w:val="zh-CN"/>
        </w:rPr>
      </w:r>
      <w:r/>
    </w:p>
    <w:p>
      <w:pPr>
        <w:pStyle w:val="1344"/>
        <w:ind w:firstLine="420"/>
        <w:spacing w:line="360" w:lineRule="auto"/>
        <w:rPr>
          <w:rFonts w:hint="eastAsia" w:ascii="宋体" w:hAnsi="宋体" w:cs="宋体"/>
          <w:bCs/>
          <w:szCs w:val="21"/>
        </w:rPr>
      </w:pPr>
      <w:r/>
      <w:bookmarkEnd w:id="43"/>
      <w:r/>
      <w:bookmarkEnd w:id="44"/>
      <w:r/>
      <w:bookmarkEnd w:id="45"/>
      <w:r/>
      <w:bookmarkEnd w:id="46"/>
      <w:r/>
      <w:bookmarkEnd w:id="47"/>
      <w:r>
        <w:rPr>
          <w:rFonts w:hint="eastAsia" w:ascii="宋体" w:hAnsi="宋体" w:cs="宋体"/>
          <w:szCs w:val="21"/>
        </w:rPr>
        <w:t xml:space="preserve">2.1本文件</w:t>
      </w:r>
      <w:r>
        <w:rPr>
          <w:rFonts w:hint="eastAsia" w:ascii="宋体" w:hAnsi="宋体" w:cs="宋体"/>
          <w:bCs/>
          <w:szCs w:val="21"/>
        </w:rPr>
        <w:t xml:space="preserve">中采购代理机构为</w:t>
      </w:r>
      <w:r>
        <w:rPr>
          <w:rFonts w:hint="eastAsia" w:ascii="宋体" w:hAnsi="宋体" w:cs="宋体"/>
          <w:b/>
          <w:szCs w:val="21"/>
          <w:u w:val="single"/>
        </w:rPr>
        <w:t xml:space="preserve">江苏苏美达仪器设备有限公司</w:t>
      </w:r>
      <w:r>
        <w:rPr>
          <w:rFonts w:hint="eastAsia" w:ascii="宋体" w:hAnsi="宋体" w:cs="宋体"/>
          <w:bCs/>
          <w:szCs w:val="21"/>
        </w:rPr>
        <w:t xml:space="preserve">；采购人为</w:t>
      </w:r>
      <w:r>
        <w:rPr>
          <w:rFonts w:hint="eastAsia" w:ascii="宋体" w:hAnsi="宋体" w:cs="宋体"/>
          <w:b/>
          <w:szCs w:val="21"/>
          <w:u w:val="single"/>
        </w:rPr>
        <w:t xml:space="preserve">江苏省计量科学研究院（江苏省能源计量数据中心）</w:t>
      </w:r>
      <w:r>
        <w:rPr>
          <w:rFonts w:hint="eastAsia" w:ascii="宋体" w:hAnsi="宋体" w:cs="宋体"/>
          <w:bCs/>
          <w:szCs w:val="21"/>
        </w:rPr>
        <w:t xml:space="preserve">；投标人（亦称供应商）系指参加投标竞争并满足招标文件资格要求规定的法人、其他组织或者自然人。</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2.2“货物和服务”指本文件中所述产品及相关货物和服务。</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2.3“用户或使用单位”指使用</w:t>
      </w:r>
      <w:r>
        <w:rPr>
          <w:rFonts w:hint="eastAsia" w:ascii="宋体" w:hAnsi="宋体" w:cs="宋体"/>
          <w:szCs w:val="21"/>
          <w:lang w:val="zh-CN"/>
        </w:rPr>
        <w:t xml:space="preserve">货物、服务的</w:t>
      </w:r>
      <w:r>
        <w:rPr>
          <w:rFonts w:hint="eastAsia" w:ascii="宋体" w:hAnsi="宋体" w:cs="宋体"/>
          <w:bCs/>
          <w:szCs w:val="21"/>
        </w:rPr>
        <w:t xml:space="preserve">单位。</w:t>
      </w:r>
      <w:r>
        <w:rPr>
          <w:rFonts w:hint="eastAsia" w:ascii="宋体" w:hAnsi="宋体" w:cs="宋体"/>
          <w:bCs/>
          <w:szCs w:val="21"/>
        </w:rPr>
      </w:r>
      <w:r/>
    </w:p>
    <w:p>
      <w:pPr>
        <w:pStyle w:val="1344"/>
        <w:ind w:firstLine="422"/>
        <w:spacing w:line="360" w:lineRule="auto"/>
        <w:rPr>
          <w:rFonts w:hint="eastAsia" w:ascii="宋体" w:hAnsi="宋体" w:cs="宋体"/>
          <w:bCs/>
          <w:szCs w:val="21"/>
        </w:rPr>
        <w:outlineLvl w:val="2"/>
      </w:pPr>
      <w:r/>
      <w:bookmarkStart w:id="51" w:name="_Toc31346"/>
      <w:r>
        <w:rPr>
          <w:rFonts w:hint="eastAsia" w:ascii="宋体" w:hAnsi="宋体" w:cs="宋体"/>
          <w:b/>
          <w:szCs w:val="21"/>
        </w:rPr>
        <w:t xml:space="preserve">3.政策功能</w:t>
      </w:r>
      <w:bookmarkEnd w:id="51"/>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3.1促进中小企业发展政策：</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cs="宋体"/>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3.2节能产品、环境标志产品政策</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（1）政府采购节能产品、环境标志产品实施品目清单管理。</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（2）拟采购产品属于节能产品、环境标志产品品目清单规定必须强制采购的，实行强制采购。</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（3）拟采购产品属于节能产品、环境标志产品品目清单规定优先采购的，在性能、技术、服务等指标同等条件下，实行优先采购，优先采购的评审标准详见本招标文件第三章。</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（4）参加政府采购活动的节能产品、环境标志产品供应商应当提供国家确定的认证机构出具的、处于有效期之内的节能产品、环境标志产品认证证书。</w:t>
      </w:r>
      <w:r>
        <w:rPr>
          <w:rFonts w:hint="eastAsia" w:ascii="宋体" w:hAnsi="宋体" w:cs="宋体"/>
          <w:bCs/>
          <w:szCs w:val="21"/>
        </w:rPr>
      </w:r>
      <w:r/>
    </w:p>
    <w:p>
      <w:pPr>
        <w:pStyle w:val="1344"/>
        <w:ind w:firstLine="420"/>
        <w:spacing w:line="360" w:lineRule="auto"/>
        <w:rPr>
          <w:rFonts w:hint="eastAsia" w:ascii="宋体" w:hAnsi="宋体" w:cs="宋体"/>
          <w:b/>
          <w:bCs/>
          <w:szCs w:val="21"/>
        </w:rPr>
      </w:pPr>
      <w:r>
        <w:rPr>
          <w:rFonts w:hint="eastAsia" w:ascii="宋体" w:hAnsi="宋体" w:cs="宋体"/>
          <w:szCs w:val="21"/>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rFonts w:hint="eastAsia" w:ascii="宋体" w:hAnsi="宋体" w:cs="宋体"/>
          <w:b/>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3.4提供的产品属于信息安全产品的，供应商应当选择经国家认证的信息安全产品投标，并提供由中国网络安全审查技术与认证中心按国家标准认证颁发的有效认证证书复印件。</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3.6为推进社会诚信体系建设，根据财政部等政策要求，在政府采购活动中查询、使用信用记录，推进政府采购领域联合惩戒工作。</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hint="eastAsia" w:ascii="宋体" w:hAnsi="宋体" w:cs="宋体"/>
          <w:bCs/>
          <w:szCs w:val="21"/>
        </w:rPr>
      </w:r>
      <w:r/>
    </w:p>
    <w:p>
      <w:pPr>
        <w:pStyle w:val="1344"/>
        <w:ind w:firstLine="420"/>
        <w:spacing w:line="360" w:lineRule="auto"/>
        <w:rPr>
          <w:rFonts w:hint="eastAsia" w:ascii="宋体" w:hAnsi="宋体" w:cs="宋体"/>
          <w:szCs w:val="21"/>
          <w:lang w:val="zh-CN"/>
        </w:rPr>
      </w:pPr>
      <w:r/>
      <w:bookmarkStart w:id="52" w:name="_Toc21421"/>
      <w:r/>
      <w:bookmarkStart w:id="53" w:name="_Toc1972"/>
      <w:r>
        <w:rPr>
          <w:rFonts w:hint="eastAsia" w:ascii="宋体" w:hAnsi="宋体" w:cs="宋体"/>
          <w:szCs w:val="21"/>
        </w:rPr>
        <w:t xml:space="preserve">3.7</w:t>
      </w:r>
      <w:r>
        <w:rPr>
          <w:rFonts w:hint="eastAsia" w:ascii="宋体" w:hAnsi="宋体" w:cs="宋体"/>
          <w:szCs w:val="21"/>
          <w:lang w:val="zh-CN"/>
        </w:rPr>
        <w:t xml:space="preserve">采购本国产品的支持政策：</w:t>
      </w:r>
      <w:bookmarkEnd w:id="52"/>
      <w:r/>
      <w:bookmarkEnd w:id="53"/>
      <w:r>
        <w:rPr>
          <w:rFonts w:hint="eastAsia" w:ascii="宋体" w:hAnsi="宋体" w:cs="宋体"/>
          <w:szCs w:val="21"/>
          <w:lang w:val="zh-CN"/>
        </w:rPr>
      </w:r>
      <w:r/>
    </w:p>
    <w:p>
      <w:pPr>
        <w:pStyle w:val="1344"/>
        <w:ind w:firstLine="420"/>
        <w:spacing w:line="360" w:lineRule="auto"/>
        <w:rPr>
          <w:rFonts w:hint="eastAsia" w:ascii="宋体" w:hAnsi="宋体" w:cs="宋体"/>
          <w:szCs w:val="21"/>
          <w:lang w:val="zh-CN"/>
        </w:rPr>
      </w:pPr>
      <w:r/>
      <w:bookmarkStart w:id="54" w:name="_Toc6952"/>
      <w:r/>
      <w:bookmarkStart w:id="55" w:name="_Toc30765"/>
      <w:r>
        <w:rPr>
          <w:rFonts w:hint="eastAsia" w:ascii="宋体" w:hAnsi="宋体" w:cs="宋体"/>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54"/>
      <w:r/>
      <w:bookmarkEnd w:id="55"/>
      <w:r>
        <w:rPr>
          <w:rFonts w:hint="eastAsia" w:ascii="宋体" w:hAnsi="宋体" w:cs="宋体"/>
          <w:szCs w:val="21"/>
          <w:lang w:val="zh-CN"/>
        </w:rPr>
      </w:r>
      <w:r/>
    </w:p>
    <w:p>
      <w:pPr>
        <w:pStyle w:val="1344"/>
        <w:ind w:firstLine="420"/>
        <w:spacing w:line="360" w:lineRule="auto"/>
        <w:rPr>
          <w:rFonts w:hint="eastAsia" w:ascii="宋体" w:hAnsi="宋体" w:cs="宋体"/>
          <w:szCs w:val="21"/>
          <w:lang w:val="zh-CN"/>
        </w:rPr>
      </w:pPr>
      <w:r/>
      <w:bookmarkStart w:id="56" w:name="_Toc21427"/>
      <w:r/>
      <w:bookmarkStart w:id="57" w:name="_Toc22036"/>
      <w:r>
        <w:rPr>
          <w:rFonts w:hint="eastAsia" w:ascii="宋体" w:hAnsi="宋体" w:cs="宋体"/>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56"/>
      <w:r/>
      <w:bookmarkEnd w:id="57"/>
      <w:r>
        <w:rPr>
          <w:rFonts w:hint="eastAsia" w:ascii="宋体" w:hAnsi="宋体" w:cs="宋体"/>
          <w:szCs w:val="21"/>
          <w:lang w:val="zh-CN"/>
        </w:rPr>
      </w:r>
      <w:r/>
    </w:p>
    <w:p>
      <w:pPr>
        <w:pStyle w:val="1344"/>
        <w:ind w:firstLine="420"/>
        <w:spacing w:line="360" w:lineRule="auto"/>
        <w:rPr>
          <w:rFonts w:hint="eastAsia" w:ascii="宋体" w:hAnsi="宋体" w:cs="宋体"/>
          <w:szCs w:val="21"/>
          <w:lang w:val="zh-CN"/>
        </w:rPr>
      </w:pPr>
      <w:r/>
      <w:bookmarkStart w:id="58" w:name="_Toc29291"/>
      <w:r/>
      <w:bookmarkStart w:id="59" w:name="_Toc13564"/>
      <w:r>
        <w:rPr>
          <w:rFonts w:hint="eastAsia" w:ascii="宋体" w:hAnsi="宋体" w:cs="宋体"/>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58"/>
      <w:r/>
      <w:bookmarkEnd w:id="59"/>
      <w:r>
        <w:rPr>
          <w:rFonts w:hint="eastAsia" w:ascii="宋体" w:hAnsi="宋体" w:cs="宋体"/>
          <w:szCs w:val="21"/>
          <w:lang w:val="zh-CN"/>
        </w:rPr>
      </w:r>
      <w:r/>
    </w:p>
    <w:p>
      <w:pPr>
        <w:pStyle w:val="1344"/>
        <w:ind w:firstLine="420"/>
        <w:spacing w:line="360" w:lineRule="auto"/>
        <w:rPr>
          <w:rFonts w:hint="eastAsia" w:ascii="宋体" w:hAnsi="宋体" w:cs="宋体"/>
          <w:bCs/>
          <w:szCs w:val="21"/>
        </w:rPr>
        <w:outlineLvl w:val="2"/>
      </w:pPr>
      <w:r/>
      <w:bookmarkStart w:id="60" w:name="_Toc2242"/>
      <w:r/>
      <w:bookmarkStart w:id="61" w:name="_Toc14793"/>
      <w:r/>
      <w:bookmarkStart w:id="62" w:name="_Toc28481"/>
      <w:r/>
      <w:bookmarkStart w:id="63" w:name="_Toc927"/>
      <w:r>
        <w:rPr>
          <w:rFonts w:hint="eastAsia" w:ascii="宋体" w:hAnsi="宋体" w:cs="宋体"/>
          <w:szCs w:val="21"/>
          <w:lang w:val="zh-CN"/>
        </w:rPr>
        <w:t xml:space="preserve">具体内容详见第三章 评标标准。</w:t>
      </w:r>
      <w:bookmarkEnd w:id="60"/>
      <w:r/>
      <w:bookmarkEnd w:id="61"/>
      <w:r/>
      <w:bookmarkEnd w:id="62"/>
      <w:r/>
      <w:bookmarkEnd w:id="63"/>
      <w:r>
        <w:rPr>
          <w:rFonts w:hint="eastAsia" w:ascii="宋体" w:hAnsi="宋体" w:cs="宋体"/>
          <w:bCs/>
          <w:szCs w:val="21"/>
        </w:rPr>
      </w:r>
      <w:r/>
    </w:p>
    <w:p>
      <w:pPr>
        <w:pStyle w:val="1344"/>
        <w:ind w:firstLine="420"/>
        <w:spacing w:line="360" w:lineRule="auto"/>
        <w:rPr>
          <w:rFonts w:hint="eastAsia" w:ascii="宋体" w:hAnsi="宋体" w:cs="宋体"/>
          <w:b/>
          <w:szCs w:val="21"/>
          <w:lang w:val="zh-CN"/>
        </w:rPr>
        <w:outlineLvl w:val="2"/>
      </w:pPr>
      <w:r/>
      <w:bookmarkStart w:id="64" w:name="_Toc13991"/>
      <w:r/>
      <w:bookmarkStart w:id="65" w:name="_Toc513029207"/>
      <w:r/>
      <w:bookmarkStart w:id="66" w:name="_Toc20823279"/>
      <w:r/>
      <w:bookmarkStart w:id="67" w:name="_Toc4759"/>
      <w:r/>
      <w:bookmarkStart w:id="68" w:name="_Toc17711"/>
      <w:r/>
      <w:bookmarkStart w:id="69" w:name="_Toc462564067"/>
      <w:r/>
      <w:bookmarkStart w:id="70" w:name="_Toc16938523"/>
      <w:r/>
      <w:bookmarkStart w:id="71" w:name="_Toc17530"/>
      <w:r>
        <w:rPr>
          <w:rFonts w:hint="eastAsia" w:ascii="宋体" w:hAnsi="宋体" w:cs="宋体"/>
          <w:b/>
          <w:bCs/>
          <w:color w:val="000000"/>
          <w:szCs w:val="21"/>
          <w:lang w:val="zh-CN"/>
        </w:rPr>
        <w:t xml:space="preserve">4.</w:t>
      </w:r>
      <w:r>
        <w:rPr>
          <w:rFonts w:hint="eastAsia" w:ascii="宋体" w:hAnsi="宋体" w:cs="宋体"/>
          <w:b/>
          <w:szCs w:val="21"/>
          <w:lang w:val="zh-CN"/>
        </w:rPr>
        <w:t xml:space="preserve">投标费用</w:t>
      </w:r>
      <w:bookmarkEnd w:id="64"/>
      <w:r/>
      <w:bookmarkEnd w:id="65"/>
      <w:r/>
      <w:bookmarkEnd w:id="66"/>
      <w:r/>
      <w:bookmarkEnd w:id="67"/>
      <w:r/>
      <w:bookmarkEnd w:id="68"/>
      <w:r/>
      <w:bookmarkEnd w:id="69"/>
      <w:r/>
      <w:bookmarkEnd w:id="70"/>
      <w:r/>
      <w:bookmarkEnd w:id="71"/>
      <w:r>
        <w:rPr>
          <w:rFonts w:hint="eastAsia" w:ascii="宋体" w:hAnsi="宋体" w:cs="宋体"/>
          <w:b/>
          <w:szCs w:val="21"/>
          <w:lang w:val="zh-CN"/>
        </w:rPr>
      </w:r>
      <w:r/>
    </w:p>
    <w:p>
      <w:pPr>
        <w:pStyle w:val="1344"/>
        <w:ind w:firstLine="420"/>
        <w:spacing w:line="360" w:lineRule="auto"/>
        <w:rPr>
          <w:rFonts w:hint="eastAsia" w:ascii="宋体" w:hAnsi="宋体" w:cs="宋体"/>
          <w:szCs w:val="21"/>
        </w:rPr>
      </w:pPr>
      <w:r>
        <w:rPr>
          <w:rFonts w:hint="eastAsia" w:ascii="宋体" w:hAnsi="宋体" w:cs="宋体"/>
          <w:szCs w:val="21"/>
        </w:rPr>
        <w:t xml:space="preserve">4.1 供应商应自行承担所有与参加投标有关的费用，无论采购结果如何，代理机构和采购人在任何情况下均无义务和责任承担这些费用。</w:t>
      </w:r>
      <w:r>
        <w:rPr>
          <w:rFonts w:hint="eastAsia" w:ascii="宋体" w:hAnsi="宋体" w:cs="宋体"/>
          <w:szCs w:val="21"/>
        </w:rPr>
      </w:r>
      <w:r/>
    </w:p>
    <w:p>
      <w:pPr>
        <w:pStyle w:val="1344"/>
        <w:ind w:firstLine="420"/>
        <w:spacing w:line="360" w:lineRule="auto"/>
        <w:rPr>
          <w:rFonts w:hint="eastAsia" w:ascii="宋体" w:hAnsi="宋体" w:cs="宋体"/>
          <w:b/>
          <w:szCs w:val="21"/>
          <w:lang w:val="zh-CN"/>
        </w:rPr>
        <w:outlineLvl w:val="2"/>
      </w:pPr>
      <w:r/>
      <w:bookmarkStart w:id="72" w:name="_Toc344"/>
      <w:r/>
      <w:bookmarkStart w:id="73" w:name="_Toc20613"/>
      <w:r/>
      <w:bookmarkStart w:id="74" w:name="_Toc29233"/>
      <w:r>
        <w:rPr>
          <w:rFonts w:hint="eastAsia" w:ascii="宋体" w:hAnsi="宋体" w:cs="宋体"/>
          <w:b/>
          <w:bCs/>
          <w:color w:val="000000"/>
          <w:szCs w:val="21"/>
          <w:lang w:val="zh-CN"/>
        </w:rPr>
        <w:t xml:space="preserve">5.</w:t>
      </w:r>
      <w:r>
        <w:rPr>
          <w:rFonts w:hint="eastAsia" w:ascii="宋体" w:hAnsi="宋体" w:cs="宋体"/>
          <w:b/>
          <w:szCs w:val="21"/>
          <w:lang w:val="zh-CN"/>
        </w:rPr>
        <w:t xml:space="preserve">招标文件的约束力</w:t>
      </w:r>
      <w:bookmarkEnd w:id="72"/>
      <w:r/>
      <w:bookmarkEnd w:id="73"/>
      <w:r/>
      <w:bookmarkEnd w:id="74"/>
      <w:r>
        <w:rPr>
          <w:rFonts w:hint="eastAsia" w:ascii="宋体" w:hAnsi="宋体" w:cs="宋体"/>
          <w:b/>
          <w:szCs w:val="21"/>
          <w:lang w:val="zh-CN"/>
        </w:rPr>
      </w:r>
      <w:r/>
    </w:p>
    <w:p>
      <w:pPr>
        <w:pStyle w:val="1344"/>
        <w:ind w:firstLine="420"/>
        <w:spacing w:line="360" w:lineRule="auto"/>
        <w:rPr>
          <w:rFonts w:hint="eastAsia" w:ascii="宋体" w:hAnsi="宋体" w:cs="宋体"/>
          <w:color w:val="000000"/>
          <w:szCs w:val="21"/>
        </w:rPr>
      </w:pPr>
      <w:r>
        <w:rPr>
          <w:rFonts w:hint="eastAsia" w:ascii="宋体" w:hAnsi="宋体" w:cs="宋体"/>
          <w:color w:val="000000"/>
          <w:szCs w:val="21"/>
        </w:rPr>
        <w:t xml:space="preserve">5.1 供应商一旦参加本项目采购活动，即被认为接受了本招标文件的规定和约束。</w:t>
      </w:r>
      <w:r>
        <w:rPr>
          <w:rFonts w:hint="eastAsia" w:ascii="宋体" w:hAnsi="宋体" w:cs="宋体"/>
          <w:color w:val="000000"/>
          <w:szCs w:val="21"/>
        </w:rPr>
      </w:r>
      <w:r/>
    </w:p>
    <w:p>
      <w:pPr>
        <w:pStyle w:val="1344"/>
        <w:ind w:firstLine="420"/>
        <w:spacing w:line="360" w:lineRule="auto"/>
        <w:shd w:val="clear" w:color="auto" w:fill="ffffff"/>
        <w:widowControl/>
        <w:rPr>
          <w:rFonts w:hint="eastAsia" w:ascii="宋体" w:hAnsi="宋体" w:cs="宋体"/>
          <w:b/>
          <w:bCs/>
          <w:color w:val="000000"/>
          <w:szCs w:val="21"/>
        </w:rPr>
        <w:outlineLvl w:val="1"/>
      </w:pPr>
      <w:r/>
      <w:bookmarkStart w:id="75" w:name="_Toc20823281"/>
      <w:r/>
      <w:bookmarkStart w:id="76" w:name="_Toc15035"/>
      <w:r/>
      <w:bookmarkStart w:id="77" w:name="_Toc18405"/>
      <w:r/>
      <w:bookmarkStart w:id="78" w:name="_Toc513029209"/>
      <w:r/>
      <w:bookmarkStart w:id="79" w:name="_Toc120614215"/>
      <w:r/>
      <w:bookmarkStart w:id="80" w:name="_Toc15606"/>
      <w:r/>
      <w:bookmarkStart w:id="81" w:name="_Toc16938525"/>
      <w:r>
        <w:rPr>
          <w:rFonts w:hint="eastAsia" w:ascii="宋体" w:hAnsi="宋体" w:cs="宋体"/>
          <w:b/>
          <w:bCs/>
          <w:color w:val="000000"/>
          <w:szCs w:val="21"/>
        </w:rPr>
        <w:t xml:space="preserve">二、招标文件</w:t>
      </w:r>
      <w:bookmarkEnd w:id="75"/>
      <w:r/>
      <w:bookmarkEnd w:id="76"/>
      <w:r/>
      <w:bookmarkEnd w:id="77"/>
      <w:r/>
      <w:bookmarkEnd w:id="78"/>
      <w:r/>
      <w:bookmarkEnd w:id="79"/>
      <w:r/>
      <w:bookmarkEnd w:id="80"/>
      <w:r/>
      <w:bookmarkEnd w:id="81"/>
      <w:r>
        <w:rPr>
          <w:rFonts w:hint="eastAsia" w:ascii="宋体" w:hAnsi="宋体" w:cs="宋体"/>
          <w:b/>
          <w:bCs/>
          <w:color w:val="000000"/>
          <w:szCs w:val="21"/>
        </w:rPr>
      </w:r>
      <w:r/>
    </w:p>
    <w:p>
      <w:pPr>
        <w:pStyle w:val="1344"/>
        <w:ind w:firstLine="420"/>
        <w:spacing w:line="360" w:lineRule="auto"/>
        <w:rPr>
          <w:rFonts w:hint="eastAsia" w:ascii="宋体" w:hAnsi="宋体" w:cs="宋体"/>
          <w:b/>
          <w:szCs w:val="21"/>
          <w:lang w:val="zh-CN"/>
        </w:rPr>
        <w:outlineLvl w:val="2"/>
      </w:pPr>
      <w:r/>
      <w:bookmarkStart w:id="82" w:name="_Toc31631"/>
      <w:r/>
      <w:bookmarkStart w:id="83" w:name="_Toc513029210"/>
      <w:r/>
      <w:bookmarkStart w:id="84" w:name="_Toc16370"/>
      <w:r/>
      <w:bookmarkStart w:id="85" w:name="_Toc23346"/>
      <w:r/>
      <w:bookmarkStart w:id="86" w:name="_Toc16938526"/>
      <w:r/>
      <w:bookmarkStart w:id="87" w:name="_Toc20823282"/>
      <w:r>
        <w:rPr>
          <w:rFonts w:hint="eastAsia" w:ascii="宋体" w:hAnsi="宋体" w:cs="宋体"/>
          <w:b/>
          <w:bCs/>
          <w:color w:val="000000"/>
          <w:szCs w:val="21"/>
          <w:lang w:val="zh-CN"/>
        </w:rPr>
        <w:t xml:space="preserve">6.</w:t>
      </w:r>
      <w:r>
        <w:rPr>
          <w:rFonts w:hint="eastAsia" w:ascii="宋体" w:hAnsi="宋体" w:cs="宋体"/>
          <w:b/>
          <w:szCs w:val="21"/>
          <w:lang w:val="zh-CN"/>
        </w:rPr>
        <w:t xml:space="preserve">招标文件构成</w:t>
      </w:r>
      <w:bookmarkEnd w:id="82"/>
      <w:r/>
      <w:bookmarkEnd w:id="83"/>
      <w:r/>
      <w:bookmarkEnd w:id="84"/>
      <w:r/>
      <w:bookmarkEnd w:id="85"/>
      <w:r/>
      <w:bookmarkEnd w:id="86"/>
      <w:r/>
      <w:bookmarkEnd w:id="87"/>
      <w:r>
        <w:rPr>
          <w:rFonts w:hint="eastAsia" w:ascii="宋体" w:hAnsi="宋体" w:cs="宋体"/>
          <w:b/>
          <w:szCs w:val="21"/>
          <w:lang w:val="zh-CN"/>
        </w:rPr>
      </w:r>
      <w:r/>
    </w:p>
    <w:p>
      <w:pPr>
        <w:pStyle w:val="1344"/>
        <w:ind w:firstLine="420"/>
        <w:spacing w:line="360" w:lineRule="auto"/>
        <w:rPr>
          <w:rFonts w:hint="eastAsia" w:ascii="宋体" w:hAnsi="宋体" w:cs="宋体"/>
          <w:color w:val="000000"/>
          <w:szCs w:val="21"/>
        </w:rPr>
      </w:pPr>
      <w:r>
        <w:rPr>
          <w:rFonts w:hint="eastAsia" w:ascii="宋体" w:hAnsi="宋体" w:cs="宋体"/>
          <w:color w:val="000000"/>
          <w:szCs w:val="21"/>
        </w:rPr>
        <w:t xml:space="preserve">6.1 招标文件由以下部分组成：</w:t>
      </w:r>
      <w:r>
        <w:rPr>
          <w:rFonts w:hint="eastAsia" w:ascii="宋体" w:hAnsi="宋体" w:cs="宋体"/>
          <w:color w:val="000000"/>
          <w:szCs w:val="21"/>
        </w:rPr>
      </w:r>
      <w:r/>
    </w:p>
    <w:p>
      <w:pPr>
        <w:pStyle w:val="1344"/>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第一章  招标公告</w:t>
      </w:r>
      <w:r>
        <w:rPr>
          <w:rFonts w:hint="eastAsia" w:ascii="宋体" w:hAnsi="宋体" w:cs="宋体"/>
          <w:color w:val="000000"/>
          <w:szCs w:val="21"/>
        </w:rPr>
      </w:r>
      <w:r/>
    </w:p>
    <w:p>
      <w:pPr>
        <w:pStyle w:val="1344"/>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第二章  投标人须知</w:t>
      </w:r>
      <w:r>
        <w:rPr>
          <w:rFonts w:hint="eastAsia" w:ascii="宋体" w:hAnsi="宋体" w:cs="宋体"/>
          <w:color w:val="000000"/>
          <w:szCs w:val="21"/>
        </w:rPr>
      </w:r>
      <w:r/>
    </w:p>
    <w:p>
      <w:pPr>
        <w:pStyle w:val="1344"/>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第三章  评标标准</w:t>
      </w:r>
      <w:r>
        <w:rPr>
          <w:rFonts w:hint="eastAsia" w:ascii="宋体" w:hAnsi="宋体" w:cs="宋体"/>
          <w:color w:val="000000"/>
          <w:szCs w:val="21"/>
        </w:rPr>
      </w:r>
      <w:r/>
    </w:p>
    <w:p>
      <w:pPr>
        <w:pStyle w:val="1344"/>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第四章  招标技术规格及要求</w:t>
      </w:r>
      <w:r>
        <w:rPr>
          <w:rFonts w:hint="eastAsia" w:ascii="宋体" w:hAnsi="宋体" w:cs="宋体"/>
          <w:color w:val="000000"/>
          <w:szCs w:val="21"/>
        </w:rPr>
      </w:r>
      <w:r/>
    </w:p>
    <w:p>
      <w:pPr>
        <w:pStyle w:val="1344"/>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第五章  拟签订的合同文本</w:t>
      </w:r>
      <w:r>
        <w:rPr>
          <w:rFonts w:hint="eastAsia" w:ascii="宋体" w:hAnsi="宋体" w:cs="宋体"/>
          <w:color w:val="000000"/>
          <w:szCs w:val="21"/>
        </w:rPr>
      </w:r>
      <w:r/>
    </w:p>
    <w:p>
      <w:pPr>
        <w:pStyle w:val="1344"/>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第六章  投标文件格式及附件</w:t>
      </w:r>
      <w:r>
        <w:rPr>
          <w:rFonts w:hint="eastAsia" w:ascii="宋体" w:hAnsi="宋体" w:cs="宋体"/>
          <w:color w:val="000000"/>
          <w:szCs w:val="21"/>
        </w:rPr>
      </w:r>
      <w:r/>
    </w:p>
    <w:p>
      <w:pPr>
        <w:pStyle w:val="1344"/>
        <w:ind w:firstLine="420"/>
        <w:spacing w:line="360" w:lineRule="auto"/>
        <w:rPr>
          <w:rFonts w:hint="eastAsia" w:ascii="宋体" w:hAnsi="宋体" w:cs="宋体"/>
          <w:color w:val="000000"/>
          <w:szCs w:val="21"/>
        </w:rPr>
      </w:pPr>
      <w:r>
        <w:rPr>
          <w:rFonts w:hint="eastAsia" w:ascii="宋体" w:hAnsi="宋体" w:cs="宋体"/>
          <w:color w:val="000000"/>
          <w:szCs w:val="21"/>
        </w:rPr>
        <w:t xml:space="preserve">6.2</w:t>
      </w:r>
      <w:r>
        <w:rPr>
          <w:rFonts w:hint="eastAsia" w:ascii="宋体" w:hAnsi="宋体" w:cs="宋体"/>
          <w:b/>
          <w:bCs/>
          <w:color w:val="000000"/>
          <w:szCs w:val="21"/>
        </w:rPr>
        <w:t xml:space="preserve">招标的最小单位是分包。招标技术规格及要求中未分包的，供应商对要求提供的服务不得部分投标；招标技术规格及要求中已经分包的，以分包为单位投标</w:t>
      </w:r>
      <w:r>
        <w:rPr>
          <w:rFonts w:hint="eastAsia" w:ascii="宋体" w:hAnsi="宋体" w:cs="宋体"/>
          <w:color w:val="000000"/>
          <w:szCs w:val="21"/>
        </w:rPr>
        <w:t xml:space="preserve">。</w:t>
      </w:r>
      <w:r>
        <w:rPr>
          <w:rFonts w:hint="eastAsia" w:ascii="宋体" w:hAnsi="宋体" w:cs="宋体"/>
          <w:color w:val="000000"/>
          <w:szCs w:val="21"/>
        </w:rPr>
      </w:r>
      <w:r/>
    </w:p>
    <w:p>
      <w:pPr>
        <w:pStyle w:val="1344"/>
        <w:ind w:firstLine="420"/>
        <w:spacing w:line="360" w:lineRule="auto"/>
        <w:rPr>
          <w:rFonts w:hint="eastAsia" w:ascii="宋体" w:hAnsi="宋体" w:cs="宋体"/>
          <w:color w:val="000000"/>
          <w:szCs w:val="21"/>
        </w:rPr>
      </w:pPr>
      <w:r>
        <w:rPr>
          <w:rFonts w:hint="eastAsia" w:ascii="宋体" w:hAnsi="宋体" w:cs="宋体"/>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hAnsi="宋体" w:cs="宋体"/>
          <w:color w:val="000000"/>
          <w:szCs w:val="21"/>
        </w:rPr>
      </w:r>
      <w:r/>
    </w:p>
    <w:p>
      <w:pPr>
        <w:pStyle w:val="1344"/>
        <w:ind w:firstLine="420"/>
        <w:spacing w:line="360" w:lineRule="auto"/>
        <w:rPr>
          <w:rFonts w:hint="eastAsia" w:ascii="宋体" w:hAnsi="宋体" w:cs="宋体"/>
          <w:color w:val="000000"/>
          <w:szCs w:val="21"/>
        </w:rPr>
      </w:pPr>
      <w:r>
        <w:rPr>
          <w:rFonts w:hint="eastAsia" w:ascii="宋体" w:hAnsi="宋体" w:cs="宋体"/>
          <w:color w:val="000000"/>
          <w:szCs w:val="21"/>
        </w:rPr>
        <w:t xml:space="preserve">6.4供应商被视为充分熟悉本招标项目的各种情况以及与履行合同有关的一切其他情况。</w:t>
      </w:r>
      <w:r>
        <w:rPr>
          <w:rFonts w:hint="eastAsia" w:ascii="宋体" w:hAnsi="宋体" w:cs="宋体"/>
          <w:color w:val="000000"/>
          <w:szCs w:val="21"/>
        </w:rPr>
      </w:r>
      <w:r/>
    </w:p>
    <w:p>
      <w:pPr>
        <w:pStyle w:val="1347"/>
        <w:ind w:left="0" w:firstLine="422"/>
        <w:jc w:val="both"/>
        <w:spacing w:line="360" w:lineRule="auto"/>
        <w:tabs>
          <w:tab w:val="left" w:pos="480" w:leader="none"/>
        </w:tabs>
        <w:rPr>
          <w:rFonts w:hint="eastAsia" w:ascii="宋体" w:hAnsi="宋体" w:eastAsia="宋体" w:cs="宋体"/>
          <w:b/>
          <w:bCs/>
          <w:color w:val="000000"/>
          <w:sz w:val="21"/>
          <w:szCs w:val="21"/>
        </w:rPr>
      </w:pPr>
      <w:r/>
      <w:bookmarkStart w:id="88" w:name="_Toc4414"/>
      <w:r/>
      <w:bookmarkStart w:id="89" w:name="_Toc14415"/>
      <w:r/>
      <w:bookmarkStart w:id="90" w:name="_Toc15040"/>
      <w:r>
        <w:rPr>
          <w:rFonts w:hint="eastAsia" w:ascii="宋体" w:hAnsi="宋体" w:eastAsia="宋体" w:cs="宋体"/>
          <w:b/>
          <w:bCs/>
          <w:color w:val="000000"/>
          <w:sz w:val="21"/>
          <w:szCs w:val="21"/>
        </w:rPr>
        <w:t xml:space="preserve">7.招标文件的澄清、补充或修改</w:t>
      </w:r>
      <w:bookmarkEnd w:id="88"/>
      <w:r/>
      <w:bookmarkEnd w:id="89"/>
      <w:r/>
      <w:bookmarkEnd w:id="90"/>
      <w:r>
        <w:rPr>
          <w:rFonts w:hint="eastAsia" w:ascii="宋体" w:hAnsi="宋体" w:eastAsia="宋体" w:cs="宋体"/>
          <w:b/>
          <w:bCs/>
          <w:color w:val="000000"/>
          <w:sz w:val="21"/>
          <w:szCs w:val="21"/>
        </w:rPr>
      </w:r>
      <w:r/>
    </w:p>
    <w:p>
      <w:pPr>
        <w:pStyle w:val="1344"/>
        <w:ind w:firstLine="441"/>
        <w:spacing w:line="360" w:lineRule="auto"/>
        <w:rPr>
          <w:rFonts w:hint="eastAsia" w:ascii="宋体" w:hAnsi="宋体" w:cs="宋体"/>
          <w:szCs w:val="21"/>
        </w:rPr>
      </w:pPr>
      <w:r/>
      <w:bookmarkStart w:id="91" w:name="_Toc29128"/>
      <w:r>
        <w:rPr>
          <w:rFonts w:hint="eastAsia" w:ascii="宋体" w:hAnsi="宋体" w:cs="宋体"/>
          <w:color w:val="000000"/>
          <w:szCs w:val="21"/>
        </w:rPr>
        <w:t xml:space="preserve">7.1</w:t>
      </w:r>
      <w:r>
        <w:rPr>
          <w:rFonts w:hint="eastAsia" w:ascii="宋体" w:hAnsi="宋体" w:cs="宋体"/>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rFonts w:hint="eastAsia" w:ascii="宋体" w:hAnsi="宋体" w:cs="宋体"/>
          <w:szCs w:val="21"/>
        </w:rPr>
      </w:r>
      <w:r/>
    </w:p>
    <w:p>
      <w:pPr>
        <w:pStyle w:val="1344"/>
        <w:ind w:firstLine="441"/>
        <w:spacing w:line="360" w:lineRule="auto"/>
        <w:rPr>
          <w:rFonts w:hint="eastAsia" w:ascii="宋体" w:hAnsi="宋体" w:cs="宋体"/>
          <w:szCs w:val="21"/>
        </w:rPr>
      </w:pPr>
      <w:r>
        <w:rPr>
          <w:rFonts w:hint="eastAsia" w:ascii="宋体" w:hAnsi="宋体" w:cs="宋体"/>
          <w:color w:val="000000"/>
          <w:szCs w:val="21"/>
        </w:rPr>
        <w:t xml:space="preserve">7.2 </w:t>
      </w:r>
      <w:r>
        <w:rPr>
          <w:rFonts w:hint="eastAsia" w:ascii="宋体" w:hAnsi="宋体" w:cs="宋体"/>
          <w:szCs w:val="21"/>
        </w:rPr>
        <w:t xml:space="preserve">采购代理机构可对已发出的招标文件用更正公告的方式进行必要的澄清或者修改，并以书面形式通知所有获取文件的供应商。</w:t>
      </w:r>
      <w:r>
        <w:rPr>
          <w:rFonts w:hint="eastAsia" w:ascii="宋体" w:hAnsi="宋体" w:cs="宋体"/>
          <w:szCs w:val="21"/>
        </w:rPr>
      </w:r>
      <w:r/>
    </w:p>
    <w:p>
      <w:pPr>
        <w:pStyle w:val="1344"/>
        <w:ind w:firstLine="441"/>
        <w:spacing w:line="360" w:lineRule="auto"/>
        <w:rPr>
          <w:rFonts w:hint="eastAsia" w:ascii="宋体" w:hAnsi="宋体" w:cs="宋体"/>
          <w:szCs w:val="21"/>
        </w:rPr>
      </w:pPr>
      <w:r>
        <w:rPr>
          <w:rFonts w:hint="eastAsia" w:ascii="宋体" w:hAnsi="宋体" w:cs="宋体"/>
          <w:color w:val="000000"/>
          <w:szCs w:val="21"/>
        </w:rPr>
        <w:t xml:space="preserve">7.3 </w:t>
      </w:r>
      <w:r>
        <w:rPr>
          <w:rFonts w:hint="eastAsia" w:ascii="宋体" w:hAnsi="宋体" w:cs="宋体"/>
          <w:szCs w:val="21"/>
        </w:rPr>
        <w:t xml:space="preserve">采购代理机构发出的以上</w:t>
      </w:r>
      <w:r>
        <w:rPr>
          <w:rFonts w:hint="eastAsia" w:ascii="宋体" w:hAnsi="宋体" w:cs="宋体"/>
          <w:bCs/>
          <w:szCs w:val="21"/>
        </w:rPr>
        <w:t xml:space="preserve">澄清或修改的内容</w:t>
      </w:r>
      <w:r>
        <w:rPr>
          <w:rFonts w:hint="eastAsia" w:ascii="宋体" w:hAnsi="宋体" w:cs="宋体"/>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rPr>
          <w:rFonts w:hint="eastAsia" w:ascii="宋体" w:hAnsi="宋体" w:cs="宋体"/>
          <w:szCs w:val="21"/>
        </w:rPr>
      </w:r>
      <w:r/>
    </w:p>
    <w:p>
      <w:pPr>
        <w:pStyle w:val="1344"/>
        <w:ind w:firstLine="441"/>
        <w:spacing w:line="360" w:lineRule="auto"/>
        <w:rPr>
          <w:rFonts w:hint="eastAsia" w:ascii="宋体" w:hAnsi="宋体" w:cs="宋体"/>
          <w:bCs/>
          <w:szCs w:val="21"/>
        </w:rPr>
      </w:pPr>
      <w:r>
        <w:rPr>
          <w:rFonts w:hint="eastAsia" w:ascii="宋体" w:hAnsi="宋体" w:cs="宋体"/>
          <w:bCs/>
          <w:szCs w:val="21"/>
        </w:rPr>
        <w:t xml:space="preserve">7.4 当招标文件与以上澄清或修改公告的内容相互矛盾时，以采购代理机构最后发出的澄清或修改为准。 </w:t>
      </w:r>
      <w:r>
        <w:rPr>
          <w:rFonts w:hint="eastAsia" w:ascii="宋体" w:hAnsi="宋体" w:cs="宋体"/>
          <w:bCs/>
          <w:szCs w:val="21"/>
        </w:rPr>
      </w:r>
      <w:r/>
    </w:p>
    <w:p>
      <w:pPr>
        <w:pStyle w:val="1344"/>
        <w:ind w:firstLine="441"/>
        <w:spacing w:line="360" w:lineRule="auto"/>
        <w:rPr>
          <w:rFonts w:hint="eastAsia" w:ascii="宋体" w:hAnsi="宋体" w:cs="宋体"/>
          <w:szCs w:val="21"/>
        </w:rPr>
      </w:pPr>
      <w:r>
        <w:rPr>
          <w:rFonts w:hint="eastAsia" w:ascii="宋体" w:hAnsi="宋体" w:cs="宋体"/>
          <w:color w:val="000000"/>
          <w:szCs w:val="21"/>
        </w:rPr>
        <w:t xml:space="preserve">7.5</w:t>
      </w:r>
      <w:r>
        <w:rPr>
          <w:rFonts w:hint="eastAsia" w:ascii="宋体" w:hAnsi="宋体" w:cs="宋体"/>
          <w:bCs/>
          <w:szCs w:val="21"/>
        </w:rPr>
        <w:t xml:space="preserve">为使供应商有足够的时间按招标文件的澄清或修改要求修正投标文件，</w:t>
      </w:r>
      <w:r>
        <w:rPr>
          <w:rFonts w:hint="eastAsia" w:ascii="宋体" w:hAnsi="宋体" w:cs="宋体"/>
          <w:szCs w:val="21"/>
        </w:rPr>
        <w:t xml:space="preserve">采购代理机构有权决定推迟投标截止时间和开标时间，并按7.2条规定的方式通知供应商。</w:t>
      </w:r>
      <w:r>
        <w:rPr>
          <w:rFonts w:hint="eastAsia" w:ascii="宋体" w:hAnsi="宋体" w:cs="宋体"/>
          <w:szCs w:val="21"/>
        </w:rPr>
      </w:r>
      <w:r/>
    </w:p>
    <w:p>
      <w:pPr>
        <w:pStyle w:val="1344"/>
        <w:ind w:firstLine="420"/>
        <w:spacing w:line="360" w:lineRule="auto"/>
        <w:shd w:val="clear" w:color="auto" w:fill="ffffff"/>
        <w:widowControl/>
        <w:rPr>
          <w:rFonts w:hint="eastAsia" w:ascii="宋体" w:hAnsi="宋体" w:cs="宋体"/>
          <w:b/>
          <w:bCs/>
          <w:szCs w:val="21"/>
        </w:rPr>
        <w:outlineLvl w:val="1"/>
      </w:pPr>
      <w:r/>
      <w:bookmarkStart w:id="92" w:name="_Toc22449"/>
      <w:r/>
      <w:bookmarkStart w:id="93" w:name="_Toc26883"/>
      <w:r>
        <w:rPr>
          <w:rFonts w:hint="eastAsia" w:ascii="宋体" w:hAnsi="宋体" w:cs="宋体"/>
          <w:b/>
          <w:bCs/>
          <w:szCs w:val="21"/>
        </w:rPr>
        <w:t xml:space="preserve">三、投标文件的编制</w:t>
      </w:r>
      <w:bookmarkEnd w:id="91"/>
      <w:r/>
      <w:bookmarkEnd w:id="92"/>
      <w:r/>
      <w:bookmarkEnd w:id="93"/>
      <w:r>
        <w:rPr>
          <w:rFonts w:hint="eastAsia" w:ascii="宋体" w:hAnsi="宋体" w:cs="宋体"/>
          <w:b/>
          <w:bCs/>
          <w:szCs w:val="21"/>
        </w:rPr>
      </w:r>
      <w:r/>
    </w:p>
    <w:p>
      <w:pPr>
        <w:pStyle w:val="1347"/>
        <w:ind w:left="0" w:firstLine="422"/>
        <w:jc w:val="both"/>
        <w:spacing w:line="360" w:lineRule="auto"/>
        <w:tabs>
          <w:tab w:val="left" w:pos="480" w:leader="none"/>
        </w:tabs>
        <w:rPr>
          <w:rFonts w:hint="eastAsia" w:ascii="宋体" w:hAnsi="宋体" w:eastAsia="宋体" w:cs="宋体"/>
          <w:b/>
          <w:bCs/>
          <w:sz w:val="21"/>
          <w:szCs w:val="21"/>
        </w:rPr>
      </w:pPr>
      <w:r/>
      <w:bookmarkStart w:id="94" w:name="_Toc28127"/>
      <w:r/>
      <w:bookmarkStart w:id="95" w:name="_Toc17513"/>
      <w:r/>
      <w:bookmarkStart w:id="96" w:name="_Toc24901"/>
      <w:r>
        <w:rPr>
          <w:rFonts w:hint="eastAsia" w:ascii="宋体" w:hAnsi="宋体" w:eastAsia="宋体" w:cs="宋体"/>
          <w:b/>
          <w:bCs/>
          <w:sz w:val="21"/>
          <w:szCs w:val="21"/>
        </w:rPr>
        <w:t xml:space="preserve">8.</w:t>
      </w:r>
      <w:bookmarkEnd w:id="94"/>
      <w:r>
        <w:rPr>
          <w:rFonts w:hint="eastAsia" w:ascii="宋体" w:hAnsi="宋体" w:eastAsia="宋体" w:cs="宋体"/>
          <w:b/>
          <w:bCs/>
          <w:sz w:val="21"/>
          <w:szCs w:val="21"/>
        </w:rPr>
        <w:t xml:space="preserve">投标文件的语言、计量单位、货币</w:t>
      </w:r>
      <w:bookmarkEnd w:id="95"/>
      <w:r/>
      <w:bookmarkEnd w:id="96"/>
      <w:r>
        <w:rPr>
          <w:rFonts w:hint="eastAsia" w:ascii="宋体" w:hAnsi="宋体" w:eastAsia="宋体" w:cs="宋体"/>
          <w:b/>
          <w:bCs/>
          <w:sz w:val="21"/>
          <w:szCs w:val="21"/>
        </w:rPr>
      </w:r>
      <w:r/>
    </w:p>
    <w:p>
      <w:pPr>
        <w:pStyle w:val="1344"/>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8.1 供应商提交的投标文件（包括技术文件和资料、图纸中的说明）以及</w:t>
      </w:r>
      <w:r>
        <w:rPr>
          <w:rFonts w:hint="eastAsia" w:ascii="宋体" w:hAnsi="宋体" w:cs="宋体"/>
          <w:color w:val="000000"/>
          <w:szCs w:val="21"/>
        </w:rPr>
        <w:t xml:space="preserve">供应商与采购代理机构之间</w:t>
      </w:r>
      <w:r>
        <w:rPr>
          <w:rFonts w:hint="eastAsia" w:ascii="宋体" w:hAnsi="宋体" w:cs="宋体"/>
          <w:szCs w:val="21"/>
        </w:rPr>
        <w:t xml:space="preserve">就有关投标的所有来往函电均应</w:t>
      </w:r>
      <w:r>
        <w:rPr>
          <w:rFonts w:hint="eastAsia" w:ascii="宋体" w:hAnsi="宋体" w:cs="宋体"/>
          <w:color w:val="000000"/>
          <w:szCs w:val="21"/>
        </w:rPr>
        <w:t xml:space="preserve">以简体中文书写。</w:t>
      </w:r>
      <w:r>
        <w:rPr>
          <w:rFonts w:hint="eastAsia" w:ascii="宋体" w:hAnsi="宋体" w:cs="宋体"/>
          <w:color w:val="000000"/>
          <w:szCs w:val="21"/>
        </w:rPr>
      </w:r>
      <w:r/>
    </w:p>
    <w:p>
      <w:pPr>
        <w:pStyle w:val="1344"/>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8.2供应商已印刷好的资料如产品样本、说明书等可以用其他语言，但其中要点应附有中文译文。对不同文本投标文件的解释发生异议的，以中文翻译文本为准。</w:t>
      </w:r>
      <w:r>
        <w:rPr>
          <w:rFonts w:hint="eastAsia" w:ascii="宋体" w:hAnsi="宋体" w:cs="宋体"/>
          <w:color w:val="000000"/>
          <w:szCs w:val="21"/>
        </w:rPr>
      </w:r>
      <w:r/>
    </w:p>
    <w:p>
      <w:pPr>
        <w:pStyle w:val="1344"/>
        <w:ind w:firstLine="420"/>
        <w:spacing w:line="360" w:lineRule="auto"/>
        <w:shd w:val="clear" w:color="auto" w:fill="ffffff"/>
        <w:widowControl/>
        <w:rPr>
          <w:rFonts w:hint="eastAsia" w:ascii="宋体" w:hAnsi="宋体" w:cs="宋体"/>
          <w:szCs w:val="21"/>
        </w:rPr>
      </w:pPr>
      <w:r/>
      <w:bookmarkStart w:id="97" w:name="_Toc19298"/>
      <w:r>
        <w:rPr>
          <w:rFonts w:hint="eastAsia" w:ascii="宋体" w:hAnsi="宋体" w:cs="宋体"/>
          <w:szCs w:val="21"/>
        </w:rPr>
        <w:t xml:space="preserve">8.3 除招标文件中有特殊要求外，招标文件中所使用的计量单位应为国家法定计量单位。</w:t>
      </w:r>
      <w:r>
        <w:rPr>
          <w:rFonts w:hint="eastAsia" w:ascii="宋体" w:hAnsi="宋体" w:cs="宋体"/>
          <w:szCs w:val="21"/>
        </w:rPr>
      </w:r>
      <w:r/>
    </w:p>
    <w:p>
      <w:pPr>
        <w:pStyle w:val="134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8.4 本招标文件所表述的时间均为北京时间。</w:t>
      </w:r>
      <w:r>
        <w:rPr>
          <w:rFonts w:hint="eastAsia" w:ascii="宋体" w:hAnsi="宋体" w:cs="宋体"/>
          <w:szCs w:val="21"/>
        </w:rPr>
      </w:r>
      <w:r/>
    </w:p>
    <w:p>
      <w:pPr>
        <w:pStyle w:val="1344"/>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8.5 </w:t>
      </w:r>
      <w:r>
        <w:rPr>
          <w:rFonts w:hint="eastAsia" w:ascii="宋体" w:hAnsi="宋体" w:cs="宋体"/>
          <w:b/>
          <w:bCs/>
          <w:szCs w:val="21"/>
        </w:rPr>
        <w:t xml:space="preserve">所有投标响应报价具体详见投标人须知前附表。</w:t>
      </w:r>
      <w:r>
        <w:rPr>
          <w:rFonts w:hint="eastAsia" w:ascii="宋体" w:hAnsi="宋体" w:cs="宋体"/>
          <w:color w:val="000000"/>
          <w:szCs w:val="21"/>
        </w:rPr>
      </w:r>
      <w:r/>
    </w:p>
    <w:p>
      <w:pPr>
        <w:pStyle w:val="1344"/>
        <w:ind w:firstLine="420"/>
        <w:spacing w:line="360" w:lineRule="auto"/>
        <w:rPr>
          <w:rFonts w:hint="eastAsia" w:ascii="宋体" w:hAnsi="宋体" w:cs="宋体"/>
          <w:b/>
          <w:szCs w:val="21"/>
          <w:lang w:val="zh-CN"/>
        </w:rPr>
        <w:outlineLvl w:val="2"/>
      </w:pPr>
      <w:r/>
      <w:bookmarkStart w:id="98" w:name="_Toc30894"/>
      <w:r/>
      <w:bookmarkStart w:id="99" w:name="_Toc10671"/>
      <w:r/>
      <w:bookmarkStart w:id="100" w:name="_Toc31000"/>
      <w:r>
        <w:rPr>
          <w:rFonts w:hint="eastAsia" w:ascii="宋体" w:hAnsi="宋体" w:cs="宋体"/>
          <w:b/>
          <w:bCs/>
          <w:color w:val="000000"/>
          <w:szCs w:val="21"/>
        </w:rPr>
        <w:t xml:space="preserve">9.</w:t>
      </w:r>
      <w:r>
        <w:rPr>
          <w:rFonts w:hint="eastAsia" w:ascii="宋体" w:hAnsi="宋体" w:cs="宋体"/>
          <w:b/>
          <w:szCs w:val="21"/>
          <w:lang w:val="zh-CN"/>
        </w:rPr>
        <w:t xml:space="preserve">联合体（</w:t>
      </w:r>
      <w:r>
        <w:rPr>
          <w:rFonts w:hint="eastAsia" w:ascii="宋体" w:hAnsi="宋体" w:cs="宋体"/>
          <w:b/>
          <w:bCs/>
          <w:szCs w:val="21"/>
        </w:rPr>
        <w:t xml:space="preserve">本项目不接受联合体投标</w:t>
      </w:r>
      <w:r>
        <w:rPr>
          <w:rFonts w:hint="eastAsia" w:ascii="宋体" w:hAnsi="宋体" w:cs="宋体"/>
          <w:b/>
          <w:szCs w:val="21"/>
          <w:lang w:val="zh-CN"/>
        </w:rPr>
        <w:t xml:space="preserve">）</w:t>
      </w:r>
      <w:bookmarkEnd w:id="98"/>
      <w:r/>
      <w:bookmarkEnd w:id="99"/>
      <w:r/>
      <w:bookmarkEnd w:id="100"/>
      <w:r>
        <w:rPr>
          <w:rFonts w:hint="eastAsia" w:ascii="宋体" w:hAnsi="宋体" w:cs="宋体"/>
          <w:b/>
          <w:szCs w:val="21"/>
          <w:lang w:val="zh-CN"/>
        </w:rPr>
      </w:r>
      <w:r/>
    </w:p>
    <w:p>
      <w:pPr>
        <w:pStyle w:val="1344"/>
        <w:ind w:firstLine="420"/>
        <w:spacing w:line="360" w:lineRule="auto"/>
        <w:rPr>
          <w:rFonts w:hint="eastAsia" w:ascii="宋体" w:hAnsi="宋体" w:cs="宋体"/>
          <w:color w:val="000000"/>
          <w:szCs w:val="21"/>
        </w:rPr>
      </w:pPr>
      <w:r>
        <w:rPr>
          <w:rFonts w:hint="eastAsia" w:ascii="宋体" w:hAnsi="宋体" w:cs="宋体"/>
          <w:szCs w:val="21"/>
        </w:rPr>
        <w:t xml:space="preserve">9.1</w:t>
      </w:r>
      <w:r>
        <w:rPr>
          <w:rFonts w:hint="eastAsia" w:ascii="宋体" w:hAnsi="宋体" w:cs="宋体"/>
          <w:color w:val="000000"/>
          <w:szCs w:val="21"/>
        </w:rPr>
        <w:t xml:space="preserve">两个以上的自然人、法人或者其他组织可以组成一个联合体，以一个供应商的身份共同参加政府采购。</w:t>
      </w:r>
      <w:r>
        <w:rPr>
          <w:rFonts w:hint="eastAsia" w:ascii="宋体" w:hAnsi="宋体" w:cs="宋体"/>
          <w:color w:val="000000"/>
          <w:szCs w:val="21"/>
        </w:rPr>
      </w:r>
      <w:r/>
    </w:p>
    <w:p>
      <w:pPr>
        <w:pStyle w:val="1344"/>
        <w:ind w:firstLine="420"/>
        <w:spacing w:line="360" w:lineRule="auto"/>
        <w:rPr>
          <w:rFonts w:hint="eastAsia" w:ascii="宋体" w:hAnsi="宋体" w:cs="宋体"/>
          <w:color w:val="000000"/>
          <w:szCs w:val="21"/>
        </w:rPr>
      </w:pPr>
      <w:r>
        <w:rPr>
          <w:rFonts w:hint="eastAsia" w:ascii="宋体" w:hAnsi="宋体" w:cs="宋体"/>
          <w:szCs w:val="21"/>
        </w:rPr>
        <w:t xml:space="preserve">9.2</w:t>
      </w:r>
      <w:r>
        <w:rPr>
          <w:rFonts w:hint="eastAsia" w:ascii="宋体" w:hAnsi="宋体" w:cs="宋体"/>
          <w:color w:val="000000"/>
          <w:szCs w:val="21"/>
        </w:rPr>
        <w:t xml:space="preserve">鼓励大中型企业和其他自然人、法人或者其他组织与小型、微型企业组成联合体共同参加非专门面向中小企业的政府采购活动。</w:t>
      </w:r>
      <w:r>
        <w:rPr>
          <w:rFonts w:hint="eastAsia" w:ascii="宋体" w:hAnsi="宋体" w:cs="宋体"/>
          <w:color w:val="000000"/>
          <w:szCs w:val="21"/>
        </w:rPr>
      </w:r>
      <w:r/>
    </w:p>
    <w:p>
      <w:pPr>
        <w:pStyle w:val="1344"/>
        <w:ind w:firstLine="420"/>
        <w:spacing w:line="360" w:lineRule="auto"/>
        <w:rPr>
          <w:rFonts w:hint="eastAsia" w:ascii="宋体" w:hAnsi="宋体" w:cs="宋体"/>
          <w:szCs w:val="21"/>
        </w:rPr>
      </w:pPr>
      <w:r>
        <w:rPr>
          <w:rFonts w:hint="eastAsia" w:ascii="宋体" w:hAnsi="宋体" w:cs="宋体"/>
          <w:szCs w:val="21"/>
        </w:rPr>
        <w:t xml:space="preserve">9.3</w:t>
      </w:r>
      <w:r>
        <w:rPr>
          <w:rFonts w:hint="eastAsia" w:ascii="宋体" w:hAnsi="宋体" w:cs="宋体"/>
          <w:szCs w:val="21"/>
        </w:rPr>
        <w:t xml:space="preserve">以联合体形式参加采购的，</w:t>
      </w:r>
      <w:r>
        <w:rPr>
          <w:rFonts w:hint="eastAsia" w:ascii="宋体" w:hAnsi="宋体" w:cs="宋体"/>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cs="宋体"/>
          <w:szCs w:val="21"/>
        </w:rPr>
        <w:t xml:space="preserve">。由同一专业的供应商组成的联合体，</w:t>
      </w:r>
      <w:r>
        <w:rPr>
          <w:rFonts w:hint="eastAsia" w:ascii="宋体" w:hAnsi="宋体" w:cs="宋体"/>
          <w:color w:val="000000"/>
          <w:szCs w:val="21"/>
        </w:rPr>
        <w:t xml:space="preserve">联合体中有同类资质的供应商按照联合体分工承担相同工作的，按照资质等级较低的供应商确定资质等级，并</w:t>
      </w:r>
      <w:r>
        <w:rPr>
          <w:rFonts w:hint="eastAsia" w:ascii="宋体" w:hAnsi="宋体" w:cs="宋体"/>
          <w:szCs w:val="21"/>
        </w:rPr>
        <w:t xml:space="preserve">以响应全权代表方的应答材料作为商务评审的依据</w:t>
      </w:r>
      <w:r>
        <w:rPr>
          <w:rFonts w:hint="eastAsia" w:ascii="宋体" w:hAnsi="宋体" w:cs="宋体"/>
          <w:color w:val="000000"/>
          <w:szCs w:val="21"/>
        </w:rPr>
        <w:t xml:space="preserve">。</w:t>
      </w:r>
      <w:r>
        <w:rPr>
          <w:rFonts w:hint="eastAsia" w:ascii="宋体" w:hAnsi="宋体" w:cs="宋体"/>
          <w:szCs w:val="21"/>
        </w:rPr>
        <w:t xml:space="preserve">由不同专业的供应商组成联合体，首先以响应全权代表方的应答材料作为认定资质以及商务评审的依据，涉及行业专属的资质，按照所属行业对应的供应商的应答材料确定。</w:t>
      </w:r>
      <w:r>
        <w:rPr>
          <w:rFonts w:hint="eastAsia" w:ascii="宋体" w:hAnsi="宋体" w:cs="宋体"/>
          <w:szCs w:val="21"/>
        </w:rPr>
      </w:r>
      <w:r/>
    </w:p>
    <w:p>
      <w:pPr>
        <w:pStyle w:val="1344"/>
        <w:ind w:firstLine="420"/>
        <w:spacing w:line="360" w:lineRule="auto"/>
        <w:rPr>
          <w:rFonts w:hint="eastAsia" w:ascii="宋体" w:hAnsi="宋体" w:cs="宋体"/>
          <w:szCs w:val="21"/>
        </w:rPr>
      </w:pPr>
      <w:r>
        <w:rPr>
          <w:rFonts w:hint="eastAsia" w:ascii="宋体" w:hAnsi="宋体" w:cs="宋体"/>
          <w:szCs w:val="21"/>
        </w:rPr>
        <w:t xml:space="preserve">9.4 </w:t>
      </w:r>
      <w:r>
        <w:rPr>
          <w:rFonts w:hint="eastAsia" w:ascii="宋体" w:hAnsi="宋体" w:cs="宋体"/>
          <w:szCs w:val="21"/>
        </w:rPr>
        <w:t xml:space="preserve">联合体各方之间应当签订联合体协议，明确约定联合体各方承担的工作和相应的责任，并将联合体协议连同响应文件一并提交。</w:t>
      </w:r>
      <w:r>
        <w:rPr>
          <w:rFonts w:hint="eastAsia" w:ascii="宋体" w:hAnsi="宋体" w:cs="宋体"/>
          <w:szCs w:val="21"/>
        </w:rPr>
      </w:r>
      <w:r/>
    </w:p>
    <w:p>
      <w:pPr>
        <w:pStyle w:val="134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9.5 </w:t>
      </w:r>
      <w:r>
        <w:rPr>
          <w:rFonts w:hint="eastAsia" w:ascii="宋体" w:hAnsi="宋体" w:cs="宋体"/>
          <w:szCs w:val="21"/>
        </w:rPr>
        <w:t xml:space="preserve">以联合体形式参加政府采购活动的，联合体各方不得再单独参加或者与其他供应商另外组成联合体参加同一合同项下的政府采购活动。</w:t>
      </w:r>
      <w:r>
        <w:rPr>
          <w:rFonts w:hint="eastAsia" w:ascii="宋体" w:hAnsi="宋体" w:cs="宋体"/>
          <w:szCs w:val="21"/>
        </w:rPr>
      </w:r>
      <w:r/>
    </w:p>
    <w:p>
      <w:pPr>
        <w:pStyle w:val="1347"/>
        <w:ind w:left="0" w:firstLine="422"/>
        <w:jc w:val="both"/>
        <w:spacing w:line="360" w:lineRule="auto"/>
        <w:tabs>
          <w:tab w:val="left" w:pos="480" w:leader="none"/>
        </w:tabs>
        <w:rPr>
          <w:rFonts w:hint="eastAsia" w:ascii="宋体" w:hAnsi="宋体" w:eastAsia="宋体" w:cs="宋体"/>
          <w:color w:val="000000"/>
          <w:sz w:val="21"/>
          <w:szCs w:val="21"/>
        </w:rPr>
      </w:pPr>
      <w:r/>
      <w:bookmarkEnd w:id="97"/>
      <w:r/>
      <w:bookmarkStart w:id="101" w:name="_Toc22790"/>
      <w:r/>
      <w:bookmarkStart w:id="102" w:name="_Toc23063"/>
      <w:r/>
      <w:bookmarkStart w:id="103" w:name="_Toc27952"/>
      <w:r>
        <w:rPr>
          <w:rFonts w:hint="eastAsia" w:ascii="宋体" w:hAnsi="宋体" w:eastAsia="宋体" w:cs="宋体"/>
          <w:b/>
          <w:bCs/>
          <w:color w:val="000000"/>
          <w:sz w:val="21"/>
          <w:szCs w:val="21"/>
        </w:rPr>
        <w:t xml:space="preserve">10.投标文件的</w:t>
      </w:r>
      <w:bookmarkEnd w:id="101"/>
      <w:r>
        <w:rPr>
          <w:rFonts w:hint="eastAsia" w:ascii="宋体" w:hAnsi="宋体" w:eastAsia="宋体" w:cs="宋体"/>
          <w:b/>
          <w:bCs/>
          <w:color w:val="000000"/>
          <w:sz w:val="21"/>
          <w:szCs w:val="21"/>
        </w:rPr>
        <w:t xml:space="preserve">组成</w:t>
      </w:r>
      <w:bookmarkEnd w:id="102"/>
      <w:r/>
      <w:bookmarkEnd w:id="103"/>
      <w:r>
        <w:rPr>
          <w:rFonts w:hint="eastAsia" w:ascii="宋体" w:hAnsi="宋体" w:eastAsia="宋体" w:cs="宋体"/>
          <w:color w:val="000000"/>
          <w:sz w:val="21"/>
          <w:szCs w:val="21"/>
        </w:rPr>
      </w:r>
      <w:r/>
    </w:p>
    <w:p>
      <w:pPr>
        <w:pStyle w:val="134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10.1 供应商应当根据招标文件要求编制投标文件，投标文件应对招标文件提出的要求和条件作出实质性响应，并在《商务条款偏离表》和《技术条款偏离表》等处逐条标明满足与否。</w:t>
      </w:r>
      <w:r>
        <w:rPr>
          <w:rFonts w:hint="eastAsia" w:ascii="宋体" w:hAnsi="宋体" w:cs="宋体"/>
          <w:szCs w:val="21"/>
        </w:rPr>
      </w:r>
      <w:r/>
    </w:p>
    <w:p>
      <w:pPr>
        <w:pStyle w:val="134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10.2 投标文件由商务、技术、价格及其他部分组成，应包括但不限于下列文件，其中加※项目不得有缺失或无效：</w:t>
      </w:r>
      <w:r>
        <w:rPr>
          <w:rFonts w:hint="eastAsia" w:ascii="宋体" w:hAnsi="宋体" w:cs="宋体"/>
          <w:szCs w:val="21"/>
        </w:rPr>
      </w:r>
      <w:r/>
    </w:p>
    <w:p>
      <w:pPr>
        <w:pStyle w:val="134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 投标函（投标申请及声明）</w:t>
      </w:r>
      <w:r>
        <w:rPr>
          <w:rFonts w:hint="eastAsia" w:ascii="宋体" w:hAnsi="宋体" w:cs="宋体"/>
          <w:szCs w:val="21"/>
        </w:rPr>
      </w:r>
      <w:r/>
    </w:p>
    <w:p>
      <w:pPr>
        <w:pStyle w:val="134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（2）※开标一览表 </w:t>
      </w:r>
      <w:r>
        <w:rPr>
          <w:rFonts w:hint="eastAsia" w:ascii="宋体" w:hAnsi="宋体" w:cs="宋体"/>
          <w:szCs w:val="21"/>
        </w:rPr>
      </w:r>
      <w:r/>
    </w:p>
    <w:p>
      <w:pPr>
        <w:pStyle w:val="134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（3）分项报价表</w:t>
      </w:r>
      <w:r>
        <w:rPr>
          <w:rFonts w:hint="eastAsia" w:ascii="宋体" w:hAnsi="宋体" w:cs="宋体"/>
          <w:szCs w:val="21"/>
        </w:rPr>
      </w:r>
      <w:r/>
    </w:p>
    <w:p>
      <w:pPr>
        <w:pStyle w:val="134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（4）《商务条款偏离表》</w:t>
      </w:r>
      <w:r>
        <w:rPr>
          <w:rFonts w:hint="eastAsia" w:ascii="宋体" w:hAnsi="宋体" w:cs="宋体"/>
          <w:szCs w:val="21"/>
        </w:rPr>
      </w:r>
      <w:r/>
    </w:p>
    <w:p>
      <w:pPr>
        <w:pStyle w:val="134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（5）※《技术条款偏离表》</w:t>
      </w:r>
      <w:r>
        <w:rPr>
          <w:rFonts w:hint="eastAsia" w:ascii="宋体" w:hAnsi="宋体" w:cs="宋体"/>
          <w:szCs w:val="21"/>
        </w:rPr>
      </w:r>
      <w:r/>
    </w:p>
    <w:p>
      <w:pPr>
        <w:pStyle w:val="134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（6）政府采购政策</w:t>
      </w:r>
      <w:r>
        <w:rPr>
          <w:rFonts w:hint="eastAsia" w:ascii="宋体" w:hAnsi="宋体" w:cs="宋体"/>
          <w:szCs w:val="21"/>
        </w:rPr>
      </w:r>
      <w:r/>
    </w:p>
    <w:p>
      <w:pPr>
        <w:pStyle w:val="134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（7）供应商基本情况表</w:t>
      </w:r>
      <w:r>
        <w:rPr>
          <w:rFonts w:hint="eastAsia" w:ascii="宋体" w:hAnsi="宋体" w:cs="宋体"/>
          <w:szCs w:val="21"/>
        </w:rPr>
      </w:r>
      <w:r/>
    </w:p>
    <w:p>
      <w:pPr>
        <w:pStyle w:val="134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（8）※资格证明文件</w:t>
      </w:r>
      <w:r>
        <w:rPr>
          <w:rFonts w:hint="eastAsia" w:ascii="宋体" w:hAnsi="宋体" w:cs="宋体"/>
          <w:szCs w:val="21"/>
        </w:rPr>
      </w:r>
      <w:r/>
    </w:p>
    <w:p>
      <w:pPr>
        <w:pStyle w:val="134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（9）供应商认为需要提供的其他资料</w:t>
      </w:r>
      <w:r>
        <w:rPr>
          <w:rFonts w:hint="eastAsia" w:ascii="宋体" w:hAnsi="宋体" w:cs="宋体"/>
          <w:szCs w:val="21"/>
        </w:rPr>
      </w:r>
      <w:r/>
    </w:p>
    <w:p>
      <w:pPr>
        <w:pStyle w:val="1344"/>
        <w:ind w:firstLine="420"/>
        <w:spacing w:line="360" w:lineRule="auto"/>
        <w:shd w:val="clear" w:color="auto" w:fill="ffffff"/>
        <w:widowControl/>
        <w:rPr>
          <w:rFonts w:hint="eastAsia" w:ascii="宋体" w:hAnsi="宋体" w:cs="宋体"/>
          <w:szCs w:val="21"/>
        </w:rPr>
      </w:pPr>
      <w:r/>
      <w:bookmarkStart w:id="104" w:name="_Toc32484"/>
      <w:r/>
      <w:bookmarkStart w:id="105" w:name="_Toc12595"/>
      <w:r>
        <w:rPr>
          <w:rFonts w:hint="eastAsia" w:ascii="宋体" w:hAnsi="宋体" w:cs="宋体"/>
          <w:szCs w:val="21"/>
        </w:rPr>
        <w:t xml:space="preserve">10.3投标文件的商务部分：是证明供应商有资格参加投标和中标后有能力履行合同的文件，这些文件应能满足招标的要求。</w:t>
      </w:r>
      <w:r>
        <w:rPr>
          <w:rFonts w:hint="eastAsia" w:ascii="宋体" w:hAnsi="宋体" w:cs="宋体"/>
          <w:szCs w:val="21"/>
        </w:rPr>
      </w:r>
      <w:r/>
    </w:p>
    <w:p>
      <w:pPr>
        <w:pStyle w:val="134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hint="eastAsia" w:ascii="宋体" w:hAnsi="宋体" w:cs="宋体"/>
          <w:szCs w:val="21"/>
        </w:rPr>
      </w:r>
      <w:r/>
    </w:p>
    <w:p>
      <w:pPr>
        <w:pStyle w:val="134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10.5 投标文件的价格部分：</w:t>
      </w:r>
      <w:r>
        <w:rPr>
          <w:rFonts w:hint="eastAsia" w:ascii="宋体" w:hAnsi="宋体" w:cs="宋体"/>
          <w:szCs w:val="21"/>
        </w:rPr>
      </w:r>
      <w:r/>
    </w:p>
    <w:p>
      <w:pPr>
        <w:pStyle w:val="134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（1）价格文件是对投标价格构成的说明，招标文件如没有特别说明的话，对每一项产品/服务仅接受一个价格。</w:t>
      </w:r>
      <w:r>
        <w:rPr>
          <w:rFonts w:hint="eastAsia" w:ascii="宋体" w:hAnsi="宋体" w:cs="宋体"/>
          <w:szCs w:val="21"/>
        </w:rPr>
      </w:r>
      <w:r/>
    </w:p>
    <w:p>
      <w:pPr>
        <w:pStyle w:val="134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（2）报价应包含完成本项目发生的所有含税费用、支付给员工的工资和国家强制缴纳的各种社会保障资金，以及供应商认为需要的其他费用等。</w:t>
      </w:r>
      <w:r>
        <w:rPr>
          <w:rFonts w:hint="eastAsia" w:ascii="宋体" w:hAnsi="宋体" w:cs="宋体"/>
          <w:szCs w:val="21"/>
        </w:rPr>
      </w:r>
      <w:r/>
    </w:p>
    <w:p>
      <w:pPr>
        <w:pStyle w:val="134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cs="宋体"/>
          <w:szCs w:val="21"/>
        </w:rPr>
      </w:r>
      <w:r/>
    </w:p>
    <w:p>
      <w:pPr>
        <w:pStyle w:val="134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（4）供应商的报价包括但不仅限于人员费用（工资、福利、培训、体检、社会保险、加班费）、服务所用设备工具购置及维修费用、服务所用材料消耗费用、管理费用、利润、税金等费用。</w:t>
      </w:r>
      <w:r>
        <w:rPr>
          <w:rFonts w:hint="eastAsia" w:ascii="宋体" w:hAnsi="宋体" w:cs="宋体"/>
          <w:szCs w:val="21"/>
        </w:rPr>
      </w:r>
      <w:r/>
    </w:p>
    <w:p>
      <w:pPr>
        <w:pStyle w:val="134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10.6 投标文件的其他部分：</w:t>
      </w:r>
      <w:r>
        <w:rPr>
          <w:rFonts w:hint="eastAsia" w:ascii="宋体" w:hAnsi="宋体" w:cs="宋体"/>
          <w:szCs w:val="21"/>
        </w:rPr>
      </w:r>
      <w:r/>
    </w:p>
    <w:p>
      <w:pPr>
        <w:pStyle w:val="134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其他文件由供应商根据编制投标文件需要提供的其他相关文件。</w:t>
      </w:r>
      <w:r>
        <w:rPr>
          <w:rFonts w:hint="eastAsia" w:ascii="宋体" w:hAnsi="宋体" w:cs="宋体"/>
          <w:szCs w:val="21"/>
        </w:rPr>
      </w:r>
      <w:r/>
    </w:p>
    <w:p>
      <w:pPr>
        <w:pStyle w:val="1347"/>
        <w:ind w:left="0" w:firstLine="422"/>
        <w:jc w:val="both"/>
        <w:spacing w:line="360" w:lineRule="auto"/>
        <w:tabs>
          <w:tab w:val="left" w:pos="480" w:leader="none"/>
        </w:tabs>
        <w:rPr>
          <w:rFonts w:hint="eastAsia" w:ascii="宋体" w:hAnsi="宋体" w:eastAsia="宋体" w:cs="宋体"/>
          <w:b/>
          <w:bCs/>
          <w:color w:val="000000"/>
          <w:sz w:val="21"/>
          <w:szCs w:val="21"/>
        </w:rPr>
      </w:pPr>
      <w:r/>
      <w:bookmarkStart w:id="106" w:name="_Toc10206"/>
      <w:r>
        <w:rPr>
          <w:rFonts w:hint="eastAsia" w:ascii="宋体" w:hAnsi="宋体" w:eastAsia="宋体" w:cs="宋体"/>
          <w:b/>
          <w:bCs/>
          <w:color w:val="000000"/>
          <w:sz w:val="21"/>
          <w:szCs w:val="21"/>
        </w:rPr>
        <w:t xml:space="preserve">11.投标保证金</w:t>
      </w:r>
      <w:bookmarkEnd w:id="104"/>
      <w:r/>
      <w:bookmarkEnd w:id="105"/>
      <w:r>
        <w:rPr>
          <w:rFonts w:hint="eastAsia" w:ascii="宋体" w:hAnsi="宋体" w:eastAsia="宋体" w:cs="宋体"/>
          <w:b/>
          <w:bCs/>
          <w:color w:val="000000"/>
          <w:sz w:val="21"/>
          <w:szCs w:val="21"/>
        </w:rPr>
        <w:t xml:space="preserve">（如有）</w:t>
      </w:r>
      <w:bookmarkEnd w:id="106"/>
      <w:r>
        <w:rPr>
          <w:rFonts w:hint="eastAsia" w:ascii="宋体" w:hAnsi="宋体" w:eastAsia="宋体" w:cs="宋体"/>
          <w:b/>
          <w:bCs/>
          <w:color w:val="000000"/>
          <w:sz w:val="21"/>
          <w:szCs w:val="21"/>
        </w:rPr>
      </w:r>
      <w:r/>
    </w:p>
    <w:p>
      <w:pPr>
        <w:pStyle w:val="1344"/>
        <w:ind w:firstLine="420"/>
        <w:spacing w:line="360" w:lineRule="auto"/>
        <w:shd w:val="clear" w:color="auto" w:fill="ffffff"/>
        <w:widowControl/>
        <w:rPr>
          <w:rFonts w:hint="eastAsia" w:ascii="宋体" w:hAnsi="宋体" w:cs="宋体"/>
          <w:color w:val="000000"/>
          <w:szCs w:val="21"/>
        </w:rPr>
      </w:pPr>
      <w:r/>
      <w:bookmarkStart w:id="107" w:name="_Toc31206"/>
      <w:r>
        <w:rPr>
          <w:rFonts w:hint="eastAsia" w:ascii="宋体" w:hAnsi="宋体" w:cs="宋体"/>
          <w:szCs w:val="21"/>
        </w:rPr>
        <w:t xml:space="preserve">11.1</w:t>
      </w:r>
      <w:r>
        <w:rPr>
          <w:rFonts w:hint="eastAsia" w:ascii="宋体" w:hAnsi="宋体" w:cs="宋体"/>
          <w:color w:val="000000"/>
          <w:szCs w:val="21"/>
        </w:rPr>
        <w:t xml:space="preserve">作为投标文件的一部分，</w:t>
      </w:r>
      <w:r>
        <w:rPr>
          <w:rFonts w:hint="eastAsia" w:ascii="宋体" w:hAnsi="宋体" w:cs="宋体"/>
          <w:szCs w:val="21"/>
        </w:rPr>
        <w:t xml:space="preserve">供应商</w:t>
      </w:r>
      <w:r>
        <w:rPr>
          <w:rFonts w:hint="eastAsia" w:ascii="宋体" w:hAnsi="宋体" w:cs="宋体"/>
          <w:color w:val="000000"/>
          <w:szCs w:val="21"/>
        </w:rPr>
        <w:t xml:space="preserve">应按照招标文件要求的数额和办法交纳投标保证金；投标保证金有效期应当与投标有效期一致。</w:t>
      </w:r>
      <w:r>
        <w:rPr>
          <w:rFonts w:hint="eastAsia" w:ascii="宋体" w:hAnsi="宋体" w:cs="宋体"/>
          <w:color w:val="000000"/>
          <w:szCs w:val="21"/>
        </w:rPr>
      </w:r>
      <w:r/>
    </w:p>
    <w:p>
      <w:pPr>
        <w:pStyle w:val="1344"/>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投标保证金金额及形式：</w:t>
      </w:r>
      <w:r>
        <w:rPr>
          <w:rFonts w:hint="eastAsia" w:ascii="宋体" w:hAnsi="宋体" w:cs="宋体"/>
          <w:b/>
          <w:bCs/>
          <w:color w:val="000000"/>
          <w:szCs w:val="21"/>
        </w:rPr>
        <w:t xml:space="preserve">详见</w:t>
      </w:r>
      <w:r>
        <w:rPr>
          <w:rFonts w:hint="eastAsia" w:ascii="宋体" w:hAnsi="宋体" w:cs="宋体"/>
          <w:b/>
          <w:bCs/>
          <w:szCs w:val="21"/>
        </w:rPr>
        <w:t xml:space="preserve">投标人</w:t>
      </w:r>
      <w:r>
        <w:rPr>
          <w:rFonts w:hint="eastAsia" w:ascii="宋体" w:hAnsi="宋体" w:cs="宋体"/>
          <w:b/>
          <w:bCs/>
          <w:color w:val="000000"/>
          <w:szCs w:val="21"/>
        </w:rPr>
        <w:t xml:space="preserve">须知前附表</w:t>
      </w:r>
      <w:r>
        <w:rPr>
          <w:rFonts w:hint="eastAsia" w:ascii="宋体" w:hAnsi="宋体" w:cs="宋体"/>
          <w:color w:val="000000"/>
          <w:szCs w:val="21"/>
        </w:rPr>
        <w:t xml:space="preserve">。</w:t>
      </w:r>
      <w:r>
        <w:rPr>
          <w:rFonts w:hint="eastAsia" w:ascii="宋体" w:hAnsi="宋体" w:cs="宋体"/>
          <w:color w:val="000000"/>
          <w:szCs w:val="21"/>
        </w:rPr>
      </w:r>
      <w:r/>
    </w:p>
    <w:p>
      <w:pPr>
        <w:pStyle w:val="1344"/>
        <w:ind w:firstLine="420"/>
        <w:spacing w:line="360" w:lineRule="auto"/>
        <w:shd w:val="clear" w:color="auto" w:fill="ffffff"/>
        <w:widowControl/>
        <w:rPr>
          <w:rFonts w:hint="eastAsia" w:ascii="宋体" w:hAnsi="宋体" w:cs="宋体"/>
          <w:b/>
          <w:bCs/>
          <w:color w:val="000000"/>
          <w:szCs w:val="21"/>
        </w:rPr>
      </w:pPr>
      <w:r>
        <w:rPr>
          <w:rFonts w:hint="eastAsia" w:ascii="宋体" w:hAnsi="宋体" w:cs="宋体"/>
          <w:b/>
          <w:bCs/>
          <w:szCs w:val="21"/>
        </w:rPr>
        <w:t xml:space="preserve">11.2</w:t>
      </w:r>
      <w:r>
        <w:rPr>
          <w:rFonts w:hint="eastAsia" w:ascii="宋体" w:hAnsi="宋体" w:cs="宋体"/>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rFonts w:hint="eastAsia" w:ascii="宋体" w:hAnsi="宋体" w:cs="宋体"/>
          <w:b/>
          <w:bCs/>
          <w:color w:val="000000"/>
          <w:szCs w:val="21"/>
        </w:rPr>
      </w:r>
      <w:r/>
    </w:p>
    <w:p>
      <w:pPr>
        <w:pStyle w:val="1344"/>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11.3</w:t>
      </w:r>
      <w:r>
        <w:rPr>
          <w:rFonts w:hint="eastAsia" w:ascii="宋体" w:hAnsi="宋体" w:cs="宋体"/>
          <w:color w:val="000000"/>
          <w:szCs w:val="21"/>
        </w:rPr>
        <w:t xml:space="preserve">中标供应商的保证金将按要求缴纳招标代理服务费后在采购合同签订后五个工作日内退还。</w:t>
      </w:r>
      <w:r>
        <w:rPr>
          <w:rFonts w:hint="eastAsia" w:ascii="宋体" w:hAnsi="宋体" w:cs="宋体"/>
          <w:color w:val="000000"/>
          <w:szCs w:val="21"/>
        </w:rPr>
      </w:r>
      <w:r/>
    </w:p>
    <w:p>
      <w:pPr>
        <w:pStyle w:val="1344"/>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11.4</w:t>
      </w:r>
      <w:r>
        <w:rPr>
          <w:rFonts w:hint="eastAsia" w:ascii="宋体" w:hAnsi="宋体" w:cs="宋体"/>
          <w:color w:val="000000"/>
          <w:szCs w:val="21"/>
        </w:rPr>
        <w:t xml:space="preserve">发生下列情况之一，保证金将被没收：</w:t>
      </w:r>
      <w:r>
        <w:rPr>
          <w:rFonts w:hint="eastAsia" w:ascii="宋体" w:hAnsi="宋体" w:cs="宋体"/>
          <w:color w:val="000000"/>
          <w:szCs w:val="21"/>
        </w:rPr>
      </w:r>
      <w:r/>
    </w:p>
    <w:p>
      <w:pPr>
        <w:pStyle w:val="1344"/>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（1）中标供应商在中标后无正当理由不与采购人签订合同的；</w:t>
      </w:r>
      <w:r>
        <w:rPr>
          <w:rFonts w:hint="eastAsia" w:ascii="宋体" w:hAnsi="宋体" w:cs="宋体"/>
          <w:color w:val="000000"/>
          <w:szCs w:val="21"/>
        </w:rPr>
      </w:r>
      <w:r/>
    </w:p>
    <w:p>
      <w:pPr>
        <w:pStyle w:val="1344"/>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zh-CN"/>
        </w:rPr>
        <w:t xml:space="preserve">投标有效期内撤回其投标的；</w:t>
      </w:r>
      <w:r>
        <w:rPr>
          <w:rFonts w:hint="eastAsia" w:ascii="宋体" w:hAnsi="宋体" w:cs="宋体"/>
          <w:color w:val="000000"/>
          <w:szCs w:val="21"/>
        </w:rPr>
      </w:r>
      <w:r/>
    </w:p>
    <w:p>
      <w:pPr>
        <w:pStyle w:val="1344"/>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（3）提供虚假材料谋取成交的；</w:t>
      </w:r>
      <w:r>
        <w:rPr>
          <w:rFonts w:hint="eastAsia" w:ascii="宋体" w:hAnsi="宋体" w:cs="宋体"/>
          <w:color w:val="000000"/>
          <w:szCs w:val="21"/>
        </w:rPr>
      </w:r>
      <w:r/>
    </w:p>
    <w:p>
      <w:pPr>
        <w:pStyle w:val="1344"/>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（4）采取不正当手段诋毁、排挤其他</w:t>
      </w:r>
      <w:r>
        <w:rPr>
          <w:rFonts w:hint="eastAsia" w:ascii="宋体" w:hAnsi="宋体" w:cs="宋体"/>
          <w:szCs w:val="21"/>
        </w:rPr>
        <w:t xml:space="preserve">供应商</w:t>
      </w:r>
      <w:r>
        <w:rPr>
          <w:rFonts w:hint="eastAsia" w:ascii="宋体" w:hAnsi="宋体" w:cs="宋体"/>
          <w:color w:val="000000"/>
          <w:szCs w:val="21"/>
        </w:rPr>
        <w:t xml:space="preserve">的；</w:t>
      </w:r>
      <w:r>
        <w:rPr>
          <w:rFonts w:hint="eastAsia" w:ascii="宋体" w:hAnsi="宋体" w:cs="宋体"/>
          <w:color w:val="000000"/>
          <w:szCs w:val="21"/>
        </w:rPr>
      </w:r>
      <w:r/>
    </w:p>
    <w:p>
      <w:pPr>
        <w:pStyle w:val="1344"/>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（5）与采购人、采购代理机构或者其他</w:t>
      </w:r>
      <w:r>
        <w:rPr>
          <w:rFonts w:hint="eastAsia" w:ascii="宋体" w:hAnsi="宋体" w:cs="宋体"/>
          <w:szCs w:val="21"/>
        </w:rPr>
        <w:t xml:space="preserve">供应商</w:t>
      </w:r>
      <w:r>
        <w:rPr>
          <w:rFonts w:hint="eastAsia" w:ascii="宋体" w:hAnsi="宋体" w:cs="宋体"/>
          <w:color w:val="000000"/>
          <w:szCs w:val="21"/>
        </w:rPr>
        <w:t xml:space="preserve">恶意串通的；</w:t>
      </w:r>
      <w:r>
        <w:rPr>
          <w:rFonts w:hint="eastAsia" w:ascii="宋体" w:hAnsi="宋体" w:cs="宋体"/>
          <w:color w:val="000000"/>
          <w:szCs w:val="21"/>
        </w:rPr>
      </w:r>
      <w:r/>
    </w:p>
    <w:p>
      <w:pPr>
        <w:pStyle w:val="1344"/>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（6）中标供应商在中标后将中标项目转让给他人，或者在投标文件中未说明，且未经采购人同意，将中标项目分包给他人的；</w:t>
      </w:r>
      <w:r>
        <w:rPr>
          <w:rFonts w:hint="eastAsia" w:ascii="宋体" w:hAnsi="宋体" w:cs="宋体"/>
          <w:color w:val="000000"/>
          <w:szCs w:val="21"/>
        </w:rPr>
      </w:r>
      <w:r/>
    </w:p>
    <w:p>
      <w:pPr>
        <w:pStyle w:val="1344"/>
        <w:ind w:firstLine="420"/>
        <w:spacing w:line="360" w:lineRule="auto"/>
        <w:shd w:val="clear" w:color="auto" w:fill="ffffff"/>
        <w:widowControl/>
        <w:rPr>
          <w:rFonts w:hint="eastAsia" w:ascii="宋体" w:hAnsi="宋体" w:cs="宋体"/>
          <w:bCs/>
          <w:szCs w:val="21"/>
        </w:rPr>
      </w:pPr>
      <w:r>
        <w:rPr>
          <w:rFonts w:hint="eastAsia" w:ascii="宋体" w:hAnsi="宋体" w:cs="宋体"/>
          <w:color w:val="000000"/>
          <w:szCs w:val="21"/>
        </w:rPr>
        <w:t xml:space="preserve">（7）中标供应商在中标后拒绝</w:t>
      </w:r>
      <w:r>
        <w:rPr>
          <w:rFonts w:hint="eastAsia" w:ascii="宋体" w:hAnsi="宋体" w:cs="宋体"/>
          <w:bCs/>
          <w:szCs w:val="21"/>
        </w:rPr>
        <w:t xml:space="preserve">履行合同义务的。</w:t>
      </w:r>
      <w:r>
        <w:rPr>
          <w:rFonts w:hint="eastAsia" w:ascii="宋体" w:hAnsi="宋体" w:cs="宋体"/>
          <w:bCs/>
          <w:szCs w:val="21"/>
        </w:rPr>
      </w:r>
      <w:r/>
    </w:p>
    <w:p>
      <w:pPr>
        <w:pStyle w:val="1347"/>
        <w:ind w:left="0" w:firstLine="422"/>
        <w:jc w:val="both"/>
        <w:spacing w:line="360" w:lineRule="auto"/>
        <w:tabs>
          <w:tab w:val="left" w:pos="480" w:leader="none"/>
        </w:tabs>
        <w:rPr>
          <w:rFonts w:hint="eastAsia" w:ascii="宋体" w:hAnsi="宋体" w:eastAsia="宋体" w:cs="宋体"/>
          <w:b/>
          <w:bCs/>
          <w:color w:val="000000"/>
          <w:sz w:val="21"/>
          <w:szCs w:val="21"/>
        </w:rPr>
      </w:pPr>
      <w:r/>
      <w:bookmarkStart w:id="108" w:name="_Toc5619"/>
      <w:r/>
      <w:bookmarkStart w:id="109" w:name="_Toc10832"/>
      <w:r>
        <w:rPr>
          <w:rFonts w:hint="eastAsia" w:ascii="宋体" w:hAnsi="宋体" w:eastAsia="宋体" w:cs="宋体"/>
          <w:b/>
          <w:bCs/>
          <w:color w:val="000000"/>
          <w:sz w:val="21"/>
          <w:szCs w:val="21"/>
        </w:rPr>
        <w:t xml:space="preserve">12.投标文件的有效期</w:t>
      </w:r>
      <w:bookmarkEnd w:id="107"/>
      <w:r/>
      <w:bookmarkEnd w:id="108"/>
      <w:r/>
      <w:bookmarkEnd w:id="109"/>
      <w:r>
        <w:rPr>
          <w:rFonts w:hint="eastAsia" w:ascii="宋体" w:hAnsi="宋体" w:eastAsia="宋体" w:cs="宋体"/>
          <w:b/>
          <w:bCs/>
          <w:color w:val="000000"/>
          <w:sz w:val="21"/>
          <w:szCs w:val="21"/>
        </w:rPr>
      </w:r>
      <w:r/>
    </w:p>
    <w:p>
      <w:pPr>
        <w:pStyle w:val="1344"/>
        <w:ind w:firstLine="420"/>
        <w:jc w:val="left"/>
        <w:spacing w:line="360" w:lineRule="auto"/>
        <w:rPr>
          <w:rFonts w:hint="eastAsia" w:ascii="宋体" w:hAnsi="宋体" w:cs="宋体"/>
          <w:bCs/>
          <w:szCs w:val="21"/>
        </w:rPr>
      </w:pPr>
      <w:r/>
      <w:bookmarkStart w:id="110" w:name="_Toc6811"/>
      <w:r>
        <w:rPr>
          <w:rFonts w:hint="eastAsia" w:ascii="宋体" w:hAnsi="宋体" w:cs="宋体"/>
          <w:bCs/>
          <w:szCs w:val="21"/>
        </w:rPr>
        <w:t xml:space="preserve">12.1自开标之日起90天内，投标文件应保持有效，有效期短于此规定的投标文件将视为无效。</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hint="eastAsia" w:ascii="宋体" w:hAnsi="宋体" w:cs="宋体"/>
          <w:bCs/>
          <w:szCs w:val="21"/>
        </w:rPr>
      </w:r>
      <w:r/>
    </w:p>
    <w:p>
      <w:pPr>
        <w:pStyle w:val="1347"/>
        <w:ind w:left="0" w:firstLine="422"/>
        <w:jc w:val="both"/>
        <w:spacing w:line="360" w:lineRule="auto"/>
        <w:tabs>
          <w:tab w:val="left" w:pos="480" w:leader="none"/>
        </w:tabs>
        <w:rPr>
          <w:rFonts w:hint="eastAsia" w:ascii="宋体" w:hAnsi="宋体" w:eastAsia="宋体" w:cs="宋体"/>
          <w:b/>
          <w:bCs/>
          <w:color w:val="000000"/>
          <w:sz w:val="21"/>
          <w:szCs w:val="21"/>
        </w:rPr>
      </w:pPr>
      <w:r/>
      <w:bookmarkStart w:id="111" w:name="_Toc18186"/>
      <w:r/>
      <w:bookmarkStart w:id="112" w:name="_Toc10306"/>
      <w:r>
        <w:rPr>
          <w:rFonts w:hint="eastAsia" w:ascii="宋体" w:hAnsi="宋体" w:eastAsia="宋体" w:cs="宋体"/>
          <w:b/>
          <w:bCs/>
          <w:color w:val="000000"/>
          <w:sz w:val="21"/>
          <w:szCs w:val="21"/>
        </w:rPr>
        <w:t xml:space="preserve">13.投标文件的签署及其形式</w:t>
      </w:r>
      <w:bookmarkEnd w:id="110"/>
      <w:r/>
      <w:bookmarkEnd w:id="111"/>
      <w:r/>
      <w:bookmarkEnd w:id="112"/>
      <w:r>
        <w:rPr>
          <w:rFonts w:hint="eastAsia" w:ascii="宋体" w:hAnsi="宋体" w:eastAsia="宋体" w:cs="宋体"/>
          <w:b/>
          <w:bCs/>
          <w:color w:val="000000"/>
          <w:sz w:val="21"/>
          <w:szCs w:val="21"/>
        </w:rPr>
      </w:r>
      <w:r/>
    </w:p>
    <w:p>
      <w:pPr>
        <w:pStyle w:val="1344"/>
        <w:ind w:firstLine="420"/>
        <w:spacing w:line="360" w:lineRule="auto"/>
        <w:rPr>
          <w:rFonts w:hint="eastAsia" w:ascii="宋体" w:hAnsi="宋体" w:cs="宋体"/>
          <w:bCs/>
          <w:szCs w:val="21"/>
        </w:rPr>
      </w:pPr>
      <w:r/>
      <w:bookmarkStart w:id="113" w:name="_Toc3725"/>
      <w:r/>
      <w:bookmarkStart w:id="114" w:name="_Toc27455"/>
      <w:r>
        <w:rPr>
          <w:rFonts w:hint="eastAsia" w:ascii="宋体" w:hAnsi="宋体" w:cs="宋体"/>
          <w:bCs/>
          <w:szCs w:val="21"/>
        </w:rPr>
        <w:t xml:space="preserve">13.1投标文件的应用打印机或不褪色墨水书写，且经法定代表人或授权代表签署</w:t>
      </w:r>
      <w:r>
        <w:rPr>
          <w:rFonts w:hint="eastAsia" w:ascii="宋体" w:hAnsi="宋体" w:cs="宋体"/>
          <w:bCs/>
          <w:color w:val="000000"/>
          <w:szCs w:val="21"/>
        </w:rPr>
        <w:t xml:space="preserve">。</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13.2投标文件应字迹清楚、内容齐全、不得涂改或增删。如有修改和增删，必须有供应商公章或法定代表人或其授权代表签字。因投标文件字迹潦草或表达不清所引起的不利后果由供应商承担。</w:t>
      </w:r>
      <w:r>
        <w:rPr>
          <w:rFonts w:hint="eastAsia" w:ascii="宋体" w:hAnsi="宋体" w:cs="宋体"/>
          <w:bCs/>
          <w:szCs w:val="21"/>
        </w:rPr>
      </w:r>
      <w:r/>
    </w:p>
    <w:p>
      <w:pPr>
        <w:pStyle w:val="1344"/>
        <w:ind w:firstLine="420"/>
        <w:spacing w:line="360" w:lineRule="auto"/>
        <w:shd w:val="clear" w:color="auto" w:fill="ffffff"/>
        <w:widowControl/>
        <w:rPr>
          <w:rFonts w:hint="eastAsia" w:ascii="宋体" w:hAnsi="宋体" w:cs="宋体"/>
          <w:szCs w:val="21"/>
        </w:rPr>
      </w:pPr>
      <w:r>
        <w:rPr>
          <w:rFonts w:hint="eastAsia" w:ascii="宋体" w:hAnsi="宋体" w:cs="宋体"/>
          <w:bCs/>
          <w:szCs w:val="21"/>
        </w:rPr>
        <w:t xml:space="preserve">13.3</w:t>
      </w:r>
      <w:r>
        <w:rPr>
          <w:rFonts w:hint="eastAsia" w:ascii="宋体" w:hAnsi="宋体" w:cs="宋体"/>
          <w:szCs w:val="21"/>
        </w:rPr>
        <w:t xml:space="preserve">供应商应按照招标文件所规定的内容顺序，</w:t>
      </w:r>
      <w:r>
        <w:rPr>
          <w:rFonts w:hint="eastAsia" w:ascii="宋体" w:hAnsi="宋体" w:cs="宋体"/>
          <w:b/>
          <w:bCs/>
          <w:szCs w:val="21"/>
        </w:rPr>
        <w:t xml:space="preserve">编制目录，逐页编码</w:t>
      </w:r>
      <w:r>
        <w:rPr>
          <w:rFonts w:hint="eastAsia" w:ascii="宋体" w:hAnsi="宋体" w:cs="宋体"/>
          <w:szCs w:val="21"/>
        </w:rPr>
        <w:t xml:space="preserve">。由于编排混乱导致投标文件被误读或查找不到，责任由供应商承担。</w:t>
      </w:r>
      <w:r>
        <w:rPr>
          <w:rFonts w:hint="eastAsia" w:ascii="宋体" w:hAnsi="宋体" w:cs="宋体"/>
          <w:szCs w:val="21"/>
        </w:rPr>
      </w:r>
      <w:r/>
    </w:p>
    <w:p>
      <w:pPr>
        <w:pStyle w:val="1344"/>
        <w:ind w:firstLine="420"/>
        <w:spacing w:line="360" w:lineRule="auto"/>
        <w:shd w:val="clear" w:color="auto" w:fill="ffffff"/>
        <w:widowControl/>
        <w:rPr>
          <w:rFonts w:hint="eastAsia" w:ascii="宋体" w:hAnsi="宋体" w:cs="宋体"/>
          <w:b/>
          <w:bCs/>
          <w:color w:val="000000"/>
          <w:szCs w:val="21"/>
        </w:rPr>
        <w:outlineLvl w:val="1"/>
      </w:pPr>
      <w:r/>
      <w:bookmarkStart w:id="115" w:name="_Toc30431"/>
      <w:r>
        <w:rPr>
          <w:rFonts w:hint="eastAsia" w:ascii="宋体" w:hAnsi="宋体" w:cs="宋体"/>
          <w:b/>
          <w:bCs/>
          <w:color w:val="000000"/>
          <w:szCs w:val="21"/>
        </w:rPr>
        <w:t xml:space="preserve">四、投标文件的递交</w:t>
      </w:r>
      <w:bookmarkEnd w:id="113"/>
      <w:r/>
      <w:bookmarkEnd w:id="114"/>
      <w:r/>
      <w:bookmarkEnd w:id="115"/>
      <w:r>
        <w:rPr>
          <w:rFonts w:hint="eastAsia" w:ascii="宋体" w:hAnsi="宋体" w:cs="宋体"/>
          <w:b/>
          <w:bCs/>
          <w:color w:val="000000"/>
          <w:szCs w:val="21"/>
        </w:rPr>
      </w:r>
      <w:r/>
    </w:p>
    <w:p>
      <w:pPr>
        <w:pStyle w:val="1344"/>
        <w:ind w:firstLine="422"/>
        <w:spacing w:line="360" w:lineRule="auto"/>
        <w:tabs>
          <w:tab w:val="left" w:pos="480" w:leader="none"/>
        </w:tabs>
        <w:rPr>
          <w:rFonts w:hint="eastAsia" w:ascii="宋体" w:hAnsi="宋体" w:cs="宋体"/>
          <w:b/>
          <w:bCs/>
          <w:szCs w:val="21"/>
        </w:rPr>
        <w:outlineLvl w:val="2"/>
      </w:pPr>
      <w:r/>
      <w:bookmarkStart w:id="116" w:name="_Toc513029225"/>
      <w:r/>
      <w:bookmarkStart w:id="117" w:name="_Toc462564084"/>
      <w:r/>
      <w:bookmarkStart w:id="118" w:name="_Toc20823297"/>
      <w:r/>
      <w:bookmarkStart w:id="119" w:name="_Toc16938541"/>
      <w:r/>
      <w:bookmarkStart w:id="120" w:name="_Toc26846"/>
      <w:r/>
      <w:bookmarkStart w:id="121" w:name="_Toc14747"/>
      <w:r/>
      <w:bookmarkStart w:id="122" w:name="_Toc21766"/>
      <w:r>
        <w:rPr>
          <w:rFonts w:hint="eastAsia" w:ascii="宋体" w:hAnsi="宋体" w:cs="宋体"/>
          <w:b/>
          <w:bCs/>
          <w:szCs w:val="21"/>
        </w:rPr>
        <w:t xml:space="preserve">14.投标文件</w:t>
      </w:r>
      <w:bookmarkEnd w:id="116"/>
      <w:r/>
      <w:bookmarkEnd w:id="117"/>
      <w:r/>
      <w:bookmarkEnd w:id="118"/>
      <w:r/>
      <w:bookmarkEnd w:id="119"/>
      <w:r>
        <w:rPr>
          <w:rFonts w:hint="eastAsia" w:ascii="宋体" w:hAnsi="宋体" w:cs="宋体"/>
          <w:b/>
          <w:bCs/>
          <w:szCs w:val="21"/>
        </w:rPr>
        <w:t xml:space="preserve">的递交</w:t>
      </w:r>
      <w:bookmarkEnd w:id="120"/>
      <w:r>
        <w:rPr>
          <w:rFonts w:hint="eastAsia" w:ascii="宋体" w:hAnsi="宋体" w:cs="宋体"/>
          <w:b/>
          <w:bCs/>
          <w:szCs w:val="21"/>
        </w:rPr>
      </w:r>
      <w:r/>
    </w:p>
    <w:p>
      <w:pPr>
        <w:pStyle w:val="134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14.1 电子投标文件的递交：投标人应当按照《操作手册》规定，在投标截止时间前制作并上传电子投标文件。</w:t>
      </w:r>
      <w:bookmarkStart w:id="123" w:name="_Toc1507"/>
      <w:r/>
      <w:bookmarkStart w:id="124" w:name="_Toc16938542"/>
      <w:r/>
      <w:bookmarkStart w:id="125" w:name="_Toc20823298"/>
      <w:r/>
      <w:bookmarkStart w:id="126" w:name="_Toc513029226"/>
      <w:r/>
      <w:bookmarkStart w:id="127" w:name="_Toc14201"/>
      <w:r/>
      <w:bookmarkStart w:id="128" w:name="_Toc11996"/>
      <w:r>
        <w:rPr>
          <w:rFonts w:hint="eastAsia" w:ascii="宋体" w:hAnsi="宋体" w:cs="宋体"/>
          <w:szCs w:val="21"/>
        </w:rPr>
      </w:r>
      <w:r/>
    </w:p>
    <w:p>
      <w:pPr>
        <w:pStyle w:val="134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14.2 投标文件的</w:t>
      </w:r>
      <w:bookmarkEnd w:id="127"/>
      <w:r/>
      <w:bookmarkEnd w:id="128"/>
      <w:r>
        <w:rPr>
          <w:rFonts w:hint="eastAsia" w:ascii="宋体" w:hAnsi="宋体" w:cs="宋体"/>
          <w:szCs w:val="21"/>
        </w:rPr>
        <w:t xml:space="preserve">解密</w:t>
      </w:r>
      <w:bookmarkEnd w:id="123"/>
      <w:r>
        <w:rPr>
          <w:rFonts w:hint="eastAsia" w:ascii="宋体" w:hAnsi="宋体" w:cs="宋体"/>
          <w:szCs w:val="21"/>
        </w:rPr>
        <w:t xml:space="preserve">：开标当天各供应商及时登录不见面开标大厅，投标文件递交截止时间后，采购人将在系统内公布供应商名单，然后通</w:t>
      </w:r>
      <w:r>
        <w:rPr>
          <w:rFonts w:hint="eastAsia" w:ascii="宋体" w:hAnsi="宋体" w:cs="宋体"/>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cs="宋体"/>
          <w:szCs w:val="21"/>
        </w:rPr>
      </w:r>
      <w:r/>
    </w:p>
    <w:p>
      <w:pPr>
        <w:pStyle w:val="1344"/>
        <w:ind w:firstLine="422"/>
        <w:spacing w:line="360" w:lineRule="auto"/>
        <w:tabs>
          <w:tab w:val="left" w:pos="480" w:leader="none"/>
        </w:tabs>
        <w:rPr>
          <w:rFonts w:hint="eastAsia" w:ascii="宋体" w:hAnsi="宋体" w:cs="宋体"/>
          <w:b/>
          <w:bCs/>
          <w:szCs w:val="21"/>
        </w:rPr>
        <w:outlineLvl w:val="2"/>
      </w:pPr>
      <w:r/>
      <w:bookmarkStart w:id="129" w:name="_Toc28176"/>
      <w:r>
        <w:rPr>
          <w:rFonts w:hint="eastAsia" w:ascii="宋体" w:hAnsi="宋体" w:cs="宋体"/>
          <w:b/>
          <w:bCs/>
          <w:szCs w:val="21"/>
        </w:rPr>
        <w:t xml:space="preserve">15.投标截止</w:t>
      </w:r>
      <w:bookmarkEnd w:id="124"/>
      <w:r/>
      <w:bookmarkEnd w:id="125"/>
      <w:r/>
      <w:bookmarkEnd w:id="126"/>
      <w:r>
        <w:rPr>
          <w:rFonts w:hint="eastAsia" w:ascii="宋体" w:hAnsi="宋体" w:cs="宋体"/>
          <w:b/>
          <w:bCs/>
          <w:szCs w:val="21"/>
        </w:rPr>
        <w:t xml:space="preserve">时间</w:t>
      </w:r>
      <w:bookmarkEnd w:id="129"/>
      <w:r>
        <w:rPr>
          <w:rFonts w:hint="eastAsia" w:ascii="宋体" w:hAnsi="宋体" w:cs="宋体"/>
          <w:b/>
          <w:bCs/>
          <w:szCs w:val="21"/>
        </w:rPr>
      </w:r>
      <w:r/>
    </w:p>
    <w:p>
      <w:pPr>
        <w:pStyle w:val="134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15.1 投标人上传电子投标文件的时间不得迟于招标公告中规定的投标截止时间。</w:t>
      </w:r>
      <w:r>
        <w:rPr>
          <w:rFonts w:hint="eastAsia" w:ascii="宋体" w:hAnsi="宋体" w:cs="宋体"/>
          <w:szCs w:val="21"/>
        </w:rPr>
      </w:r>
      <w:r/>
    </w:p>
    <w:p>
      <w:pPr>
        <w:pStyle w:val="134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投标人应充分考虑到网络环境、网络带宽等风险因素，如因投标人自身原因造成的电子投标文件上传不成功的做无效投标处理。</w:t>
      </w:r>
      <w:r>
        <w:rPr>
          <w:rFonts w:hint="eastAsia" w:ascii="宋体" w:hAnsi="宋体" w:cs="宋体"/>
          <w:szCs w:val="21"/>
        </w:rPr>
      </w:r>
      <w:r/>
    </w:p>
    <w:p>
      <w:pPr>
        <w:pStyle w:val="134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15.2 采购人可以按照规定，通过修改招标文件酌情延长投标截止时间，在此情况下，投标人的所有权利和义务以及投标人受制的截止时间均应以延长后新的截止时间为准。</w:t>
      </w:r>
      <w:r>
        <w:rPr>
          <w:rFonts w:hint="eastAsia" w:ascii="宋体" w:hAnsi="宋体" w:cs="宋体"/>
          <w:szCs w:val="21"/>
        </w:rPr>
      </w:r>
      <w:r/>
    </w:p>
    <w:p>
      <w:pPr>
        <w:pStyle w:val="1344"/>
        <w:ind w:firstLine="422"/>
        <w:spacing w:line="360" w:lineRule="auto"/>
        <w:tabs>
          <w:tab w:val="left" w:pos="480" w:leader="none"/>
        </w:tabs>
        <w:rPr>
          <w:rFonts w:hint="eastAsia" w:ascii="宋体" w:hAnsi="宋体" w:cs="宋体"/>
          <w:b/>
          <w:bCs/>
          <w:color w:val="000000"/>
          <w:szCs w:val="21"/>
        </w:rPr>
        <w:outlineLvl w:val="2"/>
      </w:pPr>
      <w:r/>
      <w:bookmarkStart w:id="130" w:name="_Toc513029227"/>
      <w:r/>
      <w:bookmarkStart w:id="131" w:name="_Toc11994"/>
      <w:r/>
      <w:bookmarkStart w:id="132" w:name="_Toc16938543"/>
      <w:r/>
      <w:bookmarkStart w:id="133" w:name="_Toc20823299"/>
      <w:r>
        <w:rPr>
          <w:rFonts w:hint="eastAsia" w:ascii="宋体" w:hAnsi="宋体" w:cs="宋体"/>
          <w:b/>
          <w:bCs/>
          <w:color w:val="000000"/>
          <w:szCs w:val="21"/>
        </w:rPr>
        <w:t xml:space="preserve">16.投标文件</w:t>
      </w:r>
      <w:bookmarkEnd w:id="130"/>
      <w:r/>
      <w:bookmarkEnd w:id="132"/>
      <w:r/>
      <w:bookmarkEnd w:id="133"/>
      <w:r>
        <w:rPr>
          <w:rFonts w:hint="eastAsia" w:ascii="宋体" w:hAnsi="宋体" w:cs="宋体"/>
          <w:b/>
          <w:bCs/>
          <w:color w:val="000000"/>
          <w:szCs w:val="21"/>
        </w:rPr>
        <w:t xml:space="preserve">的拒收</w:t>
      </w:r>
      <w:bookmarkEnd w:id="131"/>
      <w:r>
        <w:rPr>
          <w:rFonts w:hint="eastAsia" w:ascii="宋体" w:hAnsi="宋体" w:cs="宋体"/>
          <w:b/>
          <w:bCs/>
          <w:color w:val="000000"/>
          <w:szCs w:val="21"/>
        </w:rPr>
      </w:r>
      <w:r/>
    </w:p>
    <w:p>
      <w:pPr>
        <w:pStyle w:val="134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16.1采购人拒绝接收在其规定的投标截止时间后上传的任何投标文件。</w:t>
      </w:r>
      <w:r>
        <w:rPr>
          <w:rFonts w:hint="eastAsia" w:ascii="宋体" w:hAnsi="宋体" w:cs="宋体"/>
          <w:szCs w:val="21"/>
        </w:rPr>
      </w:r>
      <w:r/>
    </w:p>
    <w:p>
      <w:pPr>
        <w:pStyle w:val="1344"/>
        <w:ind w:firstLine="422"/>
        <w:spacing w:line="360" w:lineRule="auto"/>
        <w:tabs>
          <w:tab w:val="left" w:pos="480" w:leader="none"/>
        </w:tabs>
        <w:rPr>
          <w:rFonts w:hint="eastAsia" w:ascii="宋体" w:hAnsi="宋体" w:cs="宋体"/>
          <w:szCs w:val="21"/>
        </w:rPr>
        <w:outlineLvl w:val="2"/>
      </w:pPr>
      <w:r/>
      <w:bookmarkStart w:id="134" w:name="_Toc16938544"/>
      <w:r/>
      <w:bookmarkStart w:id="135" w:name="_Toc513029228"/>
      <w:r/>
      <w:bookmarkStart w:id="136" w:name="_Toc20823300"/>
      <w:r/>
      <w:bookmarkStart w:id="137" w:name="_Toc5513"/>
      <w:r>
        <w:rPr>
          <w:rFonts w:hint="eastAsia" w:ascii="宋体" w:hAnsi="宋体" w:cs="宋体"/>
          <w:b/>
          <w:bCs/>
          <w:szCs w:val="21"/>
        </w:rPr>
        <w:t xml:space="preserve">17</w:t>
      </w:r>
      <w:bookmarkEnd w:id="134"/>
      <w:r/>
      <w:bookmarkEnd w:id="135"/>
      <w:r/>
      <w:bookmarkEnd w:id="136"/>
      <w:r>
        <w:rPr>
          <w:rFonts w:hint="eastAsia" w:ascii="宋体" w:hAnsi="宋体" w:cs="宋体"/>
          <w:b/>
          <w:bCs/>
          <w:szCs w:val="21"/>
        </w:rPr>
        <w:t xml:space="preserve">.</w:t>
      </w:r>
      <w:r>
        <w:rPr>
          <w:rFonts w:hint="eastAsia" w:ascii="宋体" w:hAnsi="宋体" w:cs="宋体"/>
          <w:b/>
          <w:bCs/>
          <w:color w:val="000000"/>
          <w:szCs w:val="21"/>
        </w:rPr>
        <w:t xml:space="preserve">投标文件的修改或撤回</w:t>
      </w:r>
      <w:bookmarkEnd w:id="137"/>
      <w:r>
        <w:rPr>
          <w:rFonts w:hint="eastAsia" w:ascii="宋体" w:hAnsi="宋体" w:cs="宋体"/>
          <w:szCs w:val="21"/>
        </w:rPr>
      </w:r>
      <w:r/>
    </w:p>
    <w:p>
      <w:pPr>
        <w:pStyle w:val="134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hint="eastAsia" w:ascii="宋体" w:hAnsi="宋体" w:cs="宋体"/>
          <w:szCs w:val="21"/>
        </w:rPr>
      </w:r>
      <w:r/>
    </w:p>
    <w:p>
      <w:pPr>
        <w:pStyle w:val="134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 投标文件的撤回</w:t>
      </w:r>
      <w:r>
        <w:rPr>
          <w:rFonts w:hint="eastAsia" w:ascii="宋体" w:hAnsi="宋体" w:cs="宋体"/>
          <w:szCs w:val="21"/>
        </w:rPr>
      </w:r>
      <w:r/>
    </w:p>
    <w:p>
      <w:pPr>
        <w:pStyle w:val="134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17.1.1 电子投标文件的撤回</w:t>
      </w:r>
      <w:r>
        <w:rPr>
          <w:rFonts w:hint="eastAsia" w:ascii="宋体" w:hAnsi="宋体" w:cs="宋体"/>
          <w:szCs w:val="21"/>
        </w:rPr>
      </w:r>
      <w:r/>
    </w:p>
    <w:p>
      <w:pPr>
        <w:pStyle w:val="134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投标人可在投标截止时间前，撤回其电子投标文件，具体操作方法见《操作手册》。</w:t>
      </w:r>
      <w:r>
        <w:rPr>
          <w:rFonts w:hint="eastAsia" w:ascii="宋体" w:hAnsi="宋体" w:cs="宋体"/>
          <w:szCs w:val="21"/>
        </w:rPr>
      </w:r>
      <w:r/>
    </w:p>
    <w:p>
      <w:pPr>
        <w:pStyle w:val="134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17.1.2 投标人撤回电子投标文件，则认为其不再参与本项目投标活动。</w:t>
      </w:r>
      <w:r>
        <w:rPr>
          <w:rFonts w:hint="eastAsia" w:ascii="宋体" w:hAnsi="宋体" w:cs="宋体"/>
          <w:szCs w:val="21"/>
        </w:rPr>
      </w:r>
      <w:r/>
    </w:p>
    <w:p>
      <w:pPr>
        <w:pStyle w:val="134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 投标文件的修改</w:t>
      </w:r>
      <w:r>
        <w:rPr>
          <w:rFonts w:hint="eastAsia" w:ascii="宋体" w:hAnsi="宋体" w:cs="宋体"/>
          <w:szCs w:val="21"/>
        </w:rPr>
      </w:r>
      <w:r/>
    </w:p>
    <w:p>
      <w:pPr>
        <w:pStyle w:val="134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17.2.1投标人可在投标截止时间前，对其电子投标文件进行修改，具体操作方法见《操作手册》。</w:t>
      </w:r>
      <w:r>
        <w:rPr>
          <w:rFonts w:hint="eastAsia" w:ascii="宋体" w:hAnsi="宋体" w:cs="宋体"/>
          <w:szCs w:val="21"/>
        </w:rPr>
      </w:r>
      <w:r/>
    </w:p>
    <w:p>
      <w:pPr>
        <w:pStyle w:val="134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17.2.2 在投标截止时间之后，投标人不得对其电子投标文件作任何修改。</w:t>
      </w:r>
      <w:r>
        <w:rPr>
          <w:rFonts w:hint="eastAsia" w:ascii="宋体" w:hAnsi="宋体" w:cs="宋体"/>
          <w:szCs w:val="21"/>
        </w:rPr>
      </w:r>
      <w:r/>
    </w:p>
    <w:p>
      <w:pPr>
        <w:pStyle w:val="134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17.3 在投标截止时间至招标文件中规定的投标有效期满之间的这段时间内，投标人不得撤回其投标。</w:t>
      </w:r>
      <w:r>
        <w:rPr>
          <w:rFonts w:hint="eastAsia" w:ascii="宋体" w:hAnsi="宋体" w:cs="宋体"/>
          <w:szCs w:val="21"/>
        </w:rPr>
      </w:r>
      <w:r/>
    </w:p>
    <w:p>
      <w:pPr>
        <w:pStyle w:val="1344"/>
        <w:ind w:firstLine="420"/>
        <w:spacing w:line="360" w:lineRule="auto"/>
        <w:shd w:val="clear" w:color="auto" w:fill="ffffff"/>
        <w:widowControl/>
        <w:rPr>
          <w:rFonts w:hint="eastAsia" w:ascii="宋体" w:hAnsi="宋体" w:cs="宋体"/>
          <w:b/>
          <w:bCs/>
          <w:color w:val="000000"/>
          <w:szCs w:val="21"/>
        </w:rPr>
        <w:outlineLvl w:val="1"/>
      </w:pPr>
      <w:r/>
      <w:bookmarkEnd w:id="121"/>
      <w:r/>
      <w:bookmarkEnd w:id="122"/>
      <w:r/>
      <w:bookmarkStart w:id="138" w:name="_Toc120614218"/>
      <w:r/>
      <w:bookmarkStart w:id="139" w:name="_Toc20823301"/>
      <w:r/>
      <w:bookmarkStart w:id="140" w:name="_Toc16938545"/>
      <w:r/>
      <w:bookmarkStart w:id="141" w:name="_Toc22468"/>
      <w:r/>
      <w:bookmarkStart w:id="142" w:name="_Toc513029229"/>
      <w:r/>
      <w:bookmarkStart w:id="143" w:name="_Toc7027"/>
      <w:r/>
      <w:bookmarkStart w:id="144" w:name="_Toc24233"/>
      <w:r>
        <w:rPr>
          <w:rFonts w:hint="eastAsia" w:ascii="宋体" w:hAnsi="宋体" w:cs="宋体"/>
          <w:b/>
          <w:bCs/>
          <w:color w:val="000000"/>
          <w:szCs w:val="21"/>
        </w:rPr>
        <w:t xml:space="preserve">五、开标与评标</w:t>
      </w:r>
      <w:bookmarkEnd w:id="138"/>
      <w:r/>
      <w:bookmarkEnd w:id="139"/>
      <w:r/>
      <w:bookmarkEnd w:id="140"/>
      <w:r/>
      <w:bookmarkEnd w:id="141"/>
      <w:r/>
      <w:bookmarkEnd w:id="142"/>
      <w:r/>
      <w:bookmarkEnd w:id="143"/>
      <w:r/>
      <w:bookmarkEnd w:id="144"/>
      <w:r>
        <w:rPr>
          <w:rFonts w:hint="eastAsia" w:ascii="宋体" w:hAnsi="宋体" w:cs="宋体"/>
          <w:b/>
          <w:bCs/>
          <w:color w:val="000000"/>
          <w:szCs w:val="21"/>
        </w:rPr>
      </w:r>
      <w:r/>
    </w:p>
    <w:p>
      <w:pPr>
        <w:pStyle w:val="1347"/>
        <w:ind w:left="0" w:firstLine="422"/>
        <w:jc w:val="both"/>
        <w:spacing w:line="360" w:lineRule="auto"/>
        <w:tabs>
          <w:tab w:val="left" w:pos="480" w:leader="none"/>
        </w:tabs>
        <w:rPr>
          <w:rFonts w:hint="eastAsia" w:ascii="宋体" w:hAnsi="宋体" w:eastAsia="宋体" w:cs="宋体"/>
          <w:b/>
          <w:bCs/>
          <w:color w:val="000000"/>
          <w:sz w:val="21"/>
          <w:szCs w:val="21"/>
        </w:rPr>
      </w:pPr>
      <w:r/>
      <w:bookmarkStart w:id="145" w:name="_Toc6637"/>
      <w:r/>
      <w:bookmarkStart w:id="146" w:name="_Toc15345"/>
      <w:r/>
      <w:bookmarkStart w:id="147" w:name="_Toc201"/>
      <w:r/>
      <w:bookmarkStart w:id="148" w:name="_Toc13829"/>
      <w:r/>
      <w:bookmarkStart w:id="149" w:name="_Toc3679"/>
      <w:r/>
      <w:bookmarkStart w:id="150" w:name="OLE_LINK3"/>
      <w:r/>
      <w:bookmarkStart w:id="151" w:name="OLE_LINK7"/>
      <w:r/>
      <w:bookmarkStart w:id="152" w:name="_Toc6944"/>
      <w:r>
        <w:rPr>
          <w:rFonts w:hint="eastAsia" w:ascii="宋体" w:hAnsi="宋体" w:eastAsia="宋体" w:cs="宋体"/>
          <w:b/>
          <w:bCs/>
          <w:color w:val="000000"/>
          <w:sz w:val="21"/>
          <w:szCs w:val="21"/>
        </w:rPr>
        <w:t xml:space="preserve">18.开标</w:t>
      </w:r>
      <w:bookmarkEnd w:id="145"/>
      <w:r/>
      <w:bookmarkEnd w:id="146"/>
      <w:r/>
      <w:bookmarkEnd w:id="147"/>
      <w:r/>
      <w:bookmarkEnd w:id="148"/>
      <w:r/>
      <w:bookmarkEnd w:id="149"/>
      <w:r>
        <w:rPr>
          <w:rFonts w:hint="eastAsia" w:ascii="宋体" w:hAnsi="宋体" w:eastAsia="宋体" w:cs="宋体"/>
          <w:b/>
          <w:bCs/>
          <w:color w:val="000000"/>
          <w:sz w:val="21"/>
          <w:szCs w:val="21"/>
        </w:rPr>
      </w:r>
      <w:r/>
    </w:p>
    <w:p>
      <w:pPr>
        <w:pStyle w:val="1344"/>
        <w:ind w:firstLine="420"/>
        <w:spacing w:line="360" w:lineRule="auto"/>
        <w:rPr>
          <w:rFonts w:hint="eastAsia" w:ascii="宋体" w:hAnsi="宋体" w:cs="宋体"/>
          <w:bCs/>
          <w:szCs w:val="21"/>
        </w:rPr>
      </w:pPr>
      <w:r/>
      <w:bookmarkEnd w:id="150"/>
      <w:r/>
      <w:bookmarkEnd w:id="151"/>
      <w:r>
        <w:rPr>
          <w:rFonts w:hint="eastAsia" w:ascii="宋体" w:hAnsi="宋体" w:cs="宋体"/>
          <w:bCs/>
          <w:szCs w:val="21"/>
        </w:rPr>
        <w:t xml:space="preserve">18.1采购人将在招标公告中规定的时间和地点组织公开开标。投标人应当按照《操作手册》规定，参加开标活动和在苏采云系统规定的时间内对投标文件进行解密。</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18.2开标仪式由采购人组织。苏采云系统将自动对项目进行开标，并宣布各投标人名称和投标价格。</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18.3投标人在开标过程中涉及到的投标文件解密、开标结果确认等工作，应按照《操作手册》规定执行。</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18.4投标人如果对开标过程和开标记录有疑义，应当根据《操作手册》规定提出，如 苏采云系统中《开标记录表》宣布后5分钟内未提出的，视同认可开标结果。</w:t>
      </w:r>
      <w:r>
        <w:rPr>
          <w:rFonts w:hint="eastAsia" w:ascii="宋体" w:hAnsi="宋体" w:cs="宋体"/>
          <w:bCs/>
          <w:szCs w:val="21"/>
        </w:rPr>
      </w:r>
      <w:r/>
    </w:p>
    <w:p>
      <w:pPr>
        <w:pStyle w:val="1347"/>
        <w:ind w:left="0" w:firstLine="422"/>
        <w:jc w:val="both"/>
        <w:spacing w:line="360" w:lineRule="auto"/>
        <w:tabs>
          <w:tab w:val="left" w:pos="480" w:leader="none"/>
        </w:tabs>
        <w:rPr>
          <w:rFonts w:hint="eastAsia" w:ascii="宋体" w:hAnsi="宋体" w:eastAsia="宋体" w:cs="宋体"/>
          <w:b/>
          <w:bCs/>
          <w:color w:val="000000"/>
          <w:sz w:val="21"/>
          <w:szCs w:val="21"/>
        </w:rPr>
      </w:pPr>
      <w:r/>
      <w:bookmarkEnd w:id="152"/>
      <w:r/>
      <w:bookmarkStart w:id="153" w:name="_Toc13778"/>
      <w:r/>
      <w:bookmarkStart w:id="154" w:name="_Toc18343"/>
      <w:r/>
      <w:bookmarkStart w:id="155" w:name="_Toc20823303"/>
      <w:r/>
      <w:bookmarkStart w:id="156" w:name="_Toc16938547"/>
      <w:r/>
      <w:bookmarkStart w:id="157" w:name="_Toc29284"/>
      <w:r/>
      <w:bookmarkStart w:id="158" w:name="_Toc513029231"/>
      <w:r>
        <w:rPr>
          <w:rFonts w:hint="eastAsia" w:ascii="宋体" w:hAnsi="宋体" w:eastAsia="宋体" w:cs="宋体"/>
          <w:b/>
          <w:bCs/>
          <w:color w:val="000000"/>
          <w:sz w:val="21"/>
          <w:szCs w:val="21"/>
        </w:rPr>
        <w:t xml:space="preserve">19.评标组织</w:t>
      </w:r>
      <w:bookmarkEnd w:id="153"/>
      <w:r/>
      <w:bookmarkEnd w:id="154"/>
      <w:r>
        <w:rPr>
          <w:rFonts w:hint="eastAsia" w:ascii="宋体" w:hAnsi="宋体" w:eastAsia="宋体" w:cs="宋体"/>
          <w:b/>
          <w:bCs/>
          <w:color w:val="000000"/>
          <w:sz w:val="21"/>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19.1评标工作由采购代理机构负责组织，具体评标事务由依法组建的评标委员会负责，并独立履行下列职责：</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（1）审查、评价投标文件是否符合招标文件的商务、技术等实质性要求；</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（2）要求供应商对投标文件有关事项作出澄清或者说明；</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（3）对投标文件进行比较和评价；</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（4）确定中标候选人名单，以及根据采购人委托直接确定中标供应商；</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（5）向采购人、采购代理机构或者有关部门报告评标中发现的违法行为。</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19.2评标委员会由采购人代表和有关技术、经济等方面的专家组成，独立开展评审工作且评标委员会人员构成符合有关规定。</w:t>
      </w:r>
      <w:r>
        <w:rPr>
          <w:rFonts w:hint="eastAsia" w:ascii="宋体" w:hAnsi="宋体" w:cs="宋体"/>
          <w:bCs/>
          <w:szCs w:val="21"/>
        </w:rPr>
      </w:r>
      <w:r/>
    </w:p>
    <w:p>
      <w:pPr>
        <w:pStyle w:val="1347"/>
        <w:ind w:left="0" w:firstLine="422"/>
        <w:jc w:val="both"/>
        <w:spacing w:line="360" w:lineRule="auto"/>
        <w:tabs>
          <w:tab w:val="left" w:pos="480" w:leader="none"/>
        </w:tabs>
        <w:rPr>
          <w:rFonts w:hint="eastAsia" w:ascii="宋体" w:hAnsi="宋体" w:eastAsia="宋体" w:cs="宋体"/>
          <w:b/>
          <w:bCs/>
          <w:color w:val="000000"/>
          <w:sz w:val="21"/>
          <w:szCs w:val="21"/>
        </w:rPr>
      </w:pPr>
      <w:r/>
      <w:bookmarkEnd w:id="155"/>
      <w:r/>
      <w:bookmarkEnd w:id="156"/>
      <w:r/>
      <w:bookmarkEnd w:id="157"/>
      <w:r/>
      <w:bookmarkEnd w:id="158"/>
      <w:r/>
      <w:bookmarkStart w:id="159" w:name="_Toc21772"/>
      <w:r/>
      <w:bookmarkStart w:id="160" w:name="_Toc862"/>
      <w:r/>
      <w:bookmarkStart w:id="161" w:name="_Toc1073"/>
      <w:r/>
      <w:bookmarkStart w:id="162" w:name="_Toc26401"/>
      <w:r/>
      <w:bookmarkStart w:id="163" w:name="_Toc16496"/>
      <w:r>
        <w:rPr>
          <w:rFonts w:hint="eastAsia" w:ascii="宋体" w:hAnsi="宋体" w:eastAsia="宋体" w:cs="宋体"/>
          <w:b/>
          <w:bCs/>
          <w:color w:val="000000"/>
          <w:sz w:val="21"/>
          <w:szCs w:val="21"/>
        </w:rPr>
        <w:t xml:space="preserve">20.</w:t>
      </w:r>
      <w:bookmarkEnd w:id="159"/>
      <w:r/>
      <w:bookmarkEnd w:id="160"/>
      <w:r>
        <w:rPr>
          <w:rFonts w:hint="eastAsia" w:ascii="宋体" w:hAnsi="宋体" w:eastAsia="宋体" w:cs="宋体"/>
          <w:b/>
          <w:bCs/>
          <w:color w:val="000000"/>
          <w:sz w:val="21"/>
          <w:szCs w:val="21"/>
        </w:rPr>
        <w:t xml:space="preserve">对投标文件的资格性审查和符合性审查</w:t>
      </w:r>
      <w:bookmarkEnd w:id="161"/>
      <w:r/>
      <w:bookmarkEnd w:id="162"/>
      <w:r>
        <w:rPr>
          <w:rFonts w:hint="eastAsia" w:ascii="宋体" w:hAnsi="宋体" w:eastAsia="宋体" w:cs="宋体"/>
          <w:b/>
          <w:bCs/>
          <w:color w:val="000000"/>
          <w:sz w:val="21"/>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20.1投标文件初审分为资格性审查和符合性审查。</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资格性审查：采购人或者采购代理机构依据法律法规和招标文件的规定，对投标文件中</w:t>
      </w:r>
      <w:r>
        <w:rPr>
          <w:rFonts w:hint="eastAsia" w:ascii="宋体" w:hAnsi="宋体" w:cs="宋体"/>
          <w:b/>
          <w:szCs w:val="21"/>
        </w:rPr>
        <w:t xml:space="preserve">资格证明文件、投标保证金（如有）</w:t>
      </w:r>
      <w:r>
        <w:rPr>
          <w:rFonts w:hint="eastAsia" w:ascii="宋体" w:hAnsi="宋体" w:cs="宋体"/>
          <w:bCs/>
          <w:szCs w:val="21"/>
        </w:rPr>
        <w:t xml:space="preserve">进行审查，以确定供应商是否具备投标资格。</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20.3未实质性响应招标文件要求的将视为无效投标，</w:t>
      </w:r>
      <w:r>
        <w:rPr>
          <w:rFonts w:hint="eastAsia" w:ascii="宋体" w:hAnsi="宋体" w:cs="宋体"/>
          <w:b/>
          <w:szCs w:val="21"/>
        </w:rPr>
        <w:t xml:space="preserve">供应商不得通过修正或撤销不符合要求的偏离从而使其投标成为实质性响应</w:t>
      </w:r>
      <w:r>
        <w:rPr>
          <w:rFonts w:hint="eastAsia" w:ascii="宋体" w:hAnsi="宋体" w:cs="宋体"/>
          <w:bCs/>
          <w:szCs w:val="21"/>
        </w:rPr>
        <w:t xml:space="preserve">。如发现下列情况之一的，将视为无效投标：</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（1）未按照招标文件规定要求密封、签署、盖章的；</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（2）投标有效期不足的；</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（3）不同供应商的投标文件由同一单位或者个人编制；</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（4）不同供应商委托同一单位或者个人办理投标事宜；</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（5）不同供应商的投标文件载明的项目管理成员或者联系人员为同一人；</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（6）不同供应商的投标文件异常一致或者投标报价呈规律性差异；</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（7）不同供应商的投标文件相互混装；</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（8）不同供应商的投标保证金从同一单位或者个人的账户转出；</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（9）报价超过招标文件中规定的项目预算或者最高限价的；</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（10）投标文件含有采购人不能接受的附加条件的；</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（11）不同供应商的负责人为同一人或者存在控股、管理关系的；</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（12）法律、法规和招标文件规定的其他无效情形。</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20</w:t>
      </w:r>
      <w:r>
        <w:rPr>
          <w:rFonts w:hint="eastAsia" w:ascii="宋体" w:hAnsi="宋体" w:cs="宋体"/>
          <w:bCs/>
          <w:color w:val="0000ff"/>
          <w:szCs w:val="21"/>
        </w:rPr>
        <w:t xml:space="preserve">.</w:t>
      </w:r>
      <w:r>
        <w:rPr>
          <w:rFonts w:hint="eastAsia" w:ascii="宋体" w:hAnsi="宋体" w:cs="宋体"/>
          <w:bCs/>
          <w:color w:val="000000"/>
          <w:szCs w:val="21"/>
        </w:rPr>
        <w:t xml:space="preserve">4</w:t>
      </w:r>
      <w:r>
        <w:rPr>
          <w:rFonts w:hint="eastAsia" w:ascii="宋体" w:hAnsi="宋体" w:cs="宋体"/>
          <w:bCs/>
          <w:szCs w:val="21"/>
        </w:rPr>
        <w:t xml:space="preserve">评标委员会在初审中，对明显的文字和算术错误的修正原则如下：</w:t>
      </w:r>
      <w:r>
        <w:rPr>
          <w:rFonts w:hint="eastAsia" w:ascii="宋体" w:hAnsi="宋体" w:cs="宋体"/>
          <w:bCs/>
          <w:szCs w:val="21"/>
        </w:rPr>
      </w:r>
      <w:r/>
    </w:p>
    <w:p>
      <w:pPr>
        <w:pStyle w:val="1344"/>
        <w:ind w:firstLine="422"/>
        <w:spacing w:line="360" w:lineRule="auto"/>
        <w:rPr>
          <w:rFonts w:hint="eastAsia" w:ascii="宋体" w:hAnsi="宋体" w:cs="宋体"/>
          <w:bCs/>
          <w:szCs w:val="21"/>
        </w:rPr>
      </w:pPr>
      <w:r>
        <w:rPr>
          <w:rFonts w:hint="eastAsia" w:ascii="宋体" w:hAnsi="宋体" w:cs="宋体"/>
          <w:b/>
          <w:szCs w:val="21"/>
        </w:rPr>
        <w:t xml:space="preserve">（1）《开标一览表》（报价表）内容与投标文件中相应内容不一致的，以《开标一览表》（报价表）为准</w:t>
      </w:r>
      <w:r>
        <w:rPr>
          <w:rFonts w:hint="eastAsia" w:ascii="宋体" w:hAnsi="宋体" w:cs="宋体"/>
          <w:bCs/>
          <w:szCs w:val="21"/>
        </w:rPr>
        <w:t xml:space="preserve">；</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（2）投标文件的大写金额与小写金额不一致的，以大写金额为准；</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（3）总价金额与单价金额不一致的，以单价金额计算结果为准；</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（4）单价金额小数点有明显错位的，以总价金额为准，并修改单价金额；</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（5）对不同文字文本投标文件的解释发生异议的，以中文文本为准；如果正本投标文件和副本投标文件之间有差异，则以正本投标文件为准。</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同时出现两种以上不一致的，按照前款规定的顺序修正。修正后的报价由法定代表人或其授权的代表签字确认后产生约束力，供应商不确认的，投标无效。</w:t>
      </w:r>
      <w:r>
        <w:rPr>
          <w:rFonts w:hint="eastAsia" w:ascii="宋体" w:hAnsi="宋体" w:cs="宋体"/>
          <w:bCs/>
          <w:szCs w:val="21"/>
        </w:rPr>
      </w:r>
      <w:r/>
    </w:p>
    <w:p>
      <w:pPr>
        <w:pStyle w:val="1344"/>
        <w:ind w:firstLine="422"/>
        <w:spacing w:line="360" w:lineRule="auto"/>
        <w:rPr>
          <w:rFonts w:hint="eastAsia" w:ascii="宋体" w:hAnsi="宋体" w:cs="宋体"/>
          <w:b/>
          <w:szCs w:val="21"/>
        </w:rPr>
      </w:pPr>
      <w:r/>
      <w:bookmarkEnd w:id="163"/>
      <w:r/>
      <w:bookmarkStart w:id="164" w:name="_Toc25188"/>
      <w:r/>
      <w:bookmarkStart w:id="165" w:name="_Toc13685"/>
      <w:r>
        <w:rPr>
          <w:rFonts w:hint="eastAsia" w:ascii="宋体" w:hAnsi="宋体" w:cs="宋体"/>
          <w:b/>
          <w:szCs w:val="21"/>
        </w:rPr>
        <w:t xml:space="preserve">20.5招标文件中标注“★”的内容为实质性要求，有一项不符合的，作无效投标处理；标注“▲”的为重要参数；标注“★”及“▲”的内容，供应商必须在投标文件内提供相关支撑证明资料（具体以第三章评标标准要求为准）。</w:t>
      </w:r>
      <w:r>
        <w:rPr>
          <w:rFonts w:hint="eastAsia" w:ascii="宋体" w:hAnsi="宋体" w:cs="宋体"/>
          <w:b/>
          <w:szCs w:val="21"/>
        </w:rPr>
      </w:r>
      <w:r/>
    </w:p>
    <w:p>
      <w:pPr>
        <w:pStyle w:val="1344"/>
        <w:ind w:firstLine="422"/>
        <w:spacing w:line="360" w:lineRule="auto"/>
        <w:rPr>
          <w:rFonts w:hint="eastAsia" w:ascii="宋体" w:hAnsi="宋体" w:cs="宋体"/>
          <w:b/>
          <w:szCs w:val="21"/>
        </w:rPr>
      </w:pPr>
      <w:r>
        <w:rPr>
          <w:rFonts w:hint="eastAsia" w:ascii="宋体" w:hAnsi="宋体" w:cs="宋体"/>
          <w:b/>
          <w:szCs w:val="21"/>
        </w:rPr>
        <w:t xml:space="preserve">20.6供应商递交的投标文件，所有内容均应真实有效；供应商所提供的产品或服务，必须满足国家相关强制性规定要求(如 CCC 认证、电器电子产品有害物质限制使用标识等)并提供相应证书，由于供应商违反国家相关强制性规定给采购人造成损失，一切责任和后果均由供应商承担。</w:t>
      </w:r>
      <w:r>
        <w:rPr>
          <w:rFonts w:hint="eastAsia" w:ascii="宋体" w:hAnsi="宋体" w:cs="宋体"/>
          <w:b/>
          <w:szCs w:val="21"/>
        </w:rPr>
      </w:r>
      <w:r/>
    </w:p>
    <w:p>
      <w:pPr>
        <w:pStyle w:val="1344"/>
        <w:ind w:firstLine="422"/>
        <w:spacing w:line="360" w:lineRule="auto"/>
        <w:rPr>
          <w:rFonts w:hint="eastAsia" w:ascii="宋体" w:hAnsi="宋体" w:cs="宋体"/>
          <w:b/>
          <w:szCs w:val="21"/>
        </w:rPr>
      </w:pPr>
      <w:r>
        <w:rPr>
          <w:rFonts w:hint="eastAsia" w:ascii="宋体" w:hAnsi="宋体" w:cs="宋体"/>
          <w:b/>
          <w:szCs w:val="21"/>
        </w:rPr>
        <w:t xml:space="preserve">20.7异常低价投标（响应）审查：</w:t>
      </w:r>
      <w:r>
        <w:rPr>
          <w:rFonts w:hint="eastAsia" w:ascii="宋体" w:hAnsi="宋体" w:cs="宋体"/>
          <w:b/>
          <w:szCs w:val="21"/>
        </w:rPr>
      </w:r>
      <w:r/>
    </w:p>
    <w:p>
      <w:pPr>
        <w:pStyle w:val="1344"/>
        <w:ind w:firstLine="420"/>
        <w:spacing w:line="360" w:lineRule="auto"/>
        <w:rPr>
          <w:rFonts w:hint="eastAsia" w:ascii="宋体" w:hAnsi="宋体" w:cs="宋体"/>
          <w:szCs w:val="21"/>
        </w:rPr>
      </w:pPr>
      <w:r>
        <w:rPr>
          <w:rFonts w:hint="eastAsia" w:ascii="宋体" w:hAnsi="宋体" w:cs="宋体"/>
          <w:szCs w:val="21"/>
        </w:rPr>
        <w:t xml:space="preserve">（1）评审过程中出现下列情形之一的，评审委员会应当启动异常低价投标（响应）审查程序：</w:t>
      </w:r>
      <w:r>
        <w:rPr>
          <w:rFonts w:hint="eastAsia" w:ascii="宋体" w:hAnsi="宋体" w:cs="宋体"/>
          <w:szCs w:val="21"/>
        </w:rPr>
      </w:r>
      <w:r/>
    </w:p>
    <w:p>
      <w:pPr>
        <w:pStyle w:val="1344"/>
        <w:ind w:firstLine="420"/>
        <w:spacing w:line="360" w:lineRule="auto"/>
        <w:rPr>
          <w:rFonts w:hint="eastAsia" w:ascii="宋体" w:hAnsi="宋体" w:cs="宋体"/>
          <w:szCs w:val="21"/>
        </w:rPr>
      </w:pPr>
      <w:r>
        <w:rPr>
          <w:rFonts w:hint="eastAsia" w:ascii="宋体" w:hAnsi="宋体" w:cs="宋体"/>
          <w:szCs w:val="21"/>
        </w:rPr>
        <w:t xml:space="preserve">1.投标（响应）报价低于全部通过符合性审查供应商投标（响应）报价平均值50%的，即投标（响应）报价&lt;全部通过符合性审查供应商投标（响应）报价平均值×50%；</w:t>
      </w:r>
      <w:r>
        <w:rPr>
          <w:rFonts w:hint="eastAsia" w:ascii="宋体" w:hAnsi="宋体" w:cs="宋体"/>
          <w:szCs w:val="21"/>
        </w:rPr>
      </w:r>
      <w:r/>
    </w:p>
    <w:p>
      <w:pPr>
        <w:pStyle w:val="1344"/>
        <w:ind w:firstLine="420"/>
        <w:spacing w:line="360" w:lineRule="auto"/>
        <w:rPr>
          <w:rFonts w:hint="eastAsia" w:ascii="宋体" w:hAnsi="宋体" w:cs="宋体"/>
          <w:szCs w:val="21"/>
        </w:rPr>
      </w:pPr>
      <w:r>
        <w:rPr>
          <w:rFonts w:hint="eastAsia" w:ascii="宋体" w:hAnsi="宋体" w:cs="宋体"/>
          <w:szCs w:val="21"/>
        </w:rPr>
        <w:t xml:space="preserve">2.投标（响应）报价低于通过符合性审查的次低报价供应商投标（响应）报价50%的，即投标（响应）报价&lt;通过符合性审查的次低报价供应商投标（响应）报价×50%；</w:t>
      </w:r>
      <w:r>
        <w:rPr>
          <w:rFonts w:hint="eastAsia" w:ascii="宋体" w:hAnsi="宋体" w:cs="宋体"/>
          <w:szCs w:val="21"/>
        </w:rPr>
      </w:r>
      <w:r/>
    </w:p>
    <w:p>
      <w:pPr>
        <w:pStyle w:val="1344"/>
        <w:ind w:firstLine="420"/>
        <w:spacing w:line="360" w:lineRule="auto"/>
        <w:rPr>
          <w:rFonts w:hint="eastAsia" w:ascii="宋体" w:hAnsi="宋体" w:cs="宋体"/>
          <w:szCs w:val="21"/>
        </w:rPr>
      </w:pPr>
      <w:r>
        <w:rPr>
          <w:rFonts w:hint="eastAsia" w:ascii="宋体" w:hAnsi="宋体" w:cs="宋体"/>
          <w:szCs w:val="21"/>
        </w:rPr>
        <w:t xml:space="preserve">3.投标（响应）报价低于采购项目最高限价45%的，即投标（响应）报价&lt;采购项目最高限价×45%；</w:t>
      </w:r>
      <w:r>
        <w:rPr>
          <w:rFonts w:hint="eastAsia" w:ascii="宋体" w:hAnsi="宋体" w:cs="宋体"/>
          <w:szCs w:val="21"/>
        </w:rPr>
      </w:r>
      <w:r/>
    </w:p>
    <w:p>
      <w:pPr>
        <w:pStyle w:val="1344"/>
        <w:ind w:firstLine="420"/>
        <w:spacing w:line="360" w:lineRule="auto"/>
        <w:rPr>
          <w:rFonts w:hint="eastAsia" w:ascii="宋体" w:hAnsi="宋体" w:cs="宋体"/>
          <w:color w:val="000000"/>
          <w:szCs w:val="21"/>
        </w:rPr>
      </w:pPr>
      <w:r>
        <w:rPr>
          <w:rFonts w:hint="eastAsia" w:ascii="宋体" w:hAnsi="宋体" w:cs="宋体"/>
          <w:szCs w:val="21"/>
        </w:rPr>
        <w:t xml:space="preserve">4.评审委员会基于专业判断，认为供应商报价过低，有可能影响产品质量或者不能诚信履约的其他情形。</w:t>
      </w:r>
      <w:r>
        <w:rPr>
          <w:rFonts w:hint="eastAsia" w:ascii="宋体" w:hAnsi="宋体" w:cs="宋体"/>
          <w:color w:val="000000"/>
          <w:szCs w:val="21"/>
        </w:rPr>
      </w:r>
      <w:r/>
    </w:p>
    <w:p>
      <w:pPr>
        <w:pStyle w:val="1344"/>
        <w:ind w:firstLine="420"/>
        <w:spacing w:line="360" w:lineRule="auto"/>
        <w:rPr>
          <w:rFonts w:hint="eastAsia" w:ascii="宋体" w:hAnsi="宋体" w:cs="宋体"/>
          <w:szCs w:val="21"/>
        </w:rPr>
      </w:pPr>
      <w:r>
        <w:rPr>
          <w:rFonts w:hint="eastAsia" w:ascii="宋体" w:hAnsi="宋体" w:cs="宋体"/>
          <w:szCs w:val="21"/>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szCs w:val="21"/>
        </w:rPr>
      </w:r>
      <w:r/>
    </w:p>
    <w:p>
      <w:pPr>
        <w:pStyle w:val="1344"/>
        <w:ind w:firstLine="420"/>
        <w:spacing w:line="360" w:lineRule="auto"/>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szCs w:val="21"/>
        </w:rPr>
      </w:r>
      <w:r/>
    </w:p>
    <w:p>
      <w:pPr>
        <w:pStyle w:val="1344"/>
        <w:ind w:firstLine="420"/>
        <w:spacing w:line="360" w:lineRule="auto"/>
        <w:rPr>
          <w:rFonts w:hint="eastAsia" w:ascii="宋体" w:hAnsi="宋体" w:cs="宋体"/>
          <w:szCs w:val="21"/>
        </w:rPr>
      </w:pPr>
      <w:r>
        <w:rPr>
          <w:rFonts w:hint="eastAsia" w:ascii="宋体" w:hAnsi="宋体" w:cs="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szCs w:val="21"/>
        </w:rPr>
      </w:r>
      <w:r/>
    </w:p>
    <w:p>
      <w:pPr>
        <w:pStyle w:val="1344"/>
        <w:ind w:firstLine="420"/>
        <w:spacing w:line="360" w:lineRule="auto"/>
        <w:rPr>
          <w:rFonts w:hint="eastAsia" w:ascii="宋体" w:hAnsi="宋体" w:cs="宋体"/>
          <w:bCs/>
          <w:szCs w:val="21"/>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bCs/>
          <w:szCs w:val="21"/>
        </w:rPr>
      </w:r>
      <w:r/>
    </w:p>
    <w:p>
      <w:pPr>
        <w:pStyle w:val="1344"/>
        <w:ind w:firstLine="422"/>
        <w:spacing w:line="360" w:lineRule="auto"/>
        <w:rPr>
          <w:rFonts w:hint="eastAsia" w:ascii="宋体" w:hAnsi="宋体" w:cs="宋体"/>
          <w:b/>
          <w:szCs w:val="21"/>
        </w:rPr>
      </w:pPr>
      <w:r>
        <w:rPr>
          <w:rFonts w:hint="eastAsia" w:ascii="宋体" w:hAnsi="宋体" w:cs="宋体"/>
          <w:b/>
          <w:szCs w:val="21"/>
        </w:rPr>
        <w:t xml:space="preserve">20.8评标委员会在评标时只能依据招标文件规定的办法进行评审,不得寻求外部的证据。</w:t>
      </w:r>
      <w:r>
        <w:rPr>
          <w:rFonts w:hint="eastAsia" w:ascii="宋体" w:hAnsi="宋体" w:cs="宋体"/>
          <w:b/>
          <w:szCs w:val="21"/>
        </w:rPr>
      </w:r>
      <w:r/>
    </w:p>
    <w:p>
      <w:pPr>
        <w:pStyle w:val="1347"/>
        <w:ind w:left="0" w:firstLine="422"/>
        <w:jc w:val="both"/>
        <w:spacing w:line="360" w:lineRule="auto"/>
        <w:tabs>
          <w:tab w:val="left" w:pos="480" w:leader="none"/>
        </w:tabs>
        <w:rPr>
          <w:rFonts w:hint="eastAsia" w:ascii="宋体" w:hAnsi="宋体" w:eastAsia="宋体" w:cs="宋体"/>
          <w:b/>
          <w:bCs/>
          <w:sz w:val="21"/>
          <w:szCs w:val="21"/>
        </w:rPr>
      </w:pPr>
      <w:r/>
      <w:bookmarkStart w:id="166" w:name="_Toc5977"/>
      <w:r>
        <w:rPr>
          <w:rFonts w:hint="eastAsia" w:ascii="宋体" w:hAnsi="宋体" w:eastAsia="宋体" w:cs="宋体"/>
          <w:b/>
          <w:bCs/>
          <w:sz w:val="21"/>
          <w:szCs w:val="21"/>
        </w:rPr>
        <w:t xml:space="preserve">21.投标文件的澄清</w:t>
      </w:r>
      <w:bookmarkEnd w:id="164"/>
      <w:r/>
      <w:bookmarkEnd w:id="166"/>
      <w:r>
        <w:rPr>
          <w:rFonts w:hint="eastAsia" w:ascii="宋体" w:hAnsi="宋体" w:eastAsia="宋体" w:cs="宋体"/>
          <w:b/>
          <w:bCs/>
          <w:sz w:val="21"/>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21.4供应商澄清、说明或者补正不得超出投标文件的范围或者改变投标文件的实质性内容。供应商拒不按照要求对投标文件进行澄清、说明或者补正的，视其放弃该项权利。</w:t>
      </w:r>
      <w:r>
        <w:rPr>
          <w:rFonts w:hint="eastAsia" w:ascii="宋体" w:hAnsi="宋体" w:cs="宋体"/>
          <w:bCs/>
          <w:szCs w:val="21"/>
        </w:rPr>
      </w:r>
      <w:r/>
    </w:p>
    <w:p>
      <w:pPr>
        <w:pStyle w:val="1347"/>
        <w:ind w:left="0" w:firstLine="422"/>
        <w:jc w:val="both"/>
        <w:spacing w:line="360" w:lineRule="auto"/>
        <w:tabs>
          <w:tab w:val="left" w:pos="480" w:leader="none"/>
        </w:tabs>
        <w:rPr>
          <w:rFonts w:hint="eastAsia" w:ascii="宋体" w:hAnsi="宋体" w:eastAsia="宋体" w:cs="宋体"/>
          <w:b/>
          <w:bCs/>
          <w:sz w:val="21"/>
          <w:szCs w:val="21"/>
        </w:rPr>
      </w:pPr>
      <w:r/>
      <w:bookmarkStart w:id="167" w:name="_Toc438"/>
      <w:r/>
      <w:bookmarkStart w:id="168" w:name="_Toc30147"/>
      <w:r>
        <w:rPr>
          <w:rFonts w:hint="eastAsia" w:ascii="宋体" w:hAnsi="宋体" w:eastAsia="宋体" w:cs="宋体"/>
          <w:b/>
          <w:bCs/>
          <w:sz w:val="21"/>
          <w:szCs w:val="21"/>
        </w:rPr>
        <w:t xml:space="preserve">22.对投标文件的详细评审</w:t>
      </w:r>
      <w:bookmarkEnd w:id="167"/>
      <w:r/>
      <w:bookmarkEnd w:id="168"/>
      <w:r>
        <w:rPr>
          <w:rFonts w:hint="eastAsia" w:ascii="宋体" w:hAnsi="宋体" w:eastAsia="宋体" w:cs="宋体"/>
          <w:b/>
          <w:bCs/>
          <w:sz w:val="21"/>
          <w:szCs w:val="21"/>
        </w:rPr>
      </w:r>
      <w:r/>
    </w:p>
    <w:p>
      <w:pPr>
        <w:pStyle w:val="1344"/>
        <w:ind w:firstLine="420"/>
        <w:spacing w:line="360" w:lineRule="auto"/>
        <w:rPr>
          <w:rFonts w:hint="eastAsia" w:ascii="宋体" w:hAnsi="宋体" w:cs="宋体"/>
          <w:szCs w:val="21"/>
        </w:rPr>
      </w:pPr>
      <w:r/>
      <w:bookmarkEnd w:id="165"/>
      <w:r/>
      <w:bookmarkStart w:id="169" w:name="_Toc12358"/>
      <w:r/>
      <w:bookmarkStart w:id="170" w:name="_Toc28875"/>
      <w:r/>
      <w:bookmarkStart w:id="171" w:name="_Toc21985"/>
      <w:r/>
      <w:bookmarkStart w:id="172" w:name="_Toc26838"/>
      <w:r>
        <w:rPr>
          <w:rFonts w:hint="eastAsia" w:ascii="宋体" w:hAnsi="宋体" w:cs="宋体"/>
          <w:bCs/>
          <w:szCs w:val="21"/>
        </w:rPr>
        <w:t xml:space="preserve">22.1</w:t>
      </w:r>
      <w:r>
        <w:rPr>
          <w:rFonts w:hint="eastAsia" w:ascii="宋体" w:hAnsi="宋体" w:cs="宋体"/>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hint="eastAsia" w:ascii="宋体" w:hAnsi="宋体" w:cs="宋体"/>
          <w:szCs w:val="21"/>
        </w:rPr>
      </w:r>
      <w:r/>
    </w:p>
    <w:p>
      <w:pPr>
        <w:pStyle w:val="1344"/>
        <w:ind w:firstLine="420"/>
        <w:spacing w:line="360" w:lineRule="auto"/>
        <w:rPr>
          <w:rFonts w:hint="eastAsia" w:ascii="宋体" w:hAnsi="宋体" w:cs="宋体"/>
          <w:szCs w:val="21"/>
        </w:rPr>
      </w:pPr>
      <w:r>
        <w:rPr>
          <w:rFonts w:hint="eastAsia" w:ascii="宋体" w:hAnsi="宋体" w:cs="宋体"/>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cs="宋体"/>
          <w:bCs/>
          <w:szCs w:val="21"/>
        </w:rPr>
        <w:t xml:space="preserve">取技术分最高者；均相同时，由</w:t>
      </w:r>
      <w:r>
        <w:rPr>
          <w:rFonts w:hint="eastAsia" w:ascii="宋体" w:hAnsi="宋体" w:cs="宋体"/>
          <w:szCs w:val="21"/>
        </w:rPr>
        <w:t xml:space="preserve">评标委员会</w:t>
      </w:r>
      <w:r>
        <w:rPr>
          <w:rFonts w:hint="eastAsia" w:ascii="宋体" w:hAnsi="宋体" w:cs="宋体"/>
          <w:bCs/>
          <w:szCs w:val="21"/>
        </w:rPr>
        <w:t xml:space="preserve">集体决定</w:t>
      </w:r>
      <w:r>
        <w:rPr>
          <w:rFonts w:hint="eastAsia" w:ascii="宋体" w:hAnsi="宋体" w:cs="宋体"/>
          <w:szCs w:val="21"/>
        </w:rPr>
        <w:t xml:space="preserve">一个供应商获得中标供应商推荐资格，或采取随机抽取方式确定，其他同品牌供应商不作为中标候选人。</w:t>
      </w:r>
      <w:r>
        <w:rPr>
          <w:rFonts w:hint="eastAsia" w:ascii="宋体" w:hAnsi="宋体" w:cs="宋体"/>
          <w:szCs w:val="21"/>
        </w:rPr>
      </w:r>
      <w:r/>
    </w:p>
    <w:p>
      <w:pPr>
        <w:pStyle w:val="1344"/>
        <w:ind w:firstLine="420"/>
        <w:spacing w:line="360" w:lineRule="auto"/>
        <w:rPr>
          <w:rFonts w:hint="eastAsia" w:ascii="宋体" w:hAnsi="宋体" w:cs="宋体"/>
          <w:szCs w:val="21"/>
        </w:rPr>
      </w:pPr>
      <w:r>
        <w:rPr>
          <w:rFonts w:hint="eastAsia" w:ascii="宋体" w:hAnsi="宋体" w:cs="宋体"/>
          <w:szCs w:val="21"/>
        </w:rPr>
        <w:t xml:space="preserve">非单一产品采购项目，采购人根据采购项目技术构成、产品价格比重等合理确定核心产品，并在招标文件中载明。多家供应商提供的核心产品品牌相同的，按前述规定处理。</w:t>
      </w:r>
      <w:r>
        <w:rPr>
          <w:rFonts w:hint="eastAsia" w:ascii="宋体" w:hAnsi="宋体" w:cs="宋体"/>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22.2评标委员会应当按照招标文件中规定的评标方法和标准，对符合性审查合格的投标文件进行商务和技术评估，综合比较与评价。</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22.4评审因素包括投标报价、技术或者服务水平、履约能力、售后服务等</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22.5评标标准详见文件第三章。</w:t>
      </w:r>
      <w:r>
        <w:rPr>
          <w:rFonts w:hint="eastAsia" w:ascii="宋体" w:hAnsi="宋体" w:cs="宋体"/>
          <w:bCs/>
          <w:szCs w:val="21"/>
        </w:rPr>
      </w:r>
      <w:r/>
    </w:p>
    <w:p>
      <w:pPr>
        <w:pStyle w:val="1347"/>
        <w:ind w:left="0" w:firstLine="422"/>
        <w:jc w:val="both"/>
        <w:spacing w:line="360" w:lineRule="auto"/>
        <w:tabs>
          <w:tab w:val="left" w:pos="480" w:leader="none"/>
        </w:tabs>
        <w:rPr>
          <w:rFonts w:hint="eastAsia" w:ascii="宋体" w:hAnsi="宋体" w:eastAsia="宋体" w:cs="宋体"/>
          <w:b/>
          <w:bCs/>
          <w:sz w:val="21"/>
          <w:szCs w:val="21"/>
        </w:rPr>
      </w:pPr>
      <w:r/>
      <w:bookmarkStart w:id="173" w:name="_Toc6865"/>
      <w:r>
        <w:rPr>
          <w:rFonts w:hint="eastAsia" w:ascii="宋体" w:hAnsi="宋体" w:eastAsia="宋体" w:cs="宋体"/>
          <w:b/>
          <w:bCs/>
          <w:sz w:val="21"/>
          <w:szCs w:val="21"/>
        </w:rPr>
        <w:t xml:space="preserve">23.评标过程的保密与公正</w:t>
      </w:r>
      <w:bookmarkEnd w:id="169"/>
      <w:r/>
      <w:bookmarkEnd w:id="170"/>
      <w:r/>
      <w:bookmarkEnd w:id="171"/>
      <w:r/>
      <w:bookmarkEnd w:id="173"/>
      <w:r>
        <w:rPr>
          <w:rFonts w:hint="eastAsia" w:ascii="宋体" w:hAnsi="宋体" w:eastAsia="宋体" w:cs="宋体"/>
          <w:b/>
          <w:bCs/>
          <w:sz w:val="21"/>
          <w:szCs w:val="21"/>
        </w:rPr>
      </w:r>
      <w:r/>
    </w:p>
    <w:p>
      <w:pPr>
        <w:pStyle w:val="1344"/>
        <w:ind w:firstLine="420"/>
        <w:spacing w:line="360" w:lineRule="auto"/>
        <w:rPr>
          <w:rFonts w:hint="eastAsia" w:ascii="宋体" w:hAnsi="宋体" w:cs="宋体"/>
          <w:bCs/>
          <w:szCs w:val="21"/>
        </w:rPr>
      </w:pPr>
      <w:r/>
      <w:bookmarkEnd w:id="172"/>
      <w:r/>
      <w:bookmarkStart w:id="174" w:name="_Toc26041"/>
      <w:r/>
      <w:bookmarkStart w:id="175" w:name="_Toc30824"/>
      <w:r/>
      <w:bookmarkStart w:id="176" w:name="_Toc18327"/>
      <w:r>
        <w:rPr>
          <w:rFonts w:hint="eastAsia" w:ascii="宋体" w:hAnsi="宋体" w:cs="宋体"/>
          <w:bCs/>
          <w:szCs w:val="21"/>
        </w:rPr>
        <w:t xml:space="preserve">23.1公开开标后，直至向中标的供应商授予合同时止，凡是与审查、澄清、评价和比较投标的有关资料以及授标建议等，采购人、评委、采购代理机构均不得向供应商或与评标无关的其他人员透露。采用综合评分法的项目，未中标的投标人可于中标结果公告期限届满之日起通过苏采云系统查看自己的评审得分及排序情况。</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23.2在评标过程中，供应商不得以任何行为影响评标过程，否则其投标文件将被作为无效投标文件。</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23.3 采购代理机构和评标委员会不得向落标的供应商解释未中标原因，也不公布评标过程中的相关细节。</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23.4 在评标期间，采购代理机构将指定联络员与供应商进行联络。</w:t>
      </w:r>
      <w:r>
        <w:rPr>
          <w:rFonts w:hint="eastAsia" w:ascii="宋体" w:hAnsi="宋体" w:cs="宋体"/>
          <w:bCs/>
          <w:szCs w:val="21"/>
        </w:rPr>
      </w:r>
      <w:r/>
    </w:p>
    <w:p>
      <w:pPr>
        <w:pStyle w:val="1347"/>
        <w:ind w:left="0" w:firstLine="422"/>
        <w:jc w:val="both"/>
        <w:spacing w:line="360" w:lineRule="auto"/>
        <w:tabs>
          <w:tab w:val="left" w:pos="480" w:leader="none"/>
        </w:tabs>
        <w:rPr>
          <w:rFonts w:hint="eastAsia" w:ascii="宋体" w:hAnsi="宋体" w:eastAsia="宋体" w:cs="宋体"/>
          <w:b/>
          <w:bCs/>
          <w:color w:val="000000"/>
          <w:sz w:val="21"/>
          <w:szCs w:val="21"/>
        </w:rPr>
      </w:pPr>
      <w:r/>
      <w:bookmarkStart w:id="177" w:name="_Toc4851"/>
      <w:r/>
      <w:bookmarkStart w:id="178" w:name="_Toc21168"/>
      <w:r>
        <w:rPr>
          <w:rFonts w:hint="eastAsia" w:ascii="宋体" w:hAnsi="宋体" w:eastAsia="宋体" w:cs="宋体"/>
          <w:b/>
          <w:bCs/>
          <w:color w:val="000000"/>
          <w:sz w:val="21"/>
          <w:szCs w:val="21"/>
        </w:rPr>
        <w:t xml:space="preserve">24.无效投标条款和废标条款</w:t>
      </w:r>
      <w:bookmarkEnd w:id="174"/>
      <w:r/>
      <w:bookmarkEnd w:id="175"/>
      <w:r/>
      <w:bookmarkEnd w:id="177"/>
      <w:r/>
      <w:bookmarkEnd w:id="178"/>
      <w:r>
        <w:rPr>
          <w:rFonts w:hint="eastAsia" w:ascii="宋体" w:hAnsi="宋体" w:eastAsia="宋体" w:cs="宋体"/>
          <w:b/>
          <w:bCs/>
          <w:color w:val="000000"/>
          <w:sz w:val="21"/>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24.1无效投标条款</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（1）未按要求交纳投标保证金的；</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（2）供应商在苏采云系统规定的时间内未成功解密电子投标文件的。</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（3）未按照招标文件规定要求签署、加盖CA电子公章的；</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（4）供应商在报价时采用选择性报价；</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（5）供应商不具备招标文件中规定资格要求的；</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（6）供应商的报价超过了采购预算的；</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（7）未通过符合性检查的；</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（8）不符合招标文件中规定的其他实质性要求和条件的；</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（9）其他法律、法规及本招标文件规定的属无效投标的情形。</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24.2废标条款：</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（1）符合专业条件的供应商或者对招标文件作实质响应的供应商不足三家的；</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（2）出现影响采购公正的违法、违规行为的；</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（3）因重大变故，采购任务取消的；</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（4）评标委员会认定投标文件存在歧义、重大缺陷导致评审工作无法进行的，或者招标文件内容违反国家有关强制性规定的。</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（5）因苏采云系统故障原因造成开标不成功的。</w:t>
      </w:r>
      <w:r>
        <w:rPr>
          <w:rFonts w:hint="eastAsia" w:ascii="宋体" w:hAnsi="宋体" w:cs="宋体"/>
          <w:bCs/>
          <w:szCs w:val="21"/>
        </w:rPr>
      </w:r>
      <w:r/>
    </w:p>
    <w:p>
      <w:pPr>
        <w:pStyle w:val="1347"/>
        <w:ind w:left="0" w:firstLine="422"/>
        <w:jc w:val="both"/>
        <w:spacing w:line="360" w:lineRule="auto"/>
        <w:tabs>
          <w:tab w:val="left" w:pos="480" w:leader="none"/>
        </w:tabs>
        <w:rPr>
          <w:rFonts w:hint="eastAsia" w:ascii="宋体" w:hAnsi="宋体" w:eastAsia="宋体" w:cs="宋体"/>
          <w:b/>
          <w:bCs/>
          <w:sz w:val="21"/>
          <w:szCs w:val="21"/>
        </w:rPr>
      </w:pPr>
      <w:r/>
      <w:bookmarkStart w:id="179" w:name="_Toc15388"/>
      <w:r/>
      <w:bookmarkStart w:id="180" w:name="_Toc323"/>
      <w:r>
        <w:rPr>
          <w:rFonts w:hint="eastAsia" w:ascii="宋体" w:hAnsi="宋体" w:eastAsia="宋体" w:cs="宋体"/>
          <w:b/>
          <w:bCs/>
          <w:sz w:val="21"/>
          <w:szCs w:val="21"/>
        </w:rPr>
        <w:t xml:space="preserve">25.投标截止时间结束参加投标的供应商不足三家的处理</w:t>
      </w:r>
      <w:bookmarkEnd w:id="179"/>
      <w:r/>
      <w:bookmarkEnd w:id="180"/>
      <w:r>
        <w:rPr>
          <w:rFonts w:hint="eastAsia" w:ascii="宋体" w:hAnsi="宋体" w:eastAsia="宋体" w:cs="宋体"/>
          <w:b/>
          <w:bCs/>
          <w:sz w:val="21"/>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25.3供应商若不接受采购方式的改变，应在规定的时间内书面向评标委员会说明，未在规定时间内提交书面说明的视为接受采购方式的改变。</w:t>
      </w:r>
      <w:r>
        <w:rPr>
          <w:rFonts w:hint="eastAsia" w:ascii="宋体" w:hAnsi="宋体" w:cs="宋体"/>
          <w:bCs/>
          <w:szCs w:val="21"/>
        </w:rPr>
      </w:r>
      <w:r/>
    </w:p>
    <w:p>
      <w:pPr>
        <w:pStyle w:val="1344"/>
        <w:ind w:firstLine="420"/>
        <w:spacing w:line="360" w:lineRule="auto"/>
        <w:shd w:val="clear" w:color="auto" w:fill="ffffff"/>
        <w:widowControl/>
        <w:rPr>
          <w:rFonts w:hint="eastAsia" w:ascii="宋体" w:hAnsi="宋体" w:cs="宋体"/>
          <w:b/>
          <w:bCs/>
          <w:color w:val="000000"/>
          <w:szCs w:val="21"/>
        </w:rPr>
        <w:outlineLvl w:val="1"/>
      </w:pPr>
      <w:r/>
      <w:bookmarkStart w:id="181" w:name="_Toc5044"/>
      <w:r/>
      <w:bookmarkStart w:id="182" w:name="_Toc30117"/>
      <w:r>
        <w:rPr>
          <w:rFonts w:hint="eastAsia" w:ascii="宋体" w:hAnsi="宋体" w:cs="宋体"/>
          <w:b/>
          <w:bCs/>
          <w:color w:val="000000"/>
          <w:szCs w:val="21"/>
        </w:rPr>
        <w:t xml:space="preserve">六、授标</w:t>
      </w:r>
      <w:bookmarkEnd w:id="176"/>
      <w:r/>
      <w:bookmarkEnd w:id="181"/>
      <w:r/>
      <w:bookmarkEnd w:id="182"/>
      <w:r>
        <w:rPr>
          <w:rFonts w:hint="eastAsia" w:ascii="宋体" w:hAnsi="宋体" w:cs="宋体"/>
          <w:b/>
          <w:bCs/>
          <w:color w:val="000000"/>
          <w:szCs w:val="21"/>
        </w:rPr>
      </w:r>
      <w:r/>
    </w:p>
    <w:p>
      <w:pPr>
        <w:pStyle w:val="1347"/>
        <w:ind w:left="0" w:firstLine="422"/>
        <w:jc w:val="both"/>
        <w:spacing w:line="360" w:lineRule="auto"/>
        <w:tabs>
          <w:tab w:val="left" w:pos="480" w:leader="none"/>
        </w:tabs>
        <w:rPr>
          <w:rFonts w:hint="eastAsia" w:ascii="宋体" w:hAnsi="宋体" w:eastAsia="宋体" w:cs="宋体"/>
          <w:b/>
          <w:bCs/>
          <w:color w:val="000000"/>
          <w:sz w:val="21"/>
          <w:szCs w:val="21"/>
        </w:rPr>
      </w:pPr>
      <w:r/>
      <w:bookmarkStart w:id="183" w:name="_Toc28693"/>
      <w:r/>
      <w:bookmarkStart w:id="184" w:name="_Toc11503"/>
      <w:r/>
      <w:bookmarkStart w:id="185" w:name="_Toc6735"/>
      <w:r>
        <w:rPr>
          <w:rFonts w:hint="eastAsia" w:ascii="宋体" w:hAnsi="宋体" w:eastAsia="宋体" w:cs="宋体"/>
          <w:b/>
          <w:bCs/>
          <w:color w:val="000000"/>
          <w:sz w:val="21"/>
          <w:szCs w:val="21"/>
        </w:rPr>
        <w:t xml:space="preserve">26.确定中标</w:t>
      </w:r>
      <w:bookmarkEnd w:id="183"/>
      <w:r>
        <w:rPr>
          <w:rFonts w:hint="eastAsia" w:ascii="宋体" w:hAnsi="宋体" w:eastAsia="宋体" w:cs="宋体"/>
          <w:b/>
          <w:bCs/>
          <w:color w:val="000000"/>
          <w:sz w:val="21"/>
          <w:szCs w:val="21"/>
        </w:rPr>
        <w:t xml:space="preserve">供应商</w:t>
      </w:r>
      <w:bookmarkEnd w:id="184"/>
      <w:r/>
      <w:bookmarkEnd w:id="185"/>
      <w:r>
        <w:rPr>
          <w:rFonts w:hint="eastAsia" w:ascii="宋体" w:hAnsi="宋体" w:eastAsia="宋体" w:cs="宋体"/>
          <w:b/>
          <w:bCs/>
          <w:color w:val="000000"/>
          <w:sz w:val="21"/>
          <w:szCs w:val="21"/>
        </w:rPr>
      </w:r>
      <w:r/>
    </w:p>
    <w:p>
      <w:pPr>
        <w:pStyle w:val="1344"/>
        <w:ind w:firstLine="420"/>
        <w:spacing w:line="360" w:lineRule="auto"/>
        <w:rPr>
          <w:rFonts w:hint="eastAsia" w:ascii="宋体" w:hAnsi="宋体" w:cs="宋体"/>
          <w:szCs w:val="21"/>
        </w:rPr>
      </w:pPr>
      <w:r/>
      <w:bookmarkStart w:id="186" w:name="_Toc7377"/>
      <w:r>
        <w:rPr>
          <w:rFonts w:hint="eastAsia" w:ascii="宋体" w:hAnsi="宋体" w:cs="宋体"/>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hAnsi="宋体" w:cs="宋体"/>
          <w:szCs w:val="21"/>
        </w:rPr>
      </w:r>
      <w:r/>
    </w:p>
    <w:p>
      <w:pPr>
        <w:pStyle w:val="134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26.2 采购人应根据评标委员会推荐的中标候选供应商确定中标供应商。</w:t>
      </w:r>
      <w:r>
        <w:rPr>
          <w:rFonts w:hint="eastAsia" w:ascii="宋体" w:hAnsi="宋体" w:cs="宋体"/>
          <w:szCs w:val="21"/>
        </w:rPr>
      </w:r>
      <w:r/>
    </w:p>
    <w:p>
      <w:pPr>
        <w:pStyle w:val="1344"/>
        <w:ind w:firstLine="420"/>
        <w:spacing w:line="360" w:lineRule="auto"/>
        <w:rPr>
          <w:rFonts w:hint="eastAsia" w:ascii="宋体" w:hAnsi="宋体" w:cs="宋体"/>
          <w:szCs w:val="21"/>
        </w:rPr>
      </w:pPr>
      <w:r>
        <w:rPr>
          <w:rFonts w:hint="eastAsia" w:ascii="宋体" w:hAnsi="宋体" w:cs="宋体"/>
          <w:szCs w:val="21"/>
        </w:rPr>
        <w:t xml:space="preserve">26.3评标委员会根据全体评标成员签字的原始评标记录和评标结果编写评标报告。</w:t>
      </w:r>
      <w:r>
        <w:rPr>
          <w:rFonts w:hint="eastAsia" w:ascii="宋体" w:hAnsi="宋体" w:cs="宋体"/>
          <w:szCs w:val="21"/>
        </w:rPr>
      </w:r>
      <w:r/>
    </w:p>
    <w:p>
      <w:pPr>
        <w:pStyle w:val="1344"/>
        <w:ind w:firstLine="420"/>
        <w:spacing w:line="360" w:lineRule="auto"/>
        <w:rPr>
          <w:rFonts w:hint="eastAsia" w:ascii="宋体" w:hAnsi="宋体" w:cs="宋体"/>
          <w:szCs w:val="21"/>
        </w:rPr>
      </w:pPr>
      <w:r>
        <w:rPr>
          <w:rFonts w:hint="eastAsia" w:ascii="宋体" w:hAnsi="宋体" w:cs="宋体"/>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rPr>
          <w:rFonts w:hint="eastAsia" w:ascii="宋体" w:hAnsi="宋体" w:cs="宋体"/>
          <w:szCs w:val="21"/>
        </w:rPr>
      </w:r>
      <w:r/>
    </w:p>
    <w:p>
      <w:pPr>
        <w:pStyle w:val="1344"/>
        <w:ind w:firstLine="420"/>
        <w:spacing w:line="360" w:lineRule="auto"/>
        <w:rPr>
          <w:rFonts w:hint="eastAsia" w:ascii="宋体" w:hAnsi="宋体" w:cs="宋体"/>
          <w:szCs w:val="21"/>
        </w:rPr>
      </w:pPr>
      <w:r>
        <w:rPr>
          <w:rFonts w:hint="eastAsia" w:ascii="宋体" w:hAnsi="宋体" w:cs="宋体"/>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rPr>
          <w:rFonts w:hint="eastAsia" w:ascii="宋体" w:hAnsi="宋体" w:cs="宋体"/>
          <w:szCs w:val="21"/>
        </w:rPr>
      </w:r>
      <w:r/>
    </w:p>
    <w:p>
      <w:pPr>
        <w:pStyle w:val="1344"/>
        <w:ind w:firstLine="420"/>
        <w:spacing w:line="360" w:lineRule="auto"/>
        <w:rPr>
          <w:rFonts w:hint="eastAsia" w:ascii="宋体" w:hAnsi="宋体" w:cs="宋体"/>
          <w:szCs w:val="21"/>
        </w:rPr>
      </w:pPr>
      <w:r>
        <w:rPr>
          <w:rFonts w:hint="eastAsia" w:ascii="宋体" w:hAnsi="宋体" w:cs="宋体"/>
          <w:szCs w:val="21"/>
        </w:rPr>
        <w:t xml:space="preserve">26.6 若评标委员会发现供应商的投标文件中有弄虚作假行为，则该供应商将失去中标资格。</w:t>
      </w:r>
      <w:r>
        <w:rPr>
          <w:rFonts w:hint="eastAsia" w:ascii="宋体" w:hAnsi="宋体" w:cs="宋体"/>
          <w:szCs w:val="21"/>
        </w:rPr>
      </w:r>
      <w:r/>
    </w:p>
    <w:p>
      <w:pPr>
        <w:pStyle w:val="1344"/>
        <w:ind w:firstLine="420"/>
        <w:spacing w:line="360" w:lineRule="auto"/>
        <w:rPr>
          <w:rFonts w:hint="eastAsia" w:ascii="宋体" w:hAnsi="宋体" w:cs="宋体"/>
          <w:szCs w:val="21"/>
        </w:rPr>
      </w:pPr>
      <w:r>
        <w:rPr>
          <w:rFonts w:hint="eastAsia" w:ascii="宋体" w:hAnsi="宋体" w:cs="宋体"/>
          <w:szCs w:val="21"/>
        </w:rPr>
        <w:t xml:space="preserve">26.7 所有投标文件都将作为档案保存，不论中标与否，代理机构均不退回。</w:t>
      </w:r>
      <w:r>
        <w:rPr>
          <w:rFonts w:hint="eastAsia" w:ascii="宋体" w:hAnsi="宋体" w:cs="宋体"/>
          <w:szCs w:val="21"/>
        </w:rPr>
      </w:r>
      <w:r/>
    </w:p>
    <w:p>
      <w:pPr>
        <w:pStyle w:val="1347"/>
        <w:ind w:left="0" w:firstLine="422"/>
        <w:jc w:val="both"/>
        <w:spacing w:line="360" w:lineRule="auto"/>
        <w:tabs>
          <w:tab w:val="left" w:pos="480" w:leader="none"/>
        </w:tabs>
        <w:rPr>
          <w:rFonts w:hint="eastAsia" w:ascii="宋体" w:hAnsi="宋体" w:eastAsia="宋体" w:cs="宋体"/>
          <w:b/>
          <w:bCs/>
          <w:color w:val="000000"/>
          <w:sz w:val="21"/>
          <w:szCs w:val="21"/>
        </w:rPr>
      </w:pPr>
      <w:r/>
      <w:bookmarkEnd w:id="186"/>
      <w:r/>
      <w:bookmarkStart w:id="187" w:name="_Toc21169"/>
      <w:r/>
      <w:bookmarkStart w:id="188" w:name="_Toc17252"/>
      <w:r/>
      <w:bookmarkStart w:id="189" w:name="_Toc4757"/>
      <w:r/>
      <w:bookmarkStart w:id="190" w:name="_Toc32182"/>
      <w:r/>
      <w:bookmarkStart w:id="191" w:name="_Toc19713"/>
      <w:r/>
      <w:bookmarkStart w:id="192" w:name="_Toc4684"/>
      <w:r>
        <w:rPr>
          <w:rFonts w:hint="eastAsia" w:ascii="宋体" w:hAnsi="宋体" w:eastAsia="宋体" w:cs="宋体"/>
          <w:b/>
          <w:bCs/>
          <w:color w:val="000000"/>
          <w:sz w:val="21"/>
          <w:szCs w:val="21"/>
        </w:rPr>
        <w:t xml:space="preserve">27.中标的通知</w:t>
      </w:r>
      <w:bookmarkEnd w:id="187"/>
      <w:r/>
      <w:bookmarkEnd w:id="188"/>
      <w:r/>
      <w:bookmarkEnd w:id="189"/>
      <w:r/>
      <w:bookmarkEnd w:id="190"/>
      <w:r/>
      <w:bookmarkEnd w:id="191"/>
      <w:r>
        <w:rPr>
          <w:rFonts w:hint="eastAsia" w:ascii="宋体" w:hAnsi="宋体" w:eastAsia="宋体" w:cs="宋体"/>
          <w:b/>
          <w:bCs/>
          <w:color w:val="000000"/>
          <w:sz w:val="21"/>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27.1定标后，采购代理机构将以公告形式将定标结果通知所有的供应商，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27.2中标通知书将是合同的一个组成部分。对采购人和中标人均具有法律效力。中标通知书发出后，采购人改变中标结果的，或者中标人放弃中标项目的，应当依法承担法律责任。</w:t>
      </w:r>
      <w:r>
        <w:rPr>
          <w:rFonts w:hint="eastAsia" w:ascii="宋体" w:hAnsi="宋体" w:cs="宋体"/>
          <w:bCs/>
          <w:szCs w:val="21"/>
        </w:rPr>
      </w:r>
      <w:r/>
    </w:p>
    <w:p>
      <w:pPr>
        <w:pStyle w:val="1347"/>
        <w:ind w:left="0" w:firstLine="422"/>
        <w:jc w:val="both"/>
        <w:spacing w:line="360" w:lineRule="auto"/>
        <w:tabs>
          <w:tab w:val="left" w:pos="480" w:leader="none"/>
        </w:tabs>
        <w:rPr>
          <w:rFonts w:hint="eastAsia" w:ascii="宋体" w:hAnsi="宋体" w:eastAsia="宋体" w:cs="宋体"/>
          <w:b/>
          <w:bCs/>
          <w:sz w:val="21"/>
          <w:szCs w:val="21"/>
        </w:rPr>
      </w:pPr>
      <w:r/>
      <w:bookmarkEnd w:id="192"/>
      <w:r/>
      <w:bookmarkStart w:id="193" w:name="_Toc22919"/>
      <w:r/>
      <w:bookmarkStart w:id="194" w:name="_Toc28003"/>
      <w:r/>
      <w:bookmarkStart w:id="195" w:name="_Toc15484"/>
      <w:r/>
      <w:bookmarkStart w:id="196" w:name="_Toc2049"/>
      <w:r/>
      <w:bookmarkStart w:id="197" w:name="_Toc24788"/>
      <w:r>
        <w:rPr>
          <w:rFonts w:hint="eastAsia" w:ascii="宋体" w:hAnsi="宋体" w:eastAsia="宋体" w:cs="宋体"/>
          <w:b/>
          <w:bCs/>
          <w:color w:val="000000"/>
          <w:sz w:val="21"/>
          <w:szCs w:val="21"/>
        </w:rPr>
        <w:t xml:space="preserve">28.签订合同</w:t>
      </w:r>
      <w:bookmarkEnd w:id="193"/>
      <w:r/>
      <w:bookmarkEnd w:id="194"/>
      <w:r/>
      <w:bookmarkEnd w:id="195"/>
      <w:r/>
      <w:bookmarkEnd w:id="196"/>
      <w:r>
        <w:rPr>
          <w:rFonts w:hint="eastAsia" w:ascii="宋体" w:hAnsi="宋体" w:eastAsia="宋体" w:cs="宋体"/>
          <w:b/>
          <w:bCs/>
          <w:sz w:val="21"/>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28.1中标供应商应当自中标通知书发出之日起三十日内，按照招标文件和投标文件的约定与采购人签订采购合同，所签订的合同不得对招标文件和投标文件作实质性修改。</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28.2招标文件、中标供应商的投标文件及评标过程中有关澄清、说明或者补正文件均应作为合同附件。</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28.3若中标供应商未能按规定签约，中标将被撤销及投标保证金被没收，在这种情况下采购人可以另选中标供应商或重新招标。</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rFonts w:hint="eastAsia" w:ascii="宋体" w:hAnsi="宋体" w:cs="宋体"/>
          <w:bCs/>
          <w:szCs w:val="21"/>
        </w:rPr>
      </w:r>
      <w:r/>
    </w:p>
    <w:p>
      <w:pPr>
        <w:pStyle w:val="1347"/>
        <w:ind w:left="0" w:firstLine="422"/>
        <w:jc w:val="both"/>
        <w:spacing w:line="360" w:lineRule="auto"/>
        <w:tabs>
          <w:tab w:val="left" w:pos="480" w:leader="none"/>
        </w:tabs>
        <w:rPr>
          <w:rFonts w:hint="eastAsia" w:ascii="宋体" w:hAnsi="宋体" w:eastAsia="宋体" w:cs="宋体"/>
          <w:b/>
          <w:bCs/>
          <w:color w:val="000000"/>
          <w:sz w:val="21"/>
          <w:szCs w:val="21"/>
        </w:rPr>
      </w:pPr>
      <w:r/>
      <w:bookmarkEnd w:id="197"/>
      <w:r/>
      <w:bookmarkStart w:id="198" w:name="_Toc22298"/>
      <w:r/>
      <w:bookmarkStart w:id="199" w:name="_Toc15509"/>
      <w:r/>
      <w:bookmarkStart w:id="200" w:name="_Toc11230"/>
      <w:r/>
      <w:bookmarkStart w:id="201" w:name="_Toc3506"/>
      <w:r/>
      <w:bookmarkStart w:id="202" w:name="_Toc20112"/>
      <w:r>
        <w:rPr>
          <w:rFonts w:hint="eastAsia" w:ascii="宋体" w:hAnsi="宋体" w:eastAsia="宋体" w:cs="宋体"/>
          <w:b/>
          <w:bCs/>
          <w:color w:val="000000"/>
          <w:sz w:val="21"/>
          <w:szCs w:val="21"/>
        </w:rPr>
        <w:t xml:space="preserve">29.</w:t>
      </w:r>
      <w:bookmarkEnd w:id="198"/>
      <w:r>
        <w:rPr>
          <w:rFonts w:hint="eastAsia" w:ascii="宋体" w:hAnsi="宋体" w:eastAsia="宋体" w:cs="宋体"/>
          <w:b/>
          <w:bCs/>
          <w:color w:val="000000"/>
          <w:sz w:val="21"/>
          <w:szCs w:val="21"/>
        </w:rPr>
        <w:t xml:space="preserve">招标代理服务费</w:t>
      </w:r>
      <w:bookmarkEnd w:id="199"/>
      <w:r/>
      <w:bookmarkEnd w:id="200"/>
      <w:r/>
      <w:bookmarkEnd w:id="201"/>
      <w:r>
        <w:rPr>
          <w:rFonts w:hint="eastAsia" w:ascii="宋体" w:hAnsi="宋体" w:eastAsia="宋体" w:cs="宋体"/>
          <w:b/>
          <w:bCs/>
          <w:color w:val="000000"/>
          <w:sz w:val="21"/>
          <w:szCs w:val="21"/>
        </w:rPr>
      </w:r>
      <w:r/>
    </w:p>
    <w:p>
      <w:pPr>
        <w:pStyle w:val="1344"/>
        <w:ind w:firstLine="420"/>
        <w:spacing w:line="360" w:lineRule="auto"/>
        <w:shd w:val="clear" w:color="auto" w:fill="ffffff"/>
        <w:widowControl/>
        <w:rPr>
          <w:rFonts w:hint="eastAsia" w:ascii="宋体" w:hAnsi="宋体" w:cs="宋体"/>
          <w:bCs/>
          <w:szCs w:val="21"/>
        </w:rPr>
      </w:pPr>
      <w:r/>
      <w:bookmarkStart w:id="203" w:name="_Toc30326"/>
      <w:r>
        <w:rPr>
          <w:rFonts w:hint="eastAsia" w:ascii="宋体" w:hAnsi="宋体" w:cs="宋体"/>
          <w:bCs/>
          <w:szCs w:val="21"/>
        </w:rPr>
        <w:t xml:space="preserve">详见投标人须知前附表。</w:t>
      </w:r>
      <w:r>
        <w:rPr>
          <w:rFonts w:hint="eastAsia" w:ascii="宋体" w:hAnsi="宋体" w:cs="宋体"/>
          <w:bCs/>
          <w:szCs w:val="21"/>
        </w:rPr>
      </w:r>
      <w:r/>
    </w:p>
    <w:p>
      <w:pPr>
        <w:pStyle w:val="1344"/>
        <w:ind w:firstLine="420"/>
        <w:spacing w:line="360" w:lineRule="auto"/>
        <w:shd w:val="clear" w:color="auto" w:fill="ffffff"/>
        <w:widowControl/>
        <w:rPr>
          <w:rFonts w:hint="eastAsia" w:ascii="宋体" w:hAnsi="宋体" w:cs="宋体"/>
          <w:b/>
          <w:bCs/>
          <w:color w:val="000000"/>
          <w:szCs w:val="21"/>
        </w:rPr>
        <w:outlineLvl w:val="1"/>
      </w:pPr>
      <w:r/>
      <w:bookmarkStart w:id="204" w:name="_Toc17433"/>
      <w:r>
        <w:rPr>
          <w:rFonts w:hint="eastAsia" w:ascii="宋体" w:hAnsi="宋体" w:cs="宋体"/>
          <w:b/>
          <w:bCs/>
          <w:color w:val="000000"/>
          <w:szCs w:val="21"/>
        </w:rPr>
        <w:t xml:space="preserve">七、质疑</w:t>
      </w:r>
      <w:bookmarkEnd w:id="202"/>
      <w:r/>
      <w:bookmarkEnd w:id="203"/>
      <w:r/>
      <w:bookmarkEnd w:id="204"/>
      <w:r>
        <w:rPr>
          <w:rFonts w:hint="eastAsia" w:ascii="宋体" w:hAnsi="宋体" w:cs="宋体"/>
          <w:b/>
          <w:bCs/>
          <w:color w:val="000000"/>
          <w:szCs w:val="21"/>
        </w:rPr>
      </w:r>
      <w:r/>
    </w:p>
    <w:p>
      <w:pPr>
        <w:pStyle w:val="1347"/>
        <w:ind w:left="0" w:firstLine="422"/>
        <w:jc w:val="both"/>
        <w:spacing w:line="360" w:lineRule="auto"/>
        <w:tabs>
          <w:tab w:val="left" w:pos="480" w:leader="none"/>
        </w:tabs>
        <w:rPr>
          <w:rFonts w:hint="eastAsia" w:ascii="宋体" w:hAnsi="宋体" w:eastAsia="宋体" w:cs="宋体"/>
          <w:b/>
          <w:bCs/>
          <w:color w:val="000000"/>
          <w:sz w:val="21"/>
          <w:szCs w:val="21"/>
        </w:rPr>
      </w:pPr>
      <w:r/>
      <w:bookmarkStart w:id="205" w:name="_Toc19917"/>
      <w:r/>
      <w:bookmarkStart w:id="206" w:name="_Toc7774"/>
      <w:r/>
      <w:bookmarkStart w:id="207" w:name="_Toc4679"/>
      <w:r/>
      <w:bookmarkStart w:id="208" w:name="_Toc29529"/>
      <w:r/>
      <w:bookmarkStart w:id="209" w:name="_Toc16085"/>
      <w:r>
        <w:rPr>
          <w:rFonts w:hint="eastAsia" w:ascii="宋体" w:hAnsi="宋体" w:eastAsia="宋体" w:cs="宋体"/>
          <w:b/>
          <w:bCs/>
          <w:color w:val="000000"/>
          <w:sz w:val="21"/>
          <w:szCs w:val="21"/>
        </w:rPr>
        <w:t xml:space="preserve">30、质疑</w:t>
      </w:r>
      <w:bookmarkEnd w:id="205"/>
      <w:r/>
      <w:bookmarkEnd w:id="206"/>
      <w:r/>
      <w:bookmarkEnd w:id="207"/>
      <w:r/>
      <w:bookmarkEnd w:id="208"/>
      <w:r/>
      <w:bookmarkEnd w:id="209"/>
      <w:r>
        <w:rPr>
          <w:rFonts w:hint="eastAsia" w:ascii="宋体" w:hAnsi="宋体" w:eastAsia="宋体" w:cs="宋体"/>
          <w:b/>
          <w:bCs/>
          <w:color w:val="000000"/>
          <w:sz w:val="21"/>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30.1供应商对招标活动事项有疑问的，可以向采购代理机构提出询问，采购代理机构将依法作出答复，但答复的内容不涉及商业秘密。</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30.2供应商认为采购文件、采购过程和中标结果使自己的合法权益受到损害的，可以在知道或者应当知道其权益受到损害之日起七个工作日内，将质疑函以</w:t>
      </w:r>
      <w:r>
        <w:rPr>
          <w:rFonts w:hint="eastAsia" w:ascii="宋体" w:hAnsi="宋体" w:cs="宋体"/>
          <w:b/>
          <w:szCs w:val="21"/>
        </w:rPr>
        <w:t xml:space="preserve">书面形式（原件）</w:t>
      </w:r>
      <w:r>
        <w:rPr>
          <w:rFonts w:hint="eastAsia" w:ascii="宋体" w:hAnsi="宋体" w:cs="宋体"/>
          <w:bCs/>
          <w:szCs w:val="21"/>
        </w:rPr>
        <w:t xml:space="preserve">送达代理机构，质疑期外提出的质疑，采购代理机构将不予受理。</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30.3供应商须在法定质疑期内</w:t>
      </w:r>
      <w:r>
        <w:rPr>
          <w:rFonts w:hint="eastAsia" w:ascii="宋体" w:hAnsi="宋体" w:cs="宋体"/>
          <w:b/>
          <w:szCs w:val="21"/>
        </w:rPr>
        <w:t xml:space="preserve">一次性提出</w:t>
      </w:r>
      <w:r>
        <w:rPr>
          <w:rFonts w:hint="eastAsia" w:ascii="宋体" w:hAnsi="宋体" w:cs="宋体"/>
          <w:bCs/>
          <w:szCs w:val="21"/>
        </w:rPr>
        <w:t xml:space="preserve">针对本项目同一采购程序环节的质疑。</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30.5质疑供应商若对项目的某一分包进行质疑，质疑函中应列明具体分包号。</w:t>
      </w:r>
      <w:r>
        <w:rPr>
          <w:rFonts w:hint="eastAsia" w:ascii="宋体" w:hAnsi="宋体" w:cs="宋体"/>
          <w:bCs/>
          <w:szCs w:val="21"/>
        </w:rPr>
      </w:r>
      <w:r/>
    </w:p>
    <w:p>
      <w:pPr>
        <w:pStyle w:val="1344"/>
        <w:ind w:firstLine="409"/>
        <w:spacing w:line="360" w:lineRule="auto"/>
        <w:rPr>
          <w:rFonts w:hint="eastAsia" w:ascii="宋体" w:hAnsi="宋体" w:cs="宋体"/>
          <w:bCs/>
          <w:szCs w:val="21"/>
        </w:rPr>
      </w:pPr>
      <w:r>
        <w:rPr>
          <w:rFonts w:hint="eastAsia" w:ascii="宋体" w:hAnsi="宋体" w:cs="宋体"/>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（1）供应商的姓名或者名称、地址、邮编、联系人及联系电话；</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（2）质疑项目的名称、编号；</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（3）具体、明确的质疑事项和与质疑事项相关的请求；</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（4）事实依据；</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（5）必要的法律依据</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（6）提出质疑的日期</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cs="宋体"/>
          <w:bCs/>
          <w:szCs w:val="21"/>
        </w:rPr>
      </w:r>
      <w:r/>
    </w:p>
    <w:p>
      <w:pPr>
        <w:pStyle w:val="1344"/>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hint="eastAsia" w:ascii="宋体" w:hAnsi="宋体" w:cs="宋体"/>
          <w:bCs/>
          <w:color w:val="000000"/>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30.9</w:t>
      </w:r>
      <w:r>
        <w:rPr>
          <w:rFonts w:hint="eastAsia" w:ascii="宋体" w:hAnsi="宋体" w:cs="宋体"/>
          <w:b/>
          <w:szCs w:val="21"/>
        </w:rPr>
        <w:t xml:space="preserve">本项目质疑函的联系部门、联系电话和通讯地址详见第二章投标人须知前附表</w:t>
      </w:r>
      <w:r>
        <w:rPr>
          <w:rFonts w:hint="eastAsia" w:ascii="宋体" w:hAnsi="宋体" w:cs="宋体"/>
          <w:bCs/>
          <w:szCs w:val="21"/>
        </w:rPr>
        <w:t xml:space="preserve">。</w:t>
      </w:r>
      <w:r>
        <w:rPr>
          <w:rFonts w:hint="eastAsia" w:ascii="宋体" w:hAnsi="宋体" w:cs="宋体"/>
          <w:bCs/>
          <w:szCs w:val="21"/>
        </w:rPr>
      </w:r>
      <w:r/>
    </w:p>
    <w:p>
      <w:pPr>
        <w:pStyle w:val="1344"/>
        <w:ind w:firstLine="420"/>
        <w:spacing w:line="360" w:lineRule="auto"/>
        <w:rPr>
          <w:rFonts w:hint="eastAsia" w:ascii="宋体" w:hAnsi="宋体" w:cs="宋体"/>
          <w:bCs/>
          <w:szCs w:val="21"/>
        </w:rPr>
      </w:pPr>
      <w:r>
        <w:rPr>
          <w:rFonts w:hint="eastAsia" w:ascii="宋体" w:hAnsi="宋体" w:cs="宋体"/>
          <w:bCs/>
          <w:szCs w:val="21"/>
        </w:rPr>
        <w:t xml:space="preserve">30.10采购代理机构在收到书面质疑后七个工作日内作出答复，并以书面形式通知质疑供应商和其他有关供应商，答复的内容不涉及商业秘密。</w:t>
      </w:r>
      <w:r>
        <w:rPr>
          <w:rFonts w:hint="eastAsia" w:ascii="宋体" w:hAnsi="宋体" w:cs="宋体"/>
          <w:bCs/>
          <w:szCs w:val="21"/>
        </w:rPr>
        <w:br w:type="textWrapping" w:clear="all"/>
      </w:r>
      <w:r>
        <w:rPr>
          <w:rFonts w:hint="eastAsia" w:ascii="宋体" w:hAnsi="宋体" w:cs="宋体"/>
          <w:b/>
          <w:bCs/>
          <w:szCs w:val="21"/>
        </w:rPr>
        <w:t xml:space="preserve">八、政府采购履约资金扶持政策</w:t>
      </w:r>
      <w:r>
        <w:rPr>
          <w:rFonts w:hint="eastAsia" w:ascii="宋体" w:hAnsi="宋体" w:cs="宋体"/>
          <w:bCs/>
          <w:szCs w:val="21"/>
        </w:rPr>
      </w:r>
      <w:r/>
    </w:p>
    <w:p>
      <w:pPr>
        <w:pStyle w:val="1344"/>
        <w:ind w:firstLine="420"/>
        <w:spacing w:line="360" w:lineRule="auto"/>
        <w:rPr>
          <w:rFonts w:ascii="Arial" w:hAnsi="Arial" w:cs="Arial"/>
          <w:bCs/>
        </w:rPr>
      </w:pPr>
      <w:r>
        <w:rPr>
          <w:rFonts w:hint="eastAsia" w:ascii="宋体" w:hAnsi="宋体" w:cs="宋体"/>
          <w:bCs/>
          <w:szCs w:val="21"/>
        </w:rPr>
        <w:t xml:space="preserve">中标人可凭政府采购合同办理融资贷款，详情请见江苏政府采购网“政采贷”专栏。</w:t>
      </w:r>
      <w:r>
        <w:rPr>
          <w:rFonts w:ascii="Arial" w:hAnsi="Arial" w:cs="Arial"/>
          <w:bCs/>
        </w:rPr>
      </w:r>
      <w:r/>
    </w:p>
    <w:p>
      <w:pPr>
        <w:pStyle w:val="1344"/>
        <w:ind w:firstLine="420"/>
        <w:spacing w:line="440" w:lineRule="exact"/>
        <w:rPr>
          <w:bCs/>
          <w:szCs w:val="21"/>
        </w:rPr>
      </w:pPr>
      <w:r>
        <w:rPr>
          <w:bCs/>
          <w:szCs w:val="21"/>
        </w:rPr>
      </w:r>
      <w:r/>
    </w:p>
    <w:p>
      <w:pPr>
        <w:pStyle w:val="1344"/>
        <w:jc w:val="center"/>
        <w:spacing w:line="440" w:lineRule="exact"/>
        <w:rPr>
          <w:b/>
          <w:sz w:val="28"/>
          <w:szCs w:val="28"/>
        </w:rPr>
        <w:outlineLvl w:val="0"/>
      </w:pPr>
      <w:r/>
      <w:bookmarkStart w:id="210" w:name="_Toc189726853"/>
      <w:r/>
      <w:bookmarkEnd w:id="210"/>
      <w:r/>
      <w:bookmarkStart w:id="211" w:name="_Hlk297273538"/>
      <w:r/>
      <w:bookmarkEnd w:id="211"/>
      <w:r/>
      <w:bookmarkStart w:id="212" w:name="_Toc163629751"/>
      <w:r/>
      <w:bookmarkEnd w:id="212"/>
      <w:r/>
      <w:bookmarkStart w:id="213" w:name="_Toc521839351"/>
      <w:r/>
      <w:bookmarkEnd w:id="213"/>
      <w:r/>
      <w:bookmarkStart w:id="214" w:name="_Toc25032666"/>
      <w:r/>
      <w:bookmarkEnd w:id="214"/>
      <w:r/>
      <w:bookmarkStart w:id="215" w:name="_Toc522347554"/>
      <w:r/>
      <w:bookmarkEnd w:id="215"/>
      <w:r/>
      <w:bookmarkStart w:id="216" w:name="_Toc142623417"/>
      <w:r/>
      <w:bookmarkEnd w:id="216"/>
      <w:r/>
      <w:bookmarkStart w:id="217" w:name="_Toc12622"/>
      <w:r/>
      <w:bookmarkStart w:id="218" w:name="_Toc16918"/>
      <w:r>
        <w:rPr>
          <w:b/>
          <w:sz w:val="28"/>
          <w:szCs w:val="28"/>
        </w:rPr>
        <w:br w:type="page" w:clear="all"/>
      </w:r>
      <w:bookmarkStart w:id="219" w:name="_Toc29844"/>
      <w:r>
        <w:rPr>
          <w:b/>
          <w:sz w:val="28"/>
          <w:szCs w:val="28"/>
        </w:rPr>
        <w:t xml:space="preserve">第三章 评标标准</w:t>
      </w:r>
      <w:bookmarkEnd w:id="217"/>
      <w:r/>
      <w:bookmarkEnd w:id="218"/>
      <w:r/>
      <w:bookmarkEnd w:id="219"/>
      <w:r>
        <w:rPr>
          <w:b/>
          <w:sz w:val="28"/>
          <w:szCs w:val="28"/>
        </w:rPr>
      </w:r>
      <w:r/>
    </w:p>
    <w:p>
      <w:pPr>
        <w:pStyle w:val="1344"/>
        <w:ind w:left="632" w:hanging="632"/>
        <w:spacing w:line="360" w:lineRule="auto"/>
        <w:widowControl/>
        <w:rPr>
          <w:rFonts w:hint="eastAsia" w:ascii="宋体" w:hAnsi="宋体" w:cs="宋体"/>
          <w:b/>
          <w:bCs/>
          <w:szCs w:val="21"/>
        </w:rPr>
      </w:pPr>
      <w:r>
        <w:rPr>
          <w:rFonts w:hint="eastAsia" w:ascii="宋体" w:hAnsi="宋体" w:cs="宋体"/>
          <w:b/>
          <w:bCs/>
          <w:szCs w:val="21"/>
        </w:rPr>
        <w:t xml:space="preserve">（一）评审方法</w:t>
      </w:r>
      <w:r>
        <w:rPr>
          <w:rFonts w:hint="eastAsia" w:ascii="宋体" w:hAnsi="宋体" w:cs="宋体"/>
          <w:b/>
          <w:bCs/>
          <w:szCs w:val="21"/>
        </w:rPr>
      </w:r>
      <w:r/>
    </w:p>
    <w:p>
      <w:pPr>
        <w:pStyle w:val="1344"/>
        <w:ind w:firstLine="422"/>
        <w:spacing w:line="360" w:lineRule="auto"/>
        <w:rPr>
          <w:rFonts w:hint="eastAsia" w:ascii="宋体" w:hAnsi="宋体" w:cs="宋体"/>
          <w:b/>
          <w:bCs/>
          <w:szCs w:val="21"/>
        </w:rPr>
      </w:pPr>
      <w:r>
        <w:rPr>
          <w:rFonts w:hint="eastAsia" w:ascii="宋体" w:hAnsi="宋体" w:cs="宋体"/>
          <w:b/>
          <w:bCs/>
          <w:szCs w:val="21"/>
        </w:rPr>
        <w:t xml:space="preserve">本项目采用综合评分法。</w:t>
      </w:r>
      <w:r>
        <w:rPr>
          <w:rFonts w:hint="eastAsia" w:ascii="宋体" w:hAnsi="宋体" w:cs="宋体"/>
          <w:b/>
          <w:bCs/>
          <w:szCs w:val="21"/>
        </w:rPr>
      </w:r>
      <w:r/>
    </w:p>
    <w:p>
      <w:pPr>
        <w:pStyle w:val="1344"/>
        <w:spacing w:line="360" w:lineRule="auto"/>
        <w:rPr>
          <w:rFonts w:hint="eastAsia" w:ascii="宋体" w:hAnsi="宋体" w:cs="宋体"/>
          <w:b/>
          <w:bCs/>
          <w:szCs w:val="21"/>
        </w:rPr>
      </w:pPr>
      <w:r>
        <w:rPr>
          <w:rFonts w:hint="eastAsia" w:ascii="宋体" w:hAnsi="宋体" w:cs="宋体"/>
          <w:b/>
          <w:bCs/>
          <w:szCs w:val="21"/>
        </w:rPr>
        <w:t xml:space="preserve">（二）评审标准</w:t>
      </w:r>
      <w:r>
        <w:rPr>
          <w:rFonts w:hint="eastAsia" w:ascii="宋体" w:hAnsi="宋体" w:cs="宋体"/>
          <w:b/>
          <w:bCs/>
          <w:szCs w:val="21"/>
        </w:rPr>
      </w:r>
      <w:r/>
    </w:p>
    <w:p>
      <w:pPr>
        <w:pStyle w:val="1344"/>
        <w:ind w:firstLine="211"/>
        <w:spacing w:line="360" w:lineRule="auto"/>
        <w:rPr>
          <w:rFonts w:hint="eastAsia" w:ascii="宋体" w:hAnsi="宋体" w:cs="宋体"/>
          <w:szCs w:val="21"/>
        </w:rPr>
      </w:pPr>
      <w:r>
        <w:rPr>
          <w:rFonts w:hint="eastAsia" w:ascii="宋体" w:hAnsi="宋体" w:cs="宋体"/>
          <w:b/>
          <w:bCs/>
          <w:szCs w:val="21"/>
        </w:rPr>
        <w:t xml:space="preserve">（1）</w:t>
      </w:r>
      <w:r>
        <w:rPr>
          <w:rFonts w:hint="eastAsia" w:ascii="宋体" w:hAnsi="宋体" w:cs="宋体"/>
          <w:b/>
          <w:bCs/>
          <w:color w:val="000000"/>
          <w:szCs w:val="21"/>
        </w:rPr>
        <w:t xml:space="preserve">国家政策导向</w:t>
      </w:r>
      <w:r>
        <w:rPr>
          <w:rFonts w:hint="eastAsia" w:ascii="宋体" w:hAnsi="宋体" w:cs="宋体"/>
          <w:szCs w:val="21"/>
        </w:rPr>
      </w:r>
      <w:r/>
    </w:p>
    <w:p>
      <w:pPr>
        <w:pStyle w:val="1344"/>
        <w:ind w:firstLine="422"/>
        <w:spacing w:line="360" w:lineRule="auto"/>
        <w:rPr>
          <w:rFonts w:hint="eastAsia" w:ascii="宋体" w:hAnsi="宋体" w:cs="宋体"/>
          <w:szCs w:val="21"/>
        </w:rPr>
      </w:pPr>
      <w:r>
        <w:rPr>
          <w:rFonts w:hint="eastAsia" w:ascii="宋体" w:hAnsi="宋体" w:cs="宋体"/>
          <w:b/>
          <w:bCs/>
          <w:szCs w:val="21"/>
        </w:rPr>
        <w:t xml:space="preserve">①促进小微企业发展政策</w:t>
      </w:r>
      <w:r>
        <w:rPr>
          <w:rFonts w:hint="eastAsia" w:ascii="宋体" w:hAnsi="宋体" w:cs="宋体"/>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cs="宋体"/>
          <w:szCs w:val="21"/>
        </w:rPr>
      </w:r>
      <w:r/>
    </w:p>
    <w:p>
      <w:pPr>
        <w:pStyle w:val="1344"/>
        <w:ind w:firstLine="420"/>
        <w:spacing w:line="360" w:lineRule="auto"/>
        <w:rPr>
          <w:rFonts w:hint="eastAsia" w:ascii="宋体" w:hAnsi="宋体" w:cs="宋体"/>
          <w:szCs w:val="21"/>
        </w:rPr>
      </w:pPr>
      <w:r>
        <w:rPr>
          <w:rFonts w:hint="eastAsia" w:ascii="宋体" w:hAnsi="宋体" w:cs="宋体"/>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cs="宋体"/>
          <w:szCs w:val="21"/>
        </w:rPr>
      </w:r>
      <w:r/>
    </w:p>
    <w:p>
      <w:pPr>
        <w:pStyle w:val="1344"/>
        <w:ind w:firstLine="422"/>
        <w:spacing w:line="360" w:lineRule="auto"/>
        <w:rPr>
          <w:rFonts w:hint="eastAsia" w:ascii="宋体" w:hAnsi="宋体" w:cs="宋体"/>
          <w:szCs w:val="21"/>
        </w:rPr>
      </w:pPr>
      <w:r>
        <w:rPr>
          <w:rFonts w:hint="eastAsia" w:ascii="宋体" w:hAnsi="宋体" w:cs="宋体"/>
          <w:b/>
          <w:bCs/>
          <w:szCs w:val="21"/>
        </w:rPr>
        <w:t xml:space="preserve">②监狱企业扶持政策：</w:t>
      </w:r>
      <w:r>
        <w:rPr>
          <w:rFonts w:hint="eastAsia" w:ascii="宋体" w:hAnsi="宋体" w:cs="宋体"/>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szCs w:val="21"/>
        </w:rPr>
      </w:r>
      <w:r/>
    </w:p>
    <w:p>
      <w:pPr>
        <w:pStyle w:val="1344"/>
        <w:ind w:firstLine="422"/>
        <w:spacing w:line="360" w:lineRule="auto"/>
        <w:rPr>
          <w:rFonts w:hint="eastAsia" w:ascii="宋体" w:hAnsi="宋体" w:cs="宋体"/>
          <w:szCs w:val="21"/>
        </w:rPr>
      </w:pPr>
      <w:r>
        <w:rPr>
          <w:rFonts w:hint="eastAsia" w:ascii="宋体" w:hAnsi="宋体" w:cs="宋体"/>
          <w:b/>
          <w:bCs/>
          <w:szCs w:val="21"/>
        </w:rPr>
        <w:t xml:space="preserve">③残疾人福利性单位扶持政策：</w:t>
      </w:r>
      <w:r>
        <w:rPr>
          <w:rFonts w:hint="eastAsia" w:ascii="宋体" w:hAnsi="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szCs w:val="21"/>
        </w:rPr>
      </w:r>
      <w:r/>
    </w:p>
    <w:p>
      <w:pPr>
        <w:pStyle w:val="1344"/>
        <w:ind w:firstLine="422"/>
        <w:spacing w:line="360" w:lineRule="auto"/>
        <w:rPr>
          <w:rFonts w:hint="eastAsia" w:ascii="宋体" w:hAnsi="宋体" w:cs="宋体"/>
          <w:szCs w:val="21"/>
        </w:rPr>
      </w:pPr>
      <w:r>
        <w:rPr>
          <w:rFonts w:hint="eastAsia" w:ascii="宋体" w:hAnsi="宋体" w:cs="宋体"/>
          <w:b/>
          <w:bCs/>
          <w:szCs w:val="21"/>
        </w:rPr>
        <w:t xml:space="preserve">④乡村产业振兴支持政策：</w:t>
      </w:r>
      <w:r>
        <w:rPr>
          <w:rFonts w:hint="eastAsia" w:ascii="宋体" w:hAnsi="宋体" w:cs="宋体"/>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rFonts w:hint="eastAsia" w:ascii="宋体" w:hAnsi="宋体" w:cs="宋体"/>
          <w:szCs w:val="21"/>
        </w:rPr>
      </w:r>
      <w:r/>
    </w:p>
    <w:p>
      <w:pPr>
        <w:pStyle w:val="1344"/>
        <w:ind w:firstLine="422"/>
        <w:spacing w:line="360" w:lineRule="auto"/>
        <w:rPr>
          <w:rFonts w:hint="eastAsia" w:ascii="宋体" w:hAnsi="宋体" w:cs="宋体"/>
          <w:szCs w:val="21"/>
        </w:rPr>
      </w:pPr>
      <w:r>
        <w:rPr>
          <w:rFonts w:hint="eastAsia" w:ascii="宋体" w:hAnsi="宋体" w:cs="宋体"/>
          <w:b/>
          <w:bCs/>
          <w:szCs w:val="21"/>
        </w:rPr>
        <w:t xml:space="preserve">⑤采购本国产品的支持政策：</w:t>
      </w:r>
      <w:r>
        <w:rPr>
          <w:rFonts w:hint="eastAsia" w:ascii="宋体" w:hAnsi="宋体" w:cs="宋体"/>
          <w:szCs w:val="21"/>
        </w:rPr>
      </w:r>
      <w:r/>
    </w:p>
    <w:p>
      <w:pPr>
        <w:pStyle w:val="134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①本项目政府采购活动中既有本国产品又有非本国产品参与竞争的，依法对本国产品给予价格评审优惠，对本国产品的报价给予20%的价格扣除，用扣除后的价格参与评审。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szCs w:val="21"/>
        </w:rPr>
      </w:r>
      <w:r/>
    </w:p>
    <w:p>
      <w:pPr>
        <w:pStyle w:val="134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②当采购项目或者采购包中含有多种产品，供应商为该采购项目或者采购包提供的符合本国产品标准的产品成本之和占该供应商提供的全部产品成本之和的比例达到80%以上时（供应商需在“第五章 投标文件格式”的“附件3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color w:val="000000"/>
          <w:szCs w:val="21"/>
        </w:rPr>
      </w:r>
      <w:r/>
    </w:p>
    <w:p>
      <w:pPr>
        <w:pStyle w:val="134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③供应商需按照招标文件的要求提供《关于符合本国产品标准的声明函》（以下简称《声明函》），如不提供将不享受本国产品价格评审优惠。（《关于符合本国产品标准的声明函》格式见投标文件格式部分）</w:t>
      </w:r>
      <w:r>
        <w:rPr>
          <w:rFonts w:hint="eastAsia" w:ascii="宋体" w:hAnsi="宋体" w:cs="宋体"/>
          <w:color w:val="000000"/>
          <w:szCs w:val="21"/>
        </w:rPr>
      </w:r>
      <w:r/>
    </w:p>
    <w:p>
      <w:pPr>
        <w:pStyle w:val="134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000000"/>
          <w:szCs w:val="21"/>
        </w:rPr>
      </w:r>
      <w:r/>
    </w:p>
    <w:p>
      <w:pPr>
        <w:pStyle w:val="134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szCs w:val="21"/>
        </w:rPr>
      </w:r>
      <w:r/>
    </w:p>
    <w:p>
      <w:pPr>
        <w:pStyle w:val="1344"/>
        <w:ind w:firstLine="210"/>
        <w:spacing w:line="360" w:lineRule="auto"/>
        <w:rPr>
          <w:rFonts w:hint="eastAsia" w:ascii="宋体" w:hAnsi="宋体" w:cs="宋体"/>
          <w:szCs w:val="21"/>
        </w:rPr>
      </w:pPr>
      <w:r>
        <w:rPr>
          <w:rFonts w:hint="eastAsia" w:ascii="宋体" w:hAnsi="宋体" w:cs="宋体"/>
          <w:szCs w:val="21"/>
        </w:rPr>
        <w:t xml:space="preserve">（2）本项目总分为100分，</w:t>
      </w:r>
      <w:r>
        <w:rPr>
          <w:rFonts w:hint="eastAsia" w:ascii="宋体" w:hAnsi="宋体" w:cs="宋体"/>
          <w:szCs w:val="21"/>
        </w:rPr>
        <w:t xml:space="preserve">小数点后保留2位。</w:t>
      </w:r>
      <w:r>
        <w:rPr>
          <w:rFonts w:hint="eastAsia" w:ascii="宋体" w:hAnsi="宋体" w:cs="宋体"/>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hAnsi="宋体" w:cs="宋体"/>
          <w:szCs w:val="21"/>
        </w:rPr>
      </w:r>
      <w:r/>
    </w:p>
    <w:p>
      <w:pPr>
        <w:pStyle w:val="1344"/>
        <w:ind w:firstLine="420"/>
        <w:spacing w:line="360" w:lineRule="auto"/>
        <w:rPr>
          <w:rFonts w:hint="eastAsia" w:ascii="宋体" w:hAnsi="宋体" w:cs="宋体"/>
          <w:szCs w:val="21"/>
        </w:rPr>
        <w:sectPr>
          <w:footerReference w:type="default" r:id="rId16"/>
          <w:footerReference w:type="first" r:id="rId17"/>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szCs w:val="21"/>
        </w:rPr>
        <w:t xml:space="preserve">具体打分方法如下：</w:t>
      </w:r>
      <w:r>
        <w:rPr>
          <w:rFonts w:hint="eastAsia" w:ascii="宋体" w:hAnsi="宋体" w:cs="宋体"/>
          <w:szCs w:val="21"/>
        </w:rPr>
      </w:r>
      <w:r/>
    </w:p>
    <w:p>
      <w:pPr>
        <w:pStyle w:val="1344"/>
        <w:keepLines w:val="0"/>
        <w:keepNext w:val="0"/>
        <w:pageBreakBefore w:val="0"/>
        <w:spacing w:line="480" w:lineRule="exact"/>
        <w:rPr>
          <w:rFonts w:hint="eastAsia" w:ascii="宋体" w:hAnsi="宋体" w:cs="宋体"/>
          <w:b/>
          <w:bCs/>
          <w:szCs w:val="21"/>
        </w:rPr>
        <w:outlineLvl w:val="1"/>
      </w:pPr>
      <w:r/>
      <w:bookmarkStart w:id="220" w:name="_Toc27279"/>
      <w:r/>
      <w:bookmarkStart w:id="221" w:name="_Toc13486"/>
      <w:r>
        <w:rPr>
          <w:rFonts w:hint="eastAsia" w:ascii="宋体" w:hAnsi="宋体" w:cs="宋体"/>
          <w:b/>
          <w:bCs/>
          <w:szCs w:val="21"/>
        </w:rPr>
        <w:t xml:space="preserve">分包1</w:t>
      </w:r>
      <w:bookmarkEnd w:id="220"/>
      <w:r/>
      <w:bookmarkEnd w:id="221"/>
      <w:r>
        <w:rPr>
          <w:rFonts w:hint="eastAsia" w:ascii="宋体" w:hAnsi="宋体" w:cs="宋体"/>
          <w:b/>
          <w:bCs/>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1608"/>
        <w:gridCol w:w="6713"/>
        <w:gridCol w:w="788"/>
      </w:tblGrid>
      <w:tr>
        <w:trPr/>
        <w:tc>
          <w:tcPr>
            <w:tcW w:w="378" w:type="dxa"/>
            <w:vAlign w:val="center"/>
            <w:textDirection w:val="lrTb"/>
            <w:noWrap/>
          </w:tcPr>
          <w:p>
            <w:pPr>
              <w:pStyle w:val="1344"/>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816" w:type="dxa"/>
            <w:vAlign w:val="center"/>
            <w:textDirection w:val="lrTb"/>
            <w:noWrap/>
          </w:tcPr>
          <w:p>
            <w:pPr>
              <w:pStyle w:val="1344"/>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评分因素</w:t>
            </w:r>
            <w:r>
              <w:rPr>
                <w:rFonts w:ascii="宋体" w:hAnsi="宋体" w:cs="宋体"/>
                <w:b/>
                <w:bCs/>
                <w:szCs w:val="21"/>
              </w:rPr>
            </w:r>
            <w:r/>
          </w:p>
        </w:tc>
        <w:tc>
          <w:tcPr>
            <w:tcW w:w="3406" w:type="dxa"/>
            <w:vAlign w:val="center"/>
            <w:textDirection w:val="lrTb"/>
            <w:noWrap/>
          </w:tcPr>
          <w:p>
            <w:pPr>
              <w:pStyle w:val="1344"/>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评审细则</w:t>
            </w:r>
            <w:r>
              <w:rPr>
                <w:rFonts w:ascii="宋体" w:hAnsi="宋体" w:cs="宋体"/>
                <w:b/>
                <w:bCs/>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分值</w:t>
            </w:r>
            <w:r>
              <w:rPr>
                <w:rFonts w:ascii="宋体" w:hAnsi="宋体" w:cs="宋体"/>
                <w:b/>
                <w:bCs/>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816"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投标报价</w:t>
            </w:r>
            <w:r>
              <w:rPr>
                <w:rFonts w:ascii="宋体" w:hAnsi="宋体" w:cs="宋体"/>
                <w:szCs w:val="21"/>
              </w:rPr>
            </w:r>
            <w:r/>
          </w:p>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（30分）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本次招标，以进入详细评审的各投标人评标价的最低值为A值，A值为价格分的满分，即30分。其他投标人的价格分统一按照以下公式计算：投标人评标价得分=（A／该投标人评标价）×30。</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30</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816"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技术及商务响应</w:t>
            </w:r>
            <w:r>
              <w:rPr>
                <w:rFonts w:ascii="宋体" w:hAnsi="宋体" w:cs="宋体"/>
                <w:szCs w:val="21"/>
              </w:rPr>
            </w:r>
            <w:r/>
          </w:p>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40</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设备技术参数及商务要求全部满足招标要求的得满分40分；</w:t>
            </w:r>
            <w:r>
              <w:rPr>
                <w:rFonts w:ascii="宋体" w:hAnsi="宋体" w:cs="宋体"/>
                <w:szCs w:val="21"/>
              </w:rPr>
            </w:r>
            <w:r/>
          </w:p>
          <w:p>
            <w:pPr>
              <w:pStyle w:val="1344"/>
              <w:keepLines w:val="0"/>
              <w:keepNext w:val="0"/>
              <w:pageBreakBefore w:val="0"/>
              <w:spacing w:line="480" w:lineRule="exact"/>
              <w:rPr>
                <w:rFonts w:ascii="宋体" w:hAnsi="宋体" w:cs="宋体"/>
                <w:b/>
                <w:bCs/>
                <w:szCs w:val="21"/>
              </w:rPr>
            </w:pPr>
            <w:r>
              <w:rPr>
                <w:rFonts w:hint="eastAsia" w:ascii="宋体" w:hAnsi="宋体" w:cs="宋体"/>
                <w:szCs w:val="21"/>
              </w:rPr>
              <w:t xml:space="preserve">在此基础上，</w:t>
            </w:r>
            <w:r>
              <w:rPr>
                <w:rFonts w:hint="eastAsia" w:ascii="宋体" w:hAnsi="宋体" w:cs="宋体"/>
                <w:b/>
                <w:bCs/>
                <w:szCs w:val="21"/>
              </w:rPr>
              <w:t xml:space="preserve">招标文件中</w:t>
            </w:r>
            <w:r>
              <w:rPr>
                <w:rFonts w:hint="eastAsia" w:ascii="宋体" w:hAnsi="宋体" w:cs="宋体"/>
                <w:b/>
                <w:bCs/>
                <w:szCs w:val="21"/>
                <w:highlight w:val="none"/>
              </w:rPr>
              <w:t xml:space="preserve">标注“</w:t>
            </w:r>
            <w:r>
              <w:rPr>
                <w:rFonts w:hint="eastAsia" w:ascii="宋体" w:hAnsi="宋体" w:cs="宋体"/>
                <w:b/>
                <w:bCs/>
                <w:szCs w:val="21"/>
                <w:highlight w:val="none"/>
              </w:rPr>
              <w:t xml:space="preserve">★”的条款为实质性要求，有一项负偏离，作无效投标处理,招标文件中标注“▲”的为重要参数，每负偏离一项扣</w:t>
            </w:r>
            <w:r>
              <w:rPr>
                <w:rFonts w:hint="eastAsia"/>
                <w:highlight w:val="none"/>
              </w:rPr>
              <w:t xml:space="preserve">2</w:t>
            </w:r>
            <w:r>
              <w:rPr>
                <w:rFonts w:hint="eastAsia" w:ascii="宋体" w:hAnsi="宋体" w:cs="宋体"/>
                <w:b/>
                <w:bCs/>
                <w:szCs w:val="21"/>
                <w:highlight w:val="none"/>
              </w:rPr>
              <w:t xml:space="preserve">分，</w:t>
            </w:r>
            <w:r>
              <w:rPr>
                <w:rFonts w:hint="eastAsia" w:ascii="宋体" w:hAnsi="宋体" w:cs="宋体"/>
                <w:szCs w:val="21"/>
                <w:highlight w:val="none"/>
              </w:rPr>
              <w:t xml:space="preserve">其他非重要技术条款每有一项负偏离扣0.35分，扣完为止。所有技术参数中，简单复制招标文件并标注响应或无偏离而又无相关完整技术支持资料证实，评审时评审委员会</w:t>
            </w:r>
            <w:r>
              <w:rPr>
                <w:rFonts w:hint="eastAsia" w:ascii="宋体" w:hAnsi="宋体" w:cs="宋体"/>
                <w:szCs w:val="21"/>
              </w:rPr>
              <w:t xml:space="preserve">成员有权不予认可。对招标文件明确的需主观判定的功能性描述要求未做任何情况说明或响应承诺的，评标委员会有权予以否决或做负偏离处理。</w:t>
            </w:r>
            <w:r>
              <w:rPr>
                <w:rFonts w:ascii="宋体" w:hAnsi="宋体" w:cs="宋体"/>
                <w:b/>
                <w:bCs/>
                <w:szCs w:val="21"/>
              </w:rPr>
            </w:r>
            <w:r/>
          </w:p>
          <w:p>
            <w:pPr>
              <w:pStyle w:val="1344"/>
              <w:keepLines w:val="0"/>
              <w:keepNext w:val="0"/>
              <w:pageBreakBefore w:val="0"/>
              <w:spacing w:line="480" w:lineRule="exact"/>
              <w:rPr>
                <w:rFonts w:ascii="Calibri" w:hAnsi="Calibri"/>
                <w:szCs w:val="21"/>
              </w:rPr>
            </w:pPr>
            <w:r>
              <w:rPr>
                <w:rFonts w:hint="eastAsia" w:ascii="宋体" w:hAnsi="宋体" w:cs="宋体"/>
                <w:b/>
                <w:bCs/>
                <w:szCs w:val="21"/>
              </w:rPr>
              <w:t xml:space="preserve">注：</w:t>
            </w:r>
            <w:r>
              <w:rPr>
                <w:rFonts w:hint="eastAsia" w:ascii="宋体" w:hAnsi="宋体" w:cs="宋体"/>
                <w:b/>
                <w:szCs w:val="21"/>
              </w:rPr>
              <w:t xml:space="preserve">所有对招标文件标注</w:t>
            </w:r>
            <w:r>
              <w:rPr>
                <w:rFonts w:hint="eastAsia" w:ascii="宋体" w:hAnsi="宋体" w:cs="宋体"/>
                <w:b/>
                <w:bCs/>
                <w:szCs w:val="21"/>
              </w:rPr>
              <w:t xml:space="preserve">“</w:t>
            </w:r>
            <w:r>
              <w:rPr>
                <w:rFonts w:hint="eastAsia" w:ascii="宋体" w:hAnsi="宋体" w:cs="宋体"/>
                <w:b/>
                <w:bCs/>
                <w:szCs w:val="21"/>
              </w:rPr>
              <w:t xml:space="preserve">★”</w:t>
            </w:r>
            <w:r>
              <w:rPr>
                <w:rFonts w:hint="eastAsia" w:ascii="宋体" w:hAnsi="宋体" w:cs="宋体"/>
                <w:b/>
                <w:szCs w:val="21"/>
              </w:rPr>
              <w:t xml:space="preserve">和</w:t>
            </w:r>
            <w:r>
              <w:rPr>
                <w:rFonts w:hint="eastAsia" w:ascii="宋体" w:hAnsi="宋体" w:cs="宋体"/>
                <w:b/>
                <w:bCs/>
                <w:szCs w:val="21"/>
              </w:rPr>
              <w:t xml:space="preserve">“▲”</w:t>
            </w:r>
            <w:r>
              <w:rPr>
                <w:rFonts w:hint="eastAsia" w:ascii="宋体" w:hAnsi="宋体" w:cs="宋体"/>
                <w:b/>
                <w:szCs w:val="21"/>
              </w:rPr>
              <w:t xml:space="preserve">的具体要求、参数、数值指标的响应，要求投标供应商必须在投标文件中提供技术支持资料（技术支持资料种类以文件第四章要求为准，如无特殊要求则为明确说明该技术内容的公开发行的手册、彩页、官网截图、功能页面截图、检测报告、白皮书等），</w:t>
            </w:r>
            <w:r>
              <w:rPr>
                <w:rFonts w:hint="eastAsia" w:ascii="宋体" w:hAnsi="宋体" w:cs="宋体"/>
                <w:b/>
                <w:bCs/>
                <w:szCs w:val="21"/>
              </w:rPr>
              <w:t xml:space="preserve">设备及明细配置清单</w:t>
            </w:r>
            <w:r>
              <w:rPr>
                <w:rFonts w:hint="eastAsia" w:ascii="宋体" w:hAnsi="宋体" w:cs="宋体"/>
                <w:b/>
                <w:bCs/>
                <w:szCs w:val="21"/>
                <w:lang w:eastAsia="zh-CN"/>
              </w:rPr>
              <w:t xml:space="preserve">或商务要求（质保期）中标注“★”</w:t>
            </w:r>
            <w:r>
              <w:rPr>
                <w:rFonts w:hint="eastAsia" w:ascii="宋体" w:hAnsi="宋体" w:cs="宋体"/>
                <w:b/>
                <w:szCs w:val="21"/>
              </w:rPr>
              <w:t xml:space="preserve">和</w:t>
            </w:r>
            <w:r>
              <w:rPr>
                <w:rFonts w:hint="eastAsia" w:ascii="宋体" w:hAnsi="宋体" w:cs="宋体"/>
                <w:b/>
                <w:bCs/>
                <w:szCs w:val="21"/>
              </w:rPr>
              <w:t xml:space="preserve">“▲”</w:t>
            </w:r>
            <w:r>
              <w:rPr>
                <w:rFonts w:hint="eastAsia" w:ascii="宋体" w:hAnsi="宋体" w:cs="宋体"/>
                <w:b/>
                <w:szCs w:val="21"/>
              </w:rPr>
              <w:t xml:space="preserve">的无需提供。</w:t>
            </w:r>
            <w:r>
              <w:rPr>
                <w:rFonts w:ascii="Calibri" w:hAnsi="Calibri"/>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t xml:space="preserve">40</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3.1</w:t>
            </w:r>
            <w:r>
              <w:rPr>
                <w:rFonts w:ascii="宋体" w:hAnsi="宋体" w:cs="宋体"/>
                <w:szCs w:val="21"/>
              </w:rPr>
            </w:r>
            <w:r/>
          </w:p>
        </w:tc>
        <w:tc>
          <w:tcPr>
            <w:tcW w:w="816"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产品技术方案（</w:t>
            </w:r>
            <w:r>
              <w:rPr>
                <w:rFonts w:ascii="宋体" w:hAnsi="宋体" w:cs="宋体"/>
                <w:szCs w:val="21"/>
              </w:rPr>
              <w:t xml:space="preserve">5</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lang w:bidi="ar"/>
              </w:rPr>
            </w:pPr>
            <w:r>
              <w:rPr>
                <w:rFonts w:hint="eastAsia" w:ascii="宋体" w:hAnsi="宋体" w:cs="宋体"/>
                <w:szCs w:val="21"/>
                <w:lang w:bidi="ar"/>
              </w:rPr>
              <w:t xml:space="preserve">评委根据投标文件中</w:t>
            </w:r>
            <w:r>
              <w:rPr>
                <w:rFonts w:hint="eastAsia" w:ascii="宋体" w:hAnsi="宋体" w:cs="宋体"/>
                <w:szCs w:val="21"/>
              </w:rPr>
              <w:t xml:space="preserve">产品技术方案进行打分：</w:t>
            </w:r>
            <w:r>
              <w:rPr>
                <w:rFonts w:ascii="宋体" w:hAnsi="宋体" w:cs="宋体"/>
                <w:szCs w:val="21"/>
                <w:lang w:bidi="ar"/>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w:t>
            </w:r>
            <w:r>
              <w:rPr>
                <w:rFonts w:hint="eastAsia" w:ascii="宋体" w:hAnsi="宋体" w:cs="宋体"/>
                <w:szCs w:val="21"/>
                <w:lang w:bidi="ar"/>
              </w:rPr>
              <w:t xml:space="preserve">方案全面具体、内容详实，产品设计先进、数据准确的得</w:t>
            </w:r>
            <w:r>
              <w:rPr>
                <w:rFonts w:ascii="宋体" w:hAnsi="宋体" w:cs="宋体"/>
                <w:szCs w:val="21"/>
                <w:lang w:bidi="ar"/>
              </w:rPr>
              <w:t xml:space="preserve">5</w:t>
            </w:r>
            <w:r>
              <w:rPr>
                <w:rFonts w:hint="eastAsia" w:ascii="宋体" w:hAnsi="宋体" w:cs="宋体"/>
                <w:szCs w:val="21"/>
                <w:lang w:bidi="ar"/>
              </w:rPr>
              <w:t xml:space="preserve">分； </w:t>
            </w:r>
            <w:r>
              <w:rPr>
                <w:rFonts w:ascii="宋体" w:hAnsi="宋体" w:cs="宋体"/>
                <w:szCs w:val="21"/>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w:t>
            </w:r>
            <w:r>
              <w:rPr>
                <w:rFonts w:hint="eastAsia" w:ascii="宋体" w:hAnsi="宋体" w:cs="宋体"/>
                <w:szCs w:val="21"/>
                <w:lang w:bidi="ar"/>
              </w:rPr>
              <w:t xml:space="preserve">方案较为具体全面、内容完整，产品设计合理、数据准确的得3分；</w:t>
            </w:r>
            <w:r>
              <w:rPr>
                <w:rFonts w:ascii="宋体" w:hAnsi="宋体" w:cs="宋体"/>
                <w:szCs w:val="21"/>
              </w:rPr>
            </w:r>
            <w:r/>
          </w:p>
          <w:p>
            <w:pPr>
              <w:pStyle w:val="1344"/>
              <w:keepLines w:val="0"/>
              <w:keepNext w:val="0"/>
              <w:pageBreakBefore w:val="0"/>
              <w:spacing w:line="480" w:lineRule="exact"/>
              <w:widowControl/>
              <w:rPr>
                <w:rFonts w:hint="eastAsia" w:ascii="宋体" w:hAnsi="宋体" w:cs="宋体"/>
                <w:szCs w:val="21"/>
                <w:lang w:bidi="ar"/>
              </w:rPr>
            </w:pPr>
            <w:r>
              <w:rPr>
                <w:rFonts w:hint="eastAsia" w:ascii="宋体" w:hAnsi="宋体" w:cs="宋体"/>
                <w:szCs w:val="21"/>
              </w:rPr>
              <w:t xml:space="preserve">技术</w:t>
            </w:r>
            <w:r>
              <w:rPr>
                <w:rFonts w:hint="eastAsia" w:ascii="宋体" w:hAnsi="宋体" w:cs="宋体"/>
                <w:szCs w:val="21"/>
                <w:lang w:bidi="ar"/>
              </w:rPr>
              <w:t xml:space="preserve">方案不全面、内容空泛，不能完全满足文件产品性能要求的得</w:t>
            </w:r>
            <w:r>
              <w:rPr>
                <w:rFonts w:ascii="宋体" w:hAnsi="宋体" w:cs="宋体"/>
                <w:szCs w:val="21"/>
                <w:lang w:bidi="ar"/>
              </w:rPr>
              <w:t xml:space="preserve">1</w:t>
            </w:r>
            <w:r>
              <w:rPr>
                <w:rFonts w:hint="eastAsia" w:ascii="宋体" w:hAnsi="宋体" w:cs="宋体"/>
                <w:szCs w:val="21"/>
                <w:lang w:bidi="ar"/>
              </w:rPr>
              <w:t xml:space="preserve">分；未在投标文件中提供方案或者提供的方案不可行的得0分。</w:t>
            </w:r>
            <w:r>
              <w:rPr>
                <w:rFonts w:hint="eastAsia" w:ascii="宋体" w:hAnsi="宋体" w:cs="宋体"/>
                <w:szCs w:val="21"/>
                <w:lang w:bidi="ar"/>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t xml:space="preserve">5</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4.1</w:t>
            </w:r>
            <w:r>
              <w:rPr>
                <w:rFonts w:ascii="宋体" w:hAnsi="宋体" w:cs="宋体"/>
                <w:szCs w:val="21"/>
              </w:rPr>
            </w:r>
            <w:r/>
          </w:p>
        </w:tc>
        <w:tc>
          <w:tcPr>
            <w:tcW w:w="816" w:type="dxa"/>
            <w:vAlign w:val="center"/>
            <w:vMerge w:val="restart"/>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实施方案</w:t>
            </w:r>
            <w:r>
              <w:rPr>
                <w:rFonts w:ascii="宋体" w:hAnsi="宋体" w:cs="宋体"/>
                <w:szCs w:val="21"/>
              </w:rPr>
            </w:r>
            <w:r/>
          </w:p>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（8分）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lang w:bidi="ar"/>
              </w:rPr>
              <w:t xml:space="preserve">评委根据投标文件中实施方案的内容（</w:t>
            </w:r>
            <w:r>
              <w:rPr>
                <w:rFonts w:hint="eastAsia" w:ascii="宋体" w:hAnsi="宋体" w:cs="宋体"/>
                <w:szCs w:val="21"/>
              </w:rPr>
              <w:t xml:space="preserve">包括但不限于项目整体方案、改造方案、供货计划、质量保障措施、风险控制管理措施等</w:t>
            </w:r>
            <w:r>
              <w:rPr>
                <w:rFonts w:hint="eastAsia" w:ascii="宋体" w:hAnsi="宋体" w:cs="宋体"/>
                <w:szCs w:val="21"/>
                <w:lang w:bidi="ar"/>
              </w:rPr>
              <w:t xml:space="preserve">）进行打分：</w:t>
            </w:r>
            <w:r>
              <w:rPr>
                <w:rFonts w:ascii="宋体" w:hAnsi="宋体" w:cs="宋体"/>
                <w:szCs w:val="21"/>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lang w:bidi="ar"/>
              </w:rPr>
              <w:t xml:space="preserve">实施方案全面具体、内容详实，合理完善的得4分； </w:t>
            </w:r>
            <w:r>
              <w:rPr>
                <w:rFonts w:ascii="宋体" w:hAnsi="宋体" w:cs="宋体"/>
                <w:szCs w:val="21"/>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lang w:bidi="ar"/>
              </w:rPr>
              <w:t xml:space="preserve">实施方案较全面、内容完整，</w:t>
            </w:r>
            <w:r>
              <w:rPr>
                <w:rFonts w:hint="eastAsia" w:ascii="宋体" w:hAnsi="宋体" w:cs="宋体"/>
                <w:szCs w:val="21"/>
                <w:lang w:val="zh-TW" w:bidi="ar"/>
              </w:rPr>
              <w:t xml:space="preserve">尚有改进空间</w:t>
            </w:r>
            <w:r>
              <w:rPr>
                <w:rFonts w:hint="eastAsia" w:ascii="宋体" w:hAnsi="宋体" w:cs="宋体"/>
                <w:szCs w:val="21"/>
                <w:lang w:bidi="ar"/>
              </w:rPr>
              <w:t xml:space="preserve">的得2分；</w:t>
            </w:r>
            <w:r>
              <w:rPr>
                <w:rFonts w:ascii="宋体" w:hAnsi="宋体" w:cs="宋体"/>
                <w:szCs w:val="21"/>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lang w:bidi="ar"/>
              </w:rPr>
              <w:t xml:space="preserve">实施方案不全面、内容存在瑕疵，需进一步改进的得</w:t>
            </w:r>
            <w:r>
              <w:rPr>
                <w:rFonts w:ascii="宋体" w:hAnsi="宋体" w:cs="宋体"/>
                <w:szCs w:val="21"/>
                <w:lang w:bidi="ar"/>
              </w:rPr>
              <w:t xml:space="preserve">1</w:t>
            </w:r>
            <w:r>
              <w:rPr>
                <w:rFonts w:hint="eastAsia" w:ascii="宋体" w:hAnsi="宋体" w:cs="宋体"/>
                <w:szCs w:val="21"/>
                <w:lang w:bidi="ar"/>
              </w:rPr>
              <w:t xml:space="preserve">分；</w:t>
            </w:r>
            <w:r>
              <w:rPr>
                <w:rFonts w:ascii="宋体" w:hAnsi="宋体" w:cs="宋体"/>
                <w:szCs w:val="21"/>
              </w:rPr>
            </w:r>
            <w:r/>
          </w:p>
          <w:p>
            <w:pPr>
              <w:pStyle w:val="1344"/>
              <w:keepLines w:val="0"/>
              <w:keepNext w:val="0"/>
              <w:pageBreakBefore w:val="0"/>
              <w:spacing w:line="480" w:lineRule="exact"/>
              <w:rPr>
                <w:rFonts w:hint="eastAsia" w:ascii="宋体" w:hAnsi="宋体" w:cs="宋体"/>
                <w:szCs w:val="21"/>
                <w:lang w:bidi="ar"/>
              </w:rPr>
            </w:pPr>
            <w:r>
              <w:rPr>
                <w:rFonts w:hint="eastAsia" w:ascii="宋体" w:hAnsi="宋体" w:cs="宋体"/>
                <w:szCs w:val="21"/>
                <w:lang w:bidi="ar"/>
              </w:rPr>
              <w:t xml:space="preserve">未在投标文件中提供实施方案或者提供的实施方案不可行的得0分。</w:t>
            </w:r>
            <w:r>
              <w:rPr>
                <w:rFonts w:hint="eastAsia" w:ascii="宋体" w:hAnsi="宋体" w:cs="宋体"/>
                <w:szCs w:val="21"/>
                <w:lang w:bidi="ar"/>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4.2</w:t>
            </w:r>
            <w:r>
              <w:rPr>
                <w:rFonts w:ascii="宋体" w:hAnsi="宋体" w:cs="宋体"/>
                <w:szCs w:val="21"/>
              </w:rPr>
            </w:r>
            <w:r/>
          </w:p>
        </w:tc>
        <w:tc>
          <w:tcPr>
            <w:tcW w:w="816" w:type="dxa"/>
            <w:vAlign w:val="center"/>
            <w:vMerge w:val="continue"/>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评委根据投标文件中项目技术支撑和进度计划（包括但不限于人员配置、产品质量控制、设备安装调试验收进度、安全保障措施等方面）进行打分：</w:t>
            </w:r>
            <w:r>
              <w:rPr>
                <w:rFonts w:ascii="宋体" w:hAnsi="宋体" w:cs="宋体"/>
                <w:szCs w:val="21"/>
              </w:rPr>
            </w:r>
            <w:r/>
          </w:p>
          <w:p>
            <w:pPr>
              <w:pStyle w:val="1344"/>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技术支撑配置优于采购人的要求，具有针对性，项目进度分析清晰具体的得4分；</w:t>
            </w:r>
            <w:r>
              <w:rPr>
                <w:rFonts w:ascii="宋体" w:hAnsi="宋体" w:cs="宋体"/>
                <w:szCs w:val="21"/>
              </w:rPr>
            </w:r>
            <w:r/>
          </w:p>
          <w:p>
            <w:pPr>
              <w:pStyle w:val="1344"/>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技术支撑配置满足采购人的要求，项目进度分析清晰的得2分；</w:t>
            </w:r>
            <w:r>
              <w:rPr>
                <w:rFonts w:ascii="宋体" w:hAnsi="宋体" w:cs="宋体"/>
                <w:szCs w:val="21"/>
              </w:rPr>
            </w:r>
            <w:r/>
          </w:p>
          <w:p>
            <w:pPr>
              <w:pStyle w:val="1344"/>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技术支撑配置不能完全满足采购人的要求，项目进度不清晰的得1分；</w:t>
            </w:r>
            <w:r>
              <w:rPr>
                <w:rFonts w:ascii="宋体" w:hAnsi="宋体" w:cs="宋体"/>
                <w:szCs w:val="21"/>
              </w:rPr>
            </w:r>
            <w:r/>
          </w:p>
          <w:p>
            <w:pPr>
              <w:pStyle w:val="1344"/>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不提供得0分。</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5.1</w:t>
            </w:r>
            <w:r>
              <w:rPr>
                <w:rFonts w:ascii="宋体" w:hAnsi="宋体" w:cs="宋体"/>
                <w:szCs w:val="21"/>
              </w:rPr>
            </w:r>
            <w:r/>
          </w:p>
        </w:tc>
        <w:tc>
          <w:tcPr>
            <w:tcW w:w="816" w:type="dxa"/>
            <w:vAlign w:val="center"/>
            <w:vMerge w:val="restart"/>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售后服务方案</w:t>
            </w:r>
            <w:r>
              <w:rPr>
                <w:rFonts w:ascii="宋体" w:hAnsi="宋体" w:cs="宋体"/>
                <w:szCs w:val="21"/>
              </w:rPr>
            </w:r>
            <w:r/>
          </w:p>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（8分）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评委根据投标文件中售后服务方案（包括但不限于服务体系、服务内容、故障解决方案、响应时间、专业技术人员保障及服务电话、备品备件保证、质保期外维保方案等方面）进行打分：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售后服务方案完整详细，有明确的售后服务机构及人员、售后服务承诺，售后服务响应及处理时间迅速，质保期内的售后服务范围、质保期满后的售后服务范围和收费情况清晰具体</w:t>
            </w:r>
            <w:r>
              <w:rPr>
                <w:rFonts w:hint="eastAsia" w:ascii="宋体" w:hAnsi="宋体" w:cs="宋体"/>
                <w:szCs w:val="21"/>
                <w:lang w:bidi="ar"/>
              </w:rPr>
              <w:t xml:space="preserve">的</w:t>
            </w:r>
            <w:r>
              <w:rPr>
                <w:rFonts w:hint="eastAsia" w:ascii="宋体" w:hAnsi="宋体" w:cs="宋体"/>
                <w:bCs/>
                <w:szCs w:val="21"/>
              </w:rPr>
              <w:t xml:space="preserve">得4</w:t>
            </w:r>
            <w:r>
              <w:rPr>
                <w:rFonts w:hint="eastAsia" w:ascii="宋体" w:hAnsi="宋体" w:cs="宋体"/>
                <w:szCs w:val="21"/>
              </w:rPr>
              <w:t xml:space="preserve">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售后服务方案完整，有明确的售后服务机构及人员、售后服务承诺，售后服务应答及处理时间，质保期内的售后服务范围、质保期满后的售后服务范围和收费情况较为具体</w:t>
            </w:r>
            <w:r>
              <w:rPr>
                <w:rFonts w:hint="eastAsia" w:ascii="宋体" w:hAnsi="宋体" w:cs="宋体"/>
                <w:szCs w:val="21"/>
                <w:lang w:bidi="ar"/>
              </w:rPr>
              <w:t xml:space="preserve">的</w:t>
            </w:r>
            <w:r>
              <w:rPr>
                <w:rFonts w:hint="eastAsia" w:ascii="宋体" w:hAnsi="宋体" w:cs="宋体"/>
                <w:bCs/>
                <w:szCs w:val="21"/>
              </w:rPr>
              <w:t xml:space="preserve">得2</w:t>
            </w:r>
            <w:r>
              <w:rPr>
                <w:rFonts w:hint="eastAsia" w:ascii="宋体" w:hAnsi="宋体" w:cs="宋体"/>
                <w:szCs w:val="21"/>
              </w:rPr>
              <w:t xml:space="preserve">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售后服务体系</w:t>
            </w:r>
            <w:r>
              <w:rPr>
                <w:rFonts w:hint="eastAsia" w:ascii="宋体" w:hAnsi="宋体" w:cs="宋体"/>
                <w:szCs w:val="21"/>
              </w:rPr>
              <w:t xml:space="preserve">薄弱</w:t>
            </w:r>
            <w:r>
              <w:rPr>
                <w:rFonts w:hint="eastAsia" w:ascii="宋体" w:hAnsi="宋体" w:cs="宋体"/>
                <w:szCs w:val="21"/>
              </w:rPr>
              <w:t xml:space="preserve">，售后服务方案各方面内容存在缺陷或不满足</w:t>
            </w:r>
            <w:r>
              <w:rPr>
                <w:rFonts w:hint="eastAsia" w:ascii="宋体" w:hAnsi="宋体" w:cs="宋体"/>
                <w:szCs w:val="21"/>
              </w:rPr>
              <w:t xml:space="preserve">，</w:t>
            </w:r>
            <w:r>
              <w:rPr>
                <w:rFonts w:hint="eastAsia" w:ascii="宋体" w:hAnsi="宋体" w:cs="宋体"/>
                <w:bCs/>
                <w:szCs w:val="21"/>
              </w:rPr>
              <w:t xml:space="preserve">得1</w:t>
            </w:r>
            <w:r>
              <w:rPr>
                <w:rFonts w:hint="eastAsia" w:ascii="宋体" w:hAnsi="宋体" w:cs="宋体"/>
                <w:szCs w:val="21"/>
              </w:rPr>
              <w:t xml:space="preserve">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不提供得0分。</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5.2</w:t>
            </w:r>
            <w:r>
              <w:rPr>
                <w:rFonts w:ascii="宋体" w:hAnsi="宋体" w:cs="宋体"/>
                <w:szCs w:val="21"/>
              </w:rPr>
            </w:r>
            <w:r/>
          </w:p>
        </w:tc>
        <w:tc>
          <w:tcPr>
            <w:tcW w:w="816" w:type="dxa"/>
            <w:vAlign w:val="center"/>
            <w:vMerge w:val="continue"/>
            <w:textDirection w:val="lrTb"/>
            <w:noWrap/>
          </w:tcPr>
          <w:p>
            <w:pPr>
              <w:pStyle w:val="1344"/>
              <w:keepLines w:val="0"/>
              <w:keepNext w:val="0"/>
              <w:pageBreakBefore w:val="0"/>
              <w:spacing w:line="480" w:lineRule="exact"/>
              <w:rPr>
                <w:rFonts w:ascii="宋体" w:hAnsi="宋体" w:cs="宋体"/>
                <w:szCs w:val="21"/>
              </w:rPr>
            </w:pP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评委根据投标文件中培训方案（包括但不限于培训目标、培训方法、培训内容、培训师资力量、培训时间、拟提供的培训资料等方面</w:t>
            </w:r>
            <w:r>
              <w:rPr>
                <w:rFonts w:hint="eastAsia" w:ascii="宋体" w:hAnsi="宋体" w:cs="宋体"/>
                <w:szCs w:val="21"/>
              </w:rPr>
              <w:t xml:space="preserve">）</w:t>
            </w:r>
            <w:r>
              <w:rPr>
                <w:rFonts w:hint="eastAsia" w:ascii="宋体" w:hAnsi="宋体" w:cs="宋体"/>
                <w:szCs w:val="21"/>
              </w:rPr>
              <w:t xml:space="preserve">进行打分：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培训方案内容全面，计划详细，安排合理的得4分；培训方案内容完整，计划明确，可行性较强的得2分；培训计划简单，形式单一，得1分；不提供得0分</w:t>
            </w:r>
            <w:r>
              <w:rPr>
                <w:rFonts w:hint="eastAsia" w:ascii="宋体" w:hAnsi="宋体" w:cs="宋体"/>
                <w:szCs w:val="21"/>
              </w:rPr>
              <w:t xml:space="preserve">。</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816" w:type="dxa"/>
            <w:vAlign w:val="center"/>
            <w:textDirection w:val="lrTb"/>
            <w:noWrap/>
          </w:tcPr>
          <w:p>
            <w:pPr>
              <w:pStyle w:val="1344"/>
              <w:ind w:right="-263"/>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业绩</w:t>
            </w:r>
            <w:r>
              <w:rPr>
                <w:rFonts w:ascii="宋体" w:hAnsi="宋体" w:cs="宋体"/>
                <w:szCs w:val="21"/>
              </w:rPr>
            </w:r>
            <w:r/>
          </w:p>
          <w:p>
            <w:pPr>
              <w:pStyle w:val="1344"/>
              <w:ind w:right="-263"/>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szCs w:val="21"/>
              </w:rPr>
            </w:pPr>
            <w:r>
              <w:rPr>
                <w:rFonts w:hint="eastAsia" w:ascii="宋体" w:hAnsi="宋体" w:cs="宋体"/>
                <w:szCs w:val="21"/>
              </w:rPr>
              <w:t xml:space="preserve">提供20</w:t>
            </w:r>
            <w:r>
              <w:rPr>
                <w:rFonts w:ascii="宋体" w:hAnsi="宋体" w:cs="宋体"/>
                <w:szCs w:val="21"/>
              </w:rPr>
              <w:t xml:space="preserve">23</w:t>
            </w:r>
            <w:r>
              <w:rPr>
                <w:rFonts w:hint="eastAsia" w:ascii="宋体" w:hAnsi="宋体" w:cs="宋体"/>
                <w:szCs w:val="21"/>
              </w:rPr>
              <w:t xml:space="preserve">年</w:t>
            </w:r>
            <w:r>
              <w:rPr>
                <w:rFonts w:ascii="宋体" w:hAnsi="宋体" w:cs="宋体"/>
                <w:szCs w:val="21"/>
              </w:rPr>
              <w:t xml:space="preserve">1</w:t>
            </w:r>
            <w:r>
              <w:rPr>
                <w:rFonts w:hint="eastAsia" w:ascii="宋体" w:hAnsi="宋体" w:cs="宋体"/>
                <w:szCs w:val="21"/>
              </w:rPr>
              <w:t xml:space="preserve">月1日以来，</w:t>
            </w:r>
            <w:r>
              <w:rPr>
                <w:rFonts w:hint="eastAsia" w:ascii="宋体" w:hAnsi="宋体" w:cs="宋体"/>
                <w:b/>
                <w:bCs/>
                <w:szCs w:val="21"/>
              </w:rPr>
              <w:t xml:space="preserve">投标人具有与所投核心产品（叠加式力标准机（5MN及以上））同品牌</w:t>
            </w:r>
            <w:r>
              <w:rPr>
                <w:rFonts w:hint="eastAsia" w:ascii="宋体" w:hAnsi="宋体" w:cs="宋体"/>
                <w:b/>
                <w:bCs/>
                <w:szCs w:val="21"/>
              </w:rPr>
              <w:t xml:space="preserve">同型号产品或与所投核心产品同品牌且技术指标不低于此次招标技术要求的产品</w:t>
            </w:r>
            <w:r>
              <w:rPr>
                <w:rFonts w:hint="eastAsia" w:ascii="宋体" w:hAnsi="宋体" w:cs="宋体"/>
                <w:szCs w:val="21"/>
              </w:rPr>
              <w:t xml:space="preserve">在国内的销售业绩合同。每提供一份销售合同得</w:t>
            </w:r>
            <w:r>
              <w:rPr>
                <w:rFonts w:ascii="宋体" w:hAnsi="宋体" w:cs="宋体"/>
                <w:szCs w:val="21"/>
              </w:rPr>
              <w:t xml:space="preserve">2</w:t>
            </w:r>
            <w:r>
              <w:rPr>
                <w:rFonts w:hint="eastAsia" w:ascii="宋体" w:hAnsi="宋体" w:cs="宋体"/>
                <w:szCs w:val="21"/>
              </w:rPr>
              <w:t xml:space="preserve">分，本项最高</w:t>
            </w:r>
            <w:r>
              <w:rPr>
                <w:rFonts w:ascii="宋体" w:hAnsi="宋体" w:cs="宋体"/>
                <w:szCs w:val="21"/>
              </w:rPr>
              <w:t xml:space="preserve">8</w:t>
            </w:r>
            <w:r>
              <w:rPr>
                <w:rFonts w:hint="eastAsia" w:ascii="宋体" w:hAnsi="宋体" w:cs="宋体"/>
                <w:szCs w:val="21"/>
              </w:rPr>
              <w:t xml:space="preserve">分。</w:t>
            </w:r>
            <w:r>
              <w:rPr>
                <w:rFonts w:hint="eastAsia" w:ascii="宋体" w:hAnsi="宋体" w:cs="宋体"/>
                <w:b/>
                <w:bCs/>
                <w:szCs w:val="21"/>
              </w:rPr>
              <w:t xml:space="preserve">（需同时提供合同及合同对应发票复印件，发票金额可以是部分或全部金额，未提供发票或合同或合同无法反应上述信息的均不得分，原件备查）</w:t>
            </w:r>
            <w:r>
              <w:rPr>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t xml:space="preserve">8</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7.1</w:t>
            </w:r>
            <w:r>
              <w:rPr>
                <w:rFonts w:ascii="宋体" w:hAnsi="宋体" w:cs="宋体"/>
                <w:szCs w:val="21"/>
              </w:rPr>
            </w:r>
            <w:r/>
          </w:p>
        </w:tc>
        <w:tc>
          <w:tcPr>
            <w:tcW w:w="816" w:type="dxa"/>
            <w:vAlign w:val="center"/>
            <w:vMerge w:val="restart"/>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国家政策导向（</w:t>
            </w:r>
            <w:r>
              <w:rPr>
                <w:rFonts w:ascii="宋体" w:hAnsi="宋体" w:cs="宋体"/>
                <w:szCs w:val="21"/>
              </w:rPr>
              <w:t xml:space="preserve">1</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bCs/>
                <w:szCs w:val="21"/>
              </w:rPr>
              <w:t xml:space="preserve">环境标志产品：</w:t>
            </w:r>
            <w:r>
              <w:rPr>
                <w:rFonts w:hint="eastAsia" w:ascii="宋体" w:hAnsi="宋体" w:cs="宋体"/>
                <w:szCs w:val="21"/>
              </w:rPr>
              <w:t xml:space="preserve">投标产品有《环境标志产品政府采购品目清单》内产品，并提供参与实施政府采购环境标志产品认证机构出具的认证证书得</w:t>
            </w:r>
            <w:r>
              <w:rPr>
                <w:rFonts w:ascii="宋体" w:hAnsi="宋体" w:cs="宋体"/>
                <w:szCs w:val="21"/>
              </w:rPr>
              <w:t xml:space="preserve">0.5</w:t>
            </w:r>
            <w:r>
              <w:rPr>
                <w:rFonts w:hint="eastAsia" w:ascii="宋体" w:hAnsi="宋体" w:cs="宋体"/>
                <w:szCs w:val="21"/>
              </w:rPr>
              <w:t xml:space="preserve">分。</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t xml:space="preserve">0.5</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7.2</w:t>
            </w:r>
            <w:r>
              <w:rPr>
                <w:rFonts w:ascii="宋体" w:hAnsi="宋体" w:cs="宋体"/>
                <w:szCs w:val="21"/>
              </w:rPr>
            </w:r>
            <w:r/>
          </w:p>
        </w:tc>
        <w:tc>
          <w:tcPr>
            <w:tcW w:w="816" w:type="dxa"/>
            <w:vAlign w:val="center"/>
            <w:vMerge w:val="continue"/>
            <w:textDirection w:val="lrTb"/>
            <w:noWrap/>
          </w:tcPr>
          <w:p>
            <w:pPr>
              <w:pStyle w:val="1344"/>
              <w:keepLines w:val="0"/>
              <w:keepNext w:val="0"/>
              <w:pageBreakBefore w:val="0"/>
              <w:spacing w:line="480" w:lineRule="exact"/>
              <w:rPr>
                <w:rFonts w:ascii="宋体" w:hAnsi="宋体" w:cs="宋体"/>
                <w:szCs w:val="21"/>
              </w:rPr>
            </w:pP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节能产品：投标产品有《节能产品政府采购品目清单》内产品，并提供参与实施政府采购节能产品认证机构出具的认证证书得</w:t>
            </w:r>
            <w:r>
              <w:rPr>
                <w:rFonts w:ascii="宋体" w:hAnsi="宋体" w:cs="宋体"/>
                <w:szCs w:val="21"/>
              </w:rPr>
              <w:t xml:space="preserve">0.5</w:t>
            </w:r>
            <w:r>
              <w:rPr>
                <w:rFonts w:hint="eastAsia" w:ascii="宋体" w:hAnsi="宋体" w:cs="宋体"/>
                <w:szCs w:val="21"/>
              </w:rPr>
              <w:t xml:space="preserve">分。</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t xml:space="preserve">0.5</w:t>
            </w:r>
            <w:r>
              <w:rPr>
                <w:rFonts w:ascii="宋体" w:hAnsi="宋体" w:cs="宋体"/>
                <w:szCs w:val="21"/>
              </w:rPr>
            </w:r>
            <w:r/>
          </w:p>
        </w:tc>
      </w:tr>
    </w:tbl>
    <w:p>
      <w:pPr>
        <w:pStyle w:val="1344"/>
        <w:keepLines w:val="0"/>
        <w:keepNext w:val="0"/>
        <w:pageBreakBefore w:val="0"/>
        <w:spacing w:line="480" w:lineRule="exact"/>
        <w:rPr>
          <w:rFonts w:hint="eastAsia" w:ascii="宋体" w:hAnsi="宋体" w:cs="宋体"/>
          <w:b/>
          <w:bCs/>
          <w:szCs w:val="21"/>
        </w:rPr>
      </w:pPr>
      <w:r>
        <w:rPr>
          <w:rFonts w:hint="eastAsia" w:ascii="宋体" w:hAnsi="宋体" w:cs="宋体"/>
          <w:b/>
          <w:bCs/>
          <w:szCs w:val="21"/>
        </w:rPr>
      </w:r>
      <w:r/>
    </w:p>
    <w:p>
      <w:pPr>
        <w:pStyle w:val="1344"/>
        <w:keepLines w:val="0"/>
        <w:keepNext w:val="0"/>
        <w:pageBreakBefore w:val="0"/>
        <w:spacing w:line="480" w:lineRule="exact"/>
        <w:rPr>
          <w:rFonts w:hint="eastAsia" w:ascii="宋体" w:hAnsi="宋体" w:cs="宋体"/>
          <w:b/>
          <w:bCs/>
          <w:szCs w:val="21"/>
        </w:rPr>
      </w:pPr>
      <w:r>
        <w:rPr>
          <w:rFonts w:hint="eastAsia" w:ascii="宋体" w:hAnsi="宋体" w:cs="宋体"/>
          <w:b/>
          <w:bCs/>
          <w:szCs w:val="21"/>
        </w:rPr>
      </w:r>
      <w:r/>
    </w:p>
    <w:p>
      <w:pPr>
        <w:pStyle w:val="1344"/>
        <w:keepLines w:val="0"/>
        <w:keepNext w:val="0"/>
        <w:pageBreakBefore w:val="0"/>
        <w:spacing w:line="480" w:lineRule="exact"/>
        <w:rPr>
          <w:rFonts w:ascii="宋体" w:hAnsi="宋体" w:cs="宋体"/>
          <w:b/>
          <w:bCs/>
          <w:szCs w:val="21"/>
        </w:rPr>
        <w:outlineLvl w:val="1"/>
      </w:pPr>
      <w:r/>
      <w:bookmarkStart w:id="222" w:name="_Toc26550"/>
      <w:r/>
      <w:bookmarkStart w:id="223" w:name="_Toc26053"/>
      <w:r>
        <w:rPr>
          <w:rFonts w:hint="eastAsia" w:ascii="宋体" w:hAnsi="宋体" w:cs="宋体"/>
          <w:b/>
          <w:bCs/>
          <w:szCs w:val="21"/>
        </w:rPr>
        <w:t xml:space="preserve">分包2</w:t>
      </w:r>
      <w:bookmarkEnd w:id="222"/>
      <w:r/>
      <w:bookmarkEnd w:id="223"/>
      <w:r>
        <w:rPr>
          <w:rFonts w:ascii="宋体" w:hAnsi="宋体" w:cs="宋体"/>
          <w:b/>
          <w:bCs/>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1608"/>
        <w:gridCol w:w="6713"/>
        <w:gridCol w:w="788"/>
      </w:tblGrid>
      <w:tr>
        <w:trPr/>
        <w:tc>
          <w:tcPr>
            <w:tcW w:w="378" w:type="dxa"/>
            <w:vAlign w:val="center"/>
            <w:textDirection w:val="lrTb"/>
            <w:noWrap/>
          </w:tcPr>
          <w:p>
            <w:pPr>
              <w:pStyle w:val="1344"/>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816" w:type="dxa"/>
            <w:vAlign w:val="center"/>
            <w:textDirection w:val="lrTb"/>
            <w:noWrap/>
          </w:tcPr>
          <w:p>
            <w:pPr>
              <w:pStyle w:val="1344"/>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评分因素</w:t>
            </w:r>
            <w:r>
              <w:rPr>
                <w:rFonts w:ascii="宋体" w:hAnsi="宋体" w:cs="宋体"/>
                <w:b/>
                <w:bCs/>
                <w:szCs w:val="21"/>
              </w:rPr>
            </w:r>
            <w:r/>
          </w:p>
        </w:tc>
        <w:tc>
          <w:tcPr>
            <w:tcW w:w="3406" w:type="dxa"/>
            <w:vAlign w:val="center"/>
            <w:textDirection w:val="lrTb"/>
            <w:noWrap/>
          </w:tcPr>
          <w:p>
            <w:pPr>
              <w:pStyle w:val="1344"/>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评审细则</w:t>
            </w:r>
            <w:r>
              <w:rPr>
                <w:rFonts w:ascii="宋体" w:hAnsi="宋体" w:cs="宋体"/>
                <w:b/>
                <w:bCs/>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分值</w:t>
            </w:r>
            <w:r>
              <w:rPr>
                <w:rFonts w:ascii="宋体" w:hAnsi="宋体" w:cs="宋体"/>
                <w:b/>
                <w:bCs/>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816"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投标报价</w:t>
            </w:r>
            <w:r>
              <w:rPr>
                <w:rFonts w:ascii="宋体" w:hAnsi="宋体" w:cs="宋体"/>
                <w:szCs w:val="21"/>
              </w:rPr>
            </w:r>
            <w:r/>
          </w:p>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（30分）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本次招标，以进入详细评审的各投标人评标价的最低值为A值，A值为价格分的满分，即30分。其他投标人的价格分统一按照以下公式计算：投标人评标价得分=（A／该投标人评标价）×30。</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30</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816"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技术及商务响应</w:t>
            </w:r>
            <w:r>
              <w:rPr>
                <w:rFonts w:ascii="宋体" w:hAnsi="宋体" w:cs="宋体"/>
                <w:szCs w:val="21"/>
              </w:rPr>
            </w:r>
            <w:r/>
          </w:p>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40</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设备技术参数及商务要求全部满足招标要求的得满分40分；</w:t>
            </w:r>
            <w:r>
              <w:rPr>
                <w:rFonts w:ascii="宋体" w:hAnsi="宋体" w:cs="宋体"/>
                <w:szCs w:val="21"/>
              </w:rPr>
            </w:r>
            <w:r/>
          </w:p>
          <w:p>
            <w:pPr>
              <w:pStyle w:val="1344"/>
              <w:keepLines w:val="0"/>
              <w:keepNext w:val="0"/>
              <w:pageBreakBefore w:val="0"/>
              <w:spacing w:line="480" w:lineRule="exact"/>
              <w:rPr>
                <w:rFonts w:ascii="宋体" w:hAnsi="宋体" w:cs="宋体"/>
                <w:b/>
                <w:bCs/>
                <w:szCs w:val="21"/>
              </w:rPr>
            </w:pPr>
            <w:r>
              <w:rPr>
                <w:rFonts w:hint="eastAsia" w:ascii="宋体" w:hAnsi="宋体" w:cs="宋体"/>
                <w:szCs w:val="21"/>
              </w:rPr>
              <w:t xml:space="preserve">在此基础上，</w:t>
            </w:r>
            <w:r>
              <w:rPr>
                <w:rFonts w:hint="eastAsia" w:ascii="宋体" w:hAnsi="宋体" w:cs="宋体"/>
                <w:b/>
                <w:bCs/>
                <w:szCs w:val="21"/>
              </w:rPr>
              <w:t xml:space="preserve">招标文件中</w:t>
            </w:r>
            <w:r>
              <w:rPr>
                <w:rFonts w:hint="eastAsia" w:ascii="宋体" w:hAnsi="宋体" w:cs="宋体"/>
                <w:b/>
                <w:bCs/>
                <w:szCs w:val="21"/>
                <w:highlight w:val="none"/>
              </w:rPr>
              <w:t xml:space="preserve">标注“</w:t>
            </w:r>
            <w:r>
              <w:rPr>
                <w:rFonts w:hint="eastAsia" w:ascii="宋体" w:hAnsi="宋体" w:cs="宋体"/>
                <w:b/>
                <w:bCs/>
                <w:szCs w:val="21"/>
                <w:highlight w:val="none"/>
              </w:rPr>
              <w:t xml:space="preserve">★”的条款为实质性要求，有一项负偏离，作无效投标处理,招标文件中标注“▲”的为重要参数，每负偏离一项扣</w:t>
            </w:r>
            <w:r>
              <w:rPr>
                <w:rFonts w:hint="eastAsia"/>
                <w:highlight w:val="none"/>
              </w:rPr>
              <w:t xml:space="preserve">2</w:t>
            </w:r>
            <w:r>
              <w:rPr>
                <w:rFonts w:hint="eastAsia" w:ascii="宋体" w:hAnsi="宋体" w:cs="宋体"/>
                <w:b/>
                <w:bCs/>
                <w:szCs w:val="21"/>
                <w:highlight w:val="none"/>
              </w:rPr>
              <w:t xml:space="preserve">分，</w:t>
            </w:r>
            <w:r>
              <w:rPr>
                <w:rFonts w:hint="eastAsia" w:ascii="宋体" w:hAnsi="宋体" w:cs="宋体"/>
                <w:szCs w:val="21"/>
                <w:highlight w:val="none"/>
              </w:rPr>
              <w:t xml:space="preserve">其他非重要技术条款每有一项负偏离扣0.53分，扣完为止。所有技术参数中，简单复制招标文件并标注响应或无偏离而又无相关完整技术支持资料证实，评审时评审委</w:t>
            </w:r>
            <w:r>
              <w:rPr>
                <w:rFonts w:hint="eastAsia" w:ascii="宋体" w:hAnsi="宋体" w:cs="宋体"/>
                <w:szCs w:val="21"/>
              </w:rPr>
              <w:t xml:space="preserve">员会成员有权不予认可。对招标文件明确的需主观判定的功能性描述要求未做任何情况说明或响应承诺的，评标委员会有权予以否决或做负偏离处理。</w:t>
            </w:r>
            <w:r>
              <w:rPr>
                <w:rFonts w:ascii="宋体" w:hAnsi="宋体" w:cs="宋体"/>
                <w:b/>
                <w:bCs/>
                <w:szCs w:val="21"/>
              </w:rPr>
            </w:r>
            <w:r/>
          </w:p>
          <w:p>
            <w:pPr>
              <w:pStyle w:val="1344"/>
              <w:keepLines w:val="0"/>
              <w:keepNext w:val="0"/>
              <w:pageBreakBefore w:val="0"/>
              <w:spacing w:line="480" w:lineRule="exact"/>
              <w:rPr>
                <w:rFonts w:ascii="Calibri" w:hAnsi="Calibri"/>
                <w:szCs w:val="21"/>
              </w:rPr>
            </w:pPr>
            <w:r>
              <w:rPr>
                <w:rFonts w:hint="eastAsia" w:ascii="宋体" w:hAnsi="宋体" w:cs="宋体"/>
                <w:b/>
                <w:bCs/>
                <w:szCs w:val="21"/>
              </w:rPr>
              <w:t xml:space="preserve">注：</w:t>
            </w:r>
            <w:r>
              <w:rPr>
                <w:rFonts w:hint="eastAsia" w:ascii="宋体" w:hAnsi="宋体" w:cs="宋体"/>
                <w:b/>
                <w:szCs w:val="21"/>
              </w:rPr>
              <w:t xml:space="preserve">所有对招标文件标注</w:t>
            </w:r>
            <w:r>
              <w:rPr>
                <w:rFonts w:hint="eastAsia" w:ascii="宋体" w:hAnsi="宋体" w:cs="宋体"/>
                <w:b/>
                <w:bCs/>
                <w:szCs w:val="21"/>
              </w:rPr>
              <w:t xml:space="preserve">“</w:t>
            </w:r>
            <w:r>
              <w:rPr>
                <w:rFonts w:hint="eastAsia" w:ascii="宋体" w:hAnsi="宋体" w:cs="宋体"/>
                <w:b/>
                <w:bCs/>
                <w:szCs w:val="21"/>
              </w:rPr>
              <w:t xml:space="preserve">★”</w:t>
            </w:r>
            <w:r>
              <w:rPr>
                <w:rFonts w:hint="eastAsia" w:ascii="宋体" w:hAnsi="宋体" w:cs="宋体"/>
                <w:b/>
                <w:szCs w:val="21"/>
              </w:rPr>
              <w:t xml:space="preserve">和</w:t>
            </w:r>
            <w:r>
              <w:rPr>
                <w:rFonts w:hint="eastAsia" w:ascii="宋体" w:hAnsi="宋体" w:cs="宋体"/>
                <w:b/>
                <w:bCs/>
                <w:szCs w:val="21"/>
              </w:rPr>
              <w:t xml:space="preserve">“▲”</w:t>
            </w:r>
            <w:r>
              <w:rPr>
                <w:rFonts w:hint="eastAsia" w:ascii="宋体" w:hAnsi="宋体" w:cs="宋体"/>
                <w:b/>
                <w:szCs w:val="21"/>
              </w:rPr>
              <w:t xml:space="preserve">的具体要求、参数、数值指标的响应，要求投标供应商必须在投标文件中提供技术支持资料（技术支持资料种类以文件第四章要求为准，如无特殊要求则为明确说明该技术内容的公开发行的手册、彩页、官网截图、功能页面截图、检测报告、白皮书等），</w:t>
            </w:r>
            <w:r>
              <w:rPr>
                <w:rFonts w:hint="eastAsia" w:ascii="宋体" w:hAnsi="宋体" w:cs="宋体"/>
                <w:b/>
                <w:bCs/>
                <w:szCs w:val="21"/>
              </w:rPr>
              <w:t xml:space="preserve">设备及明细配置清单</w:t>
            </w:r>
            <w:r>
              <w:rPr>
                <w:rFonts w:hint="eastAsia" w:ascii="宋体" w:hAnsi="宋体" w:cs="宋体"/>
                <w:b/>
                <w:bCs/>
                <w:szCs w:val="21"/>
                <w:lang w:eastAsia="zh-CN"/>
              </w:rPr>
              <w:t xml:space="preserve">或商务要求（质保期）中标注“★”</w:t>
            </w:r>
            <w:r>
              <w:rPr>
                <w:rFonts w:hint="eastAsia" w:ascii="宋体" w:hAnsi="宋体" w:cs="宋体"/>
                <w:b/>
                <w:szCs w:val="21"/>
              </w:rPr>
              <w:t xml:space="preserve">和</w:t>
            </w:r>
            <w:r>
              <w:rPr>
                <w:rFonts w:hint="eastAsia" w:ascii="宋体" w:hAnsi="宋体" w:cs="宋体"/>
                <w:b/>
                <w:bCs/>
                <w:szCs w:val="21"/>
              </w:rPr>
              <w:t xml:space="preserve">“▲”</w:t>
            </w:r>
            <w:r>
              <w:rPr>
                <w:rFonts w:hint="eastAsia" w:ascii="宋体" w:hAnsi="宋体" w:cs="宋体"/>
                <w:b/>
                <w:szCs w:val="21"/>
              </w:rPr>
              <w:t xml:space="preserve">的无需提供。</w:t>
            </w:r>
            <w:r>
              <w:rPr>
                <w:rFonts w:ascii="Calibri" w:hAnsi="Calibri"/>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t xml:space="preserve">40</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3.1</w:t>
            </w:r>
            <w:r>
              <w:rPr>
                <w:rFonts w:ascii="宋体" w:hAnsi="宋体" w:cs="宋体"/>
                <w:szCs w:val="21"/>
              </w:rPr>
            </w:r>
            <w:r/>
          </w:p>
        </w:tc>
        <w:tc>
          <w:tcPr>
            <w:tcW w:w="816"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产品技术方案（</w:t>
            </w:r>
            <w:r>
              <w:rPr>
                <w:rFonts w:ascii="宋体" w:hAnsi="宋体" w:cs="宋体"/>
                <w:szCs w:val="21"/>
              </w:rPr>
              <w:t xml:space="preserve">5</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lang w:bidi="ar"/>
              </w:rPr>
            </w:pPr>
            <w:r>
              <w:rPr>
                <w:rFonts w:hint="eastAsia" w:ascii="宋体" w:hAnsi="宋体" w:cs="宋体"/>
                <w:szCs w:val="21"/>
                <w:lang w:bidi="ar"/>
              </w:rPr>
              <w:t xml:space="preserve">评委根据投标文件中</w:t>
            </w:r>
            <w:r>
              <w:rPr>
                <w:rFonts w:hint="eastAsia" w:ascii="宋体" w:hAnsi="宋体" w:cs="宋体"/>
                <w:szCs w:val="21"/>
              </w:rPr>
              <w:t xml:space="preserve">产品技术方案进行打分：</w:t>
            </w:r>
            <w:r>
              <w:rPr>
                <w:rFonts w:ascii="宋体" w:hAnsi="宋体" w:cs="宋体"/>
                <w:szCs w:val="21"/>
                <w:lang w:bidi="ar"/>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w:t>
            </w:r>
            <w:r>
              <w:rPr>
                <w:rFonts w:hint="eastAsia" w:ascii="宋体" w:hAnsi="宋体" w:cs="宋体"/>
                <w:szCs w:val="21"/>
                <w:lang w:bidi="ar"/>
              </w:rPr>
              <w:t xml:space="preserve">方案全面具体、内容详实，产品设计先进、数据准确的得</w:t>
            </w:r>
            <w:r>
              <w:rPr>
                <w:rFonts w:ascii="宋体" w:hAnsi="宋体" w:cs="宋体"/>
                <w:szCs w:val="21"/>
                <w:lang w:bidi="ar"/>
              </w:rPr>
              <w:t xml:space="preserve">5</w:t>
            </w:r>
            <w:r>
              <w:rPr>
                <w:rFonts w:hint="eastAsia" w:ascii="宋体" w:hAnsi="宋体" w:cs="宋体"/>
                <w:szCs w:val="21"/>
                <w:lang w:bidi="ar"/>
              </w:rPr>
              <w:t xml:space="preserve">分； </w:t>
            </w:r>
            <w:r>
              <w:rPr>
                <w:rFonts w:ascii="宋体" w:hAnsi="宋体" w:cs="宋体"/>
                <w:szCs w:val="21"/>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w:t>
            </w:r>
            <w:r>
              <w:rPr>
                <w:rFonts w:hint="eastAsia" w:ascii="宋体" w:hAnsi="宋体" w:cs="宋体"/>
                <w:szCs w:val="21"/>
                <w:lang w:bidi="ar"/>
              </w:rPr>
              <w:t xml:space="preserve">方案较为具体全面、内容完整，产品设计合理、数据准确的得3分；</w:t>
            </w:r>
            <w:r>
              <w:rPr>
                <w:rFonts w:ascii="宋体" w:hAnsi="宋体" w:cs="宋体"/>
                <w:szCs w:val="21"/>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w:t>
            </w:r>
            <w:r>
              <w:rPr>
                <w:rFonts w:hint="eastAsia" w:ascii="宋体" w:hAnsi="宋体" w:cs="宋体"/>
                <w:szCs w:val="21"/>
                <w:lang w:bidi="ar"/>
              </w:rPr>
              <w:t xml:space="preserve">方案不全面、内容空泛，不能完全满足文件产品性能要求的得</w:t>
            </w:r>
            <w:r>
              <w:rPr>
                <w:rFonts w:ascii="宋体" w:hAnsi="宋体" w:cs="宋体"/>
                <w:szCs w:val="21"/>
                <w:lang w:bidi="ar"/>
              </w:rPr>
              <w:t xml:space="preserve">1</w:t>
            </w:r>
            <w:r>
              <w:rPr>
                <w:rFonts w:hint="eastAsia" w:ascii="宋体" w:hAnsi="宋体" w:cs="宋体"/>
                <w:szCs w:val="21"/>
                <w:lang w:bidi="ar"/>
              </w:rPr>
              <w:t xml:space="preserve">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lang w:bidi="ar"/>
              </w:rPr>
              <w:t xml:space="preserve">未在投标文件中提供方案或者提供的方案不可行的得0分。</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t xml:space="preserve">5</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highlight w:val="cyan"/>
              </w:rPr>
            </w:pPr>
            <w:r>
              <w:rPr>
                <w:rFonts w:hint="eastAsia" w:ascii="宋体" w:hAnsi="宋体" w:cs="宋体"/>
                <w:szCs w:val="21"/>
              </w:rPr>
              <w:t xml:space="preserve">4.1</w:t>
            </w:r>
            <w:r>
              <w:rPr>
                <w:rFonts w:ascii="宋体" w:hAnsi="宋体" w:cs="宋体"/>
                <w:szCs w:val="21"/>
                <w:highlight w:val="cyan"/>
              </w:rPr>
            </w:r>
            <w:r/>
          </w:p>
        </w:tc>
        <w:tc>
          <w:tcPr>
            <w:tcW w:w="816" w:type="dxa"/>
            <w:vAlign w:val="center"/>
            <w:vMerge w:val="restart"/>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实施方案</w:t>
            </w:r>
            <w:r>
              <w:rPr>
                <w:rFonts w:ascii="宋体" w:hAnsi="宋体" w:cs="宋体"/>
                <w:szCs w:val="21"/>
              </w:rPr>
            </w:r>
            <w:r/>
          </w:p>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（8分）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lang w:bidi="ar"/>
              </w:rPr>
              <w:t xml:space="preserve">评委根据投标文件中实施方案的内容（</w:t>
            </w:r>
            <w:r>
              <w:rPr>
                <w:rFonts w:hint="eastAsia" w:ascii="宋体" w:hAnsi="宋体" w:cs="宋体"/>
                <w:szCs w:val="21"/>
              </w:rPr>
              <w:t xml:space="preserve">包括但不限于项目整体方案、改造方案、供货计划、质量保障措施、风险控制管理措施等</w:t>
            </w:r>
            <w:r>
              <w:rPr>
                <w:rFonts w:hint="eastAsia" w:ascii="宋体" w:hAnsi="宋体" w:cs="宋体"/>
                <w:szCs w:val="21"/>
                <w:lang w:bidi="ar"/>
              </w:rPr>
              <w:t xml:space="preserve">）进行打分：</w:t>
            </w:r>
            <w:r>
              <w:rPr>
                <w:rFonts w:ascii="宋体" w:hAnsi="宋体" w:cs="宋体"/>
                <w:szCs w:val="21"/>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lang w:bidi="ar"/>
              </w:rPr>
              <w:t xml:space="preserve">实施方案全面具体、内容详实，合理完善的得4分； </w:t>
            </w:r>
            <w:r>
              <w:rPr>
                <w:rFonts w:ascii="宋体" w:hAnsi="宋体" w:cs="宋体"/>
                <w:szCs w:val="21"/>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lang w:bidi="ar"/>
              </w:rPr>
              <w:t xml:space="preserve">实施方案较全面、内容完整，</w:t>
            </w:r>
            <w:r>
              <w:rPr>
                <w:rFonts w:hint="eastAsia" w:ascii="宋体" w:hAnsi="宋体" w:cs="宋体"/>
                <w:szCs w:val="21"/>
                <w:lang w:val="zh-TW" w:bidi="ar"/>
              </w:rPr>
              <w:t xml:space="preserve">尚有改进空间</w:t>
            </w:r>
            <w:r>
              <w:rPr>
                <w:rFonts w:hint="eastAsia" w:ascii="宋体" w:hAnsi="宋体" w:cs="宋体"/>
                <w:szCs w:val="21"/>
                <w:lang w:bidi="ar"/>
              </w:rPr>
              <w:t xml:space="preserve">的得2分；</w:t>
            </w:r>
            <w:r>
              <w:rPr>
                <w:rFonts w:ascii="宋体" w:hAnsi="宋体" w:cs="宋体"/>
                <w:szCs w:val="21"/>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lang w:bidi="ar"/>
              </w:rPr>
              <w:t xml:space="preserve">实施方案不全面、内容存在瑕疵，需进一步改进的得</w:t>
            </w:r>
            <w:r>
              <w:rPr>
                <w:rFonts w:ascii="宋体" w:hAnsi="宋体" w:cs="宋体"/>
                <w:szCs w:val="21"/>
                <w:lang w:bidi="ar"/>
              </w:rPr>
              <w:t xml:space="preserve">1</w:t>
            </w:r>
            <w:r>
              <w:rPr>
                <w:rFonts w:hint="eastAsia" w:ascii="宋体" w:hAnsi="宋体" w:cs="宋体"/>
                <w:szCs w:val="21"/>
                <w:lang w:bidi="ar"/>
              </w:rPr>
              <w:t xml:space="preserve">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lang w:bidi="ar"/>
              </w:rPr>
              <w:t xml:space="preserve">未在投标文件中提供实施方案或者提供的实施方案不可行的得0分。</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4.2</w:t>
            </w:r>
            <w:r>
              <w:rPr>
                <w:rFonts w:ascii="宋体" w:hAnsi="宋体" w:cs="宋体"/>
                <w:szCs w:val="21"/>
              </w:rPr>
            </w:r>
            <w:r/>
          </w:p>
        </w:tc>
        <w:tc>
          <w:tcPr>
            <w:tcW w:w="816" w:type="dxa"/>
            <w:vAlign w:val="center"/>
            <w:vMerge w:val="continue"/>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评委根据投标文件中项目技术支撑和进度计划（包括但不限于人员配置、产品质量控制、设备安装调试验收进度、安全保障措施等方面）进行打分：</w:t>
            </w:r>
            <w:r>
              <w:rPr>
                <w:rFonts w:ascii="宋体" w:hAnsi="宋体" w:cs="宋体"/>
                <w:szCs w:val="21"/>
              </w:rPr>
            </w:r>
            <w:r/>
          </w:p>
          <w:p>
            <w:pPr>
              <w:pStyle w:val="1344"/>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技术支撑配置优于采购人的要求，具有针对性，项目进度分析清晰具体的得4分；</w:t>
            </w:r>
            <w:r>
              <w:rPr>
                <w:rFonts w:ascii="宋体" w:hAnsi="宋体" w:cs="宋体"/>
                <w:szCs w:val="21"/>
              </w:rPr>
            </w:r>
            <w:r/>
          </w:p>
          <w:p>
            <w:pPr>
              <w:pStyle w:val="1344"/>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技术支撑配置满足采购人的要求，项目进度分析清晰的得2分；</w:t>
            </w:r>
            <w:r>
              <w:rPr>
                <w:rFonts w:ascii="宋体" w:hAnsi="宋体" w:cs="宋体"/>
                <w:szCs w:val="21"/>
              </w:rPr>
            </w:r>
            <w:r/>
          </w:p>
          <w:p>
            <w:pPr>
              <w:pStyle w:val="1344"/>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技术支撑配置不能完全满足采购人的要求，项目进度不清晰的得1分；</w:t>
            </w:r>
            <w:r>
              <w:rPr>
                <w:rFonts w:ascii="宋体" w:hAnsi="宋体" w:cs="宋体"/>
                <w:szCs w:val="21"/>
              </w:rPr>
            </w:r>
            <w:r/>
          </w:p>
          <w:p>
            <w:pPr>
              <w:pStyle w:val="1344"/>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不提供得0分。</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5.1</w:t>
            </w:r>
            <w:r>
              <w:rPr>
                <w:rFonts w:ascii="宋体" w:hAnsi="宋体" w:cs="宋体"/>
                <w:szCs w:val="21"/>
              </w:rPr>
            </w:r>
            <w:r/>
          </w:p>
        </w:tc>
        <w:tc>
          <w:tcPr>
            <w:tcW w:w="816" w:type="dxa"/>
            <w:vAlign w:val="center"/>
            <w:vMerge w:val="restart"/>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售后服务方案</w:t>
            </w:r>
            <w:r>
              <w:rPr>
                <w:rFonts w:ascii="宋体" w:hAnsi="宋体" w:cs="宋体"/>
                <w:szCs w:val="21"/>
              </w:rPr>
            </w:r>
            <w:r/>
          </w:p>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（8分）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评委根据投标文件中售后服务方案（包括但不限于服务体系、服务内容、故障解决方案、响应时间、专业技术人员保障及服务电话、备品备件保证、质保期外维保方案等方面）进行打分：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售后服务方案完整详细，有明确的售后服务机构及人员、售后服务承诺，售后服务响应及处理时间迅速，质保期内的售后服务范围、质保期满后的售后服务范围和收费情况清晰具体</w:t>
            </w:r>
            <w:r>
              <w:rPr>
                <w:rFonts w:hint="eastAsia" w:ascii="宋体" w:hAnsi="宋体" w:cs="宋体"/>
                <w:szCs w:val="21"/>
                <w:lang w:bidi="ar"/>
              </w:rPr>
              <w:t xml:space="preserve">的</w:t>
            </w:r>
            <w:r>
              <w:rPr>
                <w:rFonts w:hint="eastAsia" w:ascii="宋体" w:hAnsi="宋体" w:cs="宋体"/>
                <w:bCs/>
                <w:szCs w:val="21"/>
              </w:rPr>
              <w:t xml:space="preserve">得4</w:t>
            </w:r>
            <w:r>
              <w:rPr>
                <w:rFonts w:hint="eastAsia" w:ascii="宋体" w:hAnsi="宋体" w:cs="宋体"/>
                <w:szCs w:val="21"/>
              </w:rPr>
              <w:t xml:space="preserve">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售后服务方案完整，有明确的售后服务机构及人员、售后服务承诺，售后服务应答及处理时间，质保期内的售后服务范围、质保期满后的售后服务范围和收费情况较为具体</w:t>
            </w:r>
            <w:r>
              <w:rPr>
                <w:rFonts w:hint="eastAsia" w:ascii="宋体" w:hAnsi="宋体" w:cs="宋体"/>
                <w:szCs w:val="21"/>
                <w:lang w:bidi="ar"/>
              </w:rPr>
              <w:t xml:space="preserve">的</w:t>
            </w:r>
            <w:r>
              <w:rPr>
                <w:rFonts w:hint="eastAsia" w:ascii="宋体" w:hAnsi="宋体" w:cs="宋体"/>
                <w:bCs/>
                <w:szCs w:val="21"/>
              </w:rPr>
              <w:t xml:space="preserve">得2</w:t>
            </w:r>
            <w:r>
              <w:rPr>
                <w:rFonts w:hint="eastAsia" w:ascii="宋体" w:hAnsi="宋体" w:cs="宋体"/>
                <w:szCs w:val="21"/>
              </w:rPr>
              <w:t xml:space="preserve">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售后服务体系</w:t>
            </w:r>
            <w:r>
              <w:rPr>
                <w:rFonts w:hint="eastAsia" w:ascii="宋体" w:hAnsi="宋体" w:cs="宋体"/>
                <w:szCs w:val="21"/>
              </w:rPr>
              <w:t xml:space="preserve">薄弱</w:t>
            </w:r>
            <w:r>
              <w:rPr>
                <w:rFonts w:hint="eastAsia" w:ascii="宋体" w:hAnsi="宋体" w:cs="宋体"/>
                <w:szCs w:val="21"/>
              </w:rPr>
              <w:t xml:space="preserve">，售后服务方案各方面内容存在缺陷或不满足</w:t>
            </w:r>
            <w:r>
              <w:rPr>
                <w:rFonts w:hint="eastAsia" w:ascii="宋体" w:hAnsi="宋体" w:cs="宋体"/>
                <w:szCs w:val="21"/>
              </w:rPr>
              <w:t xml:space="preserve">，</w:t>
            </w:r>
            <w:r>
              <w:rPr>
                <w:rFonts w:hint="eastAsia" w:ascii="宋体" w:hAnsi="宋体" w:cs="宋体"/>
                <w:bCs/>
                <w:szCs w:val="21"/>
              </w:rPr>
              <w:t xml:space="preserve">得1</w:t>
            </w:r>
            <w:r>
              <w:rPr>
                <w:rFonts w:hint="eastAsia" w:ascii="宋体" w:hAnsi="宋体" w:cs="宋体"/>
                <w:szCs w:val="21"/>
              </w:rPr>
              <w:t xml:space="preserve">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不提供得0分。</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5.2</w:t>
            </w:r>
            <w:r>
              <w:rPr>
                <w:rFonts w:ascii="宋体" w:hAnsi="宋体" w:cs="宋体"/>
                <w:szCs w:val="21"/>
              </w:rPr>
            </w:r>
            <w:r/>
          </w:p>
        </w:tc>
        <w:tc>
          <w:tcPr>
            <w:tcW w:w="816" w:type="dxa"/>
            <w:vAlign w:val="center"/>
            <w:vMerge w:val="continue"/>
            <w:textDirection w:val="lrTb"/>
            <w:noWrap/>
          </w:tcPr>
          <w:p>
            <w:pPr>
              <w:pStyle w:val="1344"/>
              <w:keepLines w:val="0"/>
              <w:keepNext w:val="0"/>
              <w:pageBreakBefore w:val="0"/>
              <w:spacing w:line="480" w:lineRule="exact"/>
              <w:rPr>
                <w:rFonts w:ascii="宋体" w:hAnsi="宋体" w:cs="宋体"/>
                <w:szCs w:val="21"/>
              </w:rPr>
            </w:pP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评委根据投标文件中培训方案（包括但不限于培训目标、培训方法、培训内容、培训师资力量、培训时间、拟提供的培训资料等方面</w:t>
            </w:r>
            <w:r>
              <w:rPr>
                <w:rFonts w:hint="eastAsia" w:ascii="宋体" w:hAnsi="宋体" w:cs="宋体"/>
                <w:szCs w:val="21"/>
              </w:rPr>
              <w:t xml:space="preserve">）</w:t>
            </w:r>
            <w:r>
              <w:rPr>
                <w:rFonts w:hint="eastAsia" w:ascii="宋体" w:hAnsi="宋体" w:cs="宋体"/>
                <w:szCs w:val="21"/>
              </w:rPr>
              <w:t xml:space="preserve">进行打分：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培训方案内容全面，计划详细，安排合理的得4分；培训方案内容完整，计划明确，可行性较强的得2分；培训计划简单，形式单一，得1分；不提供得0分</w:t>
            </w:r>
            <w:r>
              <w:rPr>
                <w:rFonts w:hint="eastAsia" w:ascii="宋体" w:hAnsi="宋体" w:cs="宋体"/>
                <w:szCs w:val="21"/>
              </w:rPr>
              <w:t xml:space="preserve">。</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816" w:type="dxa"/>
            <w:vAlign w:val="center"/>
            <w:textDirection w:val="lrTb"/>
            <w:noWrap/>
          </w:tcPr>
          <w:p>
            <w:pPr>
              <w:pStyle w:val="1344"/>
              <w:ind w:right="-263"/>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业绩</w:t>
            </w:r>
            <w:r>
              <w:rPr>
                <w:rFonts w:ascii="宋体" w:hAnsi="宋体" w:cs="宋体"/>
                <w:szCs w:val="21"/>
              </w:rPr>
            </w:r>
            <w:r/>
          </w:p>
          <w:p>
            <w:pPr>
              <w:pStyle w:val="1344"/>
              <w:ind w:right="-263"/>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szCs w:val="21"/>
              </w:rPr>
            </w:pPr>
            <w:r>
              <w:rPr>
                <w:rFonts w:hint="eastAsia" w:ascii="宋体" w:hAnsi="宋体" w:cs="宋体"/>
                <w:szCs w:val="21"/>
              </w:rPr>
              <w:t xml:space="preserve">提供20</w:t>
            </w:r>
            <w:r>
              <w:rPr>
                <w:rFonts w:ascii="宋体" w:hAnsi="宋体" w:cs="宋体"/>
                <w:szCs w:val="21"/>
              </w:rPr>
              <w:t xml:space="preserve">23</w:t>
            </w:r>
            <w:r>
              <w:rPr>
                <w:rFonts w:hint="eastAsia" w:ascii="宋体" w:hAnsi="宋体" w:cs="宋体"/>
                <w:szCs w:val="21"/>
              </w:rPr>
              <w:t xml:space="preserve">年</w:t>
            </w:r>
            <w:r>
              <w:rPr>
                <w:rFonts w:ascii="宋体" w:hAnsi="宋体" w:cs="宋体"/>
                <w:szCs w:val="21"/>
              </w:rPr>
              <w:t xml:space="preserve">1</w:t>
            </w:r>
            <w:r>
              <w:rPr>
                <w:rFonts w:hint="eastAsia" w:ascii="宋体" w:hAnsi="宋体" w:cs="宋体"/>
                <w:szCs w:val="21"/>
              </w:rPr>
              <w:t xml:space="preserve">月1日以来，</w:t>
            </w:r>
            <w:r>
              <w:rPr>
                <w:rFonts w:hint="eastAsia" w:ascii="宋体" w:hAnsi="宋体" w:cs="宋体"/>
                <w:b/>
                <w:bCs/>
                <w:szCs w:val="21"/>
              </w:rPr>
              <w:t xml:space="preserve">投标人具有与所投核心产品同品牌</w:t>
            </w:r>
            <w:r>
              <w:rPr>
                <w:rFonts w:hint="eastAsia" w:ascii="宋体" w:hAnsi="宋体" w:cs="宋体"/>
                <w:b/>
                <w:bCs/>
                <w:szCs w:val="21"/>
              </w:rPr>
              <w:t xml:space="preserve">同型号产品或与所投核心产品同品牌且技术指标不低于此次招标技术要求的产品</w:t>
            </w:r>
            <w:r>
              <w:rPr>
                <w:rFonts w:hint="eastAsia" w:ascii="宋体" w:hAnsi="宋体" w:cs="宋体"/>
                <w:szCs w:val="21"/>
              </w:rPr>
              <w:t xml:space="preserve">在国内的销售业绩合同。每提供一份销售合同得</w:t>
            </w:r>
            <w:r>
              <w:rPr>
                <w:rFonts w:ascii="宋体" w:hAnsi="宋体" w:cs="宋体"/>
                <w:szCs w:val="21"/>
              </w:rPr>
              <w:t xml:space="preserve">2</w:t>
            </w:r>
            <w:r>
              <w:rPr>
                <w:rFonts w:hint="eastAsia" w:ascii="宋体" w:hAnsi="宋体" w:cs="宋体"/>
                <w:szCs w:val="21"/>
              </w:rPr>
              <w:t xml:space="preserve">分，本项最高</w:t>
            </w:r>
            <w:r>
              <w:rPr>
                <w:rFonts w:ascii="宋体" w:hAnsi="宋体" w:cs="宋体"/>
                <w:szCs w:val="21"/>
              </w:rPr>
              <w:t xml:space="preserve">8</w:t>
            </w:r>
            <w:r>
              <w:rPr>
                <w:rFonts w:hint="eastAsia" w:ascii="宋体" w:hAnsi="宋体" w:cs="宋体"/>
                <w:szCs w:val="21"/>
              </w:rPr>
              <w:t xml:space="preserve">分。</w:t>
            </w:r>
            <w:r>
              <w:rPr>
                <w:rFonts w:hint="eastAsia" w:ascii="宋体" w:hAnsi="宋体" w:cs="宋体"/>
                <w:b/>
                <w:bCs/>
                <w:szCs w:val="21"/>
              </w:rPr>
              <w:t xml:space="preserve">（需同时提供合同及合同对应发票复印件，发票金额可以是部分或全部金额，未提供发票或合同或合同无法反应上述信息的均不得分，原件备查）</w:t>
            </w:r>
            <w:r>
              <w:rPr>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t xml:space="preserve">8</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7.1</w:t>
            </w:r>
            <w:r>
              <w:rPr>
                <w:rFonts w:ascii="宋体" w:hAnsi="宋体" w:cs="宋体"/>
                <w:szCs w:val="21"/>
              </w:rPr>
            </w:r>
            <w:r/>
          </w:p>
        </w:tc>
        <w:tc>
          <w:tcPr>
            <w:tcW w:w="816" w:type="dxa"/>
            <w:vAlign w:val="center"/>
            <w:vMerge w:val="restart"/>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国家政策导向（</w:t>
            </w:r>
            <w:r>
              <w:rPr>
                <w:rFonts w:ascii="宋体" w:hAnsi="宋体" w:cs="宋体"/>
                <w:szCs w:val="21"/>
              </w:rPr>
              <w:t xml:space="preserve">1</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bCs/>
                <w:szCs w:val="21"/>
              </w:rPr>
              <w:t xml:space="preserve">环境标志产品：</w:t>
            </w:r>
            <w:r>
              <w:rPr>
                <w:rFonts w:hint="eastAsia" w:ascii="宋体" w:hAnsi="宋体" w:cs="宋体"/>
                <w:szCs w:val="21"/>
              </w:rPr>
              <w:t xml:space="preserve">投标产品有《环境标志产品政府采购品目清单》内产品，并提供参与实施政府采购环境标志产品认证机构出具的认证证书得</w:t>
            </w:r>
            <w:r>
              <w:rPr>
                <w:rFonts w:ascii="宋体" w:hAnsi="宋体" w:cs="宋体"/>
                <w:szCs w:val="21"/>
              </w:rPr>
              <w:t xml:space="preserve">0.5</w:t>
            </w:r>
            <w:r>
              <w:rPr>
                <w:rFonts w:hint="eastAsia" w:ascii="宋体" w:hAnsi="宋体" w:cs="宋体"/>
                <w:szCs w:val="21"/>
              </w:rPr>
              <w:t xml:space="preserve">分。</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t xml:space="preserve">0.5</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7.2</w:t>
            </w:r>
            <w:r>
              <w:rPr>
                <w:rFonts w:ascii="宋体" w:hAnsi="宋体" w:cs="宋体"/>
                <w:szCs w:val="21"/>
              </w:rPr>
            </w:r>
            <w:r/>
          </w:p>
        </w:tc>
        <w:tc>
          <w:tcPr>
            <w:tcW w:w="816" w:type="dxa"/>
            <w:vAlign w:val="center"/>
            <w:vMerge w:val="continue"/>
            <w:textDirection w:val="lrTb"/>
            <w:noWrap/>
          </w:tcPr>
          <w:p>
            <w:pPr>
              <w:pStyle w:val="1344"/>
              <w:keepLines w:val="0"/>
              <w:keepNext w:val="0"/>
              <w:pageBreakBefore w:val="0"/>
              <w:spacing w:line="480" w:lineRule="exact"/>
              <w:rPr>
                <w:rFonts w:ascii="宋体" w:hAnsi="宋体" w:cs="宋体"/>
                <w:szCs w:val="21"/>
              </w:rPr>
            </w:pP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节能产品：投标产品有《节能产品政府采购品目清单》内产品，并提供参与实施政府采购节能产品认证机构出具的认证证书得</w:t>
            </w:r>
            <w:r>
              <w:rPr>
                <w:rFonts w:ascii="宋体" w:hAnsi="宋体" w:cs="宋体"/>
                <w:szCs w:val="21"/>
              </w:rPr>
              <w:t xml:space="preserve">0.5</w:t>
            </w:r>
            <w:r>
              <w:rPr>
                <w:rFonts w:hint="eastAsia" w:ascii="宋体" w:hAnsi="宋体" w:cs="宋体"/>
                <w:szCs w:val="21"/>
              </w:rPr>
              <w:t xml:space="preserve">分。</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t xml:space="preserve">0.5</w:t>
            </w:r>
            <w:r>
              <w:rPr>
                <w:rFonts w:ascii="宋体" w:hAnsi="宋体" w:cs="宋体"/>
                <w:szCs w:val="21"/>
              </w:rPr>
            </w:r>
            <w:r/>
          </w:p>
        </w:tc>
      </w:tr>
    </w:tbl>
    <w:p>
      <w:pPr>
        <w:pStyle w:val="1344"/>
        <w:keepLines w:val="0"/>
        <w:keepNext w:val="0"/>
        <w:pageBreakBefore w:val="0"/>
        <w:spacing w:line="480" w:lineRule="exact"/>
        <w:rPr>
          <w:rFonts w:ascii="宋体" w:hAnsi="宋体" w:cs="宋体"/>
          <w:b/>
          <w:bCs/>
          <w:szCs w:val="21"/>
        </w:rPr>
      </w:pPr>
      <w:r>
        <w:rPr>
          <w:rFonts w:ascii="宋体" w:hAnsi="宋体" w:cs="宋体"/>
          <w:b/>
          <w:bCs/>
          <w:szCs w:val="21"/>
        </w:rPr>
      </w:r>
      <w:r/>
    </w:p>
    <w:p>
      <w:pPr>
        <w:pStyle w:val="1344"/>
        <w:keepLines w:val="0"/>
        <w:keepNext w:val="0"/>
        <w:pageBreakBefore w:val="0"/>
        <w:spacing w:line="480" w:lineRule="exact"/>
        <w:rPr>
          <w:rFonts w:ascii="宋体" w:hAnsi="宋体" w:cs="宋体"/>
          <w:b/>
          <w:bCs/>
          <w:szCs w:val="21"/>
        </w:rPr>
      </w:pPr>
      <w:r>
        <w:rPr>
          <w:rFonts w:ascii="宋体" w:hAnsi="宋体" w:cs="宋体"/>
          <w:b/>
          <w:bCs/>
          <w:szCs w:val="21"/>
        </w:rPr>
      </w:r>
      <w:r/>
    </w:p>
    <w:p>
      <w:pPr>
        <w:pStyle w:val="1344"/>
        <w:keepLines w:val="0"/>
        <w:keepNext w:val="0"/>
        <w:pageBreakBefore w:val="0"/>
        <w:spacing w:line="480" w:lineRule="exact"/>
        <w:rPr>
          <w:rFonts w:ascii="宋体" w:hAnsi="宋体" w:cs="宋体"/>
          <w:b/>
          <w:bCs/>
          <w:szCs w:val="21"/>
        </w:rPr>
        <w:outlineLvl w:val="1"/>
      </w:pPr>
      <w:r/>
      <w:bookmarkStart w:id="224" w:name="_Toc14379"/>
      <w:r/>
      <w:bookmarkStart w:id="225" w:name="_Toc23371"/>
      <w:r>
        <w:rPr>
          <w:rFonts w:hint="eastAsia" w:ascii="宋体" w:hAnsi="宋体" w:cs="宋体"/>
          <w:b/>
          <w:bCs/>
          <w:szCs w:val="21"/>
        </w:rPr>
        <w:t xml:space="preserve">分包3</w:t>
      </w:r>
      <w:bookmarkEnd w:id="224"/>
      <w:r/>
      <w:bookmarkEnd w:id="225"/>
      <w:r>
        <w:rPr>
          <w:rFonts w:ascii="宋体" w:hAnsi="宋体" w:cs="宋体"/>
          <w:b/>
          <w:bCs/>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1608"/>
        <w:gridCol w:w="6713"/>
        <w:gridCol w:w="788"/>
      </w:tblGrid>
      <w:tr>
        <w:trPr/>
        <w:tc>
          <w:tcPr>
            <w:tcW w:w="378" w:type="dxa"/>
            <w:vAlign w:val="center"/>
            <w:textDirection w:val="lrTb"/>
            <w:noWrap/>
          </w:tcPr>
          <w:p>
            <w:pPr>
              <w:pStyle w:val="1344"/>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816" w:type="dxa"/>
            <w:vAlign w:val="center"/>
            <w:textDirection w:val="lrTb"/>
            <w:noWrap/>
          </w:tcPr>
          <w:p>
            <w:pPr>
              <w:pStyle w:val="1344"/>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评分因素</w:t>
            </w:r>
            <w:r>
              <w:rPr>
                <w:rFonts w:ascii="宋体" w:hAnsi="宋体" w:cs="宋体"/>
                <w:b/>
                <w:bCs/>
                <w:szCs w:val="21"/>
              </w:rPr>
            </w:r>
            <w:r/>
          </w:p>
        </w:tc>
        <w:tc>
          <w:tcPr>
            <w:tcW w:w="3406" w:type="dxa"/>
            <w:vAlign w:val="center"/>
            <w:textDirection w:val="lrTb"/>
            <w:noWrap/>
          </w:tcPr>
          <w:p>
            <w:pPr>
              <w:pStyle w:val="1344"/>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评审细则</w:t>
            </w:r>
            <w:r>
              <w:rPr>
                <w:rFonts w:ascii="宋体" w:hAnsi="宋体" w:cs="宋体"/>
                <w:b/>
                <w:bCs/>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分值</w:t>
            </w:r>
            <w:r>
              <w:rPr>
                <w:rFonts w:ascii="宋体" w:hAnsi="宋体" w:cs="宋体"/>
                <w:b/>
                <w:bCs/>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816"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投标报价</w:t>
            </w:r>
            <w:r>
              <w:rPr>
                <w:rFonts w:ascii="宋体" w:hAnsi="宋体" w:cs="宋体"/>
                <w:szCs w:val="21"/>
              </w:rPr>
            </w:r>
            <w:r/>
          </w:p>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（30分）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本次招标，以进入详细评审的各投标人评标价的最低值为A值，A值为价格分的满分，即30分。其他投标人的价格分统一按照以下公式计算：投标人评标价得分=（A／该投标人评标价）×30。</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30</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816"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技术及商务响应</w:t>
            </w:r>
            <w:r>
              <w:rPr>
                <w:rFonts w:ascii="宋体" w:hAnsi="宋体" w:cs="宋体"/>
                <w:szCs w:val="21"/>
              </w:rPr>
            </w:r>
            <w:r/>
          </w:p>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40</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设备技术参数及商务要求全部满足招标要求的得满分40分；</w:t>
            </w:r>
            <w:r>
              <w:rPr>
                <w:rFonts w:ascii="宋体" w:hAnsi="宋体" w:cs="宋体"/>
                <w:szCs w:val="21"/>
              </w:rPr>
            </w:r>
            <w:r/>
          </w:p>
          <w:p>
            <w:pPr>
              <w:pStyle w:val="1344"/>
              <w:keepLines w:val="0"/>
              <w:keepNext w:val="0"/>
              <w:pageBreakBefore w:val="0"/>
              <w:spacing w:line="480" w:lineRule="exact"/>
              <w:rPr>
                <w:rFonts w:ascii="宋体" w:hAnsi="宋体" w:cs="宋体"/>
                <w:b/>
                <w:bCs/>
                <w:szCs w:val="21"/>
              </w:rPr>
            </w:pPr>
            <w:r>
              <w:rPr>
                <w:rFonts w:hint="eastAsia" w:ascii="宋体" w:hAnsi="宋体" w:cs="宋体"/>
                <w:szCs w:val="21"/>
              </w:rPr>
              <w:t xml:space="preserve">在此基础上，</w:t>
            </w:r>
            <w:r>
              <w:rPr>
                <w:rFonts w:hint="eastAsia" w:ascii="宋体" w:hAnsi="宋体" w:cs="宋体"/>
                <w:b/>
                <w:bCs/>
                <w:szCs w:val="21"/>
              </w:rPr>
              <w:t xml:space="preserve">招标文件中标注“</w:t>
            </w:r>
            <w:r>
              <w:rPr>
                <w:rFonts w:hint="eastAsia" w:ascii="宋体" w:hAnsi="宋体" w:cs="宋体"/>
                <w:b/>
                <w:bCs/>
                <w:szCs w:val="21"/>
              </w:rPr>
              <w:t xml:space="preserve">★”的条款为实质性要求，有一项负偏离，作无效投标处</w:t>
            </w:r>
            <w:r>
              <w:rPr>
                <w:rFonts w:hint="eastAsia" w:ascii="宋体" w:hAnsi="宋体" w:cs="宋体"/>
                <w:b/>
                <w:bCs/>
                <w:szCs w:val="21"/>
                <w:highlight w:val="none"/>
              </w:rPr>
              <w:t xml:space="preserve">理,招标文件中标注“▲”的为重要参数，每负偏离一项扣</w:t>
            </w:r>
            <w:r>
              <w:rPr>
                <w:rFonts w:hint="eastAsia" w:ascii="宋体" w:hAnsi="宋体" w:cs="宋体"/>
                <w:szCs w:val="21"/>
                <w:highlight w:val="none"/>
              </w:rPr>
              <w:t xml:space="preserve">2</w:t>
            </w:r>
            <w:r>
              <w:rPr>
                <w:rFonts w:hint="eastAsia" w:ascii="宋体" w:hAnsi="宋体" w:cs="宋体"/>
                <w:b/>
                <w:bCs/>
                <w:szCs w:val="21"/>
                <w:highlight w:val="none"/>
              </w:rPr>
              <w:t xml:space="preserve">分，</w:t>
            </w:r>
            <w:r>
              <w:rPr>
                <w:rFonts w:hint="eastAsia" w:ascii="宋体" w:hAnsi="宋体" w:cs="宋体"/>
                <w:szCs w:val="21"/>
                <w:highlight w:val="none"/>
              </w:rPr>
              <w:t xml:space="preserve">其他非重要技术条款每有一项负偏离扣0.42分，扣完为止。所有技术参数中，简单复制招标文件并标注响应或无偏离而又无相关完整技术支持资料证实，评审</w:t>
            </w:r>
            <w:r>
              <w:rPr>
                <w:rFonts w:hint="eastAsia" w:ascii="宋体" w:hAnsi="宋体" w:cs="宋体"/>
                <w:szCs w:val="21"/>
              </w:rPr>
              <w:t xml:space="preserve">时评审委员会成员有权不予认可。对招标文件明确的需主观判定的功能性描述要求未做任何情况说明或响应承诺的，评标委员会有权予以否决或做负偏离处理。</w:t>
            </w:r>
            <w:r>
              <w:rPr>
                <w:rFonts w:ascii="宋体" w:hAnsi="宋体" w:cs="宋体"/>
                <w:b/>
                <w:bCs/>
                <w:szCs w:val="21"/>
              </w:rPr>
            </w:r>
            <w:r/>
          </w:p>
          <w:p>
            <w:pPr>
              <w:pStyle w:val="1344"/>
              <w:keepLines w:val="0"/>
              <w:keepNext w:val="0"/>
              <w:pageBreakBefore w:val="0"/>
              <w:spacing w:line="480" w:lineRule="exact"/>
              <w:rPr>
                <w:rFonts w:ascii="Calibri" w:hAnsi="Calibri"/>
                <w:szCs w:val="21"/>
              </w:rPr>
            </w:pPr>
            <w:r>
              <w:rPr>
                <w:rFonts w:hint="eastAsia" w:ascii="宋体" w:hAnsi="宋体" w:cs="宋体"/>
                <w:b/>
                <w:bCs/>
                <w:szCs w:val="21"/>
              </w:rPr>
              <w:t xml:space="preserve">注：</w:t>
            </w:r>
            <w:r>
              <w:rPr>
                <w:rFonts w:hint="eastAsia" w:ascii="宋体" w:hAnsi="宋体" w:cs="宋体"/>
                <w:b/>
                <w:szCs w:val="21"/>
              </w:rPr>
              <w:t xml:space="preserve">所有对招标文件标注</w:t>
            </w:r>
            <w:r>
              <w:rPr>
                <w:rFonts w:hint="eastAsia" w:ascii="宋体" w:hAnsi="宋体" w:cs="宋体"/>
                <w:b/>
                <w:bCs/>
                <w:szCs w:val="21"/>
              </w:rPr>
              <w:t xml:space="preserve">“</w:t>
            </w:r>
            <w:r>
              <w:rPr>
                <w:rFonts w:hint="eastAsia" w:ascii="宋体" w:hAnsi="宋体" w:cs="宋体"/>
                <w:b/>
                <w:bCs/>
                <w:szCs w:val="21"/>
              </w:rPr>
              <w:t xml:space="preserve">★”</w:t>
            </w:r>
            <w:r>
              <w:rPr>
                <w:rFonts w:hint="eastAsia" w:ascii="宋体" w:hAnsi="宋体" w:cs="宋体"/>
                <w:b/>
                <w:szCs w:val="21"/>
              </w:rPr>
              <w:t xml:space="preserve">和</w:t>
            </w:r>
            <w:r>
              <w:rPr>
                <w:rFonts w:hint="eastAsia" w:ascii="宋体" w:hAnsi="宋体" w:cs="宋体"/>
                <w:b/>
                <w:bCs/>
                <w:szCs w:val="21"/>
              </w:rPr>
              <w:t xml:space="preserve">“▲”</w:t>
            </w:r>
            <w:r>
              <w:rPr>
                <w:rFonts w:hint="eastAsia" w:ascii="宋体" w:hAnsi="宋体" w:cs="宋体"/>
                <w:b/>
                <w:szCs w:val="21"/>
              </w:rPr>
              <w:t xml:space="preserve">的具体要求、参数、数值指标的响应，要求投标供应商必须在投标文件中提供技术支持资料（技术支持资料种类以文件第四章要求为准，如无特殊要求则为明确说明该技术内容的公开发行的手册、彩页、官网截图、功能页面截图、检测报告、白皮书等），</w:t>
            </w:r>
            <w:r>
              <w:rPr>
                <w:rFonts w:hint="eastAsia" w:ascii="宋体" w:hAnsi="宋体" w:cs="宋体"/>
                <w:b/>
                <w:bCs/>
                <w:szCs w:val="21"/>
              </w:rPr>
              <w:t xml:space="preserve">设备及明细配置清单</w:t>
            </w:r>
            <w:r>
              <w:rPr>
                <w:rFonts w:hint="eastAsia" w:ascii="宋体" w:hAnsi="宋体" w:cs="宋体"/>
                <w:b/>
                <w:bCs/>
                <w:szCs w:val="21"/>
                <w:lang w:eastAsia="zh-CN"/>
              </w:rPr>
              <w:t xml:space="preserve">或商务要求（质保期）中标注“★”</w:t>
            </w:r>
            <w:r>
              <w:rPr>
                <w:rFonts w:hint="eastAsia" w:ascii="宋体" w:hAnsi="宋体" w:cs="宋体"/>
                <w:b/>
                <w:szCs w:val="21"/>
              </w:rPr>
              <w:t xml:space="preserve">和</w:t>
            </w:r>
            <w:r>
              <w:rPr>
                <w:rFonts w:hint="eastAsia" w:ascii="宋体" w:hAnsi="宋体" w:cs="宋体"/>
                <w:b/>
                <w:bCs/>
                <w:szCs w:val="21"/>
              </w:rPr>
              <w:t xml:space="preserve">“▲”</w:t>
            </w:r>
            <w:r>
              <w:rPr>
                <w:rFonts w:hint="eastAsia" w:ascii="宋体" w:hAnsi="宋体" w:cs="宋体"/>
                <w:b/>
                <w:szCs w:val="21"/>
              </w:rPr>
              <w:t xml:space="preserve">的无需提供。</w:t>
            </w:r>
            <w:r>
              <w:rPr>
                <w:rFonts w:ascii="Calibri" w:hAnsi="Calibri"/>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t xml:space="preserve">40</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3.1</w:t>
            </w:r>
            <w:r>
              <w:rPr>
                <w:rFonts w:ascii="宋体" w:hAnsi="宋体" w:cs="宋体"/>
                <w:szCs w:val="21"/>
              </w:rPr>
            </w:r>
            <w:r/>
          </w:p>
        </w:tc>
        <w:tc>
          <w:tcPr>
            <w:tcW w:w="816"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产品技术方案（</w:t>
            </w:r>
            <w:r>
              <w:rPr>
                <w:rFonts w:ascii="宋体" w:hAnsi="宋体" w:cs="宋体"/>
                <w:szCs w:val="21"/>
              </w:rPr>
              <w:t xml:space="preserve">5</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lang w:bidi="ar"/>
              </w:rPr>
            </w:pPr>
            <w:r>
              <w:rPr>
                <w:rFonts w:hint="eastAsia" w:ascii="宋体" w:hAnsi="宋体" w:cs="宋体"/>
                <w:szCs w:val="21"/>
                <w:lang w:bidi="ar"/>
              </w:rPr>
              <w:t xml:space="preserve">评委根据投标文件中</w:t>
            </w:r>
            <w:r>
              <w:rPr>
                <w:rFonts w:hint="eastAsia" w:ascii="宋体" w:hAnsi="宋体" w:cs="宋体"/>
                <w:szCs w:val="21"/>
              </w:rPr>
              <w:t xml:space="preserve">产品技术方案进行打分：</w:t>
            </w:r>
            <w:r>
              <w:rPr>
                <w:rFonts w:ascii="宋体" w:hAnsi="宋体" w:cs="宋体"/>
                <w:szCs w:val="21"/>
                <w:lang w:bidi="ar"/>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w:t>
            </w:r>
            <w:r>
              <w:rPr>
                <w:rFonts w:hint="eastAsia" w:ascii="宋体" w:hAnsi="宋体" w:cs="宋体"/>
                <w:szCs w:val="21"/>
                <w:lang w:bidi="ar"/>
              </w:rPr>
              <w:t xml:space="preserve">方案全面具体、内容详实，产品设计先进、数据准确的得</w:t>
            </w:r>
            <w:r>
              <w:rPr>
                <w:rFonts w:ascii="宋体" w:hAnsi="宋体" w:cs="宋体"/>
                <w:szCs w:val="21"/>
                <w:lang w:bidi="ar"/>
              </w:rPr>
              <w:t xml:space="preserve">5</w:t>
            </w:r>
            <w:r>
              <w:rPr>
                <w:rFonts w:hint="eastAsia" w:ascii="宋体" w:hAnsi="宋体" w:cs="宋体"/>
                <w:szCs w:val="21"/>
                <w:lang w:bidi="ar"/>
              </w:rPr>
              <w:t xml:space="preserve">分； </w:t>
            </w:r>
            <w:r>
              <w:rPr>
                <w:rFonts w:ascii="宋体" w:hAnsi="宋体" w:cs="宋体"/>
                <w:szCs w:val="21"/>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w:t>
            </w:r>
            <w:r>
              <w:rPr>
                <w:rFonts w:hint="eastAsia" w:ascii="宋体" w:hAnsi="宋体" w:cs="宋体"/>
                <w:szCs w:val="21"/>
                <w:lang w:bidi="ar"/>
              </w:rPr>
              <w:t xml:space="preserve">方案较为具体全面、内容完整，产品设计合理、数据准确的得3分；</w:t>
            </w:r>
            <w:r>
              <w:rPr>
                <w:rFonts w:ascii="宋体" w:hAnsi="宋体" w:cs="宋体"/>
                <w:szCs w:val="21"/>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w:t>
            </w:r>
            <w:r>
              <w:rPr>
                <w:rFonts w:hint="eastAsia" w:ascii="宋体" w:hAnsi="宋体" w:cs="宋体"/>
                <w:szCs w:val="21"/>
                <w:lang w:bidi="ar"/>
              </w:rPr>
              <w:t xml:space="preserve">方案不全面、内容空泛，不能完全满足文件产品性能要求的得</w:t>
            </w:r>
            <w:r>
              <w:rPr>
                <w:rFonts w:ascii="宋体" w:hAnsi="宋体" w:cs="宋体"/>
                <w:szCs w:val="21"/>
                <w:lang w:bidi="ar"/>
              </w:rPr>
              <w:t xml:space="preserve">1</w:t>
            </w:r>
            <w:r>
              <w:rPr>
                <w:rFonts w:hint="eastAsia" w:ascii="宋体" w:hAnsi="宋体" w:cs="宋体"/>
                <w:szCs w:val="21"/>
                <w:lang w:bidi="ar"/>
              </w:rPr>
              <w:t xml:space="preserve">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lang w:bidi="ar"/>
              </w:rPr>
              <w:t xml:space="preserve">未在投标文件中提供方案或者提供的方案不可行的得0分。</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t xml:space="preserve">5</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4.1</w:t>
            </w:r>
            <w:r>
              <w:rPr>
                <w:rFonts w:ascii="宋体" w:hAnsi="宋体" w:cs="宋体"/>
                <w:szCs w:val="21"/>
              </w:rPr>
            </w:r>
            <w:r/>
          </w:p>
        </w:tc>
        <w:tc>
          <w:tcPr>
            <w:tcW w:w="816" w:type="dxa"/>
            <w:vAlign w:val="center"/>
            <w:vMerge w:val="restart"/>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实施方案</w:t>
            </w:r>
            <w:r>
              <w:rPr>
                <w:rFonts w:ascii="宋体" w:hAnsi="宋体" w:cs="宋体"/>
                <w:szCs w:val="21"/>
              </w:rPr>
            </w:r>
            <w:r/>
          </w:p>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（8分）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lang w:bidi="ar"/>
              </w:rPr>
              <w:t xml:space="preserve">评委根据投标文件中实施方案的内容（</w:t>
            </w:r>
            <w:r>
              <w:rPr>
                <w:rFonts w:hint="eastAsia" w:ascii="宋体" w:hAnsi="宋体" w:cs="宋体"/>
                <w:szCs w:val="21"/>
              </w:rPr>
              <w:t xml:space="preserve">包括但不限于项目整体方案、改造方案、供货计划、质量保障措施、风险控制管理措施等</w:t>
            </w:r>
            <w:r>
              <w:rPr>
                <w:rFonts w:hint="eastAsia" w:ascii="宋体" w:hAnsi="宋体" w:cs="宋体"/>
                <w:szCs w:val="21"/>
                <w:lang w:bidi="ar"/>
              </w:rPr>
              <w:t xml:space="preserve">）进行打分：</w:t>
            </w:r>
            <w:r>
              <w:rPr>
                <w:rFonts w:ascii="宋体" w:hAnsi="宋体" w:cs="宋体"/>
                <w:szCs w:val="21"/>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lang w:bidi="ar"/>
              </w:rPr>
              <w:t xml:space="preserve">实施方案全面具体、内容详实，合理完善的得4分； </w:t>
            </w:r>
            <w:r>
              <w:rPr>
                <w:rFonts w:ascii="宋体" w:hAnsi="宋体" w:cs="宋体"/>
                <w:szCs w:val="21"/>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lang w:bidi="ar"/>
              </w:rPr>
              <w:t xml:space="preserve">实施方案较全面、内容完整，</w:t>
            </w:r>
            <w:r>
              <w:rPr>
                <w:rFonts w:hint="eastAsia" w:ascii="宋体" w:hAnsi="宋体" w:cs="宋体"/>
                <w:szCs w:val="21"/>
                <w:lang w:val="zh-TW" w:bidi="ar"/>
              </w:rPr>
              <w:t xml:space="preserve">尚有改进空间</w:t>
            </w:r>
            <w:r>
              <w:rPr>
                <w:rFonts w:hint="eastAsia" w:ascii="宋体" w:hAnsi="宋体" w:cs="宋体"/>
                <w:szCs w:val="21"/>
                <w:lang w:bidi="ar"/>
              </w:rPr>
              <w:t xml:space="preserve">的得2分；</w:t>
            </w:r>
            <w:r>
              <w:rPr>
                <w:rFonts w:ascii="宋体" w:hAnsi="宋体" w:cs="宋体"/>
                <w:szCs w:val="21"/>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lang w:bidi="ar"/>
              </w:rPr>
              <w:t xml:space="preserve">实施方案不全面、内容存在瑕疵，需进一步改进的得</w:t>
            </w:r>
            <w:r>
              <w:rPr>
                <w:rFonts w:ascii="宋体" w:hAnsi="宋体" w:cs="宋体"/>
                <w:szCs w:val="21"/>
                <w:lang w:bidi="ar"/>
              </w:rPr>
              <w:t xml:space="preserve">1</w:t>
            </w:r>
            <w:r>
              <w:rPr>
                <w:rFonts w:hint="eastAsia" w:ascii="宋体" w:hAnsi="宋体" w:cs="宋体"/>
                <w:szCs w:val="21"/>
                <w:lang w:bidi="ar"/>
              </w:rPr>
              <w:t xml:space="preserve">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lang w:bidi="ar"/>
              </w:rPr>
              <w:t xml:space="preserve">未在投标文件中提供实施方案或者提供的实施方案不可行的得0分。</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4.2</w:t>
            </w:r>
            <w:r>
              <w:rPr>
                <w:rFonts w:ascii="宋体" w:hAnsi="宋体" w:cs="宋体"/>
                <w:szCs w:val="21"/>
              </w:rPr>
            </w:r>
            <w:r/>
          </w:p>
        </w:tc>
        <w:tc>
          <w:tcPr>
            <w:tcW w:w="816" w:type="dxa"/>
            <w:vAlign w:val="center"/>
            <w:vMerge w:val="continue"/>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评委根据投标文件中项目技术支撑和进度计划（包括但不限于人员配置、产品质量控制、设备安装调试验收进度、安全保障措施等方面）进行打分：</w:t>
            </w:r>
            <w:r>
              <w:rPr>
                <w:rFonts w:ascii="宋体" w:hAnsi="宋体" w:cs="宋体"/>
                <w:szCs w:val="21"/>
              </w:rPr>
            </w:r>
            <w:r/>
          </w:p>
          <w:p>
            <w:pPr>
              <w:pStyle w:val="1344"/>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技术支撑配置优于采购人的要求，具有针对性，项目进度分析清晰具体的得4分；</w:t>
            </w:r>
            <w:r>
              <w:rPr>
                <w:rFonts w:ascii="宋体" w:hAnsi="宋体" w:cs="宋体"/>
                <w:szCs w:val="21"/>
              </w:rPr>
            </w:r>
            <w:r/>
          </w:p>
          <w:p>
            <w:pPr>
              <w:pStyle w:val="1344"/>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技术支撑配置满足采购人的要求，项目进度分析清晰的得2分；</w:t>
            </w:r>
            <w:r>
              <w:rPr>
                <w:rFonts w:ascii="宋体" w:hAnsi="宋体" w:cs="宋体"/>
                <w:szCs w:val="21"/>
              </w:rPr>
            </w:r>
            <w:r/>
          </w:p>
          <w:p>
            <w:pPr>
              <w:pStyle w:val="1344"/>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技术支撑配置不能完全满足采购人的要求，项目进度不清晰的得1分；</w:t>
            </w:r>
            <w:r>
              <w:rPr>
                <w:rFonts w:ascii="宋体" w:hAnsi="宋体" w:cs="宋体"/>
                <w:szCs w:val="21"/>
              </w:rPr>
            </w:r>
            <w:r/>
          </w:p>
          <w:p>
            <w:pPr>
              <w:pStyle w:val="1344"/>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不提供得0分。</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5.1</w:t>
            </w:r>
            <w:r>
              <w:rPr>
                <w:rFonts w:ascii="宋体" w:hAnsi="宋体" w:cs="宋体"/>
                <w:szCs w:val="21"/>
              </w:rPr>
            </w:r>
            <w:r/>
          </w:p>
        </w:tc>
        <w:tc>
          <w:tcPr>
            <w:tcW w:w="816" w:type="dxa"/>
            <w:vAlign w:val="center"/>
            <w:vMerge w:val="restart"/>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售后服务方案</w:t>
            </w:r>
            <w:r>
              <w:rPr>
                <w:rFonts w:ascii="宋体" w:hAnsi="宋体" w:cs="宋体"/>
                <w:szCs w:val="21"/>
              </w:rPr>
            </w:r>
            <w:r/>
          </w:p>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（8分）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评委根据投标文件中售后服务方案（包括但不限于服务体系、服务内容、故障解决方案、响应时间、专业技术人员保障及服务电话、备品备件保证、质保期外维保方案等方面）进行打分：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售后服务方案完整详细，有明确的售后服务机构及人员、售后服务承诺，售后服务响应及处理时间迅速，质保期内的售后服务范围、质保期满后的售后服务范围和收费情况清晰具体</w:t>
            </w:r>
            <w:r>
              <w:rPr>
                <w:rFonts w:hint="eastAsia" w:ascii="宋体" w:hAnsi="宋体" w:cs="宋体"/>
                <w:szCs w:val="21"/>
                <w:lang w:bidi="ar"/>
              </w:rPr>
              <w:t xml:space="preserve">的</w:t>
            </w:r>
            <w:r>
              <w:rPr>
                <w:rFonts w:hint="eastAsia" w:ascii="宋体" w:hAnsi="宋体" w:cs="宋体"/>
                <w:bCs/>
                <w:szCs w:val="21"/>
              </w:rPr>
              <w:t xml:space="preserve">得4</w:t>
            </w:r>
            <w:r>
              <w:rPr>
                <w:rFonts w:hint="eastAsia" w:ascii="宋体" w:hAnsi="宋体" w:cs="宋体"/>
                <w:szCs w:val="21"/>
              </w:rPr>
              <w:t xml:space="preserve">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售后服务方案完整，有明确的售后服务机构及人员、售后服务承诺，售后服务应答及处理时间，质保期内的售后服务范围、质保期满后的售后服务范围和收费情况较为具体</w:t>
            </w:r>
            <w:r>
              <w:rPr>
                <w:rFonts w:hint="eastAsia" w:ascii="宋体" w:hAnsi="宋体" w:cs="宋体"/>
                <w:szCs w:val="21"/>
                <w:lang w:bidi="ar"/>
              </w:rPr>
              <w:t xml:space="preserve">的</w:t>
            </w:r>
            <w:r>
              <w:rPr>
                <w:rFonts w:hint="eastAsia" w:ascii="宋体" w:hAnsi="宋体" w:cs="宋体"/>
                <w:bCs/>
                <w:szCs w:val="21"/>
              </w:rPr>
              <w:t xml:space="preserve">得2</w:t>
            </w:r>
            <w:r>
              <w:rPr>
                <w:rFonts w:hint="eastAsia" w:ascii="宋体" w:hAnsi="宋体" w:cs="宋体"/>
                <w:szCs w:val="21"/>
              </w:rPr>
              <w:t xml:space="preserve">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售后服务体系</w:t>
            </w:r>
            <w:r>
              <w:rPr>
                <w:rFonts w:hint="eastAsia" w:ascii="宋体" w:hAnsi="宋体" w:cs="宋体"/>
                <w:szCs w:val="21"/>
              </w:rPr>
              <w:t xml:space="preserve">薄弱</w:t>
            </w:r>
            <w:r>
              <w:rPr>
                <w:rFonts w:hint="eastAsia" w:ascii="宋体" w:hAnsi="宋体" w:cs="宋体"/>
                <w:szCs w:val="21"/>
              </w:rPr>
              <w:t xml:space="preserve">，售后服务方案各方面内容存在缺陷或不满足</w:t>
            </w:r>
            <w:r>
              <w:rPr>
                <w:rFonts w:hint="eastAsia" w:ascii="宋体" w:hAnsi="宋体" w:cs="宋体"/>
                <w:szCs w:val="21"/>
              </w:rPr>
              <w:t xml:space="preserve">，</w:t>
            </w:r>
            <w:r>
              <w:rPr>
                <w:rFonts w:hint="eastAsia" w:ascii="宋体" w:hAnsi="宋体" w:cs="宋体"/>
                <w:bCs/>
                <w:szCs w:val="21"/>
              </w:rPr>
              <w:t xml:space="preserve">得1</w:t>
            </w:r>
            <w:r>
              <w:rPr>
                <w:rFonts w:hint="eastAsia" w:ascii="宋体" w:hAnsi="宋体" w:cs="宋体"/>
                <w:szCs w:val="21"/>
              </w:rPr>
              <w:t xml:space="preserve">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不提供得0分。</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5.2</w:t>
            </w:r>
            <w:r>
              <w:rPr>
                <w:rFonts w:ascii="宋体" w:hAnsi="宋体" w:cs="宋体"/>
                <w:szCs w:val="21"/>
              </w:rPr>
            </w:r>
            <w:r/>
          </w:p>
        </w:tc>
        <w:tc>
          <w:tcPr>
            <w:tcW w:w="816" w:type="dxa"/>
            <w:vAlign w:val="center"/>
            <w:vMerge w:val="continue"/>
            <w:textDirection w:val="lrTb"/>
            <w:noWrap/>
          </w:tcPr>
          <w:p>
            <w:pPr>
              <w:pStyle w:val="1344"/>
              <w:keepLines w:val="0"/>
              <w:keepNext w:val="0"/>
              <w:pageBreakBefore w:val="0"/>
              <w:spacing w:line="480" w:lineRule="exact"/>
              <w:rPr>
                <w:rFonts w:ascii="宋体" w:hAnsi="宋体" w:cs="宋体"/>
                <w:szCs w:val="21"/>
              </w:rPr>
            </w:pP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评委根据投标文件中培训方案（包括但不限于培训目标、培训方法、培训内容、培训师资力量、培训时间、拟提供的培训资料等方面</w:t>
            </w:r>
            <w:r>
              <w:rPr>
                <w:rFonts w:hint="eastAsia" w:ascii="宋体" w:hAnsi="宋体" w:cs="宋体"/>
                <w:szCs w:val="21"/>
              </w:rPr>
              <w:t xml:space="preserve">）</w:t>
            </w:r>
            <w:r>
              <w:rPr>
                <w:rFonts w:hint="eastAsia" w:ascii="宋体" w:hAnsi="宋体" w:cs="宋体"/>
                <w:szCs w:val="21"/>
              </w:rPr>
              <w:t xml:space="preserve">进行打分：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培训方案内容全面，计划详细，安排合理的得4分；培训方案内容完整，计划明确，可行性较强的得2分；培训计划简单，形式单一，得1分；不提供得0分</w:t>
            </w:r>
            <w:r>
              <w:rPr>
                <w:rFonts w:hint="eastAsia" w:ascii="宋体" w:hAnsi="宋体" w:cs="宋体"/>
                <w:szCs w:val="21"/>
              </w:rPr>
              <w:t xml:space="preserve">。</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816" w:type="dxa"/>
            <w:vAlign w:val="center"/>
            <w:textDirection w:val="lrTb"/>
            <w:noWrap/>
          </w:tcPr>
          <w:p>
            <w:pPr>
              <w:pStyle w:val="1344"/>
              <w:ind w:right="-263"/>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业绩</w:t>
            </w:r>
            <w:r>
              <w:rPr>
                <w:rFonts w:ascii="宋体" w:hAnsi="宋体" w:cs="宋体"/>
                <w:szCs w:val="21"/>
              </w:rPr>
            </w:r>
            <w:r/>
          </w:p>
          <w:p>
            <w:pPr>
              <w:pStyle w:val="1344"/>
              <w:ind w:right="-263"/>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szCs w:val="21"/>
              </w:rPr>
            </w:pPr>
            <w:r>
              <w:rPr>
                <w:rFonts w:hint="eastAsia" w:ascii="宋体" w:hAnsi="宋体" w:cs="宋体"/>
                <w:szCs w:val="21"/>
              </w:rPr>
              <w:t xml:space="preserve">提供20</w:t>
            </w:r>
            <w:r>
              <w:rPr>
                <w:rFonts w:ascii="宋体" w:hAnsi="宋体" w:cs="宋体"/>
                <w:szCs w:val="21"/>
              </w:rPr>
              <w:t xml:space="preserve">23</w:t>
            </w:r>
            <w:r>
              <w:rPr>
                <w:rFonts w:hint="eastAsia" w:ascii="宋体" w:hAnsi="宋体" w:cs="宋体"/>
                <w:szCs w:val="21"/>
              </w:rPr>
              <w:t xml:space="preserve">年</w:t>
            </w:r>
            <w:r>
              <w:rPr>
                <w:rFonts w:ascii="宋体" w:hAnsi="宋体" w:cs="宋体"/>
                <w:szCs w:val="21"/>
              </w:rPr>
              <w:t xml:space="preserve">1</w:t>
            </w:r>
            <w:r>
              <w:rPr>
                <w:rFonts w:hint="eastAsia" w:ascii="宋体" w:hAnsi="宋体" w:cs="宋体"/>
                <w:szCs w:val="21"/>
              </w:rPr>
              <w:t xml:space="preserve">月1日以来，</w:t>
            </w:r>
            <w:r>
              <w:rPr>
                <w:rFonts w:hint="eastAsia" w:ascii="宋体" w:hAnsi="宋体" w:cs="宋体"/>
                <w:b/>
                <w:bCs/>
                <w:szCs w:val="21"/>
              </w:rPr>
              <w:t xml:space="preserve">投标人具有与所投核心产品同品牌</w:t>
            </w:r>
            <w:r>
              <w:rPr>
                <w:rFonts w:hint="eastAsia" w:ascii="宋体" w:hAnsi="宋体" w:cs="宋体"/>
                <w:b/>
                <w:bCs/>
                <w:szCs w:val="21"/>
              </w:rPr>
              <w:t xml:space="preserve">同型号产品或与所投核心产品同品牌且技术指标不低于此次招标技术要求的产品</w:t>
            </w:r>
            <w:r>
              <w:rPr>
                <w:rFonts w:hint="eastAsia" w:ascii="宋体" w:hAnsi="宋体" w:cs="宋体"/>
                <w:szCs w:val="21"/>
              </w:rPr>
              <w:t xml:space="preserve">在国内的销售业绩合同。每提供一份销售合同得</w:t>
            </w:r>
            <w:r>
              <w:rPr>
                <w:rFonts w:ascii="宋体" w:hAnsi="宋体" w:cs="宋体"/>
                <w:szCs w:val="21"/>
              </w:rPr>
              <w:t xml:space="preserve">4</w:t>
            </w:r>
            <w:r>
              <w:rPr>
                <w:rFonts w:hint="eastAsia" w:ascii="宋体" w:hAnsi="宋体" w:cs="宋体"/>
                <w:szCs w:val="21"/>
              </w:rPr>
              <w:t xml:space="preserve">分，本项最高</w:t>
            </w:r>
            <w:r>
              <w:rPr>
                <w:rFonts w:ascii="宋体" w:hAnsi="宋体" w:cs="宋体"/>
                <w:szCs w:val="21"/>
              </w:rPr>
              <w:t xml:space="preserve">8</w:t>
            </w:r>
            <w:r>
              <w:rPr>
                <w:rFonts w:hint="eastAsia" w:ascii="宋体" w:hAnsi="宋体" w:cs="宋体"/>
                <w:szCs w:val="21"/>
              </w:rPr>
              <w:t xml:space="preserve">分。</w:t>
            </w:r>
            <w:r>
              <w:rPr>
                <w:rFonts w:hint="eastAsia" w:ascii="宋体" w:hAnsi="宋体" w:cs="宋体"/>
                <w:b/>
                <w:bCs/>
                <w:szCs w:val="21"/>
              </w:rPr>
              <w:t xml:space="preserve">（需同时提供合同及合同对应发票复印件，发票金额可以是部分或全部金额，未提供发票或合同或合同无法反应上述信息的均不得分，原件备查）</w:t>
            </w:r>
            <w:r>
              <w:rPr>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t xml:space="preserve">8</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7.1</w:t>
            </w:r>
            <w:r>
              <w:rPr>
                <w:rFonts w:ascii="宋体" w:hAnsi="宋体" w:cs="宋体"/>
                <w:szCs w:val="21"/>
              </w:rPr>
            </w:r>
            <w:r/>
          </w:p>
        </w:tc>
        <w:tc>
          <w:tcPr>
            <w:tcW w:w="816" w:type="dxa"/>
            <w:vAlign w:val="center"/>
            <w:vMerge w:val="restart"/>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国家政策导向（</w:t>
            </w:r>
            <w:r>
              <w:rPr>
                <w:rFonts w:ascii="宋体" w:hAnsi="宋体" w:cs="宋体"/>
                <w:szCs w:val="21"/>
              </w:rPr>
              <w:t xml:space="preserve">1</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bCs/>
                <w:szCs w:val="21"/>
              </w:rPr>
              <w:t xml:space="preserve">环境标志产品：</w:t>
            </w:r>
            <w:r>
              <w:rPr>
                <w:rFonts w:hint="eastAsia" w:ascii="宋体" w:hAnsi="宋体" w:cs="宋体"/>
                <w:szCs w:val="21"/>
              </w:rPr>
              <w:t xml:space="preserve">投标产品有《环境标志产品政府采购品目清单》内产品，并提供参与实施政府采购环境标志产品认证机构出具的认证证书得</w:t>
            </w:r>
            <w:r>
              <w:rPr>
                <w:rFonts w:ascii="宋体" w:hAnsi="宋体" w:cs="宋体"/>
                <w:szCs w:val="21"/>
              </w:rPr>
              <w:t xml:space="preserve">0.5</w:t>
            </w:r>
            <w:r>
              <w:rPr>
                <w:rFonts w:hint="eastAsia" w:ascii="宋体" w:hAnsi="宋体" w:cs="宋体"/>
                <w:szCs w:val="21"/>
              </w:rPr>
              <w:t xml:space="preserve">分。</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t xml:space="preserve">0.5</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7.2</w:t>
            </w:r>
            <w:r>
              <w:rPr>
                <w:rFonts w:ascii="宋体" w:hAnsi="宋体" w:cs="宋体"/>
                <w:szCs w:val="21"/>
              </w:rPr>
            </w:r>
            <w:r/>
          </w:p>
        </w:tc>
        <w:tc>
          <w:tcPr>
            <w:tcW w:w="816" w:type="dxa"/>
            <w:vAlign w:val="center"/>
            <w:vMerge w:val="continue"/>
            <w:textDirection w:val="lrTb"/>
            <w:noWrap/>
          </w:tcPr>
          <w:p>
            <w:pPr>
              <w:pStyle w:val="1344"/>
              <w:keepLines w:val="0"/>
              <w:keepNext w:val="0"/>
              <w:pageBreakBefore w:val="0"/>
              <w:spacing w:line="480" w:lineRule="exact"/>
              <w:rPr>
                <w:rFonts w:ascii="宋体" w:hAnsi="宋体" w:cs="宋体"/>
                <w:szCs w:val="21"/>
              </w:rPr>
            </w:pP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节能产品：投标产品有《节能产品政府采购品目清单》内产品，并提供参与实施政府采购节能产品认证机构出具的认证证书得</w:t>
            </w:r>
            <w:r>
              <w:rPr>
                <w:rFonts w:ascii="宋体" w:hAnsi="宋体" w:cs="宋体"/>
                <w:szCs w:val="21"/>
              </w:rPr>
              <w:t xml:space="preserve">0.5</w:t>
            </w:r>
            <w:r>
              <w:rPr>
                <w:rFonts w:hint="eastAsia" w:ascii="宋体" w:hAnsi="宋体" w:cs="宋体"/>
                <w:szCs w:val="21"/>
              </w:rPr>
              <w:t xml:space="preserve">分。</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t xml:space="preserve">0.5</w:t>
            </w:r>
            <w:r>
              <w:rPr>
                <w:rFonts w:ascii="宋体" w:hAnsi="宋体" w:cs="宋体"/>
                <w:szCs w:val="21"/>
              </w:rPr>
            </w:r>
            <w:r/>
          </w:p>
        </w:tc>
      </w:tr>
    </w:tbl>
    <w:p>
      <w:pPr>
        <w:pStyle w:val="1344"/>
        <w:keepLines w:val="0"/>
        <w:keepNext w:val="0"/>
        <w:pageBreakBefore w:val="0"/>
        <w:spacing w:line="480" w:lineRule="exact"/>
        <w:rPr>
          <w:rFonts w:ascii="宋体" w:hAnsi="宋体" w:cs="宋体"/>
          <w:b/>
          <w:bCs/>
          <w:szCs w:val="21"/>
        </w:rPr>
      </w:pPr>
      <w:r>
        <w:rPr>
          <w:rFonts w:ascii="宋体" w:hAnsi="宋体" w:cs="宋体"/>
          <w:b/>
          <w:bCs/>
          <w:szCs w:val="21"/>
        </w:rPr>
      </w:r>
      <w:r/>
    </w:p>
    <w:p>
      <w:pPr>
        <w:pStyle w:val="1344"/>
        <w:keepLines w:val="0"/>
        <w:keepNext w:val="0"/>
        <w:pageBreakBefore w:val="0"/>
        <w:spacing w:line="480" w:lineRule="exact"/>
        <w:rPr>
          <w:rFonts w:ascii="宋体" w:hAnsi="宋体" w:cs="宋体"/>
          <w:b/>
          <w:bCs/>
          <w:szCs w:val="21"/>
        </w:rPr>
      </w:pPr>
      <w:r>
        <w:rPr>
          <w:rFonts w:ascii="宋体" w:hAnsi="宋体" w:cs="宋体"/>
          <w:b/>
          <w:bCs/>
          <w:szCs w:val="21"/>
        </w:rPr>
      </w:r>
      <w:r/>
    </w:p>
    <w:p>
      <w:pPr>
        <w:pStyle w:val="1344"/>
        <w:keepLines w:val="0"/>
        <w:keepNext w:val="0"/>
        <w:pageBreakBefore w:val="0"/>
        <w:spacing w:line="480" w:lineRule="exact"/>
        <w:rPr>
          <w:rFonts w:ascii="宋体" w:hAnsi="宋体" w:cs="宋体"/>
          <w:b/>
          <w:bCs/>
          <w:szCs w:val="21"/>
        </w:rPr>
        <w:outlineLvl w:val="1"/>
      </w:pPr>
      <w:r/>
      <w:bookmarkStart w:id="226" w:name="_Toc32640"/>
      <w:r/>
      <w:bookmarkStart w:id="227" w:name="_Toc26246"/>
      <w:r>
        <w:rPr>
          <w:rFonts w:hint="eastAsia" w:ascii="宋体" w:hAnsi="宋体" w:cs="宋体"/>
          <w:b/>
          <w:bCs/>
          <w:szCs w:val="21"/>
        </w:rPr>
        <w:t xml:space="preserve">分包4</w:t>
      </w:r>
      <w:bookmarkEnd w:id="226"/>
      <w:r/>
      <w:bookmarkEnd w:id="227"/>
      <w:r>
        <w:rPr>
          <w:rFonts w:ascii="宋体" w:hAnsi="宋体" w:cs="宋体"/>
          <w:b/>
          <w:bCs/>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1608"/>
        <w:gridCol w:w="6713"/>
        <w:gridCol w:w="788"/>
      </w:tblGrid>
      <w:tr>
        <w:trPr/>
        <w:tc>
          <w:tcPr>
            <w:tcW w:w="378" w:type="dxa"/>
            <w:vAlign w:val="center"/>
            <w:textDirection w:val="lrTb"/>
            <w:noWrap/>
          </w:tcPr>
          <w:p>
            <w:pPr>
              <w:pStyle w:val="1344"/>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816" w:type="dxa"/>
            <w:vAlign w:val="center"/>
            <w:textDirection w:val="lrTb"/>
            <w:noWrap/>
          </w:tcPr>
          <w:p>
            <w:pPr>
              <w:pStyle w:val="1344"/>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评分因素</w:t>
            </w:r>
            <w:r>
              <w:rPr>
                <w:rFonts w:ascii="宋体" w:hAnsi="宋体" w:cs="宋体"/>
                <w:b/>
                <w:bCs/>
                <w:szCs w:val="21"/>
              </w:rPr>
            </w:r>
            <w:r/>
          </w:p>
        </w:tc>
        <w:tc>
          <w:tcPr>
            <w:tcW w:w="3406" w:type="dxa"/>
            <w:vAlign w:val="center"/>
            <w:textDirection w:val="lrTb"/>
            <w:noWrap/>
          </w:tcPr>
          <w:p>
            <w:pPr>
              <w:pStyle w:val="1344"/>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评审细则</w:t>
            </w:r>
            <w:r>
              <w:rPr>
                <w:rFonts w:ascii="宋体" w:hAnsi="宋体" w:cs="宋体"/>
                <w:b/>
                <w:bCs/>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分值</w:t>
            </w:r>
            <w:r>
              <w:rPr>
                <w:rFonts w:ascii="宋体" w:hAnsi="宋体" w:cs="宋体"/>
                <w:b/>
                <w:bCs/>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816"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投标报价</w:t>
            </w:r>
            <w:r>
              <w:rPr>
                <w:rFonts w:ascii="宋体" w:hAnsi="宋体" w:cs="宋体"/>
                <w:szCs w:val="21"/>
              </w:rPr>
            </w:r>
            <w:r/>
          </w:p>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（30分）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本次招标，以进入详细评审的各投标人评标价的最低值为A值，A值为价格分的满分，即30分。其他投标人的价格分统一按照以下公式计算：投标人评标价得分=（A／该投标人评标价）×30。</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30</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816"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技术及商务响应</w:t>
            </w:r>
            <w:r>
              <w:rPr>
                <w:rFonts w:ascii="宋体" w:hAnsi="宋体" w:cs="宋体"/>
                <w:szCs w:val="21"/>
              </w:rPr>
            </w:r>
            <w:r/>
          </w:p>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40</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设备技术参数及商务要求全部满足招标要求的得满分40分；</w:t>
            </w:r>
            <w:r>
              <w:rPr>
                <w:rFonts w:ascii="宋体" w:hAnsi="宋体" w:cs="宋体"/>
                <w:szCs w:val="21"/>
              </w:rPr>
            </w:r>
            <w:r/>
          </w:p>
          <w:p>
            <w:pPr>
              <w:pStyle w:val="1344"/>
              <w:keepLines w:val="0"/>
              <w:keepNext w:val="0"/>
              <w:pageBreakBefore w:val="0"/>
              <w:spacing w:line="480" w:lineRule="exact"/>
              <w:rPr>
                <w:rFonts w:ascii="宋体" w:hAnsi="宋体" w:cs="宋体"/>
                <w:b/>
                <w:bCs/>
                <w:szCs w:val="21"/>
              </w:rPr>
            </w:pPr>
            <w:r>
              <w:rPr>
                <w:rFonts w:hint="eastAsia" w:ascii="宋体" w:hAnsi="宋体" w:cs="宋体"/>
                <w:szCs w:val="21"/>
              </w:rPr>
              <w:t xml:space="preserve">在此基础上，</w:t>
            </w:r>
            <w:r>
              <w:rPr>
                <w:rFonts w:hint="eastAsia" w:ascii="宋体" w:hAnsi="宋体" w:cs="宋体"/>
                <w:b/>
                <w:bCs/>
                <w:szCs w:val="21"/>
              </w:rPr>
              <w:t xml:space="preserve">招标文件中</w:t>
            </w:r>
            <w:r>
              <w:rPr>
                <w:rFonts w:hint="eastAsia" w:ascii="宋体" w:hAnsi="宋体" w:cs="宋体"/>
                <w:b/>
                <w:bCs/>
                <w:szCs w:val="21"/>
                <w:highlight w:val="none"/>
              </w:rPr>
              <w:t xml:space="preserve">标注“</w:t>
            </w:r>
            <w:r>
              <w:rPr>
                <w:rFonts w:hint="eastAsia" w:ascii="宋体" w:hAnsi="宋体" w:cs="宋体"/>
                <w:b/>
                <w:bCs/>
                <w:szCs w:val="21"/>
                <w:highlight w:val="none"/>
              </w:rPr>
              <w:t xml:space="preserve">★”的条款为实质性要求，有一项负偏离，作无效投标处理，</w:t>
            </w:r>
            <w:r>
              <w:rPr>
                <w:rFonts w:hint="eastAsia" w:ascii="宋体" w:hAnsi="宋体" w:cs="宋体"/>
                <w:szCs w:val="21"/>
                <w:highlight w:val="none"/>
              </w:rPr>
              <w:t xml:space="preserve">其他非重要技术条款每有一项负偏离扣1.18分，扣完为止。所有技术参数中，简单复制招标文件并标注响应或无偏离而又无相关完整技术支持资料证实，评审时评</w:t>
            </w:r>
            <w:r>
              <w:rPr>
                <w:rFonts w:hint="eastAsia" w:ascii="宋体" w:hAnsi="宋体" w:cs="宋体"/>
                <w:szCs w:val="21"/>
              </w:rPr>
              <w:t xml:space="preserve">审委员会成员有权不予认可。对招标文件明确的需主观判定的功能性描述要求未做任何情况说明或响应承诺的，评标委员会有权予以否决或做负偏离处理。</w:t>
            </w:r>
            <w:r>
              <w:rPr>
                <w:rFonts w:ascii="宋体" w:hAnsi="宋体" w:cs="宋体"/>
                <w:b/>
                <w:bCs/>
                <w:szCs w:val="21"/>
              </w:rPr>
            </w:r>
            <w:r/>
          </w:p>
          <w:p>
            <w:pPr>
              <w:pStyle w:val="1344"/>
              <w:keepLines w:val="0"/>
              <w:keepNext w:val="0"/>
              <w:pageBreakBefore w:val="0"/>
              <w:spacing w:line="480" w:lineRule="exact"/>
              <w:rPr>
                <w:rFonts w:ascii="Calibri" w:hAnsi="Calibri"/>
                <w:szCs w:val="21"/>
              </w:rPr>
            </w:pPr>
            <w:r>
              <w:rPr>
                <w:rFonts w:hint="eastAsia" w:ascii="宋体" w:hAnsi="宋体" w:cs="宋体"/>
                <w:b/>
                <w:bCs/>
                <w:szCs w:val="21"/>
              </w:rPr>
              <w:t xml:space="preserve">注：</w:t>
            </w:r>
            <w:r>
              <w:rPr>
                <w:rFonts w:hint="eastAsia" w:ascii="宋体" w:hAnsi="宋体" w:cs="宋体"/>
                <w:b/>
                <w:szCs w:val="21"/>
              </w:rPr>
              <w:t xml:space="preserve">所有对招标文件标注</w:t>
            </w:r>
            <w:r>
              <w:rPr>
                <w:rFonts w:hint="eastAsia" w:ascii="宋体" w:hAnsi="宋体" w:cs="宋体"/>
                <w:b/>
                <w:bCs/>
                <w:szCs w:val="21"/>
              </w:rPr>
              <w:t xml:space="preserve">“</w:t>
            </w:r>
            <w:r>
              <w:rPr>
                <w:rFonts w:hint="eastAsia" w:ascii="宋体" w:hAnsi="宋体" w:cs="宋体"/>
                <w:b/>
                <w:bCs/>
                <w:szCs w:val="21"/>
              </w:rPr>
              <w:t xml:space="preserve">★”</w:t>
            </w:r>
            <w:r>
              <w:rPr>
                <w:rFonts w:hint="eastAsia" w:ascii="宋体" w:hAnsi="宋体" w:cs="宋体"/>
                <w:b/>
                <w:szCs w:val="21"/>
              </w:rPr>
              <w:t xml:space="preserve">的具体要求、参数、数值指标的响应，要求投标供应商必须在投标文件中提供技术支持资料（技术支持资料种类以文件第四章要求为准，如无特殊要求则为明确说明该技术内容的公开发行的手册、彩页、官网截图、功能页面截图、检测报告、白皮书等），</w:t>
            </w:r>
            <w:r>
              <w:rPr>
                <w:rFonts w:hint="eastAsia" w:ascii="宋体" w:hAnsi="宋体" w:cs="宋体"/>
                <w:b/>
                <w:bCs/>
                <w:szCs w:val="21"/>
              </w:rPr>
              <w:t xml:space="preserve">设备及明细配置清单</w:t>
            </w:r>
            <w:r>
              <w:rPr>
                <w:rFonts w:hint="eastAsia" w:ascii="宋体" w:hAnsi="宋体" w:cs="宋体"/>
                <w:b/>
                <w:bCs/>
                <w:szCs w:val="21"/>
                <w:lang w:eastAsia="zh-CN"/>
              </w:rPr>
              <w:t xml:space="preserve">或商务要求（质保期）中标注“★”</w:t>
            </w:r>
            <w:r>
              <w:rPr>
                <w:rFonts w:hint="eastAsia" w:ascii="宋体" w:hAnsi="宋体" w:cs="宋体"/>
                <w:b/>
                <w:szCs w:val="21"/>
              </w:rPr>
              <w:t xml:space="preserve">的无需提供。</w:t>
            </w:r>
            <w:r>
              <w:rPr>
                <w:rFonts w:ascii="Calibri" w:hAnsi="Calibri"/>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t xml:space="preserve">40</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3.1</w:t>
            </w:r>
            <w:r>
              <w:rPr>
                <w:rFonts w:ascii="宋体" w:hAnsi="宋体" w:cs="宋体"/>
                <w:szCs w:val="21"/>
              </w:rPr>
            </w:r>
            <w:r/>
          </w:p>
        </w:tc>
        <w:tc>
          <w:tcPr>
            <w:tcW w:w="816"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产品技术方案（</w:t>
            </w:r>
            <w:r>
              <w:rPr>
                <w:rFonts w:ascii="宋体" w:hAnsi="宋体" w:cs="宋体"/>
                <w:szCs w:val="21"/>
              </w:rPr>
              <w:t xml:space="preserve">5</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lang w:bidi="ar"/>
              </w:rPr>
            </w:pPr>
            <w:r>
              <w:rPr>
                <w:rFonts w:hint="eastAsia" w:ascii="宋体" w:hAnsi="宋体" w:cs="宋体"/>
                <w:szCs w:val="21"/>
                <w:lang w:bidi="ar"/>
              </w:rPr>
              <w:t xml:space="preserve">评委根据投标文件中</w:t>
            </w:r>
            <w:r>
              <w:rPr>
                <w:rFonts w:hint="eastAsia" w:ascii="宋体" w:hAnsi="宋体" w:cs="宋体"/>
                <w:szCs w:val="21"/>
              </w:rPr>
              <w:t xml:space="preserve">产品技术方案进行打分：</w:t>
            </w:r>
            <w:r>
              <w:rPr>
                <w:rFonts w:ascii="宋体" w:hAnsi="宋体" w:cs="宋体"/>
                <w:szCs w:val="21"/>
                <w:lang w:bidi="ar"/>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w:t>
            </w:r>
            <w:r>
              <w:rPr>
                <w:rFonts w:hint="eastAsia" w:ascii="宋体" w:hAnsi="宋体" w:cs="宋体"/>
                <w:szCs w:val="21"/>
                <w:lang w:bidi="ar"/>
              </w:rPr>
              <w:t xml:space="preserve">方案全面具体、内容详实，产品设计先进、数据准确的得</w:t>
            </w:r>
            <w:r>
              <w:rPr>
                <w:rFonts w:ascii="宋体" w:hAnsi="宋体" w:cs="宋体"/>
                <w:szCs w:val="21"/>
                <w:lang w:bidi="ar"/>
              </w:rPr>
              <w:t xml:space="preserve">5</w:t>
            </w:r>
            <w:r>
              <w:rPr>
                <w:rFonts w:hint="eastAsia" w:ascii="宋体" w:hAnsi="宋体" w:cs="宋体"/>
                <w:szCs w:val="21"/>
                <w:lang w:bidi="ar"/>
              </w:rPr>
              <w:t xml:space="preserve">分； </w:t>
            </w:r>
            <w:r>
              <w:rPr>
                <w:rFonts w:ascii="宋体" w:hAnsi="宋体" w:cs="宋体"/>
                <w:szCs w:val="21"/>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w:t>
            </w:r>
            <w:r>
              <w:rPr>
                <w:rFonts w:hint="eastAsia" w:ascii="宋体" w:hAnsi="宋体" w:cs="宋体"/>
                <w:szCs w:val="21"/>
                <w:lang w:bidi="ar"/>
              </w:rPr>
              <w:t xml:space="preserve">方案较为具体全面、内容完整，产品设计合理、数据准确的得3分；</w:t>
            </w:r>
            <w:r>
              <w:rPr>
                <w:rFonts w:ascii="宋体" w:hAnsi="宋体" w:cs="宋体"/>
                <w:szCs w:val="21"/>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w:t>
            </w:r>
            <w:r>
              <w:rPr>
                <w:rFonts w:hint="eastAsia" w:ascii="宋体" w:hAnsi="宋体" w:cs="宋体"/>
                <w:szCs w:val="21"/>
                <w:lang w:bidi="ar"/>
              </w:rPr>
              <w:t xml:space="preserve">方案不全面、内容空泛，不能完全满足文件产品性能要求的得</w:t>
            </w:r>
            <w:r>
              <w:rPr>
                <w:rFonts w:ascii="宋体" w:hAnsi="宋体" w:cs="宋体"/>
                <w:szCs w:val="21"/>
                <w:lang w:bidi="ar"/>
              </w:rPr>
              <w:t xml:space="preserve">1</w:t>
            </w:r>
            <w:r>
              <w:rPr>
                <w:rFonts w:hint="eastAsia" w:ascii="宋体" w:hAnsi="宋体" w:cs="宋体"/>
                <w:szCs w:val="21"/>
                <w:lang w:bidi="ar"/>
              </w:rPr>
              <w:t xml:space="preserve">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lang w:bidi="ar"/>
              </w:rPr>
              <w:t xml:space="preserve">未在投标文件中提供方案或者提供的方案不可行的得0分。</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t xml:space="preserve">5</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highlight w:val="cyan"/>
              </w:rPr>
            </w:pPr>
            <w:r>
              <w:rPr>
                <w:rFonts w:hint="eastAsia" w:ascii="宋体" w:hAnsi="宋体" w:cs="宋体"/>
                <w:szCs w:val="21"/>
              </w:rPr>
              <w:t xml:space="preserve">4.1</w:t>
            </w:r>
            <w:r>
              <w:rPr>
                <w:rFonts w:ascii="宋体" w:hAnsi="宋体" w:cs="宋体"/>
                <w:szCs w:val="21"/>
                <w:highlight w:val="cyan"/>
              </w:rPr>
            </w:r>
            <w:r/>
          </w:p>
        </w:tc>
        <w:tc>
          <w:tcPr>
            <w:tcW w:w="816" w:type="dxa"/>
            <w:vAlign w:val="center"/>
            <w:vMerge w:val="restart"/>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实施方案</w:t>
            </w:r>
            <w:r>
              <w:rPr>
                <w:rFonts w:ascii="宋体" w:hAnsi="宋体" w:cs="宋体"/>
                <w:szCs w:val="21"/>
              </w:rPr>
            </w:r>
            <w:r/>
          </w:p>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（8分）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lang w:bidi="ar"/>
              </w:rPr>
              <w:t xml:space="preserve">评委根据投标文件中实施方案的内容（</w:t>
            </w:r>
            <w:r>
              <w:rPr>
                <w:rFonts w:hint="eastAsia" w:ascii="宋体" w:hAnsi="宋体" w:cs="宋体"/>
                <w:szCs w:val="21"/>
              </w:rPr>
              <w:t xml:space="preserve">包括但不限于项目整体方案、改造方案、供货计划、质量保障措施、风险控制管理措施等</w:t>
            </w:r>
            <w:r>
              <w:rPr>
                <w:rFonts w:hint="eastAsia" w:ascii="宋体" w:hAnsi="宋体" w:cs="宋体"/>
                <w:szCs w:val="21"/>
                <w:lang w:bidi="ar"/>
              </w:rPr>
              <w:t xml:space="preserve">）进行打分：</w:t>
            </w:r>
            <w:r>
              <w:rPr>
                <w:rFonts w:ascii="宋体" w:hAnsi="宋体" w:cs="宋体"/>
                <w:szCs w:val="21"/>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lang w:bidi="ar"/>
              </w:rPr>
              <w:t xml:space="preserve">实施方案全面具体、内容详实，合理完善的得4分； </w:t>
            </w:r>
            <w:r>
              <w:rPr>
                <w:rFonts w:ascii="宋体" w:hAnsi="宋体" w:cs="宋体"/>
                <w:szCs w:val="21"/>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lang w:bidi="ar"/>
              </w:rPr>
              <w:t xml:space="preserve">实施方案较全面、内容完整，</w:t>
            </w:r>
            <w:r>
              <w:rPr>
                <w:rFonts w:hint="eastAsia" w:ascii="宋体" w:hAnsi="宋体" w:cs="宋体"/>
                <w:szCs w:val="21"/>
                <w:lang w:val="zh-TW" w:bidi="ar"/>
              </w:rPr>
              <w:t xml:space="preserve">尚有改进空间</w:t>
            </w:r>
            <w:r>
              <w:rPr>
                <w:rFonts w:hint="eastAsia" w:ascii="宋体" w:hAnsi="宋体" w:cs="宋体"/>
                <w:szCs w:val="21"/>
                <w:lang w:bidi="ar"/>
              </w:rPr>
              <w:t xml:space="preserve">的得2分；</w:t>
            </w:r>
            <w:r>
              <w:rPr>
                <w:rFonts w:ascii="宋体" w:hAnsi="宋体" w:cs="宋体"/>
                <w:szCs w:val="21"/>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lang w:bidi="ar"/>
              </w:rPr>
              <w:t xml:space="preserve">实施方案不全面、内容存在瑕疵，需进一步改进的得</w:t>
            </w:r>
            <w:r>
              <w:rPr>
                <w:rFonts w:ascii="宋体" w:hAnsi="宋体" w:cs="宋体"/>
                <w:szCs w:val="21"/>
                <w:lang w:bidi="ar"/>
              </w:rPr>
              <w:t xml:space="preserve">1</w:t>
            </w:r>
            <w:r>
              <w:rPr>
                <w:rFonts w:hint="eastAsia" w:ascii="宋体" w:hAnsi="宋体" w:cs="宋体"/>
                <w:szCs w:val="21"/>
                <w:lang w:bidi="ar"/>
              </w:rPr>
              <w:t xml:space="preserve">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lang w:bidi="ar"/>
              </w:rPr>
              <w:t xml:space="preserve">未在投标文件中提供实施方案或者提供的实施方案不可行的得0分。</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4.2</w:t>
            </w:r>
            <w:r>
              <w:rPr>
                <w:rFonts w:ascii="宋体" w:hAnsi="宋体" w:cs="宋体"/>
                <w:szCs w:val="21"/>
              </w:rPr>
            </w:r>
            <w:r/>
          </w:p>
        </w:tc>
        <w:tc>
          <w:tcPr>
            <w:tcW w:w="816" w:type="dxa"/>
            <w:vAlign w:val="center"/>
            <w:vMerge w:val="continue"/>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评委根据投标文件中项目技术支撑和进度计划（包括但不限于人员配置、产品质量控制、设备安装调试验收进度、安全保障措施等方面）进行打分：</w:t>
            </w:r>
            <w:r>
              <w:rPr>
                <w:rFonts w:ascii="宋体" w:hAnsi="宋体" w:cs="宋体"/>
                <w:szCs w:val="21"/>
              </w:rPr>
            </w:r>
            <w:r/>
          </w:p>
          <w:p>
            <w:pPr>
              <w:pStyle w:val="1344"/>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技术支撑配置优于采购人的要求，具有针对性，项目进度分析清晰具体的得4分；</w:t>
            </w:r>
            <w:r>
              <w:rPr>
                <w:rFonts w:ascii="宋体" w:hAnsi="宋体" w:cs="宋体"/>
                <w:szCs w:val="21"/>
              </w:rPr>
            </w:r>
            <w:r/>
          </w:p>
          <w:p>
            <w:pPr>
              <w:pStyle w:val="1344"/>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技术支撑配置满足采购人的要求，项目进度分析清晰的得2分；</w:t>
            </w:r>
            <w:r>
              <w:rPr>
                <w:rFonts w:ascii="宋体" w:hAnsi="宋体" w:cs="宋体"/>
                <w:szCs w:val="21"/>
              </w:rPr>
            </w:r>
            <w:r/>
          </w:p>
          <w:p>
            <w:pPr>
              <w:pStyle w:val="1344"/>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技术支撑配置不能完全满足采购人的要求，项目进度不清晰的得1分；</w:t>
            </w:r>
            <w:r>
              <w:rPr>
                <w:rFonts w:ascii="宋体" w:hAnsi="宋体" w:cs="宋体"/>
                <w:szCs w:val="21"/>
              </w:rPr>
            </w:r>
            <w:r/>
          </w:p>
          <w:p>
            <w:pPr>
              <w:pStyle w:val="1344"/>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不提供得0分。</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5.1</w:t>
            </w:r>
            <w:r>
              <w:rPr>
                <w:rFonts w:ascii="宋体" w:hAnsi="宋体" w:cs="宋体"/>
                <w:szCs w:val="21"/>
              </w:rPr>
            </w:r>
            <w:r/>
          </w:p>
        </w:tc>
        <w:tc>
          <w:tcPr>
            <w:tcW w:w="816" w:type="dxa"/>
            <w:vAlign w:val="center"/>
            <w:vMerge w:val="restart"/>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售后服务方案</w:t>
            </w:r>
            <w:r>
              <w:rPr>
                <w:rFonts w:ascii="宋体" w:hAnsi="宋体" w:cs="宋体"/>
                <w:szCs w:val="21"/>
              </w:rPr>
            </w:r>
            <w:r/>
          </w:p>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（8分）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评委根据投标文件中售后服务方案（包括但不限于服务体系、服务内容、故障解决方案、响应时间、专业技术人员保障及服务电话、备品备件保证、质保期外维保方案等方面）进行打分：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售后服务方案完整详细，有明确的售后服务机构及人员、售后服务承诺，售后服务响应及处理时间迅速，质保期内的售后服务范围、质保期满后的售后服务范围和收费情况清晰具体</w:t>
            </w:r>
            <w:r>
              <w:rPr>
                <w:rFonts w:hint="eastAsia" w:ascii="宋体" w:hAnsi="宋体" w:cs="宋体"/>
                <w:szCs w:val="21"/>
                <w:lang w:bidi="ar"/>
              </w:rPr>
              <w:t xml:space="preserve">的</w:t>
            </w:r>
            <w:r>
              <w:rPr>
                <w:rFonts w:hint="eastAsia" w:ascii="宋体" w:hAnsi="宋体" w:cs="宋体"/>
                <w:bCs/>
                <w:szCs w:val="21"/>
              </w:rPr>
              <w:t xml:space="preserve">得4</w:t>
            </w:r>
            <w:r>
              <w:rPr>
                <w:rFonts w:hint="eastAsia" w:ascii="宋体" w:hAnsi="宋体" w:cs="宋体"/>
                <w:szCs w:val="21"/>
              </w:rPr>
              <w:t xml:space="preserve">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售后服务方案完整，有明确的售后服务机构及人员、售后服务承诺，售后服务应答及处理时间，质保期内的售后服务范围、质保期满后的售后服务范围和收费情况较为具体</w:t>
            </w:r>
            <w:r>
              <w:rPr>
                <w:rFonts w:hint="eastAsia" w:ascii="宋体" w:hAnsi="宋体" w:cs="宋体"/>
                <w:szCs w:val="21"/>
                <w:lang w:bidi="ar"/>
              </w:rPr>
              <w:t xml:space="preserve">的</w:t>
            </w:r>
            <w:r>
              <w:rPr>
                <w:rFonts w:hint="eastAsia" w:ascii="宋体" w:hAnsi="宋体" w:cs="宋体"/>
                <w:bCs/>
                <w:szCs w:val="21"/>
              </w:rPr>
              <w:t xml:space="preserve">得2</w:t>
            </w:r>
            <w:r>
              <w:rPr>
                <w:rFonts w:hint="eastAsia" w:ascii="宋体" w:hAnsi="宋体" w:cs="宋体"/>
                <w:szCs w:val="21"/>
              </w:rPr>
              <w:t xml:space="preserve">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售后服务体系</w:t>
            </w:r>
            <w:r>
              <w:rPr>
                <w:rFonts w:hint="eastAsia" w:ascii="宋体" w:hAnsi="宋体" w:cs="宋体"/>
                <w:szCs w:val="21"/>
              </w:rPr>
              <w:t xml:space="preserve">薄弱</w:t>
            </w:r>
            <w:r>
              <w:rPr>
                <w:rFonts w:hint="eastAsia" w:ascii="宋体" w:hAnsi="宋体" w:cs="宋体"/>
                <w:szCs w:val="21"/>
              </w:rPr>
              <w:t xml:space="preserve">，售后服务方案各方面内容存在缺陷或不满足</w:t>
            </w:r>
            <w:r>
              <w:rPr>
                <w:rFonts w:hint="eastAsia" w:ascii="宋体" w:hAnsi="宋体" w:cs="宋体"/>
                <w:szCs w:val="21"/>
              </w:rPr>
              <w:t xml:space="preserve">，</w:t>
            </w:r>
            <w:r>
              <w:rPr>
                <w:rFonts w:hint="eastAsia" w:ascii="宋体" w:hAnsi="宋体" w:cs="宋体"/>
                <w:bCs/>
                <w:szCs w:val="21"/>
              </w:rPr>
              <w:t xml:space="preserve">得1</w:t>
            </w:r>
            <w:r>
              <w:rPr>
                <w:rFonts w:hint="eastAsia" w:ascii="宋体" w:hAnsi="宋体" w:cs="宋体"/>
                <w:szCs w:val="21"/>
              </w:rPr>
              <w:t xml:space="preserve">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不提供得0分。</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5.2</w:t>
            </w:r>
            <w:r>
              <w:rPr>
                <w:rFonts w:ascii="宋体" w:hAnsi="宋体" w:cs="宋体"/>
                <w:szCs w:val="21"/>
              </w:rPr>
            </w:r>
            <w:r/>
          </w:p>
        </w:tc>
        <w:tc>
          <w:tcPr>
            <w:tcW w:w="816" w:type="dxa"/>
            <w:vAlign w:val="center"/>
            <w:vMerge w:val="continue"/>
            <w:textDirection w:val="lrTb"/>
            <w:noWrap/>
          </w:tcPr>
          <w:p>
            <w:pPr>
              <w:pStyle w:val="1344"/>
              <w:keepLines w:val="0"/>
              <w:keepNext w:val="0"/>
              <w:pageBreakBefore w:val="0"/>
              <w:spacing w:line="480" w:lineRule="exact"/>
              <w:rPr>
                <w:rFonts w:ascii="宋体" w:hAnsi="宋体" w:cs="宋体"/>
                <w:szCs w:val="21"/>
              </w:rPr>
            </w:pP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评委根据投标文件中培训方案（包括但不限于培训目标、培训方法、培训内容、培训师资力量、培训时间、拟提供的培训资料等方面</w:t>
            </w:r>
            <w:r>
              <w:rPr>
                <w:rFonts w:hint="eastAsia" w:ascii="宋体" w:hAnsi="宋体" w:cs="宋体"/>
                <w:szCs w:val="21"/>
              </w:rPr>
              <w:t xml:space="preserve">）</w:t>
            </w:r>
            <w:r>
              <w:rPr>
                <w:rFonts w:hint="eastAsia" w:ascii="宋体" w:hAnsi="宋体" w:cs="宋体"/>
                <w:szCs w:val="21"/>
              </w:rPr>
              <w:t xml:space="preserve">进行打分：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培训方案内容全面，计划详细，安排合理的得4分；培训方案内容完整，计划明确，可行性较强的得2分；培训计划简单，形式单一，得1分；不提供得0分</w:t>
            </w:r>
            <w:r>
              <w:rPr>
                <w:rFonts w:hint="eastAsia" w:ascii="宋体" w:hAnsi="宋体" w:cs="宋体"/>
                <w:szCs w:val="21"/>
              </w:rPr>
              <w:t xml:space="preserve">。</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816" w:type="dxa"/>
            <w:vAlign w:val="center"/>
            <w:textDirection w:val="lrTb"/>
            <w:noWrap/>
          </w:tcPr>
          <w:p>
            <w:pPr>
              <w:pStyle w:val="1344"/>
              <w:ind w:right="-263"/>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业绩</w:t>
            </w:r>
            <w:r>
              <w:rPr>
                <w:rFonts w:ascii="宋体" w:hAnsi="宋体" w:cs="宋体"/>
                <w:szCs w:val="21"/>
              </w:rPr>
            </w:r>
            <w:r/>
          </w:p>
          <w:p>
            <w:pPr>
              <w:pStyle w:val="1344"/>
              <w:ind w:right="-263"/>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szCs w:val="21"/>
              </w:rPr>
            </w:pPr>
            <w:r>
              <w:rPr>
                <w:rFonts w:hint="eastAsia" w:ascii="宋体" w:hAnsi="宋体" w:cs="宋体"/>
                <w:szCs w:val="21"/>
              </w:rPr>
              <w:t xml:space="preserve">提供20</w:t>
            </w:r>
            <w:r>
              <w:rPr>
                <w:rFonts w:ascii="宋体" w:hAnsi="宋体" w:cs="宋体"/>
                <w:szCs w:val="21"/>
              </w:rPr>
              <w:t xml:space="preserve">23</w:t>
            </w:r>
            <w:r>
              <w:rPr>
                <w:rFonts w:hint="eastAsia" w:ascii="宋体" w:hAnsi="宋体" w:cs="宋体"/>
                <w:szCs w:val="21"/>
              </w:rPr>
              <w:t xml:space="preserve">年</w:t>
            </w:r>
            <w:r>
              <w:rPr>
                <w:rFonts w:ascii="宋体" w:hAnsi="宋体" w:cs="宋体"/>
                <w:szCs w:val="21"/>
              </w:rPr>
              <w:t xml:space="preserve">1</w:t>
            </w:r>
            <w:r>
              <w:rPr>
                <w:rFonts w:hint="eastAsia" w:ascii="宋体" w:hAnsi="宋体" w:cs="宋体"/>
                <w:szCs w:val="21"/>
              </w:rPr>
              <w:t xml:space="preserve">月1日以来，</w:t>
            </w:r>
            <w:r>
              <w:rPr>
                <w:rFonts w:hint="eastAsia" w:ascii="宋体" w:hAnsi="宋体" w:cs="宋体"/>
                <w:b/>
                <w:bCs/>
                <w:szCs w:val="21"/>
              </w:rPr>
              <w:t xml:space="preserve">投标人具有与所投核心产品同品牌</w:t>
            </w:r>
            <w:r>
              <w:rPr>
                <w:rFonts w:hint="eastAsia" w:ascii="宋体" w:hAnsi="宋体" w:cs="宋体"/>
                <w:b/>
                <w:bCs/>
                <w:szCs w:val="21"/>
              </w:rPr>
              <w:t xml:space="preserve">同型号产品或与所投核心产品同品牌且技术指标不低于此次招标技术要求的产品</w:t>
            </w:r>
            <w:r>
              <w:rPr>
                <w:rFonts w:hint="eastAsia" w:ascii="宋体" w:hAnsi="宋体" w:cs="宋体"/>
                <w:szCs w:val="21"/>
              </w:rPr>
              <w:t xml:space="preserve">在国内的销售业绩合同。每提供一份销售合同得</w:t>
            </w:r>
            <w:r>
              <w:rPr>
                <w:rFonts w:ascii="宋体" w:hAnsi="宋体" w:cs="宋体"/>
                <w:szCs w:val="21"/>
              </w:rPr>
              <w:t xml:space="preserve">4</w:t>
            </w:r>
            <w:r>
              <w:rPr>
                <w:rFonts w:hint="eastAsia" w:ascii="宋体" w:hAnsi="宋体" w:cs="宋体"/>
                <w:szCs w:val="21"/>
              </w:rPr>
              <w:t xml:space="preserve">分，本项最高</w:t>
            </w:r>
            <w:r>
              <w:rPr>
                <w:rFonts w:ascii="宋体" w:hAnsi="宋体" w:cs="宋体"/>
                <w:szCs w:val="21"/>
              </w:rPr>
              <w:t xml:space="preserve">8</w:t>
            </w:r>
            <w:r>
              <w:rPr>
                <w:rFonts w:hint="eastAsia" w:ascii="宋体" w:hAnsi="宋体" w:cs="宋体"/>
                <w:szCs w:val="21"/>
              </w:rPr>
              <w:t xml:space="preserve">分。</w:t>
            </w:r>
            <w:r>
              <w:rPr>
                <w:rFonts w:hint="eastAsia" w:ascii="宋体" w:hAnsi="宋体" w:cs="宋体"/>
                <w:b/>
                <w:bCs/>
                <w:szCs w:val="21"/>
              </w:rPr>
              <w:t xml:space="preserve">（需同时提供合同及合同对应发票复印件，发票金额可以是部分或全部金额，未提供发票或合同或合同无法反应上述信息的均不得分，原件备查）</w:t>
            </w:r>
            <w:r>
              <w:rPr>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t xml:space="preserve">8</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7.1</w:t>
            </w:r>
            <w:r>
              <w:rPr>
                <w:rFonts w:ascii="宋体" w:hAnsi="宋体" w:cs="宋体"/>
                <w:szCs w:val="21"/>
              </w:rPr>
            </w:r>
            <w:r/>
          </w:p>
        </w:tc>
        <w:tc>
          <w:tcPr>
            <w:tcW w:w="816" w:type="dxa"/>
            <w:vAlign w:val="center"/>
            <w:vMerge w:val="restart"/>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国家政策导向（</w:t>
            </w:r>
            <w:r>
              <w:rPr>
                <w:rFonts w:ascii="宋体" w:hAnsi="宋体" w:cs="宋体"/>
                <w:szCs w:val="21"/>
              </w:rPr>
              <w:t xml:space="preserve">1</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bCs/>
                <w:szCs w:val="21"/>
              </w:rPr>
              <w:t xml:space="preserve">环境标志产品：</w:t>
            </w:r>
            <w:r>
              <w:rPr>
                <w:rFonts w:hint="eastAsia" w:ascii="宋体" w:hAnsi="宋体" w:cs="宋体"/>
                <w:szCs w:val="21"/>
              </w:rPr>
              <w:t xml:space="preserve">投标产品有《环境标志产品政府采购品目清单》内产品，并提供参与实施政府采购环境标志产品认证机构出具的认证证书得</w:t>
            </w:r>
            <w:r>
              <w:rPr>
                <w:rFonts w:ascii="宋体" w:hAnsi="宋体" w:cs="宋体"/>
                <w:szCs w:val="21"/>
              </w:rPr>
              <w:t xml:space="preserve">0.5</w:t>
            </w:r>
            <w:r>
              <w:rPr>
                <w:rFonts w:hint="eastAsia" w:ascii="宋体" w:hAnsi="宋体" w:cs="宋体"/>
                <w:szCs w:val="21"/>
              </w:rPr>
              <w:t xml:space="preserve">分。</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t xml:space="preserve">0.5</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7.2</w:t>
            </w:r>
            <w:r>
              <w:rPr>
                <w:rFonts w:ascii="宋体" w:hAnsi="宋体" w:cs="宋体"/>
                <w:szCs w:val="21"/>
              </w:rPr>
            </w:r>
            <w:r/>
          </w:p>
        </w:tc>
        <w:tc>
          <w:tcPr>
            <w:tcW w:w="816" w:type="dxa"/>
            <w:vAlign w:val="center"/>
            <w:vMerge w:val="continue"/>
            <w:textDirection w:val="lrTb"/>
            <w:noWrap/>
          </w:tcPr>
          <w:p>
            <w:pPr>
              <w:pStyle w:val="1344"/>
              <w:keepLines w:val="0"/>
              <w:keepNext w:val="0"/>
              <w:pageBreakBefore w:val="0"/>
              <w:spacing w:line="480" w:lineRule="exact"/>
              <w:rPr>
                <w:rFonts w:ascii="宋体" w:hAnsi="宋体" w:cs="宋体"/>
                <w:szCs w:val="21"/>
              </w:rPr>
            </w:pP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节能产品：投标产品有《节能产品政府采购品目清单》内产品，并提供参与实施政府采购节能产品认证机构出具的认证证书得</w:t>
            </w:r>
            <w:r>
              <w:rPr>
                <w:rFonts w:ascii="宋体" w:hAnsi="宋体" w:cs="宋体"/>
                <w:szCs w:val="21"/>
              </w:rPr>
              <w:t xml:space="preserve">0.5</w:t>
            </w:r>
            <w:r>
              <w:rPr>
                <w:rFonts w:hint="eastAsia" w:ascii="宋体" w:hAnsi="宋体" w:cs="宋体"/>
                <w:szCs w:val="21"/>
              </w:rPr>
              <w:t xml:space="preserve">分。</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t xml:space="preserve">0.5</w:t>
            </w:r>
            <w:r>
              <w:rPr>
                <w:rFonts w:ascii="宋体" w:hAnsi="宋体" w:cs="宋体"/>
                <w:szCs w:val="21"/>
              </w:rPr>
            </w:r>
            <w:r/>
          </w:p>
        </w:tc>
      </w:tr>
    </w:tbl>
    <w:p>
      <w:pPr>
        <w:pStyle w:val="1344"/>
        <w:keepLines w:val="0"/>
        <w:keepNext w:val="0"/>
        <w:pageBreakBefore w:val="0"/>
        <w:spacing w:line="480" w:lineRule="exact"/>
        <w:rPr>
          <w:rFonts w:ascii="宋体" w:hAnsi="宋体" w:cs="宋体"/>
          <w:b/>
          <w:bCs/>
          <w:szCs w:val="21"/>
        </w:rPr>
      </w:pPr>
      <w:r>
        <w:rPr>
          <w:rFonts w:ascii="宋体" w:hAnsi="宋体" w:cs="宋体"/>
          <w:b/>
          <w:bCs/>
          <w:szCs w:val="21"/>
        </w:rPr>
      </w:r>
      <w:r/>
    </w:p>
    <w:p>
      <w:pPr>
        <w:pStyle w:val="1344"/>
        <w:keepLines w:val="0"/>
        <w:keepNext w:val="0"/>
        <w:pageBreakBefore w:val="0"/>
        <w:spacing w:line="480" w:lineRule="exact"/>
        <w:rPr>
          <w:rFonts w:ascii="宋体" w:hAnsi="宋体" w:cs="宋体"/>
          <w:b/>
          <w:bCs/>
          <w:szCs w:val="21"/>
        </w:rPr>
      </w:pPr>
      <w:r>
        <w:rPr>
          <w:rFonts w:ascii="宋体" w:hAnsi="宋体" w:cs="宋体"/>
          <w:b/>
          <w:bCs/>
          <w:szCs w:val="21"/>
        </w:rPr>
      </w:r>
      <w:r/>
    </w:p>
    <w:p>
      <w:pPr>
        <w:pStyle w:val="1344"/>
        <w:keepLines w:val="0"/>
        <w:keepNext w:val="0"/>
        <w:pageBreakBefore w:val="0"/>
        <w:spacing w:line="480" w:lineRule="exact"/>
        <w:rPr>
          <w:rFonts w:ascii="宋体" w:hAnsi="宋体" w:cs="宋体"/>
          <w:b/>
          <w:bCs/>
          <w:szCs w:val="21"/>
        </w:rPr>
        <w:outlineLvl w:val="1"/>
      </w:pPr>
      <w:r/>
      <w:bookmarkStart w:id="228" w:name="_Toc12000"/>
      <w:r/>
      <w:bookmarkStart w:id="229" w:name="_Toc3605"/>
      <w:r>
        <w:rPr>
          <w:rFonts w:hint="eastAsia" w:ascii="宋体" w:hAnsi="宋体" w:cs="宋体"/>
          <w:b/>
          <w:bCs/>
          <w:szCs w:val="21"/>
        </w:rPr>
        <w:t xml:space="preserve">分包5</w:t>
      </w:r>
      <w:bookmarkEnd w:id="228"/>
      <w:r/>
      <w:bookmarkEnd w:id="229"/>
      <w:r>
        <w:rPr>
          <w:rFonts w:ascii="宋体" w:hAnsi="宋体" w:cs="宋体"/>
          <w:b/>
          <w:bCs/>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1608"/>
        <w:gridCol w:w="6713"/>
        <w:gridCol w:w="788"/>
      </w:tblGrid>
      <w:tr>
        <w:trPr/>
        <w:tc>
          <w:tcPr>
            <w:tcW w:w="378" w:type="dxa"/>
            <w:vAlign w:val="center"/>
            <w:textDirection w:val="lrTb"/>
            <w:noWrap/>
          </w:tcPr>
          <w:p>
            <w:pPr>
              <w:pStyle w:val="1344"/>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816" w:type="dxa"/>
            <w:vAlign w:val="center"/>
            <w:textDirection w:val="lrTb"/>
            <w:noWrap/>
          </w:tcPr>
          <w:p>
            <w:pPr>
              <w:pStyle w:val="1344"/>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评分因素</w:t>
            </w:r>
            <w:r>
              <w:rPr>
                <w:rFonts w:ascii="宋体" w:hAnsi="宋体" w:cs="宋体"/>
                <w:b/>
                <w:bCs/>
                <w:szCs w:val="21"/>
              </w:rPr>
            </w:r>
            <w:r/>
          </w:p>
        </w:tc>
        <w:tc>
          <w:tcPr>
            <w:tcW w:w="3406" w:type="dxa"/>
            <w:vAlign w:val="center"/>
            <w:textDirection w:val="lrTb"/>
            <w:noWrap/>
          </w:tcPr>
          <w:p>
            <w:pPr>
              <w:pStyle w:val="1344"/>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评审细则</w:t>
            </w:r>
            <w:r>
              <w:rPr>
                <w:rFonts w:ascii="宋体" w:hAnsi="宋体" w:cs="宋体"/>
                <w:b/>
                <w:bCs/>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分值</w:t>
            </w:r>
            <w:r>
              <w:rPr>
                <w:rFonts w:ascii="宋体" w:hAnsi="宋体" w:cs="宋体"/>
                <w:b/>
                <w:bCs/>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816"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投标报价</w:t>
            </w:r>
            <w:r>
              <w:rPr>
                <w:rFonts w:ascii="宋体" w:hAnsi="宋体" w:cs="宋体"/>
                <w:szCs w:val="21"/>
              </w:rPr>
            </w:r>
            <w:r/>
          </w:p>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（30分）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本次招标，以进入详细评审的各投标人评标价的最低值为A值，A值为价格分的满分，即30分。其他投标人的价格分统一按照以下公式计算：投标人评标价得分=（A／该投标人评标价）×30。</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30</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816"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技术及商务响应</w:t>
            </w:r>
            <w:r>
              <w:rPr>
                <w:rFonts w:ascii="宋体" w:hAnsi="宋体" w:cs="宋体"/>
                <w:szCs w:val="21"/>
              </w:rPr>
            </w:r>
            <w:r/>
          </w:p>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40</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设备技术参数及商务要求全部满足招标要求的得满分40分；</w:t>
            </w:r>
            <w:r>
              <w:rPr>
                <w:rFonts w:ascii="宋体" w:hAnsi="宋体" w:cs="宋体"/>
                <w:szCs w:val="21"/>
              </w:rPr>
            </w:r>
            <w:r/>
          </w:p>
          <w:p>
            <w:pPr>
              <w:pStyle w:val="1344"/>
              <w:keepLines w:val="0"/>
              <w:keepNext w:val="0"/>
              <w:pageBreakBefore w:val="0"/>
              <w:spacing w:line="480" w:lineRule="exact"/>
              <w:rPr>
                <w:rFonts w:ascii="宋体" w:hAnsi="宋体" w:cs="宋体"/>
                <w:b/>
                <w:bCs/>
                <w:szCs w:val="21"/>
              </w:rPr>
            </w:pPr>
            <w:r>
              <w:rPr>
                <w:rFonts w:hint="eastAsia" w:ascii="宋体" w:hAnsi="宋体" w:cs="宋体"/>
                <w:szCs w:val="21"/>
              </w:rPr>
              <w:t xml:space="preserve">在此基础上，</w:t>
            </w:r>
            <w:r>
              <w:rPr>
                <w:rFonts w:hint="eastAsia" w:ascii="宋体" w:hAnsi="宋体" w:cs="宋体"/>
                <w:b/>
                <w:bCs/>
                <w:szCs w:val="21"/>
              </w:rPr>
              <w:t xml:space="preserve">招标文件中标注“</w:t>
            </w:r>
            <w:r>
              <w:rPr>
                <w:rFonts w:hint="eastAsia" w:ascii="宋体" w:hAnsi="宋体" w:cs="宋体"/>
                <w:b/>
                <w:bCs/>
                <w:szCs w:val="21"/>
              </w:rPr>
              <w:t xml:space="preserve">★”的条款为实质性要求，有一项负偏离，作无效投标处理，</w:t>
            </w:r>
            <w:r>
              <w:rPr>
                <w:rFonts w:hint="eastAsia" w:ascii="宋体" w:hAnsi="宋体" w:cs="宋体"/>
                <w:szCs w:val="21"/>
              </w:rPr>
              <w:t xml:space="preserve">其他非重要技术条款每有一项负偏离扣1分，扣完为止。所有技术参数中，简单复制招标文件并标注响应或无偏离而又无相关完整技术支持资料证实，评审时评审委员会成员有权不予认可。对招标文件明确的需主观判定的功能性描述要求未做任何情况说明或响应承诺的，评标委员会有权予以否决或做负偏离处理。</w:t>
            </w:r>
            <w:r>
              <w:rPr>
                <w:rFonts w:ascii="宋体" w:hAnsi="宋体" w:cs="宋体"/>
                <w:b/>
                <w:bCs/>
                <w:szCs w:val="21"/>
              </w:rPr>
            </w:r>
            <w:r/>
          </w:p>
          <w:p>
            <w:pPr>
              <w:pStyle w:val="1344"/>
              <w:keepLines w:val="0"/>
              <w:keepNext w:val="0"/>
              <w:pageBreakBefore w:val="0"/>
              <w:spacing w:line="480" w:lineRule="exact"/>
              <w:rPr>
                <w:rFonts w:ascii="Calibri" w:hAnsi="Calibri"/>
                <w:szCs w:val="21"/>
              </w:rPr>
            </w:pPr>
            <w:r>
              <w:rPr>
                <w:rFonts w:hint="eastAsia" w:ascii="宋体" w:hAnsi="宋体" w:cs="宋体"/>
                <w:b/>
                <w:bCs/>
                <w:szCs w:val="21"/>
              </w:rPr>
              <w:t xml:space="preserve">注：</w:t>
            </w:r>
            <w:r>
              <w:rPr>
                <w:rFonts w:hint="eastAsia" w:ascii="宋体" w:hAnsi="宋体" w:cs="宋体"/>
                <w:b/>
                <w:szCs w:val="21"/>
              </w:rPr>
              <w:t xml:space="preserve">所有对招标文件标注</w:t>
            </w:r>
            <w:r>
              <w:rPr>
                <w:rFonts w:hint="eastAsia" w:ascii="宋体" w:hAnsi="宋体" w:cs="宋体"/>
                <w:b/>
                <w:bCs/>
                <w:szCs w:val="21"/>
              </w:rPr>
              <w:t xml:space="preserve">“</w:t>
            </w:r>
            <w:r>
              <w:rPr>
                <w:rFonts w:hint="eastAsia" w:ascii="宋体" w:hAnsi="宋体" w:cs="宋体"/>
                <w:b/>
                <w:bCs/>
                <w:szCs w:val="21"/>
              </w:rPr>
              <w:t xml:space="preserve">★”</w:t>
            </w:r>
            <w:r>
              <w:rPr>
                <w:rFonts w:hint="eastAsia" w:ascii="宋体" w:hAnsi="宋体" w:cs="宋体"/>
                <w:b/>
                <w:szCs w:val="21"/>
              </w:rPr>
              <w:t xml:space="preserve">的具体要求、参数、数值指标的响应，要求投标供应商必须在投标文件中提供技术支持资料（技术支持资料种类以文件第四章要求为准，如无特殊要求则为明确说明该技术内容的公开发行的手册、彩页、官网截图、功能页面截图、检测报告、白皮书等），</w:t>
            </w:r>
            <w:r>
              <w:rPr>
                <w:rFonts w:hint="eastAsia" w:ascii="宋体" w:hAnsi="宋体" w:cs="宋体"/>
                <w:b/>
                <w:bCs/>
                <w:szCs w:val="21"/>
              </w:rPr>
              <w:t xml:space="preserve">设备及明细配置清单</w:t>
            </w:r>
            <w:r>
              <w:rPr>
                <w:rFonts w:hint="eastAsia" w:ascii="宋体" w:hAnsi="宋体" w:cs="宋体"/>
                <w:b/>
                <w:bCs/>
                <w:szCs w:val="21"/>
                <w:lang w:eastAsia="zh-CN"/>
              </w:rPr>
              <w:t xml:space="preserve">或商务要求（质保期）中标注“★”</w:t>
            </w:r>
            <w:r>
              <w:rPr>
                <w:rFonts w:hint="eastAsia" w:ascii="宋体" w:hAnsi="宋体" w:cs="宋体"/>
                <w:b/>
                <w:szCs w:val="21"/>
              </w:rPr>
              <w:t xml:space="preserve">的无需提供。</w:t>
            </w:r>
            <w:r>
              <w:rPr>
                <w:rFonts w:ascii="Calibri" w:hAnsi="Calibri"/>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t xml:space="preserve">40</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3.1</w:t>
            </w:r>
            <w:r>
              <w:rPr>
                <w:rFonts w:ascii="宋体" w:hAnsi="宋体" w:cs="宋体"/>
                <w:szCs w:val="21"/>
              </w:rPr>
            </w:r>
            <w:r/>
          </w:p>
        </w:tc>
        <w:tc>
          <w:tcPr>
            <w:tcW w:w="816"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产品技术方案（</w:t>
            </w:r>
            <w:r>
              <w:rPr>
                <w:rFonts w:ascii="宋体" w:hAnsi="宋体" w:cs="宋体"/>
                <w:szCs w:val="21"/>
              </w:rPr>
              <w:t xml:space="preserve">5</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lang w:bidi="ar"/>
              </w:rPr>
            </w:pPr>
            <w:r>
              <w:rPr>
                <w:rFonts w:hint="eastAsia" w:ascii="宋体" w:hAnsi="宋体" w:cs="宋体"/>
                <w:szCs w:val="21"/>
                <w:lang w:bidi="ar"/>
              </w:rPr>
              <w:t xml:space="preserve">评委根据投标文件中</w:t>
            </w:r>
            <w:r>
              <w:rPr>
                <w:rFonts w:hint="eastAsia" w:ascii="宋体" w:hAnsi="宋体" w:cs="宋体"/>
                <w:szCs w:val="21"/>
              </w:rPr>
              <w:t xml:space="preserve">产品技术方案进行打分：</w:t>
            </w:r>
            <w:r>
              <w:rPr>
                <w:rFonts w:ascii="宋体" w:hAnsi="宋体" w:cs="宋体"/>
                <w:szCs w:val="21"/>
                <w:lang w:bidi="ar"/>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w:t>
            </w:r>
            <w:r>
              <w:rPr>
                <w:rFonts w:hint="eastAsia" w:ascii="宋体" w:hAnsi="宋体" w:cs="宋体"/>
                <w:szCs w:val="21"/>
                <w:lang w:bidi="ar"/>
              </w:rPr>
              <w:t xml:space="preserve">方案全面具体、内容详实，产品设计先进、数据准确的得</w:t>
            </w:r>
            <w:r>
              <w:rPr>
                <w:rFonts w:ascii="宋体" w:hAnsi="宋体" w:cs="宋体"/>
                <w:szCs w:val="21"/>
                <w:lang w:bidi="ar"/>
              </w:rPr>
              <w:t xml:space="preserve">5</w:t>
            </w:r>
            <w:r>
              <w:rPr>
                <w:rFonts w:hint="eastAsia" w:ascii="宋体" w:hAnsi="宋体" w:cs="宋体"/>
                <w:szCs w:val="21"/>
                <w:lang w:bidi="ar"/>
              </w:rPr>
              <w:t xml:space="preserve">分； </w:t>
            </w:r>
            <w:r>
              <w:rPr>
                <w:rFonts w:ascii="宋体" w:hAnsi="宋体" w:cs="宋体"/>
                <w:szCs w:val="21"/>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w:t>
            </w:r>
            <w:r>
              <w:rPr>
                <w:rFonts w:hint="eastAsia" w:ascii="宋体" w:hAnsi="宋体" w:cs="宋体"/>
                <w:szCs w:val="21"/>
                <w:lang w:bidi="ar"/>
              </w:rPr>
              <w:t xml:space="preserve">方案较为具体全面、内容完整，产品设计合理、数据准确的得3分；</w:t>
            </w:r>
            <w:r>
              <w:rPr>
                <w:rFonts w:ascii="宋体" w:hAnsi="宋体" w:cs="宋体"/>
                <w:szCs w:val="21"/>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w:t>
            </w:r>
            <w:r>
              <w:rPr>
                <w:rFonts w:hint="eastAsia" w:ascii="宋体" w:hAnsi="宋体" w:cs="宋体"/>
                <w:szCs w:val="21"/>
                <w:lang w:bidi="ar"/>
              </w:rPr>
              <w:t xml:space="preserve">方案不全面、内容空泛，不能完全满足文件产品性能要求的得</w:t>
            </w:r>
            <w:r>
              <w:rPr>
                <w:rFonts w:ascii="宋体" w:hAnsi="宋体" w:cs="宋体"/>
                <w:szCs w:val="21"/>
                <w:lang w:bidi="ar"/>
              </w:rPr>
              <w:t xml:space="preserve">1</w:t>
            </w:r>
            <w:r>
              <w:rPr>
                <w:rFonts w:hint="eastAsia" w:ascii="宋体" w:hAnsi="宋体" w:cs="宋体"/>
                <w:szCs w:val="21"/>
                <w:lang w:bidi="ar"/>
              </w:rPr>
              <w:t xml:space="preserve">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lang w:bidi="ar"/>
              </w:rPr>
              <w:t xml:space="preserve">未在投标文件中提供方案或者提供的方案不可行的得0分。</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t xml:space="preserve">5</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highlight w:val="cyan"/>
              </w:rPr>
            </w:pPr>
            <w:r>
              <w:rPr>
                <w:rFonts w:hint="eastAsia" w:ascii="宋体" w:hAnsi="宋体" w:cs="宋体"/>
                <w:szCs w:val="21"/>
              </w:rPr>
              <w:t xml:space="preserve">4.1</w:t>
            </w:r>
            <w:r>
              <w:rPr>
                <w:rFonts w:ascii="宋体" w:hAnsi="宋体" w:cs="宋体"/>
                <w:szCs w:val="21"/>
                <w:highlight w:val="cyan"/>
              </w:rPr>
            </w:r>
            <w:r/>
          </w:p>
        </w:tc>
        <w:tc>
          <w:tcPr>
            <w:tcW w:w="816" w:type="dxa"/>
            <w:vAlign w:val="center"/>
            <w:vMerge w:val="restart"/>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实施方案</w:t>
            </w:r>
            <w:r>
              <w:rPr>
                <w:rFonts w:ascii="宋体" w:hAnsi="宋体" w:cs="宋体"/>
                <w:szCs w:val="21"/>
              </w:rPr>
            </w:r>
            <w:r/>
          </w:p>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（8分）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lang w:bidi="ar"/>
              </w:rPr>
              <w:t xml:space="preserve">评委根据投标文件中实施方案的内容（</w:t>
            </w:r>
            <w:r>
              <w:rPr>
                <w:rFonts w:hint="eastAsia" w:ascii="宋体" w:hAnsi="宋体" w:cs="宋体"/>
                <w:szCs w:val="21"/>
              </w:rPr>
              <w:t xml:space="preserve">包括但不限于项目整体方案、改造方案、供货计划、质量保障措施、风险控制管理措施等</w:t>
            </w:r>
            <w:r>
              <w:rPr>
                <w:rFonts w:hint="eastAsia" w:ascii="宋体" w:hAnsi="宋体" w:cs="宋体"/>
                <w:szCs w:val="21"/>
                <w:lang w:bidi="ar"/>
              </w:rPr>
              <w:t xml:space="preserve">）进行打分：</w:t>
            </w:r>
            <w:r>
              <w:rPr>
                <w:rFonts w:ascii="宋体" w:hAnsi="宋体" w:cs="宋体"/>
                <w:szCs w:val="21"/>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lang w:bidi="ar"/>
              </w:rPr>
              <w:t xml:space="preserve">实施方案全面具体、内容详实，合理完善的得4分； </w:t>
            </w:r>
            <w:r>
              <w:rPr>
                <w:rFonts w:ascii="宋体" w:hAnsi="宋体" w:cs="宋体"/>
                <w:szCs w:val="21"/>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lang w:bidi="ar"/>
              </w:rPr>
              <w:t xml:space="preserve">实施方案较全面、内容完整，</w:t>
            </w:r>
            <w:r>
              <w:rPr>
                <w:rFonts w:hint="eastAsia" w:ascii="宋体" w:hAnsi="宋体" w:cs="宋体"/>
                <w:szCs w:val="21"/>
                <w:lang w:val="zh-TW" w:bidi="ar"/>
              </w:rPr>
              <w:t xml:space="preserve">尚有改进空间</w:t>
            </w:r>
            <w:r>
              <w:rPr>
                <w:rFonts w:hint="eastAsia" w:ascii="宋体" w:hAnsi="宋体" w:cs="宋体"/>
                <w:szCs w:val="21"/>
                <w:lang w:bidi="ar"/>
              </w:rPr>
              <w:t xml:space="preserve">的得2分；</w:t>
            </w:r>
            <w:r>
              <w:rPr>
                <w:rFonts w:ascii="宋体" w:hAnsi="宋体" w:cs="宋体"/>
                <w:szCs w:val="21"/>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lang w:bidi="ar"/>
              </w:rPr>
              <w:t xml:space="preserve">实施方案不全面、内容存在瑕疵，需进一步改进的得</w:t>
            </w:r>
            <w:r>
              <w:rPr>
                <w:rFonts w:ascii="宋体" w:hAnsi="宋体" w:cs="宋体"/>
                <w:szCs w:val="21"/>
                <w:lang w:bidi="ar"/>
              </w:rPr>
              <w:t xml:space="preserve">1</w:t>
            </w:r>
            <w:r>
              <w:rPr>
                <w:rFonts w:hint="eastAsia" w:ascii="宋体" w:hAnsi="宋体" w:cs="宋体"/>
                <w:szCs w:val="21"/>
                <w:lang w:bidi="ar"/>
              </w:rPr>
              <w:t xml:space="preserve">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lang w:bidi="ar"/>
              </w:rPr>
              <w:t xml:space="preserve">未在投标文件中提供实施方案或者提供的实施方案不可行的得0分。</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4.2</w:t>
            </w:r>
            <w:r>
              <w:rPr>
                <w:rFonts w:ascii="宋体" w:hAnsi="宋体" w:cs="宋体"/>
                <w:szCs w:val="21"/>
              </w:rPr>
            </w:r>
            <w:r/>
          </w:p>
        </w:tc>
        <w:tc>
          <w:tcPr>
            <w:tcW w:w="816" w:type="dxa"/>
            <w:vAlign w:val="center"/>
            <w:vMerge w:val="continue"/>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评委根据投标文件中项目技术支撑和进度计划（包括但不限于人员配置、产品质量控制、设备安装调试验收进度、安全保障措施等方面）进行打分：</w:t>
            </w:r>
            <w:r>
              <w:rPr>
                <w:rFonts w:ascii="宋体" w:hAnsi="宋体" w:cs="宋体"/>
                <w:szCs w:val="21"/>
              </w:rPr>
            </w:r>
            <w:r/>
          </w:p>
          <w:p>
            <w:pPr>
              <w:pStyle w:val="1344"/>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技术支撑配置优于采购人的要求，具有针对性，项目进度分析清晰具体的得4分；</w:t>
            </w:r>
            <w:r>
              <w:rPr>
                <w:rFonts w:ascii="宋体" w:hAnsi="宋体" w:cs="宋体"/>
                <w:szCs w:val="21"/>
              </w:rPr>
            </w:r>
            <w:r/>
          </w:p>
          <w:p>
            <w:pPr>
              <w:pStyle w:val="1344"/>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技术支撑配置满足采购人的要求，项目进度分析清晰的得2分；</w:t>
            </w:r>
            <w:r>
              <w:rPr>
                <w:rFonts w:ascii="宋体" w:hAnsi="宋体" w:cs="宋体"/>
                <w:szCs w:val="21"/>
              </w:rPr>
            </w:r>
            <w:r/>
          </w:p>
          <w:p>
            <w:pPr>
              <w:pStyle w:val="1344"/>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技术支撑配置不能完全满足采购人的要求，项目进度不清晰的得1分；</w:t>
            </w:r>
            <w:r>
              <w:rPr>
                <w:rFonts w:ascii="宋体" w:hAnsi="宋体" w:cs="宋体"/>
                <w:szCs w:val="21"/>
              </w:rPr>
            </w:r>
            <w:r/>
          </w:p>
          <w:p>
            <w:pPr>
              <w:pStyle w:val="1344"/>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不提供得0分。</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5.1</w:t>
            </w:r>
            <w:r>
              <w:rPr>
                <w:rFonts w:ascii="宋体" w:hAnsi="宋体" w:cs="宋体"/>
                <w:szCs w:val="21"/>
              </w:rPr>
            </w:r>
            <w:r/>
          </w:p>
        </w:tc>
        <w:tc>
          <w:tcPr>
            <w:tcW w:w="816" w:type="dxa"/>
            <w:vAlign w:val="center"/>
            <w:vMerge w:val="restart"/>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售后服务方案</w:t>
            </w:r>
            <w:r>
              <w:rPr>
                <w:rFonts w:ascii="宋体" w:hAnsi="宋体" w:cs="宋体"/>
                <w:szCs w:val="21"/>
              </w:rPr>
            </w:r>
            <w:r/>
          </w:p>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（8分）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评委根据投标文件中售后服务方案（包括但不限于服务体系、服务内容、故障解决方案、响应时间、专业技术人员保障及服务电话、备品备件保证、质保期外维保方案等方面）进行打分：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售后服务方案完整详细，有明确的售后服务机构及人员、售后服务承诺，售后服务响应及处理时间迅速，质保期内的售后服务范围、质保期满后的售后服务范围和收费情况清晰具体</w:t>
            </w:r>
            <w:r>
              <w:rPr>
                <w:rFonts w:hint="eastAsia" w:ascii="宋体" w:hAnsi="宋体" w:cs="宋体"/>
                <w:szCs w:val="21"/>
                <w:lang w:bidi="ar"/>
              </w:rPr>
              <w:t xml:space="preserve">的</w:t>
            </w:r>
            <w:r>
              <w:rPr>
                <w:rFonts w:hint="eastAsia" w:ascii="宋体" w:hAnsi="宋体" w:cs="宋体"/>
                <w:bCs/>
                <w:szCs w:val="21"/>
              </w:rPr>
              <w:t xml:space="preserve">得4</w:t>
            </w:r>
            <w:r>
              <w:rPr>
                <w:rFonts w:hint="eastAsia" w:ascii="宋体" w:hAnsi="宋体" w:cs="宋体"/>
                <w:szCs w:val="21"/>
              </w:rPr>
              <w:t xml:space="preserve">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售后服务方案完整，有明确的售后服务机构及人员、售后服务承诺，售后服务应答及处理时间，质保期内的售后服务范围、质保期满后的售后服务范围和收费情况较为具体</w:t>
            </w:r>
            <w:r>
              <w:rPr>
                <w:rFonts w:hint="eastAsia" w:ascii="宋体" w:hAnsi="宋体" w:cs="宋体"/>
                <w:szCs w:val="21"/>
                <w:lang w:bidi="ar"/>
              </w:rPr>
              <w:t xml:space="preserve">的</w:t>
            </w:r>
            <w:r>
              <w:rPr>
                <w:rFonts w:hint="eastAsia" w:ascii="宋体" w:hAnsi="宋体" w:cs="宋体"/>
                <w:bCs/>
                <w:szCs w:val="21"/>
              </w:rPr>
              <w:t xml:space="preserve">得2</w:t>
            </w:r>
            <w:r>
              <w:rPr>
                <w:rFonts w:hint="eastAsia" w:ascii="宋体" w:hAnsi="宋体" w:cs="宋体"/>
                <w:szCs w:val="21"/>
              </w:rPr>
              <w:t xml:space="preserve">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售后服务体系</w:t>
            </w:r>
            <w:r>
              <w:rPr>
                <w:rFonts w:hint="eastAsia" w:ascii="宋体" w:hAnsi="宋体" w:cs="宋体"/>
                <w:szCs w:val="21"/>
              </w:rPr>
              <w:t xml:space="preserve">薄弱</w:t>
            </w:r>
            <w:r>
              <w:rPr>
                <w:rFonts w:hint="eastAsia" w:ascii="宋体" w:hAnsi="宋体" w:cs="宋体"/>
                <w:szCs w:val="21"/>
              </w:rPr>
              <w:t xml:space="preserve">，售后服务方案各方面内容存在缺陷或不满足</w:t>
            </w:r>
            <w:r>
              <w:rPr>
                <w:rFonts w:hint="eastAsia" w:ascii="宋体" w:hAnsi="宋体" w:cs="宋体"/>
                <w:szCs w:val="21"/>
              </w:rPr>
              <w:t xml:space="preserve">，</w:t>
            </w:r>
            <w:r>
              <w:rPr>
                <w:rFonts w:hint="eastAsia" w:ascii="宋体" w:hAnsi="宋体" w:cs="宋体"/>
                <w:bCs/>
                <w:szCs w:val="21"/>
              </w:rPr>
              <w:t xml:space="preserve">得1</w:t>
            </w:r>
            <w:r>
              <w:rPr>
                <w:rFonts w:hint="eastAsia" w:ascii="宋体" w:hAnsi="宋体" w:cs="宋体"/>
                <w:szCs w:val="21"/>
              </w:rPr>
              <w:t xml:space="preserve">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不提供得0分。</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5.2</w:t>
            </w:r>
            <w:r>
              <w:rPr>
                <w:rFonts w:ascii="宋体" w:hAnsi="宋体" w:cs="宋体"/>
                <w:szCs w:val="21"/>
              </w:rPr>
            </w:r>
            <w:r/>
          </w:p>
        </w:tc>
        <w:tc>
          <w:tcPr>
            <w:tcW w:w="816" w:type="dxa"/>
            <w:vAlign w:val="center"/>
            <w:vMerge w:val="continue"/>
            <w:textDirection w:val="lrTb"/>
            <w:noWrap/>
          </w:tcPr>
          <w:p>
            <w:pPr>
              <w:pStyle w:val="1344"/>
              <w:keepLines w:val="0"/>
              <w:keepNext w:val="0"/>
              <w:pageBreakBefore w:val="0"/>
              <w:spacing w:line="480" w:lineRule="exact"/>
              <w:rPr>
                <w:rFonts w:ascii="宋体" w:hAnsi="宋体" w:cs="宋体"/>
                <w:szCs w:val="21"/>
              </w:rPr>
            </w:pP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评委根据投标文件中培训方案（包括但不限于培训目标、培训方法、培训内容、培训师资力量、培训时间、拟提供的培训资料等方面</w:t>
            </w:r>
            <w:r>
              <w:rPr>
                <w:rFonts w:hint="eastAsia" w:ascii="宋体" w:hAnsi="宋体" w:cs="宋体"/>
                <w:szCs w:val="21"/>
              </w:rPr>
              <w:t xml:space="preserve">）</w:t>
            </w:r>
            <w:r>
              <w:rPr>
                <w:rFonts w:hint="eastAsia" w:ascii="宋体" w:hAnsi="宋体" w:cs="宋体"/>
                <w:szCs w:val="21"/>
              </w:rPr>
              <w:t xml:space="preserve">进行打分：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培训方案内容全面，计划详细，安排合理的得4分；培训方案内容完整，计划明确，可行性较强的得2分；培训计划简单，形式单一，得1分；不提供得0分</w:t>
            </w:r>
            <w:r>
              <w:rPr>
                <w:rFonts w:hint="eastAsia" w:ascii="宋体" w:hAnsi="宋体" w:cs="宋体"/>
                <w:szCs w:val="21"/>
              </w:rPr>
              <w:t xml:space="preserve">。</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816" w:type="dxa"/>
            <w:vAlign w:val="center"/>
            <w:textDirection w:val="lrTb"/>
            <w:noWrap/>
          </w:tcPr>
          <w:p>
            <w:pPr>
              <w:pStyle w:val="1344"/>
              <w:ind w:right="-263"/>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业绩</w:t>
            </w:r>
            <w:r>
              <w:rPr>
                <w:rFonts w:ascii="宋体" w:hAnsi="宋体" w:cs="宋体"/>
                <w:szCs w:val="21"/>
              </w:rPr>
            </w:r>
            <w:r/>
          </w:p>
          <w:p>
            <w:pPr>
              <w:pStyle w:val="1344"/>
              <w:ind w:right="-263"/>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szCs w:val="21"/>
              </w:rPr>
            </w:pPr>
            <w:r>
              <w:rPr>
                <w:rFonts w:hint="eastAsia" w:ascii="宋体" w:hAnsi="宋体" w:cs="宋体"/>
                <w:szCs w:val="21"/>
              </w:rPr>
              <w:t xml:space="preserve">提供20</w:t>
            </w:r>
            <w:r>
              <w:rPr>
                <w:rFonts w:ascii="宋体" w:hAnsi="宋体" w:cs="宋体"/>
                <w:szCs w:val="21"/>
              </w:rPr>
              <w:t xml:space="preserve">2</w:t>
            </w:r>
            <w:r>
              <w:rPr>
                <w:rFonts w:hint="eastAsia" w:ascii="宋体" w:hAnsi="宋体" w:cs="宋体"/>
                <w:szCs w:val="21"/>
              </w:rPr>
              <w:t xml:space="preserve">3年</w:t>
            </w:r>
            <w:r>
              <w:rPr>
                <w:rFonts w:ascii="宋体" w:hAnsi="宋体" w:cs="宋体"/>
                <w:szCs w:val="21"/>
              </w:rPr>
              <w:t xml:space="preserve">1</w:t>
            </w:r>
            <w:r>
              <w:rPr>
                <w:rFonts w:hint="eastAsia" w:ascii="宋体" w:hAnsi="宋体" w:cs="宋体"/>
                <w:szCs w:val="21"/>
              </w:rPr>
              <w:t xml:space="preserve">月1日以来，</w:t>
            </w:r>
            <w:r>
              <w:rPr>
                <w:rFonts w:hint="eastAsia" w:ascii="宋体" w:hAnsi="宋体" w:cs="宋体"/>
                <w:b/>
                <w:bCs/>
                <w:szCs w:val="21"/>
              </w:rPr>
              <w:t xml:space="preserve">投标人具有与所投核心产品同品牌</w:t>
            </w:r>
            <w:r>
              <w:rPr>
                <w:rFonts w:hint="eastAsia" w:ascii="宋体" w:hAnsi="宋体" w:cs="宋体"/>
                <w:b/>
                <w:bCs/>
                <w:szCs w:val="21"/>
              </w:rPr>
              <w:t xml:space="preserve">同型号产品或与所投核心产品同品牌且技术指标不低于此次招标技术要求的产品</w:t>
            </w:r>
            <w:r>
              <w:rPr>
                <w:rFonts w:hint="eastAsia" w:ascii="宋体" w:hAnsi="宋体" w:cs="宋体"/>
                <w:szCs w:val="21"/>
              </w:rPr>
              <w:t xml:space="preserve">在国内的销售业绩合同。每提供一份销售合同得</w:t>
            </w:r>
            <w:r>
              <w:rPr>
                <w:rFonts w:ascii="宋体" w:hAnsi="宋体" w:cs="宋体"/>
                <w:szCs w:val="21"/>
              </w:rPr>
              <w:t xml:space="preserve">2</w:t>
            </w:r>
            <w:r>
              <w:rPr>
                <w:rFonts w:hint="eastAsia" w:ascii="宋体" w:hAnsi="宋体" w:cs="宋体"/>
                <w:szCs w:val="21"/>
              </w:rPr>
              <w:t xml:space="preserve">分，本项最高</w:t>
            </w:r>
            <w:r>
              <w:rPr>
                <w:rFonts w:ascii="宋体" w:hAnsi="宋体" w:cs="宋体"/>
                <w:szCs w:val="21"/>
              </w:rPr>
              <w:t xml:space="preserve">8</w:t>
            </w:r>
            <w:r>
              <w:rPr>
                <w:rFonts w:hint="eastAsia" w:ascii="宋体" w:hAnsi="宋体" w:cs="宋体"/>
                <w:szCs w:val="21"/>
              </w:rPr>
              <w:t xml:space="preserve">分。</w:t>
            </w:r>
            <w:r>
              <w:rPr>
                <w:rFonts w:hint="eastAsia" w:ascii="宋体" w:hAnsi="宋体" w:cs="宋体"/>
                <w:b/>
                <w:bCs/>
                <w:szCs w:val="21"/>
              </w:rPr>
              <w:t xml:space="preserve">（需同时提供合同及合同对应发票复印件，发票金额可以是部分或全部金额，未提供发票或合同或合同无法反应上述信息的均不得分，原件备查）</w:t>
            </w:r>
            <w:r>
              <w:rPr>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t xml:space="preserve">8</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7.1</w:t>
            </w:r>
            <w:r>
              <w:rPr>
                <w:rFonts w:ascii="宋体" w:hAnsi="宋体" w:cs="宋体"/>
                <w:szCs w:val="21"/>
              </w:rPr>
            </w:r>
            <w:r/>
          </w:p>
        </w:tc>
        <w:tc>
          <w:tcPr>
            <w:tcW w:w="816" w:type="dxa"/>
            <w:vAlign w:val="center"/>
            <w:vMerge w:val="restart"/>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国家政策导向（</w:t>
            </w:r>
            <w:r>
              <w:rPr>
                <w:rFonts w:ascii="宋体" w:hAnsi="宋体" w:cs="宋体"/>
                <w:szCs w:val="21"/>
              </w:rPr>
              <w:t xml:space="preserve">1</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bCs/>
                <w:szCs w:val="21"/>
              </w:rPr>
              <w:t xml:space="preserve">环境标志产品：</w:t>
            </w:r>
            <w:r>
              <w:rPr>
                <w:rFonts w:hint="eastAsia" w:ascii="宋体" w:hAnsi="宋体" w:cs="宋体"/>
                <w:szCs w:val="21"/>
              </w:rPr>
              <w:t xml:space="preserve">投标产品有《环境标志产品政府采购品目清单》内产品，并提供参与实施政府采购环境标志产品认证机构出具的认证证书得</w:t>
            </w:r>
            <w:r>
              <w:rPr>
                <w:rFonts w:ascii="宋体" w:hAnsi="宋体" w:cs="宋体"/>
                <w:szCs w:val="21"/>
              </w:rPr>
              <w:t xml:space="preserve">0.5</w:t>
            </w:r>
            <w:r>
              <w:rPr>
                <w:rFonts w:hint="eastAsia" w:ascii="宋体" w:hAnsi="宋体" w:cs="宋体"/>
                <w:szCs w:val="21"/>
              </w:rPr>
              <w:t xml:space="preserve">分。</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t xml:space="preserve">0.5</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7.2</w:t>
            </w:r>
            <w:r>
              <w:rPr>
                <w:rFonts w:ascii="宋体" w:hAnsi="宋体" w:cs="宋体"/>
                <w:szCs w:val="21"/>
              </w:rPr>
            </w:r>
            <w:r/>
          </w:p>
        </w:tc>
        <w:tc>
          <w:tcPr>
            <w:tcW w:w="816" w:type="dxa"/>
            <w:vAlign w:val="center"/>
            <w:vMerge w:val="continue"/>
            <w:textDirection w:val="lrTb"/>
            <w:noWrap/>
          </w:tcPr>
          <w:p>
            <w:pPr>
              <w:pStyle w:val="1344"/>
              <w:keepLines w:val="0"/>
              <w:keepNext w:val="0"/>
              <w:pageBreakBefore w:val="0"/>
              <w:spacing w:line="480" w:lineRule="exact"/>
              <w:rPr>
                <w:rFonts w:ascii="宋体" w:hAnsi="宋体" w:cs="宋体"/>
                <w:szCs w:val="21"/>
              </w:rPr>
            </w:pP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节能产品：投标产品有《节能产品政府采购品目清单》内产品，并提供参与实施政府采购节能产品认证机构出具的认证证书得</w:t>
            </w:r>
            <w:r>
              <w:rPr>
                <w:rFonts w:ascii="宋体" w:hAnsi="宋体" w:cs="宋体"/>
                <w:szCs w:val="21"/>
              </w:rPr>
              <w:t xml:space="preserve">0.5</w:t>
            </w:r>
            <w:r>
              <w:rPr>
                <w:rFonts w:hint="eastAsia" w:ascii="宋体" w:hAnsi="宋体" w:cs="宋体"/>
                <w:szCs w:val="21"/>
              </w:rPr>
              <w:t xml:space="preserve">分。</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t xml:space="preserve">0.5</w:t>
            </w:r>
            <w:r>
              <w:rPr>
                <w:rFonts w:ascii="宋体" w:hAnsi="宋体" w:cs="宋体"/>
                <w:szCs w:val="21"/>
              </w:rPr>
            </w:r>
            <w:r/>
          </w:p>
        </w:tc>
      </w:tr>
    </w:tbl>
    <w:p>
      <w:pPr>
        <w:pStyle w:val="1344"/>
        <w:keepLines w:val="0"/>
        <w:keepNext w:val="0"/>
        <w:pageBreakBefore w:val="0"/>
        <w:spacing w:line="480" w:lineRule="exact"/>
        <w:rPr>
          <w:rFonts w:ascii="宋体" w:hAnsi="宋体" w:cs="宋体"/>
          <w:b/>
          <w:bCs/>
          <w:szCs w:val="21"/>
        </w:rPr>
      </w:pPr>
      <w:r>
        <w:rPr>
          <w:rFonts w:ascii="宋体" w:hAnsi="宋体" w:cs="宋体"/>
          <w:b/>
          <w:bCs/>
          <w:szCs w:val="21"/>
        </w:rPr>
      </w:r>
      <w:r/>
    </w:p>
    <w:p>
      <w:pPr>
        <w:pStyle w:val="1344"/>
        <w:keepLines w:val="0"/>
        <w:keepNext w:val="0"/>
        <w:pageBreakBefore w:val="0"/>
        <w:spacing w:line="480" w:lineRule="exact"/>
        <w:rPr>
          <w:rFonts w:ascii="宋体" w:hAnsi="宋体" w:cs="宋体"/>
          <w:b/>
          <w:bCs/>
          <w:szCs w:val="21"/>
        </w:rPr>
      </w:pPr>
      <w:r>
        <w:rPr>
          <w:rFonts w:ascii="宋体" w:hAnsi="宋体" w:cs="宋体"/>
          <w:b/>
          <w:bCs/>
          <w:szCs w:val="21"/>
        </w:rPr>
      </w:r>
      <w:r/>
    </w:p>
    <w:p>
      <w:pPr>
        <w:pStyle w:val="1344"/>
        <w:keepLines w:val="0"/>
        <w:keepNext w:val="0"/>
        <w:pageBreakBefore w:val="0"/>
        <w:spacing w:line="480" w:lineRule="exact"/>
        <w:rPr>
          <w:rFonts w:ascii="宋体" w:hAnsi="宋体" w:cs="宋体"/>
          <w:b/>
          <w:bCs/>
          <w:szCs w:val="21"/>
        </w:rPr>
        <w:outlineLvl w:val="1"/>
      </w:pPr>
      <w:r/>
      <w:bookmarkStart w:id="230" w:name="_Toc18570"/>
      <w:r/>
      <w:bookmarkStart w:id="231" w:name="_Toc20324"/>
      <w:r>
        <w:rPr>
          <w:rFonts w:hint="eastAsia" w:ascii="宋体" w:hAnsi="宋体" w:cs="宋体"/>
          <w:b/>
          <w:bCs/>
          <w:szCs w:val="21"/>
        </w:rPr>
        <w:t xml:space="preserve">分包6</w:t>
      </w:r>
      <w:bookmarkEnd w:id="230"/>
      <w:r/>
      <w:bookmarkEnd w:id="231"/>
      <w:r>
        <w:rPr>
          <w:rFonts w:ascii="宋体" w:hAnsi="宋体" w:cs="宋体"/>
          <w:b/>
          <w:bCs/>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1608"/>
        <w:gridCol w:w="6713"/>
        <w:gridCol w:w="788"/>
      </w:tblGrid>
      <w:tr>
        <w:trPr/>
        <w:tc>
          <w:tcPr>
            <w:tcW w:w="378" w:type="dxa"/>
            <w:vAlign w:val="center"/>
            <w:textDirection w:val="lrTb"/>
            <w:noWrap/>
          </w:tcPr>
          <w:p>
            <w:pPr>
              <w:pStyle w:val="1344"/>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816" w:type="dxa"/>
            <w:vAlign w:val="center"/>
            <w:textDirection w:val="lrTb"/>
            <w:noWrap/>
          </w:tcPr>
          <w:p>
            <w:pPr>
              <w:pStyle w:val="1344"/>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评分因素</w:t>
            </w:r>
            <w:r>
              <w:rPr>
                <w:rFonts w:ascii="宋体" w:hAnsi="宋体" w:cs="宋体"/>
                <w:b/>
                <w:bCs/>
                <w:szCs w:val="21"/>
              </w:rPr>
            </w:r>
            <w:r/>
          </w:p>
        </w:tc>
        <w:tc>
          <w:tcPr>
            <w:tcW w:w="3406" w:type="dxa"/>
            <w:vAlign w:val="center"/>
            <w:textDirection w:val="lrTb"/>
            <w:noWrap/>
          </w:tcPr>
          <w:p>
            <w:pPr>
              <w:pStyle w:val="1344"/>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评审细则</w:t>
            </w:r>
            <w:r>
              <w:rPr>
                <w:rFonts w:ascii="宋体" w:hAnsi="宋体" w:cs="宋体"/>
                <w:b/>
                <w:bCs/>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分值</w:t>
            </w:r>
            <w:r>
              <w:rPr>
                <w:rFonts w:ascii="宋体" w:hAnsi="宋体" w:cs="宋体"/>
                <w:b/>
                <w:bCs/>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816"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投标报价</w:t>
            </w:r>
            <w:r>
              <w:rPr>
                <w:rFonts w:ascii="宋体" w:hAnsi="宋体" w:cs="宋体"/>
                <w:szCs w:val="21"/>
              </w:rPr>
            </w:r>
            <w:r/>
          </w:p>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（30分）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本次招标，以进入详细评审的各投标人评标价的最低值为A值，A值为价格分的满分，即30分。其他投标人的价格分统一按照以下公式计算：投标人评标价得分=（A／该投标人评标价）×30。</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30</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816"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技术及商务响应</w:t>
            </w:r>
            <w:r>
              <w:rPr>
                <w:rFonts w:ascii="宋体" w:hAnsi="宋体" w:cs="宋体"/>
                <w:szCs w:val="21"/>
              </w:rPr>
            </w:r>
            <w:r/>
          </w:p>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40</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设备技术参数及商务要求全部满足招标要求的得满分40分；</w:t>
            </w:r>
            <w:r>
              <w:rPr>
                <w:rFonts w:ascii="宋体" w:hAnsi="宋体" w:cs="宋体"/>
                <w:szCs w:val="21"/>
              </w:rPr>
            </w:r>
            <w:r/>
          </w:p>
          <w:p>
            <w:pPr>
              <w:pStyle w:val="1344"/>
              <w:keepLines w:val="0"/>
              <w:keepNext w:val="0"/>
              <w:pageBreakBefore w:val="0"/>
              <w:spacing w:line="480" w:lineRule="exact"/>
              <w:rPr>
                <w:rFonts w:ascii="宋体" w:hAnsi="宋体" w:cs="宋体"/>
                <w:b/>
                <w:bCs/>
                <w:szCs w:val="21"/>
              </w:rPr>
            </w:pPr>
            <w:r>
              <w:rPr>
                <w:rFonts w:hint="eastAsia" w:ascii="宋体" w:hAnsi="宋体" w:cs="宋体"/>
                <w:szCs w:val="21"/>
              </w:rPr>
              <w:t xml:space="preserve">在此基础上，</w:t>
            </w:r>
            <w:r>
              <w:rPr>
                <w:rFonts w:hint="eastAsia" w:ascii="宋体" w:hAnsi="宋体" w:cs="宋体"/>
                <w:b/>
                <w:bCs/>
                <w:szCs w:val="21"/>
              </w:rPr>
              <w:t xml:space="preserve">招标文件中标注“</w:t>
            </w:r>
            <w:r>
              <w:rPr>
                <w:rFonts w:hint="eastAsia" w:ascii="宋体" w:hAnsi="宋体" w:cs="宋体"/>
                <w:b/>
                <w:bCs/>
                <w:szCs w:val="21"/>
              </w:rPr>
              <w:t xml:space="preserve">★”的条款为实质性要求，有一项负偏离，作无效投标处理,</w:t>
            </w:r>
            <w:r>
              <w:rPr>
                <w:rFonts w:hint="eastAsia" w:ascii="宋体" w:hAnsi="宋体" w:cs="宋体"/>
                <w:szCs w:val="21"/>
              </w:rPr>
              <w:t xml:space="preserve">其他非重要技术条款每有一项负偏离扣1.38分，扣完为止。所有技术参数中，简单复制招标文件并标注响应或无偏离而又无相关完整技术支持资料证实，评审时评审委员会成员有权不予认可。对招标文件明确的需主观判定的功能性描述要求未做任何情况说明或响应承诺的，评标委员会有权予以否决或做负偏离处理。</w:t>
            </w:r>
            <w:r>
              <w:rPr>
                <w:rFonts w:ascii="宋体" w:hAnsi="宋体" w:cs="宋体"/>
                <w:b/>
                <w:bCs/>
                <w:szCs w:val="21"/>
              </w:rPr>
            </w:r>
            <w:r/>
          </w:p>
          <w:p>
            <w:pPr>
              <w:pStyle w:val="1344"/>
              <w:keepLines w:val="0"/>
              <w:keepNext w:val="0"/>
              <w:pageBreakBefore w:val="0"/>
              <w:spacing w:line="480" w:lineRule="exact"/>
              <w:rPr>
                <w:rFonts w:ascii="Calibri" w:hAnsi="Calibri"/>
                <w:szCs w:val="21"/>
              </w:rPr>
            </w:pPr>
            <w:r>
              <w:rPr>
                <w:rFonts w:hint="eastAsia" w:ascii="宋体" w:hAnsi="宋体" w:cs="宋体"/>
                <w:b/>
                <w:bCs/>
                <w:szCs w:val="21"/>
              </w:rPr>
              <w:t xml:space="preserve">注：</w:t>
            </w:r>
            <w:r>
              <w:rPr>
                <w:rFonts w:hint="eastAsia" w:ascii="宋体" w:hAnsi="宋体" w:cs="宋体"/>
                <w:b/>
                <w:szCs w:val="21"/>
              </w:rPr>
              <w:t xml:space="preserve">所有对招标文件标注</w:t>
            </w:r>
            <w:r>
              <w:rPr>
                <w:rFonts w:hint="eastAsia" w:ascii="宋体" w:hAnsi="宋体" w:cs="宋体"/>
                <w:b/>
                <w:bCs/>
                <w:szCs w:val="21"/>
              </w:rPr>
              <w:t xml:space="preserve">“</w:t>
            </w:r>
            <w:r>
              <w:rPr>
                <w:rFonts w:hint="eastAsia" w:ascii="宋体" w:hAnsi="宋体" w:cs="宋体"/>
                <w:b/>
                <w:bCs/>
                <w:szCs w:val="21"/>
              </w:rPr>
              <w:t xml:space="preserve">★”</w:t>
            </w:r>
            <w:r>
              <w:rPr>
                <w:rFonts w:hint="eastAsia" w:ascii="宋体" w:hAnsi="宋体" w:cs="宋体"/>
                <w:b/>
                <w:szCs w:val="21"/>
              </w:rPr>
              <w:t xml:space="preserve">的具体要求、参数、数值指标的响应，要求投标供应商必须在投标文件中提供技术支持资料（技术支持资料种类以文件第四章要求为准，如无特殊要求则为明确说明该技术内容的公开发行的手册、彩页、官网截图、功能页面截图、检测报告、白皮书等），</w:t>
            </w:r>
            <w:r>
              <w:rPr>
                <w:rFonts w:hint="eastAsia" w:ascii="宋体" w:hAnsi="宋体" w:cs="宋体"/>
                <w:b/>
                <w:bCs/>
                <w:szCs w:val="21"/>
              </w:rPr>
              <w:t xml:space="preserve">设备及明细配置清单</w:t>
            </w:r>
            <w:r>
              <w:rPr>
                <w:rFonts w:hint="eastAsia" w:ascii="宋体" w:hAnsi="宋体" w:cs="宋体"/>
                <w:b/>
                <w:bCs/>
                <w:szCs w:val="21"/>
                <w:lang w:eastAsia="zh-CN"/>
              </w:rPr>
              <w:t xml:space="preserve">或商务要求（质保期）中标注“★”</w:t>
            </w:r>
            <w:r>
              <w:rPr>
                <w:rFonts w:hint="eastAsia" w:ascii="宋体" w:hAnsi="宋体" w:cs="宋体"/>
                <w:b/>
                <w:szCs w:val="21"/>
              </w:rPr>
              <w:t xml:space="preserve">的无需提供。</w:t>
            </w:r>
            <w:r>
              <w:rPr>
                <w:rFonts w:ascii="Calibri" w:hAnsi="Calibri"/>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t xml:space="preserve">40</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3.1</w:t>
            </w:r>
            <w:r>
              <w:rPr>
                <w:rFonts w:ascii="宋体" w:hAnsi="宋体" w:cs="宋体"/>
                <w:szCs w:val="21"/>
              </w:rPr>
            </w:r>
            <w:r/>
          </w:p>
        </w:tc>
        <w:tc>
          <w:tcPr>
            <w:tcW w:w="816"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产品技术方案（</w:t>
            </w:r>
            <w:r>
              <w:rPr>
                <w:rFonts w:ascii="宋体" w:hAnsi="宋体" w:cs="宋体"/>
                <w:szCs w:val="21"/>
              </w:rPr>
              <w:t xml:space="preserve">5</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lang w:bidi="ar"/>
              </w:rPr>
            </w:pPr>
            <w:r>
              <w:rPr>
                <w:rFonts w:hint="eastAsia" w:ascii="宋体" w:hAnsi="宋体" w:cs="宋体"/>
                <w:szCs w:val="21"/>
                <w:lang w:bidi="ar"/>
              </w:rPr>
              <w:t xml:space="preserve">评委根据投标文件中</w:t>
            </w:r>
            <w:r>
              <w:rPr>
                <w:rFonts w:hint="eastAsia" w:ascii="宋体" w:hAnsi="宋体" w:cs="宋体"/>
                <w:szCs w:val="21"/>
              </w:rPr>
              <w:t xml:space="preserve">产品技术方案进行打分：</w:t>
            </w:r>
            <w:r>
              <w:rPr>
                <w:rFonts w:ascii="宋体" w:hAnsi="宋体" w:cs="宋体"/>
                <w:szCs w:val="21"/>
                <w:lang w:bidi="ar"/>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w:t>
            </w:r>
            <w:r>
              <w:rPr>
                <w:rFonts w:hint="eastAsia" w:ascii="宋体" w:hAnsi="宋体" w:cs="宋体"/>
                <w:szCs w:val="21"/>
                <w:lang w:bidi="ar"/>
              </w:rPr>
              <w:t xml:space="preserve">方案全面具体、内容详实，产品设计先进、数据准确的得</w:t>
            </w:r>
            <w:r>
              <w:rPr>
                <w:rFonts w:ascii="宋体" w:hAnsi="宋体" w:cs="宋体"/>
                <w:szCs w:val="21"/>
                <w:lang w:bidi="ar"/>
              </w:rPr>
              <w:t xml:space="preserve">5</w:t>
            </w:r>
            <w:r>
              <w:rPr>
                <w:rFonts w:hint="eastAsia" w:ascii="宋体" w:hAnsi="宋体" w:cs="宋体"/>
                <w:szCs w:val="21"/>
                <w:lang w:bidi="ar"/>
              </w:rPr>
              <w:t xml:space="preserve">分； </w:t>
            </w:r>
            <w:r>
              <w:rPr>
                <w:rFonts w:ascii="宋体" w:hAnsi="宋体" w:cs="宋体"/>
                <w:szCs w:val="21"/>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w:t>
            </w:r>
            <w:r>
              <w:rPr>
                <w:rFonts w:hint="eastAsia" w:ascii="宋体" w:hAnsi="宋体" w:cs="宋体"/>
                <w:szCs w:val="21"/>
                <w:lang w:bidi="ar"/>
              </w:rPr>
              <w:t xml:space="preserve">方案较为具体全面、内容完整，产品设计合理、数据准确的得3分；</w:t>
            </w:r>
            <w:r>
              <w:rPr>
                <w:rFonts w:ascii="宋体" w:hAnsi="宋体" w:cs="宋体"/>
                <w:szCs w:val="21"/>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w:t>
            </w:r>
            <w:r>
              <w:rPr>
                <w:rFonts w:hint="eastAsia" w:ascii="宋体" w:hAnsi="宋体" w:cs="宋体"/>
                <w:szCs w:val="21"/>
                <w:lang w:bidi="ar"/>
              </w:rPr>
              <w:t xml:space="preserve">方案不全面、内容空泛，不能完全满足文件产品性能要求的得</w:t>
            </w:r>
            <w:r>
              <w:rPr>
                <w:rFonts w:ascii="宋体" w:hAnsi="宋体" w:cs="宋体"/>
                <w:szCs w:val="21"/>
                <w:lang w:bidi="ar"/>
              </w:rPr>
              <w:t xml:space="preserve">1</w:t>
            </w:r>
            <w:r>
              <w:rPr>
                <w:rFonts w:hint="eastAsia" w:ascii="宋体" w:hAnsi="宋体" w:cs="宋体"/>
                <w:szCs w:val="21"/>
                <w:lang w:bidi="ar"/>
              </w:rPr>
              <w:t xml:space="preserve">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lang w:bidi="ar"/>
              </w:rPr>
              <w:t xml:space="preserve">未在投标文件中提供方案或者提供的方案不可行的得0分。</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t xml:space="preserve">5</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highlight w:val="cyan"/>
              </w:rPr>
            </w:pPr>
            <w:r>
              <w:rPr>
                <w:rFonts w:hint="eastAsia" w:ascii="宋体" w:hAnsi="宋体" w:cs="宋体"/>
                <w:szCs w:val="21"/>
              </w:rPr>
              <w:t xml:space="preserve">4.1</w:t>
            </w:r>
            <w:r>
              <w:rPr>
                <w:rFonts w:ascii="宋体" w:hAnsi="宋体" w:cs="宋体"/>
                <w:szCs w:val="21"/>
                <w:highlight w:val="cyan"/>
              </w:rPr>
            </w:r>
            <w:r/>
          </w:p>
        </w:tc>
        <w:tc>
          <w:tcPr>
            <w:tcW w:w="816" w:type="dxa"/>
            <w:vAlign w:val="center"/>
            <w:vMerge w:val="restart"/>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实施方案</w:t>
            </w:r>
            <w:r>
              <w:rPr>
                <w:rFonts w:ascii="宋体" w:hAnsi="宋体" w:cs="宋体"/>
                <w:szCs w:val="21"/>
              </w:rPr>
            </w:r>
            <w:r/>
          </w:p>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（8分）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lang w:bidi="ar"/>
              </w:rPr>
              <w:t xml:space="preserve">评委根据投标文件中实施方案的内容（</w:t>
            </w:r>
            <w:r>
              <w:rPr>
                <w:rFonts w:hint="eastAsia" w:ascii="宋体" w:hAnsi="宋体" w:cs="宋体"/>
                <w:szCs w:val="21"/>
              </w:rPr>
              <w:t xml:space="preserve">包括但不限于项目整体方案、改造方案、供货计划、质量保障措施、风险控制管理措施等</w:t>
            </w:r>
            <w:r>
              <w:rPr>
                <w:rFonts w:hint="eastAsia" w:ascii="宋体" w:hAnsi="宋体" w:cs="宋体"/>
                <w:szCs w:val="21"/>
                <w:lang w:bidi="ar"/>
              </w:rPr>
              <w:t xml:space="preserve">）进行打分：</w:t>
            </w:r>
            <w:r>
              <w:rPr>
                <w:rFonts w:ascii="宋体" w:hAnsi="宋体" w:cs="宋体"/>
                <w:szCs w:val="21"/>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lang w:bidi="ar"/>
              </w:rPr>
              <w:t xml:space="preserve">实施方案全面具体、内容详实，合理完善的得4分； </w:t>
            </w:r>
            <w:r>
              <w:rPr>
                <w:rFonts w:ascii="宋体" w:hAnsi="宋体" w:cs="宋体"/>
                <w:szCs w:val="21"/>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lang w:bidi="ar"/>
              </w:rPr>
              <w:t xml:space="preserve">实施方案较全面、内容完整，</w:t>
            </w:r>
            <w:r>
              <w:rPr>
                <w:rFonts w:hint="eastAsia" w:ascii="宋体" w:hAnsi="宋体" w:cs="宋体"/>
                <w:szCs w:val="21"/>
                <w:lang w:val="zh-TW" w:bidi="ar"/>
              </w:rPr>
              <w:t xml:space="preserve">尚有改进空间</w:t>
            </w:r>
            <w:r>
              <w:rPr>
                <w:rFonts w:hint="eastAsia" w:ascii="宋体" w:hAnsi="宋体" w:cs="宋体"/>
                <w:szCs w:val="21"/>
                <w:lang w:bidi="ar"/>
              </w:rPr>
              <w:t xml:space="preserve">的得2分；</w:t>
            </w:r>
            <w:r>
              <w:rPr>
                <w:rFonts w:ascii="宋体" w:hAnsi="宋体" w:cs="宋体"/>
                <w:szCs w:val="21"/>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lang w:bidi="ar"/>
              </w:rPr>
              <w:t xml:space="preserve">实施方案不全面、内容存在瑕疵，需进一步改进的得</w:t>
            </w:r>
            <w:r>
              <w:rPr>
                <w:rFonts w:ascii="宋体" w:hAnsi="宋体" w:cs="宋体"/>
                <w:szCs w:val="21"/>
                <w:lang w:bidi="ar"/>
              </w:rPr>
              <w:t xml:space="preserve">1</w:t>
            </w:r>
            <w:r>
              <w:rPr>
                <w:rFonts w:hint="eastAsia" w:ascii="宋体" w:hAnsi="宋体" w:cs="宋体"/>
                <w:szCs w:val="21"/>
                <w:lang w:bidi="ar"/>
              </w:rPr>
              <w:t xml:space="preserve">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lang w:bidi="ar"/>
              </w:rPr>
              <w:t xml:space="preserve">未在投标文件中提供实施方案或者提供的实施方案不可行的得0分。</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4.2</w:t>
            </w:r>
            <w:r>
              <w:rPr>
                <w:rFonts w:ascii="宋体" w:hAnsi="宋体" w:cs="宋体"/>
                <w:szCs w:val="21"/>
              </w:rPr>
            </w:r>
            <w:r/>
          </w:p>
        </w:tc>
        <w:tc>
          <w:tcPr>
            <w:tcW w:w="816" w:type="dxa"/>
            <w:vAlign w:val="center"/>
            <w:vMerge w:val="continue"/>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评委根据投标文件中项目技术支撑和进度计划（包括但不限于人员配置、产品质量控制、设备安装调试验收进度、安全保障措施等方面）进行打分：</w:t>
            </w:r>
            <w:r>
              <w:rPr>
                <w:rFonts w:ascii="宋体" w:hAnsi="宋体" w:cs="宋体"/>
                <w:szCs w:val="21"/>
              </w:rPr>
            </w:r>
            <w:r/>
          </w:p>
          <w:p>
            <w:pPr>
              <w:pStyle w:val="1344"/>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技术支撑配置优于采购人的要求，具有针对性，项目进度分析清晰具体的得4分；</w:t>
            </w:r>
            <w:r>
              <w:rPr>
                <w:rFonts w:ascii="宋体" w:hAnsi="宋体" w:cs="宋体"/>
                <w:szCs w:val="21"/>
              </w:rPr>
            </w:r>
            <w:r/>
          </w:p>
          <w:p>
            <w:pPr>
              <w:pStyle w:val="1344"/>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技术支撑配置满足采购人的要求，项目进度分析清晰的得2分；</w:t>
            </w:r>
            <w:r>
              <w:rPr>
                <w:rFonts w:ascii="宋体" w:hAnsi="宋体" w:cs="宋体"/>
                <w:szCs w:val="21"/>
              </w:rPr>
            </w:r>
            <w:r/>
          </w:p>
          <w:p>
            <w:pPr>
              <w:pStyle w:val="1344"/>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技术支撑配置不能完全满足采购人的要求，项目进度不清晰的得1分；</w:t>
            </w:r>
            <w:r>
              <w:rPr>
                <w:rFonts w:ascii="宋体" w:hAnsi="宋体" w:cs="宋体"/>
                <w:szCs w:val="21"/>
              </w:rPr>
            </w:r>
            <w:r/>
          </w:p>
          <w:p>
            <w:pPr>
              <w:pStyle w:val="1344"/>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不提供得0分。</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5.1</w:t>
            </w:r>
            <w:r>
              <w:rPr>
                <w:rFonts w:ascii="宋体" w:hAnsi="宋体" w:cs="宋体"/>
                <w:szCs w:val="21"/>
              </w:rPr>
            </w:r>
            <w:r/>
          </w:p>
        </w:tc>
        <w:tc>
          <w:tcPr>
            <w:tcW w:w="816" w:type="dxa"/>
            <w:vAlign w:val="center"/>
            <w:vMerge w:val="restart"/>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售后服务方案</w:t>
            </w:r>
            <w:r>
              <w:rPr>
                <w:rFonts w:ascii="宋体" w:hAnsi="宋体" w:cs="宋体"/>
                <w:szCs w:val="21"/>
              </w:rPr>
            </w:r>
            <w:r/>
          </w:p>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（8分）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评委根据投标文件中售后服务方案（包括但不限于服务体系、服务内容、故障解决方案、响应时间、专业技术人员保障及服务电话、备品备件保证、质保期外维保方案等方面）进行打分：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售后服务方案完整详细，有明确的售后服务机构及人员、售后服务承诺，售后服务响应及处理时间迅速，质保期内的售后服务范围、质保期满后的售后服务范围和收费情况清晰具体</w:t>
            </w:r>
            <w:r>
              <w:rPr>
                <w:rFonts w:hint="eastAsia" w:ascii="宋体" w:hAnsi="宋体" w:cs="宋体"/>
                <w:szCs w:val="21"/>
                <w:lang w:bidi="ar"/>
              </w:rPr>
              <w:t xml:space="preserve">的</w:t>
            </w:r>
            <w:r>
              <w:rPr>
                <w:rFonts w:hint="eastAsia" w:ascii="宋体" w:hAnsi="宋体" w:cs="宋体"/>
                <w:bCs/>
                <w:szCs w:val="21"/>
              </w:rPr>
              <w:t xml:space="preserve">得4</w:t>
            </w:r>
            <w:r>
              <w:rPr>
                <w:rFonts w:hint="eastAsia" w:ascii="宋体" w:hAnsi="宋体" w:cs="宋体"/>
                <w:szCs w:val="21"/>
              </w:rPr>
              <w:t xml:space="preserve">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售后服务方案完整，有明确的售后服务机构及人员、售后服务承诺，售后服务应答及处理时间，质保期内的售后服务范围、质保期满后的售后服务范围和收费情况较为具体</w:t>
            </w:r>
            <w:r>
              <w:rPr>
                <w:rFonts w:hint="eastAsia" w:ascii="宋体" w:hAnsi="宋体" w:cs="宋体"/>
                <w:szCs w:val="21"/>
                <w:lang w:bidi="ar"/>
              </w:rPr>
              <w:t xml:space="preserve">的</w:t>
            </w:r>
            <w:r>
              <w:rPr>
                <w:rFonts w:hint="eastAsia" w:ascii="宋体" w:hAnsi="宋体" w:cs="宋体"/>
                <w:bCs/>
                <w:szCs w:val="21"/>
              </w:rPr>
              <w:t xml:space="preserve">得2</w:t>
            </w:r>
            <w:r>
              <w:rPr>
                <w:rFonts w:hint="eastAsia" w:ascii="宋体" w:hAnsi="宋体" w:cs="宋体"/>
                <w:szCs w:val="21"/>
              </w:rPr>
              <w:t xml:space="preserve">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售后服务体系</w:t>
            </w:r>
            <w:r>
              <w:rPr>
                <w:rFonts w:hint="eastAsia" w:ascii="宋体" w:hAnsi="宋体" w:cs="宋体"/>
                <w:szCs w:val="21"/>
              </w:rPr>
              <w:t xml:space="preserve">薄弱</w:t>
            </w:r>
            <w:r>
              <w:rPr>
                <w:rFonts w:hint="eastAsia" w:ascii="宋体" w:hAnsi="宋体" w:cs="宋体"/>
                <w:szCs w:val="21"/>
              </w:rPr>
              <w:t xml:space="preserve">，售后服务方案各方面内容存在缺陷或不满足</w:t>
            </w:r>
            <w:r>
              <w:rPr>
                <w:rFonts w:hint="eastAsia" w:ascii="宋体" w:hAnsi="宋体" w:cs="宋体"/>
                <w:szCs w:val="21"/>
              </w:rPr>
              <w:t xml:space="preserve">，</w:t>
            </w:r>
            <w:r>
              <w:rPr>
                <w:rFonts w:hint="eastAsia" w:ascii="宋体" w:hAnsi="宋体" w:cs="宋体"/>
                <w:bCs/>
                <w:szCs w:val="21"/>
              </w:rPr>
              <w:t xml:space="preserve">得1</w:t>
            </w:r>
            <w:r>
              <w:rPr>
                <w:rFonts w:hint="eastAsia" w:ascii="宋体" w:hAnsi="宋体" w:cs="宋体"/>
                <w:szCs w:val="21"/>
              </w:rPr>
              <w:t xml:space="preserve">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不提供得0分。</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5.2</w:t>
            </w:r>
            <w:r>
              <w:rPr>
                <w:rFonts w:ascii="宋体" w:hAnsi="宋体" w:cs="宋体"/>
                <w:szCs w:val="21"/>
              </w:rPr>
            </w:r>
            <w:r/>
          </w:p>
        </w:tc>
        <w:tc>
          <w:tcPr>
            <w:tcW w:w="816" w:type="dxa"/>
            <w:vAlign w:val="center"/>
            <w:vMerge w:val="continue"/>
            <w:textDirection w:val="lrTb"/>
            <w:noWrap/>
          </w:tcPr>
          <w:p>
            <w:pPr>
              <w:pStyle w:val="1344"/>
              <w:keepLines w:val="0"/>
              <w:keepNext w:val="0"/>
              <w:pageBreakBefore w:val="0"/>
              <w:spacing w:line="480" w:lineRule="exact"/>
              <w:rPr>
                <w:rFonts w:ascii="宋体" w:hAnsi="宋体" w:cs="宋体"/>
                <w:szCs w:val="21"/>
              </w:rPr>
            </w:pP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评委根据投标文件中培训方案（包括但不限于培训目标、培训方法、培训内容、培训师资力量、培训时间、拟提供的培训资料等方面</w:t>
            </w:r>
            <w:r>
              <w:rPr>
                <w:rFonts w:hint="eastAsia" w:ascii="宋体" w:hAnsi="宋体" w:cs="宋体"/>
                <w:szCs w:val="21"/>
              </w:rPr>
              <w:t xml:space="preserve">）</w:t>
            </w:r>
            <w:r>
              <w:rPr>
                <w:rFonts w:hint="eastAsia" w:ascii="宋体" w:hAnsi="宋体" w:cs="宋体"/>
                <w:szCs w:val="21"/>
              </w:rPr>
              <w:t xml:space="preserve">进行打分：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培训方案内容全面，计划详细，安排合理的得4分；培训方案内容完整，计划明确，可行性较强的得2分；培训计划简单，形式单一，得1分；不提供得0分</w:t>
            </w:r>
            <w:r>
              <w:rPr>
                <w:rFonts w:hint="eastAsia" w:ascii="宋体" w:hAnsi="宋体" w:cs="宋体"/>
                <w:szCs w:val="21"/>
              </w:rPr>
              <w:t xml:space="preserve">。</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816" w:type="dxa"/>
            <w:vAlign w:val="center"/>
            <w:textDirection w:val="lrTb"/>
            <w:noWrap/>
          </w:tcPr>
          <w:p>
            <w:pPr>
              <w:pStyle w:val="1344"/>
              <w:ind w:right="-263"/>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业绩</w:t>
            </w:r>
            <w:r>
              <w:rPr>
                <w:rFonts w:ascii="宋体" w:hAnsi="宋体" w:cs="宋体"/>
                <w:szCs w:val="21"/>
              </w:rPr>
            </w:r>
            <w:r/>
          </w:p>
          <w:p>
            <w:pPr>
              <w:pStyle w:val="1344"/>
              <w:ind w:right="-263"/>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szCs w:val="21"/>
              </w:rPr>
            </w:pPr>
            <w:r>
              <w:rPr>
                <w:rFonts w:hint="eastAsia" w:ascii="宋体" w:hAnsi="宋体" w:cs="宋体"/>
                <w:szCs w:val="21"/>
              </w:rPr>
              <w:t xml:space="preserve">提供20</w:t>
            </w:r>
            <w:r>
              <w:rPr>
                <w:rFonts w:ascii="宋体" w:hAnsi="宋体" w:cs="宋体"/>
                <w:szCs w:val="21"/>
              </w:rPr>
              <w:t xml:space="preserve">2</w:t>
            </w:r>
            <w:r>
              <w:rPr>
                <w:rFonts w:hint="eastAsia" w:ascii="宋体" w:hAnsi="宋体" w:cs="宋体"/>
                <w:szCs w:val="21"/>
              </w:rPr>
              <w:t xml:space="preserve">3年</w:t>
            </w:r>
            <w:r>
              <w:rPr>
                <w:rFonts w:ascii="宋体" w:hAnsi="宋体" w:cs="宋体"/>
                <w:szCs w:val="21"/>
              </w:rPr>
              <w:t xml:space="preserve">1</w:t>
            </w:r>
            <w:r>
              <w:rPr>
                <w:rFonts w:hint="eastAsia" w:ascii="宋体" w:hAnsi="宋体" w:cs="宋体"/>
                <w:szCs w:val="21"/>
              </w:rPr>
              <w:t xml:space="preserve">月1日以来，</w:t>
            </w:r>
            <w:r>
              <w:rPr>
                <w:rFonts w:hint="eastAsia" w:ascii="宋体" w:hAnsi="宋体" w:cs="宋体"/>
                <w:b/>
                <w:bCs/>
                <w:szCs w:val="21"/>
              </w:rPr>
              <w:t xml:space="preserve">投标人具有与所投核心产品同品牌</w:t>
            </w:r>
            <w:r>
              <w:rPr>
                <w:rFonts w:hint="eastAsia" w:ascii="宋体" w:hAnsi="宋体" w:cs="宋体"/>
                <w:b/>
                <w:bCs/>
                <w:szCs w:val="21"/>
              </w:rPr>
              <w:t xml:space="preserve">同型号产品或与所投核心产品同品牌且技术指标不低于此次招标技术要求的产品</w:t>
            </w:r>
            <w:r>
              <w:rPr>
                <w:rFonts w:hint="eastAsia" w:ascii="宋体" w:hAnsi="宋体" w:cs="宋体"/>
                <w:szCs w:val="21"/>
              </w:rPr>
              <w:t xml:space="preserve">在国内的销售业绩合同。每提供一份销售合同得</w:t>
            </w:r>
            <w:r>
              <w:rPr>
                <w:rFonts w:ascii="宋体" w:hAnsi="宋体" w:cs="宋体"/>
                <w:szCs w:val="21"/>
              </w:rPr>
              <w:t xml:space="preserve">4</w:t>
            </w:r>
            <w:r>
              <w:rPr>
                <w:rFonts w:hint="eastAsia" w:ascii="宋体" w:hAnsi="宋体" w:cs="宋体"/>
                <w:szCs w:val="21"/>
              </w:rPr>
              <w:t xml:space="preserve">分，本项最高</w:t>
            </w:r>
            <w:r>
              <w:rPr>
                <w:rFonts w:ascii="宋体" w:hAnsi="宋体" w:cs="宋体"/>
                <w:szCs w:val="21"/>
              </w:rPr>
              <w:t xml:space="preserve">8</w:t>
            </w:r>
            <w:r>
              <w:rPr>
                <w:rFonts w:hint="eastAsia" w:ascii="宋体" w:hAnsi="宋体" w:cs="宋体"/>
                <w:szCs w:val="21"/>
              </w:rPr>
              <w:t xml:space="preserve">分。</w:t>
            </w:r>
            <w:r>
              <w:rPr>
                <w:rFonts w:hint="eastAsia" w:ascii="宋体" w:hAnsi="宋体" w:cs="宋体"/>
                <w:b/>
                <w:bCs/>
                <w:szCs w:val="21"/>
              </w:rPr>
              <w:t xml:space="preserve">（需同时提供合同及合同对应发票复印件，发票金额可以是部分或全部金额，未提供发票或合同或合同无法反应上述信息的均不得分，原件备查）</w:t>
            </w:r>
            <w:r>
              <w:rPr>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t xml:space="preserve">8</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7.1</w:t>
            </w:r>
            <w:r>
              <w:rPr>
                <w:rFonts w:ascii="宋体" w:hAnsi="宋体" w:cs="宋体"/>
                <w:szCs w:val="21"/>
              </w:rPr>
            </w:r>
            <w:r/>
          </w:p>
        </w:tc>
        <w:tc>
          <w:tcPr>
            <w:tcW w:w="816" w:type="dxa"/>
            <w:vAlign w:val="center"/>
            <w:vMerge w:val="restart"/>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国家政策导向（</w:t>
            </w:r>
            <w:r>
              <w:rPr>
                <w:rFonts w:ascii="宋体" w:hAnsi="宋体" w:cs="宋体"/>
                <w:szCs w:val="21"/>
              </w:rPr>
              <w:t xml:space="preserve">1</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bCs/>
                <w:szCs w:val="21"/>
              </w:rPr>
              <w:t xml:space="preserve">环境标志产品：</w:t>
            </w:r>
            <w:r>
              <w:rPr>
                <w:rFonts w:hint="eastAsia" w:ascii="宋体" w:hAnsi="宋体" w:cs="宋体"/>
                <w:szCs w:val="21"/>
              </w:rPr>
              <w:t xml:space="preserve">投标产品有《环境标志产品政府采购品目清单》内产品，并提供参与实施政府采购环境标志产品认证机构出具的认证证书得</w:t>
            </w:r>
            <w:r>
              <w:rPr>
                <w:rFonts w:ascii="宋体" w:hAnsi="宋体" w:cs="宋体"/>
                <w:szCs w:val="21"/>
              </w:rPr>
              <w:t xml:space="preserve">0.5</w:t>
            </w:r>
            <w:r>
              <w:rPr>
                <w:rFonts w:hint="eastAsia" w:ascii="宋体" w:hAnsi="宋体" w:cs="宋体"/>
                <w:szCs w:val="21"/>
              </w:rPr>
              <w:t xml:space="preserve">分。</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t xml:space="preserve">0.5</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7.2</w:t>
            </w:r>
            <w:r>
              <w:rPr>
                <w:rFonts w:ascii="宋体" w:hAnsi="宋体" w:cs="宋体"/>
                <w:szCs w:val="21"/>
              </w:rPr>
            </w:r>
            <w:r/>
          </w:p>
        </w:tc>
        <w:tc>
          <w:tcPr>
            <w:tcW w:w="816" w:type="dxa"/>
            <w:vAlign w:val="center"/>
            <w:vMerge w:val="continue"/>
            <w:textDirection w:val="lrTb"/>
            <w:noWrap/>
          </w:tcPr>
          <w:p>
            <w:pPr>
              <w:pStyle w:val="1344"/>
              <w:keepLines w:val="0"/>
              <w:keepNext w:val="0"/>
              <w:pageBreakBefore w:val="0"/>
              <w:spacing w:line="480" w:lineRule="exact"/>
              <w:rPr>
                <w:rFonts w:ascii="宋体" w:hAnsi="宋体" w:cs="宋体"/>
                <w:szCs w:val="21"/>
              </w:rPr>
            </w:pP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节能产品：投标产品有《节能产品政府采购品目清单》内产品，并提供参与实施政府采购节能产品认证机构出具的认证证书得</w:t>
            </w:r>
            <w:r>
              <w:rPr>
                <w:rFonts w:ascii="宋体" w:hAnsi="宋体" w:cs="宋体"/>
                <w:szCs w:val="21"/>
              </w:rPr>
              <w:t xml:space="preserve">0.5</w:t>
            </w:r>
            <w:r>
              <w:rPr>
                <w:rFonts w:hint="eastAsia" w:ascii="宋体" w:hAnsi="宋体" w:cs="宋体"/>
                <w:szCs w:val="21"/>
              </w:rPr>
              <w:t xml:space="preserve">分。</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t xml:space="preserve">0.5</w:t>
            </w:r>
            <w:r>
              <w:rPr>
                <w:rFonts w:ascii="宋体" w:hAnsi="宋体" w:cs="宋体"/>
                <w:szCs w:val="21"/>
              </w:rPr>
            </w:r>
            <w:r/>
          </w:p>
        </w:tc>
      </w:tr>
    </w:tbl>
    <w:p>
      <w:pPr>
        <w:pStyle w:val="1344"/>
        <w:keepLines w:val="0"/>
        <w:keepNext w:val="0"/>
        <w:pageBreakBefore w:val="0"/>
        <w:spacing w:line="480" w:lineRule="exact"/>
        <w:rPr>
          <w:rFonts w:ascii="宋体" w:hAnsi="宋体" w:cs="宋体"/>
          <w:b/>
          <w:bCs/>
          <w:szCs w:val="21"/>
        </w:rPr>
      </w:pPr>
      <w:r>
        <w:rPr>
          <w:rFonts w:ascii="宋体" w:hAnsi="宋体" w:cs="宋体"/>
          <w:b/>
          <w:bCs/>
          <w:szCs w:val="21"/>
        </w:rPr>
      </w:r>
      <w:r/>
    </w:p>
    <w:p>
      <w:pPr>
        <w:pStyle w:val="1344"/>
        <w:keepLines w:val="0"/>
        <w:keepNext w:val="0"/>
        <w:pageBreakBefore w:val="0"/>
        <w:spacing w:line="480" w:lineRule="exact"/>
        <w:rPr>
          <w:rFonts w:ascii="宋体" w:hAnsi="宋体" w:cs="宋体"/>
          <w:b/>
          <w:bCs/>
          <w:szCs w:val="21"/>
        </w:rPr>
        <w:outlineLvl w:val="1"/>
      </w:pPr>
      <w:r/>
      <w:bookmarkStart w:id="232" w:name="_Toc6676"/>
      <w:r/>
      <w:bookmarkStart w:id="233" w:name="_Toc27327"/>
      <w:r>
        <w:rPr>
          <w:rFonts w:hint="eastAsia" w:ascii="宋体" w:hAnsi="宋体" w:cs="宋体"/>
          <w:b/>
          <w:bCs/>
          <w:szCs w:val="21"/>
        </w:rPr>
        <w:t xml:space="preserve">分包7</w:t>
      </w:r>
      <w:bookmarkEnd w:id="232"/>
      <w:r/>
      <w:bookmarkEnd w:id="233"/>
      <w:r>
        <w:rPr>
          <w:rFonts w:ascii="宋体" w:hAnsi="宋体" w:cs="宋体"/>
          <w:b/>
          <w:bCs/>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1608"/>
        <w:gridCol w:w="6713"/>
        <w:gridCol w:w="788"/>
      </w:tblGrid>
      <w:tr>
        <w:trPr/>
        <w:tc>
          <w:tcPr>
            <w:tcW w:w="378" w:type="dxa"/>
            <w:vAlign w:val="center"/>
            <w:textDirection w:val="lrTb"/>
            <w:noWrap/>
          </w:tcPr>
          <w:p>
            <w:pPr>
              <w:pStyle w:val="1344"/>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816" w:type="dxa"/>
            <w:vAlign w:val="center"/>
            <w:textDirection w:val="lrTb"/>
            <w:noWrap/>
          </w:tcPr>
          <w:p>
            <w:pPr>
              <w:pStyle w:val="1344"/>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评分因素</w:t>
            </w:r>
            <w:r>
              <w:rPr>
                <w:rFonts w:ascii="宋体" w:hAnsi="宋体" w:cs="宋体"/>
                <w:b/>
                <w:bCs/>
                <w:szCs w:val="21"/>
              </w:rPr>
            </w:r>
            <w:r/>
          </w:p>
        </w:tc>
        <w:tc>
          <w:tcPr>
            <w:tcW w:w="3406" w:type="dxa"/>
            <w:vAlign w:val="center"/>
            <w:textDirection w:val="lrTb"/>
            <w:noWrap/>
          </w:tcPr>
          <w:p>
            <w:pPr>
              <w:pStyle w:val="1344"/>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评审细则</w:t>
            </w:r>
            <w:r>
              <w:rPr>
                <w:rFonts w:ascii="宋体" w:hAnsi="宋体" w:cs="宋体"/>
                <w:b/>
                <w:bCs/>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分值</w:t>
            </w:r>
            <w:r>
              <w:rPr>
                <w:rFonts w:ascii="宋体" w:hAnsi="宋体" w:cs="宋体"/>
                <w:b/>
                <w:bCs/>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816"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投标报价</w:t>
            </w:r>
            <w:r>
              <w:rPr>
                <w:rFonts w:ascii="宋体" w:hAnsi="宋体" w:cs="宋体"/>
                <w:szCs w:val="21"/>
              </w:rPr>
            </w:r>
            <w:r/>
          </w:p>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（30分）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本次招标，以进入详细评审的各投标人评标价的最低值为A值，A值为价格分的满分，即30分。其他投标人的价格分统一按照以下公式计算：投标人评标价得分=（A／该投标人评标价）×30。</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30</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816"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技术及商务响应</w:t>
            </w:r>
            <w:r>
              <w:rPr>
                <w:rFonts w:ascii="宋体" w:hAnsi="宋体" w:cs="宋体"/>
                <w:szCs w:val="21"/>
              </w:rPr>
            </w:r>
            <w:r/>
          </w:p>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40</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设备技术参数及商务要求全部满足招标要求的得满分40分；</w:t>
            </w:r>
            <w:r>
              <w:rPr>
                <w:rFonts w:ascii="宋体" w:hAnsi="宋体" w:cs="宋体"/>
                <w:szCs w:val="21"/>
              </w:rPr>
            </w:r>
            <w:r/>
          </w:p>
          <w:p>
            <w:pPr>
              <w:pStyle w:val="1344"/>
              <w:keepLines w:val="0"/>
              <w:keepNext w:val="0"/>
              <w:pageBreakBefore w:val="0"/>
              <w:spacing w:line="480" w:lineRule="exact"/>
              <w:rPr>
                <w:rFonts w:ascii="宋体" w:hAnsi="宋体" w:cs="宋体"/>
                <w:b/>
                <w:bCs/>
                <w:szCs w:val="21"/>
              </w:rPr>
            </w:pPr>
            <w:r>
              <w:rPr>
                <w:rFonts w:hint="eastAsia" w:ascii="宋体" w:hAnsi="宋体" w:cs="宋体"/>
                <w:szCs w:val="21"/>
              </w:rPr>
              <w:t xml:space="preserve">在此基础上，</w:t>
            </w:r>
            <w:r>
              <w:rPr>
                <w:rFonts w:hint="eastAsia" w:ascii="宋体" w:hAnsi="宋体" w:cs="宋体"/>
                <w:b/>
                <w:bCs/>
                <w:szCs w:val="21"/>
              </w:rPr>
              <w:t xml:space="preserve">招标文件中标注“</w:t>
            </w:r>
            <w:r>
              <w:rPr>
                <w:rFonts w:hint="eastAsia" w:ascii="宋体" w:hAnsi="宋体" w:cs="宋体"/>
                <w:b/>
                <w:bCs/>
                <w:szCs w:val="21"/>
              </w:rPr>
              <w:t xml:space="preserve">★”的条款为实质性要求，有一项负偏离，作无效投标处理,招标文件中标注“▲”的为重要参数，每负偏离一项扣</w:t>
            </w:r>
            <w:r>
              <w:rPr>
                <w:rFonts w:hint="eastAsia"/>
              </w:rPr>
              <w:t xml:space="preserve">2</w:t>
            </w:r>
            <w:r>
              <w:rPr>
                <w:rFonts w:hint="eastAsia" w:ascii="宋体" w:hAnsi="宋体" w:cs="宋体"/>
                <w:b/>
                <w:bCs/>
                <w:szCs w:val="21"/>
              </w:rPr>
              <w:t xml:space="preserve">分，</w:t>
            </w:r>
            <w:r>
              <w:rPr>
                <w:rFonts w:hint="eastAsia" w:ascii="宋体" w:hAnsi="宋体" w:cs="宋体"/>
                <w:szCs w:val="21"/>
              </w:rPr>
              <w:t xml:space="preserve">其他非重要技术条款每有一项负偏离扣0.61分，扣完为止。所有技术参数中，简单复制招标文件并标注响应或无偏离而又无相关完整技术支持资料证实，评审时评审委员会成员有权不予认可。对招标文件明确的需主观判定的功能性描述要求未做任何情况说明或响应承诺的，评标委员会有权予以否决或做负偏离处理。</w:t>
            </w:r>
            <w:r>
              <w:rPr>
                <w:rFonts w:ascii="宋体" w:hAnsi="宋体" w:cs="宋体"/>
                <w:b/>
                <w:bCs/>
                <w:szCs w:val="21"/>
              </w:rPr>
            </w:r>
            <w:r/>
          </w:p>
          <w:p>
            <w:pPr>
              <w:pStyle w:val="1344"/>
              <w:keepLines w:val="0"/>
              <w:keepNext w:val="0"/>
              <w:pageBreakBefore w:val="0"/>
              <w:spacing w:line="480" w:lineRule="exact"/>
              <w:rPr>
                <w:rFonts w:ascii="Calibri" w:hAnsi="Calibri"/>
                <w:szCs w:val="21"/>
              </w:rPr>
            </w:pPr>
            <w:r>
              <w:rPr>
                <w:rFonts w:hint="eastAsia" w:ascii="宋体" w:hAnsi="宋体" w:cs="宋体"/>
                <w:b/>
                <w:bCs/>
                <w:szCs w:val="21"/>
              </w:rPr>
              <w:t xml:space="preserve">注：</w:t>
            </w:r>
            <w:r>
              <w:rPr>
                <w:rFonts w:hint="eastAsia" w:ascii="宋体" w:hAnsi="宋体" w:cs="宋体"/>
                <w:b/>
                <w:szCs w:val="21"/>
              </w:rPr>
              <w:t xml:space="preserve">所有对招标文件标注</w:t>
            </w:r>
            <w:r>
              <w:rPr>
                <w:rFonts w:hint="eastAsia" w:ascii="宋体" w:hAnsi="宋体" w:cs="宋体"/>
                <w:b/>
                <w:bCs/>
                <w:szCs w:val="21"/>
              </w:rPr>
              <w:t xml:space="preserve">“</w:t>
            </w:r>
            <w:r>
              <w:rPr>
                <w:rFonts w:hint="eastAsia" w:ascii="宋体" w:hAnsi="宋体" w:cs="宋体"/>
                <w:b/>
                <w:bCs/>
                <w:szCs w:val="21"/>
              </w:rPr>
              <w:t xml:space="preserve">★”</w:t>
            </w:r>
            <w:r>
              <w:rPr>
                <w:rFonts w:hint="eastAsia" w:ascii="宋体" w:hAnsi="宋体" w:cs="宋体"/>
                <w:b/>
                <w:szCs w:val="21"/>
              </w:rPr>
              <w:t xml:space="preserve">和</w:t>
            </w:r>
            <w:r>
              <w:rPr>
                <w:rFonts w:hint="eastAsia" w:ascii="宋体" w:hAnsi="宋体" w:cs="宋体"/>
                <w:b/>
                <w:bCs/>
                <w:szCs w:val="21"/>
              </w:rPr>
              <w:t xml:space="preserve">“▲”</w:t>
            </w:r>
            <w:r>
              <w:rPr>
                <w:rFonts w:hint="eastAsia" w:ascii="宋体" w:hAnsi="宋体" w:cs="宋体"/>
                <w:b/>
                <w:szCs w:val="21"/>
              </w:rPr>
              <w:t xml:space="preserve">的具体要求、参数、数值指标的响应，要求投标供应商必须在投标文件中提供技术支持资料（技术支持资料种类以文件第四章要求为准，如无特殊要求则为明确说明该技术内容的公开发行的手册、彩页、官网截图、功能页面截图、检测报告、白皮书等），</w:t>
            </w:r>
            <w:r>
              <w:rPr>
                <w:rFonts w:hint="eastAsia" w:ascii="宋体" w:hAnsi="宋体" w:cs="宋体"/>
                <w:b/>
                <w:bCs/>
                <w:szCs w:val="21"/>
              </w:rPr>
              <w:t xml:space="preserve">设备及明细配置清单</w:t>
            </w:r>
            <w:r>
              <w:rPr>
                <w:rFonts w:hint="eastAsia" w:ascii="宋体" w:hAnsi="宋体" w:cs="宋体"/>
                <w:b/>
                <w:bCs/>
                <w:szCs w:val="21"/>
                <w:lang w:eastAsia="zh-CN"/>
              </w:rPr>
              <w:t xml:space="preserve">或商务要求（质保期）中标注“★”</w:t>
            </w:r>
            <w:r>
              <w:rPr>
                <w:rFonts w:hint="eastAsia" w:ascii="宋体" w:hAnsi="宋体" w:cs="宋体"/>
                <w:b/>
                <w:szCs w:val="21"/>
              </w:rPr>
              <w:t xml:space="preserve">和</w:t>
            </w:r>
            <w:r>
              <w:rPr>
                <w:rFonts w:hint="eastAsia" w:ascii="宋体" w:hAnsi="宋体" w:cs="宋体"/>
                <w:b/>
                <w:bCs/>
                <w:szCs w:val="21"/>
              </w:rPr>
              <w:t xml:space="preserve">“▲”</w:t>
            </w:r>
            <w:r>
              <w:rPr>
                <w:rFonts w:hint="eastAsia" w:ascii="宋体" w:hAnsi="宋体" w:cs="宋体"/>
                <w:b/>
                <w:szCs w:val="21"/>
              </w:rPr>
              <w:t xml:space="preserve">的无需提供。</w:t>
            </w:r>
            <w:r>
              <w:rPr>
                <w:rFonts w:ascii="Calibri" w:hAnsi="Calibri"/>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t xml:space="preserve">40</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3.1</w:t>
            </w:r>
            <w:r>
              <w:rPr>
                <w:rFonts w:ascii="宋体" w:hAnsi="宋体" w:cs="宋体"/>
                <w:szCs w:val="21"/>
              </w:rPr>
            </w:r>
            <w:r/>
          </w:p>
        </w:tc>
        <w:tc>
          <w:tcPr>
            <w:tcW w:w="816"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产品技术方案（</w:t>
            </w:r>
            <w:r>
              <w:rPr>
                <w:rFonts w:ascii="宋体" w:hAnsi="宋体" w:cs="宋体"/>
                <w:szCs w:val="21"/>
              </w:rPr>
              <w:t xml:space="preserve">5</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lang w:bidi="ar"/>
              </w:rPr>
            </w:pPr>
            <w:r>
              <w:rPr>
                <w:rFonts w:hint="eastAsia" w:ascii="宋体" w:hAnsi="宋体" w:cs="宋体"/>
                <w:szCs w:val="21"/>
                <w:lang w:bidi="ar"/>
              </w:rPr>
              <w:t xml:space="preserve">评委根据投标文件中</w:t>
            </w:r>
            <w:r>
              <w:rPr>
                <w:rFonts w:hint="eastAsia" w:ascii="宋体" w:hAnsi="宋体" w:cs="宋体"/>
                <w:szCs w:val="21"/>
              </w:rPr>
              <w:t xml:space="preserve">产品技术方案进行打分：</w:t>
            </w:r>
            <w:r>
              <w:rPr>
                <w:rFonts w:ascii="宋体" w:hAnsi="宋体" w:cs="宋体"/>
                <w:szCs w:val="21"/>
                <w:lang w:bidi="ar"/>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w:t>
            </w:r>
            <w:r>
              <w:rPr>
                <w:rFonts w:hint="eastAsia" w:ascii="宋体" w:hAnsi="宋体" w:cs="宋体"/>
                <w:szCs w:val="21"/>
                <w:lang w:bidi="ar"/>
              </w:rPr>
              <w:t xml:space="preserve">方案全面具体、内容详实，产品设计先进、数据准确的得</w:t>
            </w:r>
            <w:r>
              <w:rPr>
                <w:rFonts w:ascii="宋体" w:hAnsi="宋体" w:cs="宋体"/>
                <w:szCs w:val="21"/>
                <w:lang w:bidi="ar"/>
              </w:rPr>
              <w:t xml:space="preserve">5</w:t>
            </w:r>
            <w:r>
              <w:rPr>
                <w:rFonts w:hint="eastAsia" w:ascii="宋体" w:hAnsi="宋体" w:cs="宋体"/>
                <w:szCs w:val="21"/>
                <w:lang w:bidi="ar"/>
              </w:rPr>
              <w:t xml:space="preserve">分； </w:t>
            </w:r>
            <w:r>
              <w:rPr>
                <w:rFonts w:ascii="宋体" w:hAnsi="宋体" w:cs="宋体"/>
                <w:szCs w:val="21"/>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w:t>
            </w:r>
            <w:r>
              <w:rPr>
                <w:rFonts w:hint="eastAsia" w:ascii="宋体" w:hAnsi="宋体" w:cs="宋体"/>
                <w:szCs w:val="21"/>
                <w:lang w:bidi="ar"/>
              </w:rPr>
              <w:t xml:space="preserve">方案较为具体全面、内容完整，产品设计合理、数据准确的得3分；</w:t>
            </w:r>
            <w:r>
              <w:rPr>
                <w:rFonts w:ascii="宋体" w:hAnsi="宋体" w:cs="宋体"/>
                <w:szCs w:val="21"/>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w:t>
            </w:r>
            <w:r>
              <w:rPr>
                <w:rFonts w:hint="eastAsia" w:ascii="宋体" w:hAnsi="宋体" w:cs="宋体"/>
                <w:szCs w:val="21"/>
                <w:lang w:bidi="ar"/>
              </w:rPr>
              <w:t xml:space="preserve">方案不全面、内容空泛，不能完全满足文件产品性能要求的得</w:t>
            </w:r>
            <w:r>
              <w:rPr>
                <w:rFonts w:ascii="宋体" w:hAnsi="宋体" w:cs="宋体"/>
                <w:szCs w:val="21"/>
                <w:lang w:bidi="ar"/>
              </w:rPr>
              <w:t xml:space="preserve">1</w:t>
            </w:r>
            <w:r>
              <w:rPr>
                <w:rFonts w:hint="eastAsia" w:ascii="宋体" w:hAnsi="宋体" w:cs="宋体"/>
                <w:szCs w:val="21"/>
                <w:lang w:bidi="ar"/>
              </w:rPr>
              <w:t xml:space="preserve">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lang w:bidi="ar"/>
              </w:rPr>
              <w:t xml:space="preserve">未在投标文件中提供方案或者提供的方案不可行的得0分。</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t xml:space="preserve">5</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highlight w:val="cyan"/>
              </w:rPr>
            </w:pPr>
            <w:r>
              <w:rPr>
                <w:rFonts w:hint="eastAsia" w:ascii="宋体" w:hAnsi="宋体" w:cs="宋体"/>
                <w:szCs w:val="21"/>
              </w:rPr>
              <w:t xml:space="preserve">4.1</w:t>
            </w:r>
            <w:r>
              <w:rPr>
                <w:rFonts w:ascii="宋体" w:hAnsi="宋体" w:cs="宋体"/>
                <w:szCs w:val="21"/>
                <w:highlight w:val="cyan"/>
              </w:rPr>
            </w:r>
            <w:r/>
          </w:p>
        </w:tc>
        <w:tc>
          <w:tcPr>
            <w:tcW w:w="816" w:type="dxa"/>
            <w:vAlign w:val="center"/>
            <w:vMerge w:val="restart"/>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实施方案</w:t>
            </w:r>
            <w:r>
              <w:rPr>
                <w:rFonts w:ascii="宋体" w:hAnsi="宋体" w:cs="宋体"/>
                <w:szCs w:val="21"/>
              </w:rPr>
            </w:r>
            <w:r/>
          </w:p>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（8分）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lang w:bidi="ar"/>
              </w:rPr>
              <w:t xml:space="preserve">评委根据投标文件中实施方案的内容（</w:t>
            </w:r>
            <w:r>
              <w:rPr>
                <w:rFonts w:hint="eastAsia" w:ascii="宋体" w:hAnsi="宋体" w:cs="宋体"/>
                <w:szCs w:val="21"/>
              </w:rPr>
              <w:t xml:space="preserve">包括但不限于项目整体方案、改造方案、供货计划、质量保障措施、风险控制管理措施等</w:t>
            </w:r>
            <w:r>
              <w:rPr>
                <w:rFonts w:hint="eastAsia" w:ascii="宋体" w:hAnsi="宋体" w:cs="宋体"/>
                <w:szCs w:val="21"/>
                <w:lang w:bidi="ar"/>
              </w:rPr>
              <w:t xml:space="preserve">）进行打分：</w:t>
            </w:r>
            <w:r>
              <w:rPr>
                <w:rFonts w:ascii="宋体" w:hAnsi="宋体" w:cs="宋体"/>
                <w:szCs w:val="21"/>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lang w:bidi="ar"/>
              </w:rPr>
              <w:t xml:space="preserve">实施方案全面具体、内容详实，合理完善的得4分； </w:t>
            </w:r>
            <w:r>
              <w:rPr>
                <w:rFonts w:ascii="宋体" w:hAnsi="宋体" w:cs="宋体"/>
                <w:szCs w:val="21"/>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lang w:bidi="ar"/>
              </w:rPr>
              <w:t xml:space="preserve">实施方案较全面、内容完整，</w:t>
            </w:r>
            <w:r>
              <w:rPr>
                <w:rFonts w:hint="eastAsia" w:ascii="宋体" w:hAnsi="宋体" w:cs="宋体"/>
                <w:szCs w:val="21"/>
                <w:lang w:val="zh-TW" w:bidi="ar"/>
              </w:rPr>
              <w:t xml:space="preserve">尚有改进空间</w:t>
            </w:r>
            <w:r>
              <w:rPr>
                <w:rFonts w:hint="eastAsia" w:ascii="宋体" w:hAnsi="宋体" w:cs="宋体"/>
                <w:szCs w:val="21"/>
                <w:lang w:bidi="ar"/>
              </w:rPr>
              <w:t xml:space="preserve">的得2分；</w:t>
            </w:r>
            <w:r>
              <w:rPr>
                <w:rFonts w:ascii="宋体" w:hAnsi="宋体" w:cs="宋体"/>
                <w:szCs w:val="21"/>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lang w:bidi="ar"/>
              </w:rPr>
              <w:t xml:space="preserve">实施方案不全面、内容存在瑕疵，需进一步改进的得</w:t>
            </w:r>
            <w:r>
              <w:rPr>
                <w:rFonts w:ascii="宋体" w:hAnsi="宋体" w:cs="宋体"/>
                <w:szCs w:val="21"/>
                <w:lang w:bidi="ar"/>
              </w:rPr>
              <w:t xml:space="preserve">1</w:t>
            </w:r>
            <w:r>
              <w:rPr>
                <w:rFonts w:hint="eastAsia" w:ascii="宋体" w:hAnsi="宋体" w:cs="宋体"/>
                <w:szCs w:val="21"/>
                <w:lang w:bidi="ar"/>
              </w:rPr>
              <w:t xml:space="preserve">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lang w:bidi="ar"/>
              </w:rPr>
              <w:t xml:space="preserve">未在投标文件中提供实施方案或者提供的实施方案不可行的得0分。</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4.2</w:t>
            </w:r>
            <w:r>
              <w:rPr>
                <w:rFonts w:ascii="宋体" w:hAnsi="宋体" w:cs="宋体"/>
                <w:szCs w:val="21"/>
              </w:rPr>
            </w:r>
            <w:r/>
          </w:p>
        </w:tc>
        <w:tc>
          <w:tcPr>
            <w:tcW w:w="816" w:type="dxa"/>
            <w:vAlign w:val="center"/>
            <w:vMerge w:val="continue"/>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评委根据投标文件中项目技术支撑和进度计划（包括但不限于人员配置、产品质量控制、设备安装调试验收进度、安全保障措施等方面）进行打分：</w:t>
            </w:r>
            <w:r>
              <w:rPr>
                <w:rFonts w:ascii="宋体" w:hAnsi="宋体" w:cs="宋体"/>
                <w:szCs w:val="21"/>
              </w:rPr>
            </w:r>
            <w:r/>
          </w:p>
          <w:p>
            <w:pPr>
              <w:pStyle w:val="1344"/>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技术支撑配置优于采购人的要求，具有针对性，项目进度分析清晰具体的得4分；</w:t>
            </w:r>
            <w:r>
              <w:rPr>
                <w:rFonts w:ascii="宋体" w:hAnsi="宋体" w:cs="宋体"/>
                <w:szCs w:val="21"/>
              </w:rPr>
            </w:r>
            <w:r/>
          </w:p>
          <w:p>
            <w:pPr>
              <w:pStyle w:val="1344"/>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技术支撑配置满足采购人的要求，项目进度分析清晰的得2分；</w:t>
            </w:r>
            <w:r>
              <w:rPr>
                <w:rFonts w:ascii="宋体" w:hAnsi="宋体" w:cs="宋体"/>
                <w:szCs w:val="21"/>
              </w:rPr>
            </w:r>
            <w:r/>
          </w:p>
          <w:p>
            <w:pPr>
              <w:pStyle w:val="1344"/>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技术支撑配置不能完全满足采购人的要求，项目进度不清晰的得1分；</w:t>
            </w:r>
            <w:r>
              <w:rPr>
                <w:rFonts w:ascii="宋体" w:hAnsi="宋体" w:cs="宋体"/>
                <w:szCs w:val="21"/>
              </w:rPr>
            </w:r>
            <w:r/>
          </w:p>
          <w:p>
            <w:pPr>
              <w:pStyle w:val="1344"/>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不提供得0分。</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5.1</w:t>
            </w:r>
            <w:r>
              <w:rPr>
                <w:rFonts w:ascii="宋体" w:hAnsi="宋体" w:cs="宋体"/>
                <w:szCs w:val="21"/>
              </w:rPr>
            </w:r>
            <w:r/>
          </w:p>
        </w:tc>
        <w:tc>
          <w:tcPr>
            <w:tcW w:w="816" w:type="dxa"/>
            <w:vAlign w:val="center"/>
            <w:vMerge w:val="restart"/>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售后服务方案</w:t>
            </w:r>
            <w:r>
              <w:rPr>
                <w:rFonts w:ascii="宋体" w:hAnsi="宋体" w:cs="宋体"/>
                <w:szCs w:val="21"/>
              </w:rPr>
            </w:r>
            <w:r/>
          </w:p>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（8分）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评委根据投标文件中售后服务方案（包括但不限于服务体系、服务内容、故障解决方案、响应时间、专业技术人员保障及服务电话、备品备件保证、质保期外维保方案等方面）进行打分：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售后服务方案完整详细，有明确的售后服务机构及人员、售后服务承诺，售后服务响应及处理时间迅速，质保期内的售后服务范围、质保期满后的售后服务范围和收费情况清晰具体</w:t>
            </w:r>
            <w:r>
              <w:rPr>
                <w:rFonts w:hint="eastAsia" w:ascii="宋体" w:hAnsi="宋体" w:cs="宋体"/>
                <w:szCs w:val="21"/>
                <w:lang w:bidi="ar"/>
              </w:rPr>
              <w:t xml:space="preserve">的</w:t>
            </w:r>
            <w:r>
              <w:rPr>
                <w:rFonts w:hint="eastAsia" w:ascii="宋体" w:hAnsi="宋体" w:cs="宋体"/>
                <w:bCs/>
                <w:szCs w:val="21"/>
              </w:rPr>
              <w:t xml:space="preserve">得4</w:t>
            </w:r>
            <w:r>
              <w:rPr>
                <w:rFonts w:hint="eastAsia" w:ascii="宋体" w:hAnsi="宋体" w:cs="宋体"/>
                <w:szCs w:val="21"/>
              </w:rPr>
              <w:t xml:space="preserve">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售后服务方案完整，有明确的售后服务机构及人员、售后服务承诺，售后服务应答及处理时间，质保期内的售后服务范围、质保期满后的售后服务范围和收费情况较为具体</w:t>
            </w:r>
            <w:r>
              <w:rPr>
                <w:rFonts w:hint="eastAsia" w:ascii="宋体" w:hAnsi="宋体" w:cs="宋体"/>
                <w:szCs w:val="21"/>
                <w:lang w:bidi="ar"/>
              </w:rPr>
              <w:t xml:space="preserve">的</w:t>
            </w:r>
            <w:r>
              <w:rPr>
                <w:rFonts w:hint="eastAsia" w:ascii="宋体" w:hAnsi="宋体" w:cs="宋体"/>
                <w:bCs/>
                <w:szCs w:val="21"/>
              </w:rPr>
              <w:t xml:space="preserve">得2</w:t>
            </w:r>
            <w:r>
              <w:rPr>
                <w:rFonts w:hint="eastAsia" w:ascii="宋体" w:hAnsi="宋体" w:cs="宋体"/>
                <w:szCs w:val="21"/>
              </w:rPr>
              <w:t xml:space="preserve">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售后服务体系</w:t>
            </w:r>
            <w:r>
              <w:rPr>
                <w:rFonts w:hint="eastAsia" w:ascii="宋体" w:hAnsi="宋体" w:cs="宋体"/>
                <w:szCs w:val="21"/>
              </w:rPr>
              <w:t xml:space="preserve">薄弱</w:t>
            </w:r>
            <w:r>
              <w:rPr>
                <w:rFonts w:hint="eastAsia" w:ascii="宋体" w:hAnsi="宋体" w:cs="宋体"/>
                <w:szCs w:val="21"/>
              </w:rPr>
              <w:t xml:space="preserve">，售后服务方案各方面内容存在缺陷或不满足</w:t>
            </w:r>
            <w:r>
              <w:rPr>
                <w:rFonts w:hint="eastAsia" w:ascii="宋体" w:hAnsi="宋体" w:cs="宋体"/>
                <w:szCs w:val="21"/>
              </w:rPr>
              <w:t xml:space="preserve">，</w:t>
            </w:r>
            <w:r>
              <w:rPr>
                <w:rFonts w:hint="eastAsia" w:ascii="宋体" w:hAnsi="宋体" w:cs="宋体"/>
                <w:bCs/>
                <w:szCs w:val="21"/>
              </w:rPr>
              <w:t xml:space="preserve">得1</w:t>
            </w:r>
            <w:r>
              <w:rPr>
                <w:rFonts w:hint="eastAsia" w:ascii="宋体" w:hAnsi="宋体" w:cs="宋体"/>
                <w:szCs w:val="21"/>
              </w:rPr>
              <w:t xml:space="preserve">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不提供得0分。</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5.2</w:t>
            </w:r>
            <w:r>
              <w:rPr>
                <w:rFonts w:ascii="宋体" w:hAnsi="宋体" w:cs="宋体"/>
                <w:szCs w:val="21"/>
              </w:rPr>
            </w:r>
            <w:r/>
          </w:p>
        </w:tc>
        <w:tc>
          <w:tcPr>
            <w:tcW w:w="816" w:type="dxa"/>
            <w:vAlign w:val="center"/>
            <w:vMerge w:val="continue"/>
            <w:textDirection w:val="lrTb"/>
            <w:noWrap/>
          </w:tcPr>
          <w:p>
            <w:pPr>
              <w:pStyle w:val="1344"/>
              <w:keepLines w:val="0"/>
              <w:keepNext w:val="0"/>
              <w:pageBreakBefore w:val="0"/>
              <w:spacing w:line="480" w:lineRule="exact"/>
              <w:rPr>
                <w:rFonts w:ascii="宋体" w:hAnsi="宋体" w:cs="宋体"/>
                <w:szCs w:val="21"/>
              </w:rPr>
            </w:pP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评委根据投标文件中培训方案（包括但不限于培训目标、培训方法、培训内容、培训师资力量、培训时间、拟提供的培训资料等方面</w:t>
            </w:r>
            <w:r>
              <w:rPr>
                <w:rFonts w:hint="eastAsia" w:ascii="宋体" w:hAnsi="宋体" w:cs="宋体"/>
                <w:szCs w:val="21"/>
              </w:rPr>
              <w:t xml:space="preserve">）</w:t>
            </w:r>
            <w:r>
              <w:rPr>
                <w:rFonts w:hint="eastAsia" w:ascii="宋体" w:hAnsi="宋体" w:cs="宋体"/>
                <w:szCs w:val="21"/>
              </w:rPr>
              <w:t xml:space="preserve">进行打分：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培训方案内容全面，计划详细，安排合理的得4分；培训方案内容完整，计划明确，可行性较强的得2分；培训计划简单，形式单一，得1分；不提供得0分</w:t>
            </w:r>
            <w:r>
              <w:rPr>
                <w:rFonts w:hint="eastAsia" w:ascii="宋体" w:hAnsi="宋体" w:cs="宋体"/>
                <w:szCs w:val="21"/>
              </w:rPr>
              <w:t xml:space="preserve">。</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816" w:type="dxa"/>
            <w:vAlign w:val="center"/>
            <w:textDirection w:val="lrTb"/>
            <w:noWrap/>
          </w:tcPr>
          <w:p>
            <w:pPr>
              <w:pStyle w:val="1344"/>
              <w:ind w:right="-263"/>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业绩</w:t>
            </w:r>
            <w:r>
              <w:rPr>
                <w:rFonts w:ascii="宋体" w:hAnsi="宋体" w:cs="宋体"/>
                <w:szCs w:val="21"/>
              </w:rPr>
            </w:r>
            <w:r/>
          </w:p>
          <w:p>
            <w:pPr>
              <w:pStyle w:val="1344"/>
              <w:ind w:right="-263"/>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szCs w:val="21"/>
              </w:rPr>
            </w:pPr>
            <w:r>
              <w:rPr>
                <w:rFonts w:hint="eastAsia" w:ascii="宋体" w:hAnsi="宋体" w:cs="宋体"/>
                <w:szCs w:val="21"/>
              </w:rPr>
              <w:t xml:space="preserve">提供20</w:t>
            </w:r>
            <w:r>
              <w:rPr>
                <w:rFonts w:ascii="宋体" w:hAnsi="宋体" w:cs="宋体"/>
                <w:szCs w:val="21"/>
              </w:rPr>
              <w:t xml:space="preserve">2</w:t>
            </w:r>
            <w:r>
              <w:rPr>
                <w:rFonts w:hint="eastAsia" w:ascii="宋体" w:hAnsi="宋体" w:cs="宋体"/>
                <w:szCs w:val="21"/>
              </w:rPr>
              <w:t xml:space="preserve">3年</w:t>
            </w:r>
            <w:r>
              <w:rPr>
                <w:rFonts w:ascii="宋体" w:hAnsi="宋体" w:cs="宋体"/>
                <w:szCs w:val="21"/>
              </w:rPr>
              <w:t xml:space="preserve">1</w:t>
            </w:r>
            <w:r>
              <w:rPr>
                <w:rFonts w:hint="eastAsia" w:ascii="宋体" w:hAnsi="宋体" w:cs="宋体"/>
                <w:szCs w:val="21"/>
              </w:rPr>
              <w:t xml:space="preserve">月1</w:t>
            </w:r>
            <w:r>
              <w:rPr>
                <w:rFonts w:hint="eastAsia" w:ascii="宋体" w:hAnsi="宋体" w:cs="宋体"/>
                <w:color w:val="000000"/>
                <w:szCs w:val="21"/>
              </w:rPr>
              <w:t xml:space="preserve">日以来，</w:t>
            </w:r>
            <w:r>
              <w:rPr>
                <w:rFonts w:hint="eastAsia" w:ascii="宋体" w:hAnsi="宋体" w:cs="宋体"/>
                <w:b/>
                <w:bCs/>
                <w:color w:val="000000"/>
                <w:szCs w:val="21"/>
              </w:rPr>
              <w:t xml:space="preserve">投标人具有与所投产品（振动台）同品牌</w:t>
            </w:r>
            <w:r>
              <w:rPr>
                <w:rFonts w:hint="eastAsia" w:ascii="宋体" w:hAnsi="宋体" w:cs="宋体"/>
                <w:b/>
                <w:bCs/>
                <w:color w:val="000000"/>
                <w:szCs w:val="21"/>
              </w:rPr>
              <w:t xml:space="preserve">同类型产品或与所投产品</w:t>
            </w:r>
            <w:r>
              <w:rPr>
                <w:rFonts w:hint="eastAsia" w:ascii="宋体" w:hAnsi="宋体" w:cs="宋体"/>
                <w:b/>
                <w:bCs/>
                <w:color w:val="000000"/>
                <w:szCs w:val="21"/>
              </w:rPr>
              <w:t xml:space="preserve">（振动台）</w:t>
            </w:r>
            <w:r>
              <w:rPr>
                <w:rFonts w:hint="eastAsia" w:ascii="宋体" w:hAnsi="宋体" w:cs="宋体"/>
                <w:b/>
                <w:bCs/>
                <w:color w:val="000000"/>
                <w:szCs w:val="21"/>
              </w:rPr>
              <w:t xml:space="preserve">同品牌且技术指标不低于此次招标技术要求的产品</w:t>
            </w:r>
            <w:r>
              <w:rPr>
                <w:rFonts w:hint="eastAsia" w:ascii="宋体" w:hAnsi="宋体" w:cs="宋体"/>
                <w:color w:val="000000"/>
                <w:szCs w:val="21"/>
              </w:rPr>
              <w:t xml:space="preserve">在国内的销售业绩合同。每提供一份销售合同得</w:t>
            </w:r>
            <w:r>
              <w:rPr>
                <w:rFonts w:ascii="宋体" w:hAnsi="宋体" w:cs="宋体"/>
                <w:color w:val="000000"/>
                <w:szCs w:val="21"/>
              </w:rPr>
              <w:t xml:space="preserve">2</w:t>
            </w:r>
            <w:r>
              <w:rPr>
                <w:rFonts w:hint="eastAsia" w:ascii="宋体" w:hAnsi="宋体" w:cs="宋体"/>
                <w:color w:val="000000"/>
                <w:szCs w:val="21"/>
              </w:rPr>
              <w:t xml:space="preserve">分，本项</w:t>
            </w:r>
            <w:r>
              <w:rPr>
                <w:rFonts w:hint="eastAsia" w:ascii="宋体" w:hAnsi="宋体" w:cs="宋体"/>
                <w:szCs w:val="21"/>
              </w:rPr>
              <w:t xml:space="preserve">最高</w:t>
            </w:r>
            <w:r>
              <w:rPr>
                <w:rFonts w:ascii="宋体" w:hAnsi="宋体" w:cs="宋体"/>
                <w:szCs w:val="21"/>
              </w:rPr>
              <w:t xml:space="preserve">8</w:t>
            </w:r>
            <w:r>
              <w:rPr>
                <w:rFonts w:hint="eastAsia" w:ascii="宋体" w:hAnsi="宋体" w:cs="宋体"/>
                <w:szCs w:val="21"/>
              </w:rPr>
              <w:t xml:space="preserve">分。</w:t>
            </w:r>
            <w:r>
              <w:rPr>
                <w:rFonts w:hint="eastAsia" w:ascii="宋体" w:hAnsi="宋体" w:cs="宋体"/>
                <w:b/>
                <w:bCs/>
                <w:szCs w:val="21"/>
              </w:rPr>
              <w:t xml:space="preserve">（需同时提供合同及合同对应发票复印件，发票金额可以是部分或全部金额，未提供发票或合同或合同无法反应上述信息的均不得分，原件备查）</w:t>
            </w:r>
            <w:r>
              <w:rPr>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t xml:space="preserve">8</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7.1</w:t>
            </w:r>
            <w:r>
              <w:rPr>
                <w:rFonts w:ascii="宋体" w:hAnsi="宋体" w:cs="宋体"/>
                <w:szCs w:val="21"/>
              </w:rPr>
            </w:r>
            <w:r/>
          </w:p>
        </w:tc>
        <w:tc>
          <w:tcPr>
            <w:tcW w:w="816" w:type="dxa"/>
            <w:vAlign w:val="center"/>
            <w:vMerge w:val="restart"/>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国家政策导向（</w:t>
            </w:r>
            <w:r>
              <w:rPr>
                <w:rFonts w:ascii="宋体" w:hAnsi="宋体" w:cs="宋体"/>
                <w:szCs w:val="21"/>
              </w:rPr>
              <w:t xml:space="preserve">1</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bCs/>
                <w:szCs w:val="21"/>
              </w:rPr>
              <w:t xml:space="preserve">环境标志产品：</w:t>
            </w:r>
            <w:r>
              <w:rPr>
                <w:rFonts w:hint="eastAsia" w:ascii="宋体" w:hAnsi="宋体" w:cs="宋体"/>
                <w:szCs w:val="21"/>
              </w:rPr>
              <w:t xml:space="preserve">投标产品有《环境标志产品政府采购品目清单》内产品，并提供参与实施政府采购环境标志产品认证机构出具的认证证书得</w:t>
            </w:r>
            <w:r>
              <w:rPr>
                <w:rFonts w:ascii="宋体" w:hAnsi="宋体" w:cs="宋体"/>
                <w:szCs w:val="21"/>
              </w:rPr>
              <w:t xml:space="preserve">0.5</w:t>
            </w:r>
            <w:r>
              <w:rPr>
                <w:rFonts w:hint="eastAsia" w:ascii="宋体" w:hAnsi="宋体" w:cs="宋体"/>
                <w:szCs w:val="21"/>
              </w:rPr>
              <w:t xml:space="preserve">分。</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t xml:space="preserve">0.5</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7.2</w:t>
            </w:r>
            <w:r>
              <w:rPr>
                <w:rFonts w:ascii="宋体" w:hAnsi="宋体" w:cs="宋体"/>
                <w:szCs w:val="21"/>
              </w:rPr>
            </w:r>
            <w:r/>
          </w:p>
        </w:tc>
        <w:tc>
          <w:tcPr>
            <w:tcW w:w="816" w:type="dxa"/>
            <w:vAlign w:val="center"/>
            <w:vMerge w:val="continue"/>
            <w:textDirection w:val="lrTb"/>
            <w:noWrap/>
          </w:tcPr>
          <w:p>
            <w:pPr>
              <w:pStyle w:val="1344"/>
              <w:keepLines w:val="0"/>
              <w:keepNext w:val="0"/>
              <w:pageBreakBefore w:val="0"/>
              <w:spacing w:line="480" w:lineRule="exact"/>
              <w:rPr>
                <w:rFonts w:ascii="宋体" w:hAnsi="宋体" w:cs="宋体"/>
                <w:szCs w:val="21"/>
              </w:rPr>
            </w:pP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节能产品：投标产品有《节能产品政府采购品目清单》内产品，并提供参与实施政府采购节能产品认证机构出具的认证证书得</w:t>
            </w:r>
            <w:r>
              <w:rPr>
                <w:rFonts w:ascii="宋体" w:hAnsi="宋体" w:cs="宋体"/>
                <w:szCs w:val="21"/>
              </w:rPr>
              <w:t xml:space="preserve">0.5</w:t>
            </w:r>
            <w:r>
              <w:rPr>
                <w:rFonts w:hint="eastAsia" w:ascii="宋体" w:hAnsi="宋体" w:cs="宋体"/>
                <w:szCs w:val="21"/>
              </w:rPr>
              <w:t xml:space="preserve">分。</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t xml:space="preserve">0.5</w:t>
            </w:r>
            <w:r>
              <w:rPr>
                <w:rFonts w:ascii="宋体" w:hAnsi="宋体" w:cs="宋体"/>
                <w:szCs w:val="21"/>
              </w:rPr>
            </w:r>
            <w:r/>
          </w:p>
        </w:tc>
      </w:tr>
    </w:tbl>
    <w:p>
      <w:pPr>
        <w:pStyle w:val="1344"/>
        <w:keepLines w:val="0"/>
        <w:keepNext w:val="0"/>
        <w:pageBreakBefore w:val="0"/>
        <w:spacing w:line="480" w:lineRule="exact"/>
        <w:rPr>
          <w:rFonts w:ascii="宋体" w:hAnsi="宋体" w:cs="宋体"/>
          <w:b/>
          <w:bCs/>
          <w:szCs w:val="21"/>
        </w:rPr>
      </w:pPr>
      <w:r>
        <w:rPr>
          <w:rFonts w:ascii="宋体" w:hAnsi="宋体" w:cs="宋体"/>
          <w:b/>
          <w:bCs/>
          <w:szCs w:val="21"/>
        </w:rPr>
      </w:r>
      <w:r/>
    </w:p>
    <w:p>
      <w:pPr>
        <w:pStyle w:val="1344"/>
        <w:keepLines w:val="0"/>
        <w:keepNext w:val="0"/>
        <w:pageBreakBefore w:val="0"/>
        <w:spacing w:line="480" w:lineRule="exact"/>
        <w:rPr>
          <w:rFonts w:ascii="宋体" w:hAnsi="宋体" w:cs="宋体"/>
          <w:b/>
          <w:bCs/>
          <w:szCs w:val="21"/>
        </w:rPr>
        <w:outlineLvl w:val="1"/>
      </w:pPr>
      <w:r/>
      <w:bookmarkStart w:id="234" w:name="_Toc10881"/>
      <w:r/>
      <w:bookmarkStart w:id="235" w:name="_Toc17103"/>
      <w:r>
        <w:rPr>
          <w:rFonts w:hint="eastAsia" w:ascii="宋体" w:hAnsi="宋体" w:cs="宋体"/>
          <w:b/>
          <w:bCs/>
          <w:szCs w:val="21"/>
        </w:rPr>
        <w:t xml:space="preserve">分包8</w:t>
      </w:r>
      <w:bookmarkEnd w:id="234"/>
      <w:r/>
      <w:bookmarkEnd w:id="235"/>
      <w:r>
        <w:rPr>
          <w:rFonts w:ascii="宋体" w:hAnsi="宋体" w:cs="宋体"/>
          <w:b/>
          <w:bCs/>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1608"/>
        <w:gridCol w:w="6713"/>
        <w:gridCol w:w="788"/>
      </w:tblGrid>
      <w:tr>
        <w:trPr/>
        <w:tc>
          <w:tcPr>
            <w:tcW w:w="378" w:type="dxa"/>
            <w:vAlign w:val="center"/>
            <w:textDirection w:val="lrTb"/>
            <w:noWrap/>
          </w:tcPr>
          <w:p>
            <w:pPr>
              <w:pStyle w:val="1344"/>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816" w:type="dxa"/>
            <w:vAlign w:val="center"/>
            <w:textDirection w:val="lrTb"/>
            <w:noWrap/>
          </w:tcPr>
          <w:p>
            <w:pPr>
              <w:pStyle w:val="1344"/>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评分因素</w:t>
            </w:r>
            <w:r>
              <w:rPr>
                <w:rFonts w:ascii="宋体" w:hAnsi="宋体" w:cs="宋体"/>
                <w:b/>
                <w:bCs/>
                <w:szCs w:val="21"/>
              </w:rPr>
            </w:r>
            <w:r/>
          </w:p>
        </w:tc>
        <w:tc>
          <w:tcPr>
            <w:tcW w:w="3406" w:type="dxa"/>
            <w:vAlign w:val="center"/>
            <w:textDirection w:val="lrTb"/>
            <w:noWrap/>
          </w:tcPr>
          <w:p>
            <w:pPr>
              <w:pStyle w:val="1344"/>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评审细则</w:t>
            </w:r>
            <w:r>
              <w:rPr>
                <w:rFonts w:ascii="宋体" w:hAnsi="宋体" w:cs="宋体"/>
                <w:b/>
                <w:bCs/>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分值</w:t>
            </w:r>
            <w:r>
              <w:rPr>
                <w:rFonts w:ascii="宋体" w:hAnsi="宋体" w:cs="宋体"/>
                <w:b/>
                <w:bCs/>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816"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投标报价</w:t>
            </w:r>
            <w:r>
              <w:rPr>
                <w:rFonts w:ascii="宋体" w:hAnsi="宋体" w:cs="宋体"/>
                <w:szCs w:val="21"/>
              </w:rPr>
            </w:r>
            <w:r/>
          </w:p>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（30分）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本次招标，以进入详细评审的各投标人评标价的最低值为A值，A值为价格分的满分，即30分。其他投标人的价格分统一按照以下公式计算：投标人评标价得分=（A／该投标人评标价）×30。</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30</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816"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技术及商务响应</w:t>
            </w:r>
            <w:r>
              <w:rPr>
                <w:rFonts w:ascii="宋体" w:hAnsi="宋体" w:cs="宋体"/>
                <w:szCs w:val="21"/>
              </w:rPr>
            </w:r>
            <w:r/>
          </w:p>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40</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设备技术参数及商务要求全部满足招标要求的得满分40分；</w:t>
            </w:r>
            <w:r>
              <w:rPr>
                <w:rFonts w:ascii="宋体" w:hAnsi="宋体" w:cs="宋体"/>
                <w:szCs w:val="21"/>
              </w:rPr>
            </w:r>
            <w:r/>
          </w:p>
          <w:p>
            <w:pPr>
              <w:pStyle w:val="1344"/>
              <w:keepLines w:val="0"/>
              <w:keepNext w:val="0"/>
              <w:pageBreakBefore w:val="0"/>
              <w:spacing w:line="480" w:lineRule="exact"/>
              <w:rPr>
                <w:rFonts w:ascii="宋体" w:hAnsi="宋体" w:cs="宋体"/>
                <w:b/>
                <w:bCs/>
                <w:szCs w:val="21"/>
              </w:rPr>
            </w:pPr>
            <w:r>
              <w:rPr>
                <w:rFonts w:hint="eastAsia" w:ascii="宋体" w:hAnsi="宋体" w:cs="宋体"/>
                <w:szCs w:val="21"/>
              </w:rPr>
              <w:t xml:space="preserve">在此基础上，</w:t>
            </w:r>
            <w:r>
              <w:rPr>
                <w:rFonts w:hint="eastAsia" w:ascii="宋体" w:hAnsi="宋体" w:cs="宋体"/>
                <w:b/>
                <w:bCs/>
                <w:szCs w:val="21"/>
              </w:rPr>
              <w:t xml:space="preserve">招标文件中标注“</w:t>
            </w:r>
            <w:r>
              <w:rPr>
                <w:rFonts w:hint="eastAsia" w:ascii="宋体" w:hAnsi="宋体" w:cs="宋体"/>
                <w:b/>
                <w:bCs/>
                <w:szCs w:val="21"/>
              </w:rPr>
              <w:t xml:space="preserve">★”的条款为实质性要求，有一项负偏离，作无效投标处理，</w:t>
            </w:r>
            <w:r>
              <w:rPr>
                <w:rFonts w:hint="eastAsia" w:ascii="宋体" w:hAnsi="宋体" w:cs="宋体"/>
                <w:szCs w:val="21"/>
              </w:rPr>
              <w:t xml:space="preserve">其他非重要技术条款每有一项负偏离扣0.85分，扣完为止。所有技术参数中，简单复制招标文件并标注响应或无偏离而又无相关完整技术支持资料证实，评审时评审委员会成员有权不予认可。对招标文件明确的需主观判定的功能性描述要求未做任何情况说明或响应承诺的，评标委员会有权予以否决或做负偏离处理。</w:t>
            </w:r>
            <w:r>
              <w:rPr>
                <w:rFonts w:ascii="宋体" w:hAnsi="宋体" w:cs="宋体"/>
                <w:b/>
                <w:bCs/>
                <w:szCs w:val="21"/>
              </w:rPr>
            </w:r>
            <w:r/>
          </w:p>
          <w:p>
            <w:pPr>
              <w:pStyle w:val="1344"/>
              <w:keepLines w:val="0"/>
              <w:keepNext w:val="0"/>
              <w:pageBreakBefore w:val="0"/>
              <w:spacing w:line="480" w:lineRule="exact"/>
              <w:rPr>
                <w:rFonts w:ascii="Calibri" w:hAnsi="Calibri"/>
                <w:szCs w:val="21"/>
              </w:rPr>
            </w:pPr>
            <w:r>
              <w:rPr>
                <w:rFonts w:hint="eastAsia" w:ascii="宋体" w:hAnsi="宋体" w:cs="宋体"/>
                <w:b/>
                <w:bCs/>
                <w:szCs w:val="21"/>
              </w:rPr>
              <w:t xml:space="preserve">注：</w:t>
            </w:r>
            <w:r>
              <w:rPr>
                <w:rFonts w:hint="eastAsia" w:ascii="宋体" w:hAnsi="宋体" w:cs="宋体"/>
                <w:b/>
                <w:szCs w:val="21"/>
              </w:rPr>
              <w:t xml:space="preserve">所有对招标文件标注</w:t>
            </w:r>
            <w:r>
              <w:rPr>
                <w:rFonts w:hint="eastAsia" w:ascii="宋体" w:hAnsi="宋体" w:cs="宋体"/>
                <w:b/>
                <w:bCs/>
                <w:szCs w:val="21"/>
              </w:rPr>
              <w:t xml:space="preserve">“</w:t>
            </w:r>
            <w:r>
              <w:rPr>
                <w:rFonts w:hint="eastAsia" w:ascii="宋体" w:hAnsi="宋体" w:cs="宋体"/>
                <w:b/>
                <w:bCs/>
                <w:szCs w:val="21"/>
              </w:rPr>
              <w:t xml:space="preserve">★”</w:t>
            </w:r>
            <w:r>
              <w:rPr>
                <w:rFonts w:hint="eastAsia" w:ascii="宋体" w:hAnsi="宋体" w:cs="宋体"/>
                <w:b/>
                <w:szCs w:val="21"/>
              </w:rPr>
              <w:t xml:space="preserve">的具体要求、参数、数值指标的响应，要求投标供应商必须在投标文件中提供技术支持资料（技术支持资料种类以文件第四章要求为准，如无特殊要求则为明确说明该技术内容的公开发行的手册、彩页、官网截图、功能页面截图、检测报告、白皮书等），</w:t>
            </w:r>
            <w:r>
              <w:rPr>
                <w:rFonts w:hint="eastAsia" w:ascii="宋体" w:hAnsi="宋体" w:cs="宋体"/>
                <w:b/>
                <w:bCs/>
                <w:szCs w:val="21"/>
              </w:rPr>
              <w:t xml:space="preserve">设备及明细配置清单</w:t>
            </w:r>
            <w:r>
              <w:rPr>
                <w:rFonts w:hint="eastAsia" w:ascii="宋体" w:hAnsi="宋体" w:cs="宋体"/>
                <w:b/>
                <w:bCs/>
                <w:szCs w:val="21"/>
                <w:lang w:eastAsia="zh-CN"/>
              </w:rPr>
              <w:t xml:space="preserve">或商务要求（质保期）中标注“★”</w:t>
            </w:r>
            <w:r>
              <w:rPr>
                <w:rFonts w:hint="eastAsia" w:ascii="宋体" w:hAnsi="宋体" w:cs="宋体"/>
                <w:b/>
                <w:szCs w:val="21"/>
              </w:rPr>
              <w:t xml:space="preserve">的无需提供。</w:t>
            </w:r>
            <w:r>
              <w:rPr>
                <w:rFonts w:ascii="Calibri" w:hAnsi="Calibri"/>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t xml:space="preserve">40</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3.1</w:t>
            </w:r>
            <w:r>
              <w:rPr>
                <w:rFonts w:ascii="宋体" w:hAnsi="宋体" w:cs="宋体"/>
                <w:szCs w:val="21"/>
              </w:rPr>
            </w:r>
            <w:r/>
          </w:p>
        </w:tc>
        <w:tc>
          <w:tcPr>
            <w:tcW w:w="816"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产品技术方案（</w:t>
            </w:r>
            <w:r>
              <w:rPr>
                <w:rFonts w:ascii="宋体" w:hAnsi="宋体" w:cs="宋体"/>
                <w:szCs w:val="21"/>
              </w:rPr>
              <w:t xml:space="preserve">5</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lang w:bidi="ar"/>
              </w:rPr>
            </w:pPr>
            <w:r>
              <w:rPr>
                <w:rFonts w:hint="eastAsia" w:ascii="宋体" w:hAnsi="宋体" w:cs="宋体"/>
                <w:szCs w:val="21"/>
                <w:lang w:bidi="ar"/>
              </w:rPr>
              <w:t xml:space="preserve">评委根据投标文件中</w:t>
            </w:r>
            <w:r>
              <w:rPr>
                <w:rFonts w:hint="eastAsia" w:ascii="宋体" w:hAnsi="宋体" w:cs="宋体"/>
                <w:szCs w:val="21"/>
              </w:rPr>
              <w:t xml:space="preserve">产品技术方案进行打分：</w:t>
            </w:r>
            <w:r>
              <w:rPr>
                <w:rFonts w:ascii="宋体" w:hAnsi="宋体" w:cs="宋体"/>
                <w:szCs w:val="21"/>
                <w:lang w:bidi="ar"/>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w:t>
            </w:r>
            <w:r>
              <w:rPr>
                <w:rFonts w:hint="eastAsia" w:ascii="宋体" w:hAnsi="宋体" w:cs="宋体"/>
                <w:szCs w:val="21"/>
                <w:lang w:bidi="ar"/>
              </w:rPr>
              <w:t xml:space="preserve">方案全面具体、内容详实，产品设计先进、数据准确的得</w:t>
            </w:r>
            <w:r>
              <w:rPr>
                <w:rFonts w:ascii="宋体" w:hAnsi="宋体" w:cs="宋体"/>
                <w:szCs w:val="21"/>
                <w:lang w:bidi="ar"/>
              </w:rPr>
              <w:t xml:space="preserve">5</w:t>
            </w:r>
            <w:r>
              <w:rPr>
                <w:rFonts w:hint="eastAsia" w:ascii="宋体" w:hAnsi="宋体" w:cs="宋体"/>
                <w:szCs w:val="21"/>
                <w:lang w:bidi="ar"/>
              </w:rPr>
              <w:t xml:space="preserve">分； </w:t>
            </w:r>
            <w:r>
              <w:rPr>
                <w:rFonts w:ascii="宋体" w:hAnsi="宋体" w:cs="宋体"/>
                <w:szCs w:val="21"/>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w:t>
            </w:r>
            <w:r>
              <w:rPr>
                <w:rFonts w:hint="eastAsia" w:ascii="宋体" w:hAnsi="宋体" w:cs="宋体"/>
                <w:szCs w:val="21"/>
                <w:lang w:bidi="ar"/>
              </w:rPr>
              <w:t xml:space="preserve">方案较为具体全面、内容完整，产品设计合理、数据准确的得3分；</w:t>
            </w:r>
            <w:r>
              <w:rPr>
                <w:rFonts w:ascii="宋体" w:hAnsi="宋体" w:cs="宋体"/>
                <w:szCs w:val="21"/>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w:t>
            </w:r>
            <w:r>
              <w:rPr>
                <w:rFonts w:hint="eastAsia" w:ascii="宋体" w:hAnsi="宋体" w:cs="宋体"/>
                <w:szCs w:val="21"/>
                <w:lang w:bidi="ar"/>
              </w:rPr>
              <w:t xml:space="preserve">方案不全面、内容空泛，不能完全满足文件产品性能要求的得</w:t>
            </w:r>
            <w:r>
              <w:rPr>
                <w:rFonts w:ascii="宋体" w:hAnsi="宋体" w:cs="宋体"/>
                <w:szCs w:val="21"/>
                <w:lang w:bidi="ar"/>
              </w:rPr>
              <w:t xml:space="preserve">1</w:t>
            </w:r>
            <w:r>
              <w:rPr>
                <w:rFonts w:hint="eastAsia" w:ascii="宋体" w:hAnsi="宋体" w:cs="宋体"/>
                <w:szCs w:val="21"/>
                <w:lang w:bidi="ar"/>
              </w:rPr>
              <w:t xml:space="preserve">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lang w:bidi="ar"/>
              </w:rPr>
              <w:t xml:space="preserve">未在投标文件中提供方案或者提供的方案不可行的得0分。</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t xml:space="preserve">5</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highlight w:val="cyan"/>
              </w:rPr>
            </w:pPr>
            <w:r>
              <w:rPr>
                <w:rFonts w:hint="eastAsia" w:ascii="宋体" w:hAnsi="宋体" w:cs="宋体"/>
                <w:szCs w:val="21"/>
              </w:rPr>
              <w:t xml:space="preserve">4.1</w:t>
            </w:r>
            <w:r>
              <w:rPr>
                <w:rFonts w:ascii="宋体" w:hAnsi="宋体" w:cs="宋体"/>
                <w:szCs w:val="21"/>
                <w:highlight w:val="cyan"/>
              </w:rPr>
            </w:r>
            <w:r/>
          </w:p>
        </w:tc>
        <w:tc>
          <w:tcPr>
            <w:tcW w:w="816" w:type="dxa"/>
            <w:vAlign w:val="center"/>
            <w:vMerge w:val="restart"/>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实施方案</w:t>
            </w:r>
            <w:r>
              <w:rPr>
                <w:rFonts w:ascii="宋体" w:hAnsi="宋体" w:cs="宋体"/>
                <w:szCs w:val="21"/>
              </w:rPr>
            </w:r>
            <w:r/>
          </w:p>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（8分）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lang w:bidi="ar"/>
              </w:rPr>
              <w:t xml:space="preserve">评委根据投标文件中实施方案的内容（</w:t>
            </w:r>
            <w:r>
              <w:rPr>
                <w:rFonts w:hint="eastAsia" w:ascii="宋体" w:hAnsi="宋体" w:cs="宋体"/>
                <w:szCs w:val="21"/>
              </w:rPr>
              <w:t xml:space="preserve">包括但不限于项目整体方案、改造方案、供货计划、质量保障措施、风险控制管理措施等</w:t>
            </w:r>
            <w:r>
              <w:rPr>
                <w:rFonts w:hint="eastAsia" w:ascii="宋体" w:hAnsi="宋体" w:cs="宋体"/>
                <w:szCs w:val="21"/>
                <w:lang w:bidi="ar"/>
              </w:rPr>
              <w:t xml:space="preserve">）进行打分：</w:t>
            </w:r>
            <w:r>
              <w:rPr>
                <w:rFonts w:ascii="宋体" w:hAnsi="宋体" w:cs="宋体"/>
                <w:szCs w:val="21"/>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lang w:bidi="ar"/>
              </w:rPr>
              <w:t xml:space="preserve">实施方案全面具体、内容详实，合理完善的得4分； </w:t>
            </w:r>
            <w:r>
              <w:rPr>
                <w:rFonts w:ascii="宋体" w:hAnsi="宋体" w:cs="宋体"/>
                <w:szCs w:val="21"/>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lang w:bidi="ar"/>
              </w:rPr>
              <w:t xml:space="preserve">实施方案较全面、内容完整，</w:t>
            </w:r>
            <w:r>
              <w:rPr>
                <w:rFonts w:hint="eastAsia" w:ascii="宋体" w:hAnsi="宋体" w:cs="宋体"/>
                <w:szCs w:val="21"/>
                <w:lang w:val="zh-TW" w:bidi="ar"/>
              </w:rPr>
              <w:t xml:space="preserve">尚有改进空间</w:t>
            </w:r>
            <w:r>
              <w:rPr>
                <w:rFonts w:hint="eastAsia" w:ascii="宋体" w:hAnsi="宋体" w:cs="宋体"/>
                <w:szCs w:val="21"/>
                <w:lang w:bidi="ar"/>
              </w:rPr>
              <w:t xml:space="preserve">的得2分；</w:t>
            </w:r>
            <w:r>
              <w:rPr>
                <w:rFonts w:ascii="宋体" w:hAnsi="宋体" w:cs="宋体"/>
                <w:szCs w:val="21"/>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lang w:bidi="ar"/>
              </w:rPr>
              <w:t xml:space="preserve">实施方案不全面、内容存在瑕疵，需进一步改进的得</w:t>
            </w:r>
            <w:r>
              <w:rPr>
                <w:rFonts w:ascii="宋体" w:hAnsi="宋体" w:cs="宋体"/>
                <w:szCs w:val="21"/>
                <w:lang w:bidi="ar"/>
              </w:rPr>
              <w:t xml:space="preserve">1</w:t>
            </w:r>
            <w:r>
              <w:rPr>
                <w:rFonts w:hint="eastAsia" w:ascii="宋体" w:hAnsi="宋体" w:cs="宋体"/>
                <w:szCs w:val="21"/>
                <w:lang w:bidi="ar"/>
              </w:rPr>
              <w:t xml:space="preserve">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lang w:bidi="ar"/>
              </w:rPr>
              <w:t xml:space="preserve">未在投标文件中提供实施方案或者提供的实施方案不可行的得0分。</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4.2</w:t>
            </w:r>
            <w:r>
              <w:rPr>
                <w:rFonts w:ascii="宋体" w:hAnsi="宋体" w:cs="宋体"/>
                <w:szCs w:val="21"/>
              </w:rPr>
            </w:r>
            <w:r/>
          </w:p>
        </w:tc>
        <w:tc>
          <w:tcPr>
            <w:tcW w:w="816" w:type="dxa"/>
            <w:vAlign w:val="center"/>
            <w:vMerge w:val="continue"/>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评委根据投标文件中项目技术支撑和进度计划（包括但不限于人员配置、产品质量控制、设备安装调试验收进度、安全保障措施等方面）进行打分：</w:t>
            </w:r>
            <w:r>
              <w:rPr>
                <w:rFonts w:ascii="宋体" w:hAnsi="宋体" w:cs="宋体"/>
                <w:szCs w:val="21"/>
              </w:rPr>
            </w:r>
            <w:r/>
          </w:p>
          <w:p>
            <w:pPr>
              <w:pStyle w:val="1344"/>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技术支撑配置优于采购人的要求，具有针对性，项目进度分析清晰具体的得4分；</w:t>
            </w:r>
            <w:r>
              <w:rPr>
                <w:rFonts w:ascii="宋体" w:hAnsi="宋体" w:cs="宋体"/>
                <w:szCs w:val="21"/>
              </w:rPr>
            </w:r>
            <w:r/>
          </w:p>
          <w:p>
            <w:pPr>
              <w:pStyle w:val="1344"/>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技术支撑配置满足采购人的要求，项目进度分析清晰的得2分；</w:t>
            </w:r>
            <w:r>
              <w:rPr>
                <w:rFonts w:ascii="宋体" w:hAnsi="宋体" w:cs="宋体"/>
                <w:szCs w:val="21"/>
              </w:rPr>
            </w:r>
            <w:r/>
          </w:p>
          <w:p>
            <w:pPr>
              <w:pStyle w:val="1344"/>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技术支撑配置不能完全满足采购人的要求，项目进度不清晰的得1分；</w:t>
            </w:r>
            <w:r>
              <w:rPr>
                <w:rFonts w:ascii="宋体" w:hAnsi="宋体" w:cs="宋体"/>
                <w:szCs w:val="21"/>
              </w:rPr>
            </w:r>
            <w:r/>
          </w:p>
          <w:p>
            <w:pPr>
              <w:pStyle w:val="1344"/>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不提供得0分。</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5.1</w:t>
            </w:r>
            <w:r>
              <w:rPr>
                <w:rFonts w:ascii="宋体" w:hAnsi="宋体" w:cs="宋体"/>
                <w:szCs w:val="21"/>
              </w:rPr>
            </w:r>
            <w:r/>
          </w:p>
        </w:tc>
        <w:tc>
          <w:tcPr>
            <w:tcW w:w="816" w:type="dxa"/>
            <w:vAlign w:val="center"/>
            <w:vMerge w:val="restart"/>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售后服务方案</w:t>
            </w:r>
            <w:r>
              <w:rPr>
                <w:rFonts w:ascii="宋体" w:hAnsi="宋体" w:cs="宋体"/>
                <w:szCs w:val="21"/>
              </w:rPr>
            </w:r>
            <w:r/>
          </w:p>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（8分）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评委根据投标文件中售后服务方案（包括但不限于服务体系、服务内容、故障解决方案、响应时间、专业技术人员保障及服务电话、备品备件保证、质保期外维保方案等方面）进行打分：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售后服务方案完整详细，有明确的售后服务机构及人员、售后服务承诺，售后服务响应及处理时间迅速，质保期内的售后服务范围、质保期满后的售后服务范围和收费情况清晰具体</w:t>
            </w:r>
            <w:r>
              <w:rPr>
                <w:rFonts w:hint="eastAsia" w:ascii="宋体" w:hAnsi="宋体" w:cs="宋体"/>
                <w:szCs w:val="21"/>
                <w:lang w:bidi="ar"/>
              </w:rPr>
              <w:t xml:space="preserve">的</w:t>
            </w:r>
            <w:r>
              <w:rPr>
                <w:rFonts w:hint="eastAsia" w:ascii="宋体" w:hAnsi="宋体" w:cs="宋体"/>
                <w:bCs/>
                <w:szCs w:val="21"/>
              </w:rPr>
              <w:t xml:space="preserve">得4</w:t>
            </w:r>
            <w:r>
              <w:rPr>
                <w:rFonts w:hint="eastAsia" w:ascii="宋体" w:hAnsi="宋体" w:cs="宋体"/>
                <w:szCs w:val="21"/>
              </w:rPr>
              <w:t xml:space="preserve">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售后服务方案完整，有明确的售后服务机构及人员、售后服务承诺，售后服务应答及处理时间，质保期内的售后服务范围、质保期满后的售后服务范围和收费情况较为具体</w:t>
            </w:r>
            <w:r>
              <w:rPr>
                <w:rFonts w:hint="eastAsia" w:ascii="宋体" w:hAnsi="宋体" w:cs="宋体"/>
                <w:szCs w:val="21"/>
                <w:lang w:bidi="ar"/>
              </w:rPr>
              <w:t xml:space="preserve">的</w:t>
            </w:r>
            <w:r>
              <w:rPr>
                <w:rFonts w:hint="eastAsia" w:ascii="宋体" w:hAnsi="宋体" w:cs="宋体"/>
                <w:bCs/>
                <w:szCs w:val="21"/>
              </w:rPr>
              <w:t xml:space="preserve">得2</w:t>
            </w:r>
            <w:r>
              <w:rPr>
                <w:rFonts w:hint="eastAsia" w:ascii="宋体" w:hAnsi="宋体" w:cs="宋体"/>
                <w:szCs w:val="21"/>
              </w:rPr>
              <w:t xml:space="preserve">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售后服务体系</w:t>
            </w:r>
            <w:r>
              <w:rPr>
                <w:rFonts w:hint="eastAsia" w:ascii="宋体" w:hAnsi="宋体" w:cs="宋体"/>
                <w:szCs w:val="21"/>
              </w:rPr>
              <w:t xml:space="preserve">薄弱</w:t>
            </w:r>
            <w:r>
              <w:rPr>
                <w:rFonts w:hint="eastAsia" w:ascii="宋体" w:hAnsi="宋体" w:cs="宋体"/>
                <w:szCs w:val="21"/>
              </w:rPr>
              <w:t xml:space="preserve">，售后服务方案各方面内容存在缺陷或不满足</w:t>
            </w:r>
            <w:r>
              <w:rPr>
                <w:rFonts w:hint="eastAsia" w:ascii="宋体" w:hAnsi="宋体" w:cs="宋体"/>
                <w:szCs w:val="21"/>
              </w:rPr>
              <w:t xml:space="preserve">，</w:t>
            </w:r>
            <w:r>
              <w:rPr>
                <w:rFonts w:hint="eastAsia" w:ascii="宋体" w:hAnsi="宋体" w:cs="宋体"/>
                <w:bCs/>
                <w:szCs w:val="21"/>
              </w:rPr>
              <w:t xml:space="preserve">得1</w:t>
            </w:r>
            <w:r>
              <w:rPr>
                <w:rFonts w:hint="eastAsia" w:ascii="宋体" w:hAnsi="宋体" w:cs="宋体"/>
                <w:szCs w:val="21"/>
              </w:rPr>
              <w:t xml:space="preserve">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不提供得0分。</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5.2</w:t>
            </w:r>
            <w:r>
              <w:rPr>
                <w:rFonts w:ascii="宋体" w:hAnsi="宋体" w:cs="宋体"/>
                <w:szCs w:val="21"/>
              </w:rPr>
            </w:r>
            <w:r/>
          </w:p>
        </w:tc>
        <w:tc>
          <w:tcPr>
            <w:tcW w:w="816" w:type="dxa"/>
            <w:vAlign w:val="center"/>
            <w:vMerge w:val="continue"/>
            <w:textDirection w:val="lrTb"/>
            <w:noWrap/>
          </w:tcPr>
          <w:p>
            <w:pPr>
              <w:pStyle w:val="1344"/>
              <w:keepLines w:val="0"/>
              <w:keepNext w:val="0"/>
              <w:pageBreakBefore w:val="0"/>
              <w:spacing w:line="480" w:lineRule="exact"/>
              <w:rPr>
                <w:rFonts w:ascii="宋体" w:hAnsi="宋体" w:cs="宋体"/>
                <w:szCs w:val="21"/>
              </w:rPr>
            </w:pP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评委根据投标文件中培训方案（包括但不限于培训目标、培训方法、培训内容、培训师资力量、培训时间、拟提供的培训资料等方面</w:t>
            </w:r>
            <w:r>
              <w:rPr>
                <w:rFonts w:hint="eastAsia" w:ascii="宋体" w:hAnsi="宋体" w:cs="宋体"/>
                <w:szCs w:val="21"/>
              </w:rPr>
              <w:t xml:space="preserve">）</w:t>
            </w:r>
            <w:r>
              <w:rPr>
                <w:rFonts w:hint="eastAsia" w:ascii="宋体" w:hAnsi="宋体" w:cs="宋体"/>
                <w:szCs w:val="21"/>
              </w:rPr>
              <w:t xml:space="preserve">进行打分：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培训方案内容全面，计划详细，安排合理的得4分；培训方案内容完整，计划明确，可行性较强的得2分；培训计划简单，形式单一，得1分；不提供得0分</w:t>
            </w:r>
            <w:r>
              <w:rPr>
                <w:rFonts w:hint="eastAsia" w:ascii="宋体" w:hAnsi="宋体" w:cs="宋体"/>
                <w:szCs w:val="21"/>
              </w:rPr>
              <w:t xml:space="preserve">。</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816" w:type="dxa"/>
            <w:vAlign w:val="center"/>
            <w:textDirection w:val="lrTb"/>
            <w:noWrap/>
          </w:tcPr>
          <w:p>
            <w:pPr>
              <w:pStyle w:val="1344"/>
              <w:ind w:right="-263"/>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业绩</w:t>
            </w:r>
            <w:r>
              <w:rPr>
                <w:rFonts w:ascii="宋体" w:hAnsi="宋体" w:cs="宋体"/>
                <w:szCs w:val="21"/>
              </w:rPr>
            </w:r>
            <w:r/>
          </w:p>
          <w:p>
            <w:pPr>
              <w:pStyle w:val="1344"/>
              <w:ind w:right="-263"/>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szCs w:val="21"/>
              </w:rPr>
            </w:pPr>
            <w:r>
              <w:rPr>
                <w:rFonts w:hint="eastAsia" w:ascii="宋体" w:hAnsi="宋体" w:cs="宋体"/>
                <w:szCs w:val="21"/>
              </w:rPr>
              <w:t xml:space="preserve">提供20</w:t>
            </w:r>
            <w:r>
              <w:rPr>
                <w:rFonts w:ascii="宋体" w:hAnsi="宋体" w:cs="宋体"/>
                <w:szCs w:val="21"/>
              </w:rPr>
              <w:t xml:space="preserve">2</w:t>
            </w:r>
            <w:r>
              <w:rPr>
                <w:rFonts w:hint="eastAsia" w:ascii="宋体" w:hAnsi="宋体" w:cs="宋体"/>
                <w:szCs w:val="21"/>
              </w:rPr>
              <w:t xml:space="preserve">3年</w:t>
            </w:r>
            <w:r>
              <w:rPr>
                <w:rFonts w:ascii="宋体" w:hAnsi="宋体" w:cs="宋体"/>
                <w:szCs w:val="21"/>
              </w:rPr>
              <w:t xml:space="preserve">1</w:t>
            </w:r>
            <w:r>
              <w:rPr>
                <w:rFonts w:hint="eastAsia" w:ascii="宋体" w:hAnsi="宋体" w:cs="宋体"/>
                <w:szCs w:val="21"/>
              </w:rPr>
              <w:t xml:space="preserve">月1日以来，</w:t>
            </w:r>
            <w:r>
              <w:rPr>
                <w:rFonts w:hint="eastAsia" w:ascii="宋体" w:hAnsi="宋体" w:cs="宋体"/>
                <w:b/>
                <w:bCs/>
                <w:szCs w:val="21"/>
              </w:rPr>
              <w:t xml:space="preserve">投标人具有与所投核心产品同品牌</w:t>
            </w:r>
            <w:r>
              <w:rPr>
                <w:rFonts w:hint="eastAsia" w:ascii="宋体" w:hAnsi="宋体" w:cs="宋体"/>
                <w:b/>
                <w:bCs/>
                <w:szCs w:val="21"/>
              </w:rPr>
              <w:t xml:space="preserve">同型号产品或与所投核心产品同品牌且技术指标不低于此次招标技术要求的产品</w:t>
            </w:r>
            <w:r>
              <w:rPr>
                <w:rFonts w:hint="eastAsia" w:ascii="宋体" w:hAnsi="宋体" w:cs="宋体"/>
                <w:szCs w:val="21"/>
              </w:rPr>
              <w:t xml:space="preserve">在国内的销售业绩合同。每提供一份销售合同得</w:t>
            </w:r>
            <w:r>
              <w:rPr>
                <w:rFonts w:ascii="宋体" w:hAnsi="宋体" w:cs="宋体"/>
                <w:szCs w:val="21"/>
              </w:rPr>
              <w:t xml:space="preserve">2</w:t>
            </w:r>
            <w:r>
              <w:rPr>
                <w:rFonts w:hint="eastAsia" w:ascii="宋体" w:hAnsi="宋体" w:cs="宋体"/>
                <w:szCs w:val="21"/>
              </w:rPr>
              <w:t xml:space="preserve">分，本项最高</w:t>
            </w:r>
            <w:r>
              <w:rPr>
                <w:rFonts w:ascii="宋体" w:hAnsi="宋体" w:cs="宋体"/>
                <w:szCs w:val="21"/>
              </w:rPr>
              <w:t xml:space="preserve">8</w:t>
            </w:r>
            <w:r>
              <w:rPr>
                <w:rFonts w:hint="eastAsia" w:ascii="宋体" w:hAnsi="宋体" w:cs="宋体"/>
                <w:szCs w:val="21"/>
              </w:rPr>
              <w:t xml:space="preserve">分。</w:t>
            </w:r>
            <w:r>
              <w:rPr>
                <w:rFonts w:hint="eastAsia" w:ascii="宋体" w:hAnsi="宋体" w:cs="宋体"/>
                <w:b/>
                <w:bCs/>
                <w:szCs w:val="21"/>
              </w:rPr>
              <w:t xml:space="preserve">（需同时提供合同及合同对应发票复印件，发票金额可以是部分或全部金额，未提供发票或合同或合同无法反应上述信息的均不得分，原件备查）</w:t>
            </w:r>
            <w:r>
              <w:rPr>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t xml:space="preserve">8</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7.1</w:t>
            </w:r>
            <w:r>
              <w:rPr>
                <w:rFonts w:ascii="宋体" w:hAnsi="宋体" w:cs="宋体"/>
                <w:szCs w:val="21"/>
              </w:rPr>
            </w:r>
            <w:r/>
          </w:p>
        </w:tc>
        <w:tc>
          <w:tcPr>
            <w:tcW w:w="816" w:type="dxa"/>
            <w:vAlign w:val="center"/>
            <w:vMerge w:val="restart"/>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国家政策导向（</w:t>
            </w:r>
            <w:r>
              <w:rPr>
                <w:rFonts w:ascii="宋体" w:hAnsi="宋体" w:cs="宋体"/>
                <w:szCs w:val="21"/>
              </w:rPr>
              <w:t xml:space="preserve">1</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bCs/>
                <w:szCs w:val="21"/>
              </w:rPr>
              <w:t xml:space="preserve">环境标志产品：</w:t>
            </w:r>
            <w:r>
              <w:rPr>
                <w:rFonts w:hint="eastAsia" w:ascii="宋体" w:hAnsi="宋体" w:cs="宋体"/>
                <w:szCs w:val="21"/>
              </w:rPr>
              <w:t xml:space="preserve">投标产品有《环境标志产品政府采购品目清单》内产品，并提供参与实施政府采购环境标志产品认证机构出具的认证证书得</w:t>
            </w:r>
            <w:r>
              <w:rPr>
                <w:rFonts w:ascii="宋体" w:hAnsi="宋体" w:cs="宋体"/>
                <w:szCs w:val="21"/>
              </w:rPr>
              <w:t xml:space="preserve">0.5</w:t>
            </w:r>
            <w:r>
              <w:rPr>
                <w:rFonts w:hint="eastAsia" w:ascii="宋体" w:hAnsi="宋体" w:cs="宋体"/>
                <w:szCs w:val="21"/>
              </w:rPr>
              <w:t xml:space="preserve">分。</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t xml:space="preserve">0.5</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7.2</w:t>
            </w:r>
            <w:r>
              <w:rPr>
                <w:rFonts w:ascii="宋体" w:hAnsi="宋体" w:cs="宋体"/>
                <w:szCs w:val="21"/>
              </w:rPr>
            </w:r>
            <w:r/>
          </w:p>
        </w:tc>
        <w:tc>
          <w:tcPr>
            <w:tcW w:w="816" w:type="dxa"/>
            <w:vAlign w:val="center"/>
            <w:vMerge w:val="continue"/>
            <w:textDirection w:val="lrTb"/>
            <w:noWrap/>
          </w:tcPr>
          <w:p>
            <w:pPr>
              <w:pStyle w:val="1344"/>
              <w:keepLines w:val="0"/>
              <w:keepNext w:val="0"/>
              <w:pageBreakBefore w:val="0"/>
              <w:spacing w:line="480" w:lineRule="exact"/>
              <w:rPr>
                <w:rFonts w:ascii="宋体" w:hAnsi="宋体" w:cs="宋体"/>
                <w:szCs w:val="21"/>
              </w:rPr>
            </w:pP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节能产品：投标产品有《节能产品政府采购品目清单》内产品，并提供参与实施政府采购节能产品认证机构出具的认证证书得</w:t>
            </w:r>
            <w:r>
              <w:rPr>
                <w:rFonts w:ascii="宋体" w:hAnsi="宋体" w:cs="宋体"/>
                <w:szCs w:val="21"/>
              </w:rPr>
              <w:t xml:space="preserve">0.5</w:t>
            </w:r>
            <w:r>
              <w:rPr>
                <w:rFonts w:hint="eastAsia" w:ascii="宋体" w:hAnsi="宋体" w:cs="宋体"/>
                <w:szCs w:val="21"/>
              </w:rPr>
              <w:t xml:space="preserve">分。</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t xml:space="preserve">0.5</w:t>
            </w:r>
            <w:r>
              <w:rPr>
                <w:rFonts w:ascii="宋体" w:hAnsi="宋体" w:cs="宋体"/>
                <w:szCs w:val="21"/>
              </w:rPr>
            </w:r>
            <w:r/>
          </w:p>
        </w:tc>
      </w:tr>
    </w:tbl>
    <w:p>
      <w:pPr>
        <w:pStyle w:val="1344"/>
        <w:keepLines w:val="0"/>
        <w:keepNext w:val="0"/>
        <w:pageBreakBefore w:val="0"/>
        <w:spacing w:line="480" w:lineRule="exact"/>
        <w:rPr>
          <w:rFonts w:ascii="宋体" w:hAnsi="宋体" w:cs="宋体"/>
          <w:b/>
          <w:bCs/>
          <w:szCs w:val="21"/>
        </w:rPr>
      </w:pPr>
      <w:r>
        <w:rPr>
          <w:rFonts w:ascii="宋体" w:hAnsi="宋体" w:cs="宋体"/>
          <w:b/>
          <w:bCs/>
          <w:szCs w:val="21"/>
        </w:rPr>
      </w:r>
      <w:r/>
    </w:p>
    <w:p>
      <w:pPr>
        <w:pStyle w:val="1344"/>
        <w:keepLines w:val="0"/>
        <w:keepNext w:val="0"/>
        <w:pageBreakBefore w:val="0"/>
        <w:spacing w:line="480" w:lineRule="exact"/>
        <w:rPr>
          <w:rFonts w:ascii="宋体" w:hAnsi="宋体" w:cs="宋体"/>
          <w:b/>
          <w:bCs/>
          <w:szCs w:val="21"/>
        </w:rPr>
        <w:outlineLvl w:val="1"/>
      </w:pPr>
      <w:r/>
      <w:bookmarkStart w:id="236" w:name="_Toc9286"/>
      <w:r/>
      <w:bookmarkStart w:id="237" w:name="_Toc2096"/>
      <w:r>
        <w:rPr>
          <w:rFonts w:hint="eastAsia" w:ascii="宋体" w:hAnsi="宋体" w:cs="宋体"/>
          <w:b/>
          <w:bCs/>
          <w:szCs w:val="21"/>
        </w:rPr>
        <w:t xml:space="preserve">分包9</w:t>
      </w:r>
      <w:bookmarkEnd w:id="236"/>
      <w:r/>
      <w:bookmarkEnd w:id="237"/>
      <w:r>
        <w:rPr>
          <w:rFonts w:ascii="宋体" w:hAnsi="宋体" w:cs="宋体"/>
          <w:b/>
          <w:bCs/>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1608"/>
        <w:gridCol w:w="6713"/>
        <w:gridCol w:w="788"/>
      </w:tblGrid>
      <w:tr>
        <w:trPr/>
        <w:tc>
          <w:tcPr>
            <w:tcW w:w="378" w:type="dxa"/>
            <w:vAlign w:val="center"/>
            <w:textDirection w:val="lrTb"/>
            <w:noWrap/>
          </w:tcPr>
          <w:p>
            <w:pPr>
              <w:pStyle w:val="1344"/>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816" w:type="dxa"/>
            <w:vAlign w:val="center"/>
            <w:textDirection w:val="lrTb"/>
            <w:noWrap/>
          </w:tcPr>
          <w:p>
            <w:pPr>
              <w:pStyle w:val="1344"/>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评分因素</w:t>
            </w:r>
            <w:r>
              <w:rPr>
                <w:rFonts w:ascii="宋体" w:hAnsi="宋体" w:cs="宋体"/>
                <w:b/>
                <w:bCs/>
                <w:szCs w:val="21"/>
              </w:rPr>
            </w:r>
            <w:r/>
          </w:p>
        </w:tc>
        <w:tc>
          <w:tcPr>
            <w:tcW w:w="3406" w:type="dxa"/>
            <w:vAlign w:val="center"/>
            <w:textDirection w:val="lrTb"/>
            <w:noWrap/>
          </w:tcPr>
          <w:p>
            <w:pPr>
              <w:pStyle w:val="1344"/>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评审细则</w:t>
            </w:r>
            <w:r>
              <w:rPr>
                <w:rFonts w:ascii="宋体" w:hAnsi="宋体" w:cs="宋体"/>
                <w:b/>
                <w:bCs/>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分值</w:t>
            </w:r>
            <w:r>
              <w:rPr>
                <w:rFonts w:ascii="宋体" w:hAnsi="宋体" w:cs="宋体"/>
                <w:b/>
                <w:bCs/>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816"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投标报价</w:t>
            </w:r>
            <w:r>
              <w:rPr>
                <w:rFonts w:ascii="宋体" w:hAnsi="宋体" w:cs="宋体"/>
                <w:szCs w:val="21"/>
              </w:rPr>
            </w:r>
            <w:r/>
          </w:p>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（30分）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本次招标，以进入详细评审的各投标人评标价的最低值为A值，A值为价格分的满分，即30分。其他投标人的价格分统一按照以下公式计算：投标人评标价得分=（A／该投标人评标价）×30。</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30</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816"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技术及商务响应</w:t>
            </w:r>
            <w:r>
              <w:rPr>
                <w:rFonts w:ascii="宋体" w:hAnsi="宋体" w:cs="宋体"/>
                <w:szCs w:val="21"/>
              </w:rPr>
            </w:r>
            <w:r/>
          </w:p>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40</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设备技术参数及商务要求全部满足招标要求的得满分40分；</w:t>
            </w:r>
            <w:r>
              <w:rPr>
                <w:rFonts w:ascii="宋体" w:hAnsi="宋体" w:cs="宋体"/>
                <w:szCs w:val="21"/>
              </w:rPr>
            </w:r>
            <w:r/>
          </w:p>
          <w:p>
            <w:pPr>
              <w:pStyle w:val="1344"/>
              <w:keepLines w:val="0"/>
              <w:keepNext w:val="0"/>
              <w:pageBreakBefore w:val="0"/>
              <w:spacing w:line="480" w:lineRule="exact"/>
              <w:rPr>
                <w:rFonts w:ascii="宋体" w:hAnsi="宋体" w:cs="宋体"/>
                <w:b/>
                <w:bCs/>
                <w:szCs w:val="21"/>
              </w:rPr>
            </w:pPr>
            <w:r>
              <w:rPr>
                <w:rFonts w:hint="eastAsia" w:ascii="宋体" w:hAnsi="宋体" w:cs="宋体"/>
                <w:szCs w:val="21"/>
              </w:rPr>
              <w:t xml:space="preserve">在此基础上，</w:t>
            </w:r>
            <w:r>
              <w:rPr>
                <w:rFonts w:hint="eastAsia" w:ascii="宋体" w:hAnsi="宋体" w:cs="宋体"/>
                <w:b/>
                <w:bCs/>
                <w:szCs w:val="21"/>
              </w:rPr>
              <w:t xml:space="preserve">招标文件中标注“</w:t>
            </w:r>
            <w:r>
              <w:rPr>
                <w:rFonts w:hint="eastAsia" w:ascii="宋体" w:hAnsi="宋体" w:cs="宋体"/>
                <w:b/>
                <w:bCs/>
                <w:szCs w:val="21"/>
              </w:rPr>
              <w:t xml:space="preserve">★”的条款为实质性要求，有一项负偏离，作无效投标处理，</w:t>
            </w:r>
            <w:r>
              <w:rPr>
                <w:rFonts w:hint="eastAsia" w:ascii="宋体" w:hAnsi="宋体" w:cs="宋体"/>
                <w:szCs w:val="21"/>
              </w:rPr>
              <w:t xml:space="preserve">其他非重要技术条款每有一项负偏离扣1.38分，扣完为止。所有技术参数中，简单复制招标文件并标注响应或无偏离而又无相关完整技术支持资料证实，评审时评审委员会成员有权不予认可。对招标文件明确的需主观判定的功能性描述要求未做任何情况说明或响应承诺的，评标委员会有权予以否决或做负偏离处理。</w:t>
            </w:r>
            <w:r>
              <w:rPr>
                <w:rFonts w:ascii="宋体" w:hAnsi="宋体" w:cs="宋体"/>
                <w:b/>
                <w:bCs/>
                <w:szCs w:val="21"/>
              </w:rPr>
            </w:r>
            <w:r/>
          </w:p>
          <w:p>
            <w:pPr>
              <w:pStyle w:val="1344"/>
              <w:keepLines w:val="0"/>
              <w:keepNext w:val="0"/>
              <w:pageBreakBefore w:val="0"/>
              <w:spacing w:line="480" w:lineRule="exact"/>
              <w:rPr>
                <w:rFonts w:ascii="Calibri" w:hAnsi="Calibri"/>
                <w:szCs w:val="21"/>
              </w:rPr>
            </w:pPr>
            <w:r>
              <w:rPr>
                <w:rFonts w:hint="eastAsia" w:ascii="宋体" w:hAnsi="宋体" w:cs="宋体"/>
                <w:b/>
                <w:bCs/>
                <w:szCs w:val="21"/>
              </w:rPr>
              <w:t xml:space="preserve">注：</w:t>
            </w:r>
            <w:r>
              <w:rPr>
                <w:rFonts w:hint="eastAsia" w:ascii="宋体" w:hAnsi="宋体" w:cs="宋体"/>
                <w:b/>
                <w:szCs w:val="21"/>
              </w:rPr>
              <w:t xml:space="preserve">所有对招标文件标注</w:t>
            </w:r>
            <w:r>
              <w:rPr>
                <w:rFonts w:hint="eastAsia" w:ascii="宋体" w:hAnsi="宋体" w:cs="宋体"/>
                <w:b/>
                <w:bCs/>
                <w:szCs w:val="21"/>
              </w:rPr>
              <w:t xml:space="preserve">“</w:t>
            </w:r>
            <w:r>
              <w:rPr>
                <w:rFonts w:hint="eastAsia" w:ascii="宋体" w:hAnsi="宋体" w:cs="宋体"/>
                <w:b/>
                <w:bCs/>
                <w:szCs w:val="21"/>
              </w:rPr>
              <w:t xml:space="preserve">★”</w:t>
            </w:r>
            <w:r>
              <w:rPr>
                <w:rFonts w:hint="eastAsia" w:ascii="宋体" w:hAnsi="宋体" w:cs="宋体"/>
                <w:b/>
                <w:szCs w:val="21"/>
              </w:rPr>
              <w:t xml:space="preserve">的具体要求、参数、数值指标的响应，要求投标供应商必须在投标文件中提供技术支持资料（技术支持资料种类以文件第四章要求为准，如无特殊要求则为明确说明该技术内容的公开发行的手册、彩页、官网截图、功能页面截图、检测报告、白皮书等），</w:t>
            </w:r>
            <w:r>
              <w:rPr>
                <w:rFonts w:hint="eastAsia" w:ascii="宋体" w:hAnsi="宋体" w:cs="宋体"/>
                <w:b/>
                <w:bCs/>
                <w:szCs w:val="21"/>
              </w:rPr>
              <w:t xml:space="preserve">设备及明细配置清单</w:t>
            </w:r>
            <w:r>
              <w:rPr>
                <w:rFonts w:hint="eastAsia" w:ascii="宋体" w:hAnsi="宋体" w:cs="宋体"/>
                <w:b/>
                <w:bCs/>
                <w:szCs w:val="21"/>
                <w:lang w:eastAsia="zh-CN"/>
              </w:rPr>
              <w:t xml:space="preserve">或商务要求（质保期）中标注“★”</w:t>
            </w:r>
            <w:r>
              <w:rPr>
                <w:rFonts w:hint="eastAsia" w:ascii="宋体" w:hAnsi="宋体" w:cs="宋体"/>
                <w:b/>
                <w:szCs w:val="21"/>
              </w:rPr>
              <w:t xml:space="preserve">的无需提供。</w:t>
            </w:r>
            <w:r>
              <w:rPr>
                <w:rFonts w:ascii="Calibri" w:hAnsi="Calibri"/>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t xml:space="preserve">40</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3.1</w:t>
            </w:r>
            <w:r>
              <w:rPr>
                <w:rFonts w:ascii="宋体" w:hAnsi="宋体" w:cs="宋体"/>
                <w:szCs w:val="21"/>
              </w:rPr>
            </w:r>
            <w:r/>
          </w:p>
        </w:tc>
        <w:tc>
          <w:tcPr>
            <w:tcW w:w="816"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产品技术方案（</w:t>
            </w:r>
            <w:r>
              <w:rPr>
                <w:rFonts w:ascii="宋体" w:hAnsi="宋体" w:cs="宋体"/>
                <w:szCs w:val="21"/>
              </w:rPr>
              <w:t xml:space="preserve">5</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lang w:bidi="ar"/>
              </w:rPr>
            </w:pPr>
            <w:r>
              <w:rPr>
                <w:rFonts w:hint="eastAsia" w:ascii="宋体" w:hAnsi="宋体" w:cs="宋体"/>
                <w:szCs w:val="21"/>
                <w:lang w:bidi="ar"/>
              </w:rPr>
              <w:t xml:space="preserve">评委根据投标文件中</w:t>
            </w:r>
            <w:r>
              <w:rPr>
                <w:rFonts w:hint="eastAsia" w:ascii="宋体" w:hAnsi="宋体" w:cs="宋体"/>
                <w:szCs w:val="21"/>
              </w:rPr>
              <w:t xml:space="preserve">产品技术方案进行打分：</w:t>
            </w:r>
            <w:r>
              <w:rPr>
                <w:rFonts w:ascii="宋体" w:hAnsi="宋体" w:cs="宋体"/>
                <w:szCs w:val="21"/>
                <w:lang w:bidi="ar"/>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w:t>
            </w:r>
            <w:r>
              <w:rPr>
                <w:rFonts w:hint="eastAsia" w:ascii="宋体" w:hAnsi="宋体" w:cs="宋体"/>
                <w:szCs w:val="21"/>
                <w:lang w:bidi="ar"/>
              </w:rPr>
              <w:t xml:space="preserve">方案全面具体、内容详实，产品设计先进、数据准确的得</w:t>
            </w:r>
            <w:r>
              <w:rPr>
                <w:rFonts w:ascii="宋体" w:hAnsi="宋体" w:cs="宋体"/>
                <w:szCs w:val="21"/>
                <w:lang w:bidi="ar"/>
              </w:rPr>
              <w:t xml:space="preserve">5</w:t>
            </w:r>
            <w:r>
              <w:rPr>
                <w:rFonts w:hint="eastAsia" w:ascii="宋体" w:hAnsi="宋体" w:cs="宋体"/>
                <w:szCs w:val="21"/>
                <w:lang w:bidi="ar"/>
              </w:rPr>
              <w:t xml:space="preserve">分； </w:t>
            </w:r>
            <w:r>
              <w:rPr>
                <w:rFonts w:ascii="宋体" w:hAnsi="宋体" w:cs="宋体"/>
                <w:szCs w:val="21"/>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w:t>
            </w:r>
            <w:r>
              <w:rPr>
                <w:rFonts w:hint="eastAsia" w:ascii="宋体" w:hAnsi="宋体" w:cs="宋体"/>
                <w:szCs w:val="21"/>
                <w:lang w:bidi="ar"/>
              </w:rPr>
              <w:t xml:space="preserve">方案较为具体全面、内容完整，产品设计合理、数据准确的得3分；</w:t>
            </w:r>
            <w:r>
              <w:rPr>
                <w:rFonts w:ascii="宋体" w:hAnsi="宋体" w:cs="宋体"/>
                <w:szCs w:val="21"/>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w:t>
            </w:r>
            <w:r>
              <w:rPr>
                <w:rFonts w:hint="eastAsia" w:ascii="宋体" w:hAnsi="宋体" w:cs="宋体"/>
                <w:szCs w:val="21"/>
                <w:lang w:bidi="ar"/>
              </w:rPr>
              <w:t xml:space="preserve">方案不全面、内容空泛，不能完全满足文件产品性能要求的得</w:t>
            </w:r>
            <w:r>
              <w:rPr>
                <w:rFonts w:ascii="宋体" w:hAnsi="宋体" w:cs="宋体"/>
                <w:szCs w:val="21"/>
                <w:lang w:bidi="ar"/>
              </w:rPr>
              <w:t xml:space="preserve">1</w:t>
            </w:r>
            <w:r>
              <w:rPr>
                <w:rFonts w:hint="eastAsia" w:ascii="宋体" w:hAnsi="宋体" w:cs="宋体"/>
                <w:szCs w:val="21"/>
                <w:lang w:bidi="ar"/>
              </w:rPr>
              <w:t xml:space="preserve">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lang w:bidi="ar"/>
              </w:rPr>
              <w:t xml:space="preserve">未在投标文件中提供方案或者提供的方案不可行的得0分。</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t xml:space="preserve">5</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highlight w:val="cyan"/>
              </w:rPr>
            </w:pPr>
            <w:r>
              <w:rPr>
                <w:rFonts w:hint="eastAsia" w:ascii="宋体" w:hAnsi="宋体" w:cs="宋体"/>
                <w:szCs w:val="21"/>
              </w:rPr>
              <w:t xml:space="preserve">4.1</w:t>
            </w:r>
            <w:r>
              <w:rPr>
                <w:rFonts w:ascii="宋体" w:hAnsi="宋体" w:cs="宋体"/>
                <w:szCs w:val="21"/>
                <w:highlight w:val="cyan"/>
              </w:rPr>
            </w:r>
            <w:r/>
          </w:p>
        </w:tc>
        <w:tc>
          <w:tcPr>
            <w:tcW w:w="816" w:type="dxa"/>
            <w:vAlign w:val="center"/>
            <w:vMerge w:val="restart"/>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实施方案</w:t>
            </w:r>
            <w:r>
              <w:rPr>
                <w:rFonts w:ascii="宋体" w:hAnsi="宋体" w:cs="宋体"/>
                <w:szCs w:val="21"/>
              </w:rPr>
            </w:r>
            <w:r/>
          </w:p>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（8分）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lang w:bidi="ar"/>
              </w:rPr>
              <w:t xml:space="preserve">评委根据投标文件中实施方案的内容（</w:t>
            </w:r>
            <w:r>
              <w:rPr>
                <w:rFonts w:hint="eastAsia" w:ascii="宋体" w:hAnsi="宋体" w:cs="宋体"/>
                <w:szCs w:val="21"/>
              </w:rPr>
              <w:t xml:space="preserve">包括但不限于项目整体方案、改造方案、供货计划、质量保障措施、风险控制管理措施等</w:t>
            </w:r>
            <w:r>
              <w:rPr>
                <w:rFonts w:hint="eastAsia" w:ascii="宋体" w:hAnsi="宋体" w:cs="宋体"/>
                <w:szCs w:val="21"/>
                <w:lang w:bidi="ar"/>
              </w:rPr>
              <w:t xml:space="preserve">）进行打分：</w:t>
            </w:r>
            <w:r>
              <w:rPr>
                <w:rFonts w:ascii="宋体" w:hAnsi="宋体" w:cs="宋体"/>
                <w:szCs w:val="21"/>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lang w:bidi="ar"/>
              </w:rPr>
              <w:t xml:space="preserve">实施方案全面具体、内容详实，合理完善的得4分； </w:t>
            </w:r>
            <w:r>
              <w:rPr>
                <w:rFonts w:ascii="宋体" w:hAnsi="宋体" w:cs="宋体"/>
                <w:szCs w:val="21"/>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lang w:bidi="ar"/>
              </w:rPr>
              <w:t xml:space="preserve">实施方案较全面、内容完整，</w:t>
            </w:r>
            <w:r>
              <w:rPr>
                <w:rFonts w:hint="eastAsia" w:ascii="宋体" w:hAnsi="宋体" w:cs="宋体"/>
                <w:szCs w:val="21"/>
                <w:lang w:val="zh-TW" w:bidi="ar"/>
              </w:rPr>
              <w:t xml:space="preserve">尚有改进空间</w:t>
            </w:r>
            <w:r>
              <w:rPr>
                <w:rFonts w:hint="eastAsia" w:ascii="宋体" w:hAnsi="宋体" w:cs="宋体"/>
                <w:szCs w:val="21"/>
                <w:lang w:bidi="ar"/>
              </w:rPr>
              <w:t xml:space="preserve">的得2分；</w:t>
            </w:r>
            <w:r>
              <w:rPr>
                <w:rFonts w:ascii="宋体" w:hAnsi="宋体" w:cs="宋体"/>
                <w:szCs w:val="21"/>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lang w:bidi="ar"/>
              </w:rPr>
              <w:t xml:space="preserve">实施方案不全面、内容存在瑕疵，需进一步改进的得</w:t>
            </w:r>
            <w:r>
              <w:rPr>
                <w:rFonts w:ascii="宋体" w:hAnsi="宋体" w:cs="宋体"/>
                <w:szCs w:val="21"/>
                <w:lang w:bidi="ar"/>
              </w:rPr>
              <w:t xml:space="preserve">1</w:t>
            </w:r>
            <w:r>
              <w:rPr>
                <w:rFonts w:hint="eastAsia" w:ascii="宋体" w:hAnsi="宋体" w:cs="宋体"/>
                <w:szCs w:val="21"/>
                <w:lang w:bidi="ar"/>
              </w:rPr>
              <w:t xml:space="preserve">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lang w:bidi="ar"/>
              </w:rPr>
              <w:t xml:space="preserve">未在投标文件中提供实施方案或者提供的实施方案不可行的得0分。</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4.2</w:t>
            </w:r>
            <w:r>
              <w:rPr>
                <w:rFonts w:ascii="宋体" w:hAnsi="宋体" w:cs="宋体"/>
                <w:szCs w:val="21"/>
              </w:rPr>
            </w:r>
            <w:r/>
          </w:p>
        </w:tc>
        <w:tc>
          <w:tcPr>
            <w:tcW w:w="816" w:type="dxa"/>
            <w:vAlign w:val="center"/>
            <w:vMerge w:val="continue"/>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评委根据投标文件中项目技术支撑和进度计划（包括但不限于人员配置、产品质量控制、设备安装调试验收进度、安全保障措施等方面）进行打分：</w:t>
            </w:r>
            <w:r>
              <w:rPr>
                <w:rFonts w:ascii="宋体" w:hAnsi="宋体" w:cs="宋体"/>
                <w:szCs w:val="21"/>
              </w:rPr>
            </w:r>
            <w:r/>
          </w:p>
          <w:p>
            <w:pPr>
              <w:pStyle w:val="1344"/>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技术支撑配置优于采购人的要求，具有针对性，项目进度分析清晰具体的得4分；</w:t>
            </w:r>
            <w:r>
              <w:rPr>
                <w:rFonts w:ascii="宋体" w:hAnsi="宋体" w:cs="宋体"/>
                <w:szCs w:val="21"/>
              </w:rPr>
            </w:r>
            <w:r/>
          </w:p>
          <w:p>
            <w:pPr>
              <w:pStyle w:val="1344"/>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技术支撑配置满足采购人的要求，项目进度分析清晰的得2分；</w:t>
            </w:r>
            <w:r>
              <w:rPr>
                <w:rFonts w:ascii="宋体" w:hAnsi="宋体" w:cs="宋体"/>
                <w:szCs w:val="21"/>
              </w:rPr>
            </w:r>
            <w:r/>
          </w:p>
          <w:p>
            <w:pPr>
              <w:pStyle w:val="1344"/>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技术支撑配置不能完全满足采购人的要求，项目进度不清晰的得1分；</w:t>
            </w:r>
            <w:r>
              <w:rPr>
                <w:rFonts w:ascii="宋体" w:hAnsi="宋体" w:cs="宋体"/>
                <w:szCs w:val="21"/>
              </w:rPr>
            </w:r>
            <w:r/>
          </w:p>
          <w:p>
            <w:pPr>
              <w:pStyle w:val="1344"/>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不提供得0分。</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5.1</w:t>
            </w:r>
            <w:r>
              <w:rPr>
                <w:rFonts w:ascii="宋体" w:hAnsi="宋体" w:cs="宋体"/>
                <w:szCs w:val="21"/>
              </w:rPr>
            </w:r>
            <w:r/>
          </w:p>
        </w:tc>
        <w:tc>
          <w:tcPr>
            <w:tcW w:w="816" w:type="dxa"/>
            <w:vAlign w:val="center"/>
            <w:vMerge w:val="restart"/>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售后服务方案</w:t>
            </w:r>
            <w:r>
              <w:rPr>
                <w:rFonts w:ascii="宋体" w:hAnsi="宋体" w:cs="宋体"/>
                <w:szCs w:val="21"/>
              </w:rPr>
            </w:r>
            <w:r/>
          </w:p>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（8分）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评委根据投标文件中售后服务方案（包括但不限于服务体系、服务内容、故障解决方案、响应时间、专业技术人员保障及服务电话、备品备件保证、质保期外维保方案等方面）进行打分：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售后服务方案完整详细，有明确的售后服务机构及人员、售后服务承诺，售后服务响应及处理时间迅速，质保期内的售后服务范围、质保期满后的售后服务范围和收费情况清晰具体</w:t>
            </w:r>
            <w:r>
              <w:rPr>
                <w:rFonts w:hint="eastAsia" w:ascii="宋体" w:hAnsi="宋体" w:cs="宋体"/>
                <w:szCs w:val="21"/>
                <w:lang w:bidi="ar"/>
              </w:rPr>
              <w:t xml:space="preserve">的</w:t>
            </w:r>
            <w:r>
              <w:rPr>
                <w:rFonts w:hint="eastAsia" w:ascii="宋体" w:hAnsi="宋体" w:cs="宋体"/>
                <w:bCs/>
                <w:szCs w:val="21"/>
              </w:rPr>
              <w:t xml:space="preserve">得4</w:t>
            </w:r>
            <w:r>
              <w:rPr>
                <w:rFonts w:hint="eastAsia" w:ascii="宋体" w:hAnsi="宋体" w:cs="宋体"/>
                <w:szCs w:val="21"/>
              </w:rPr>
              <w:t xml:space="preserve">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售后服务方案完整，有明确的售后服务机构及人员、售后服务承诺，售后服务应答及处理时间，质保期内的售后服务范围、质保期满后的售后服务范围和收费情况较为具体</w:t>
            </w:r>
            <w:r>
              <w:rPr>
                <w:rFonts w:hint="eastAsia" w:ascii="宋体" w:hAnsi="宋体" w:cs="宋体"/>
                <w:szCs w:val="21"/>
                <w:lang w:bidi="ar"/>
              </w:rPr>
              <w:t xml:space="preserve">的</w:t>
            </w:r>
            <w:r>
              <w:rPr>
                <w:rFonts w:hint="eastAsia" w:ascii="宋体" w:hAnsi="宋体" w:cs="宋体"/>
                <w:bCs/>
                <w:szCs w:val="21"/>
              </w:rPr>
              <w:t xml:space="preserve">得2</w:t>
            </w:r>
            <w:r>
              <w:rPr>
                <w:rFonts w:hint="eastAsia" w:ascii="宋体" w:hAnsi="宋体" w:cs="宋体"/>
                <w:szCs w:val="21"/>
              </w:rPr>
              <w:t xml:space="preserve">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售后服务体系</w:t>
            </w:r>
            <w:r>
              <w:rPr>
                <w:rFonts w:hint="eastAsia" w:ascii="宋体" w:hAnsi="宋体" w:cs="宋体"/>
                <w:szCs w:val="21"/>
              </w:rPr>
              <w:t xml:space="preserve">薄弱</w:t>
            </w:r>
            <w:r>
              <w:rPr>
                <w:rFonts w:hint="eastAsia" w:ascii="宋体" w:hAnsi="宋体" w:cs="宋体"/>
                <w:szCs w:val="21"/>
              </w:rPr>
              <w:t xml:space="preserve">，售后服务方案各方面内容存在缺陷或不满足</w:t>
            </w:r>
            <w:r>
              <w:rPr>
                <w:rFonts w:hint="eastAsia" w:ascii="宋体" w:hAnsi="宋体" w:cs="宋体"/>
                <w:szCs w:val="21"/>
              </w:rPr>
              <w:t xml:space="preserve">，</w:t>
            </w:r>
            <w:r>
              <w:rPr>
                <w:rFonts w:hint="eastAsia" w:ascii="宋体" w:hAnsi="宋体" w:cs="宋体"/>
                <w:bCs/>
                <w:szCs w:val="21"/>
              </w:rPr>
              <w:t xml:space="preserve">得1</w:t>
            </w:r>
            <w:r>
              <w:rPr>
                <w:rFonts w:hint="eastAsia" w:ascii="宋体" w:hAnsi="宋体" w:cs="宋体"/>
                <w:szCs w:val="21"/>
              </w:rPr>
              <w:t xml:space="preserve">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不提供得0分。</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5.2</w:t>
            </w:r>
            <w:r>
              <w:rPr>
                <w:rFonts w:ascii="宋体" w:hAnsi="宋体" w:cs="宋体"/>
                <w:szCs w:val="21"/>
              </w:rPr>
            </w:r>
            <w:r/>
          </w:p>
        </w:tc>
        <w:tc>
          <w:tcPr>
            <w:tcW w:w="816" w:type="dxa"/>
            <w:vAlign w:val="center"/>
            <w:vMerge w:val="continue"/>
            <w:textDirection w:val="lrTb"/>
            <w:noWrap/>
          </w:tcPr>
          <w:p>
            <w:pPr>
              <w:pStyle w:val="1344"/>
              <w:keepLines w:val="0"/>
              <w:keepNext w:val="0"/>
              <w:pageBreakBefore w:val="0"/>
              <w:spacing w:line="480" w:lineRule="exact"/>
              <w:rPr>
                <w:rFonts w:ascii="宋体" w:hAnsi="宋体" w:cs="宋体"/>
                <w:szCs w:val="21"/>
              </w:rPr>
            </w:pP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评委根据投标文件中培训方案（包括但不限于培训目标、培训方法、培训内容、培训师资力量、培训时间、拟提供的培训资料等方面</w:t>
            </w:r>
            <w:r>
              <w:rPr>
                <w:rFonts w:hint="eastAsia" w:ascii="宋体" w:hAnsi="宋体" w:cs="宋体"/>
                <w:szCs w:val="21"/>
              </w:rPr>
              <w:t xml:space="preserve">）</w:t>
            </w:r>
            <w:r>
              <w:rPr>
                <w:rFonts w:hint="eastAsia" w:ascii="宋体" w:hAnsi="宋体" w:cs="宋体"/>
                <w:szCs w:val="21"/>
              </w:rPr>
              <w:t xml:space="preserve">进行打分：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培训方案内容全面，计划详细，安排合理的得4分；培训方案内容完整，计划明确，可行性较强的得2分；培训计划简单，形式单一，得1分；不提供得0分</w:t>
            </w:r>
            <w:r>
              <w:rPr>
                <w:rFonts w:hint="eastAsia" w:ascii="宋体" w:hAnsi="宋体" w:cs="宋体"/>
                <w:szCs w:val="21"/>
              </w:rPr>
              <w:t xml:space="preserve">。</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816" w:type="dxa"/>
            <w:vAlign w:val="center"/>
            <w:textDirection w:val="lrTb"/>
            <w:noWrap/>
          </w:tcPr>
          <w:p>
            <w:pPr>
              <w:pStyle w:val="1344"/>
              <w:ind w:right="-263"/>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业绩</w:t>
            </w:r>
            <w:r>
              <w:rPr>
                <w:rFonts w:ascii="宋体" w:hAnsi="宋体" w:cs="宋体"/>
                <w:szCs w:val="21"/>
              </w:rPr>
            </w:r>
            <w:r/>
          </w:p>
          <w:p>
            <w:pPr>
              <w:pStyle w:val="1344"/>
              <w:ind w:right="-263"/>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szCs w:val="21"/>
              </w:rPr>
            </w:pPr>
            <w:r>
              <w:rPr>
                <w:rFonts w:hint="eastAsia" w:ascii="宋体" w:hAnsi="宋体" w:cs="宋体"/>
                <w:szCs w:val="21"/>
              </w:rPr>
              <w:t xml:space="preserve">提供20</w:t>
            </w:r>
            <w:r>
              <w:rPr>
                <w:rFonts w:ascii="宋体" w:hAnsi="宋体" w:cs="宋体"/>
                <w:szCs w:val="21"/>
              </w:rPr>
              <w:t xml:space="preserve">2</w:t>
            </w:r>
            <w:r>
              <w:rPr>
                <w:rFonts w:hint="eastAsia" w:ascii="宋体" w:hAnsi="宋体" w:cs="宋体"/>
                <w:szCs w:val="21"/>
              </w:rPr>
              <w:t xml:space="preserve">3年</w:t>
            </w:r>
            <w:r>
              <w:rPr>
                <w:rFonts w:ascii="宋体" w:hAnsi="宋体" w:cs="宋体"/>
                <w:szCs w:val="21"/>
              </w:rPr>
              <w:t xml:space="preserve">1</w:t>
            </w:r>
            <w:r>
              <w:rPr>
                <w:rFonts w:hint="eastAsia" w:ascii="宋体" w:hAnsi="宋体" w:cs="宋体"/>
                <w:szCs w:val="21"/>
              </w:rPr>
              <w:t xml:space="preserve">月1日以来，</w:t>
            </w:r>
            <w:r>
              <w:rPr>
                <w:rFonts w:hint="eastAsia" w:ascii="宋体" w:hAnsi="宋体" w:cs="宋体"/>
                <w:b/>
                <w:bCs/>
                <w:szCs w:val="21"/>
              </w:rPr>
              <w:t xml:space="preserve">投标人具有与所投核心产品同品牌</w:t>
            </w:r>
            <w:r>
              <w:rPr>
                <w:rFonts w:hint="eastAsia" w:ascii="宋体" w:hAnsi="宋体" w:cs="宋体"/>
                <w:b/>
                <w:bCs/>
                <w:szCs w:val="21"/>
              </w:rPr>
              <w:t xml:space="preserve">同型号产品或与所投核心产品同品牌且技术指标不低于此次招标技术要求的产品</w:t>
            </w:r>
            <w:r>
              <w:rPr>
                <w:rFonts w:hint="eastAsia" w:ascii="宋体" w:hAnsi="宋体" w:cs="宋体"/>
                <w:szCs w:val="21"/>
              </w:rPr>
              <w:t xml:space="preserve">在国内的销售业绩合同。每提供一份销售合同得</w:t>
            </w:r>
            <w:r>
              <w:rPr>
                <w:rFonts w:ascii="宋体" w:hAnsi="宋体" w:cs="宋体"/>
                <w:szCs w:val="21"/>
              </w:rPr>
              <w:t xml:space="preserve">4</w:t>
            </w:r>
            <w:r>
              <w:rPr>
                <w:rFonts w:hint="eastAsia" w:ascii="宋体" w:hAnsi="宋体" w:cs="宋体"/>
                <w:szCs w:val="21"/>
              </w:rPr>
              <w:t xml:space="preserve">分，本项最高</w:t>
            </w:r>
            <w:r>
              <w:rPr>
                <w:rFonts w:ascii="宋体" w:hAnsi="宋体" w:cs="宋体"/>
                <w:szCs w:val="21"/>
              </w:rPr>
              <w:t xml:space="preserve">8</w:t>
            </w:r>
            <w:r>
              <w:rPr>
                <w:rFonts w:hint="eastAsia" w:ascii="宋体" w:hAnsi="宋体" w:cs="宋体"/>
                <w:szCs w:val="21"/>
              </w:rPr>
              <w:t xml:space="preserve">分。</w:t>
            </w:r>
            <w:r>
              <w:rPr>
                <w:rFonts w:hint="eastAsia" w:ascii="宋体" w:hAnsi="宋体" w:cs="宋体"/>
                <w:b/>
                <w:bCs/>
                <w:szCs w:val="21"/>
              </w:rPr>
              <w:t xml:space="preserve">（需同时提供合同及合同对应发票复印件，发票金额可以是部分或全部金额，未提供发票或合同或合同无法反应上述信息的均不得分，原件备查）</w:t>
            </w:r>
            <w:r>
              <w:rPr>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t xml:space="preserve">8</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7.1</w:t>
            </w:r>
            <w:r>
              <w:rPr>
                <w:rFonts w:ascii="宋体" w:hAnsi="宋体" w:cs="宋体"/>
                <w:szCs w:val="21"/>
              </w:rPr>
            </w:r>
            <w:r/>
          </w:p>
        </w:tc>
        <w:tc>
          <w:tcPr>
            <w:tcW w:w="816" w:type="dxa"/>
            <w:vAlign w:val="center"/>
            <w:vMerge w:val="restart"/>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国家政策导向（</w:t>
            </w:r>
            <w:r>
              <w:rPr>
                <w:rFonts w:ascii="宋体" w:hAnsi="宋体" w:cs="宋体"/>
                <w:szCs w:val="21"/>
              </w:rPr>
              <w:t xml:space="preserve">1</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bCs/>
                <w:szCs w:val="21"/>
              </w:rPr>
              <w:t xml:space="preserve">环境标志产品：</w:t>
            </w:r>
            <w:r>
              <w:rPr>
                <w:rFonts w:hint="eastAsia" w:ascii="宋体" w:hAnsi="宋体" w:cs="宋体"/>
                <w:szCs w:val="21"/>
              </w:rPr>
              <w:t xml:space="preserve">投标产品有《环境标志产品政府采购品目清单》内产品，并提供参与实施政府采购环境标志产品认证机构出具的认证证书得</w:t>
            </w:r>
            <w:r>
              <w:rPr>
                <w:rFonts w:ascii="宋体" w:hAnsi="宋体" w:cs="宋体"/>
                <w:szCs w:val="21"/>
              </w:rPr>
              <w:t xml:space="preserve">0.5</w:t>
            </w:r>
            <w:r>
              <w:rPr>
                <w:rFonts w:hint="eastAsia" w:ascii="宋体" w:hAnsi="宋体" w:cs="宋体"/>
                <w:szCs w:val="21"/>
              </w:rPr>
              <w:t xml:space="preserve">分。</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t xml:space="preserve">0.5</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7.2</w:t>
            </w:r>
            <w:r>
              <w:rPr>
                <w:rFonts w:ascii="宋体" w:hAnsi="宋体" w:cs="宋体"/>
                <w:szCs w:val="21"/>
              </w:rPr>
            </w:r>
            <w:r/>
          </w:p>
        </w:tc>
        <w:tc>
          <w:tcPr>
            <w:tcW w:w="816" w:type="dxa"/>
            <w:vAlign w:val="center"/>
            <w:vMerge w:val="continue"/>
            <w:textDirection w:val="lrTb"/>
            <w:noWrap/>
          </w:tcPr>
          <w:p>
            <w:pPr>
              <w:pStyle w:val="1344"/>
              <w:keepLines w:val="0"/>
              <w:keepNext w:val="0"/>
              <w:pageBreakBefore w:val="0"/>
              <w:spacing w:line="480" w:lineRule="exact"/>
              <w:rPr>
                <w:rFonts w:ascii="宋体" w:hAnsi="宋体" w:cs="宋体"/>
                <w:szCs w:val="21"/>
              </w:rPr>
            </w:pP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节能产品：投标产品有《节能产品政府采购品目清单》内产品，并提供参与实施政府采购节能产品认证机构出具的认证证书得</w:t>
            </w:r>
            <w:r>
              <w:rPr>
                <w:rFonts w:ascii="宋体" w:hAnsi="宋体" w:cs="宋体"/>
                <w:szCs w:val="21"/>
              </w:rPr>
              <w:t xml:space="preserve">0.5</w:t>
            </w:r>
            <w:r>
              <w:rPr>
                <w:rFonts w:hint="eastAsia" w:ascii="宋体" w:hAnsi="宋体" w:cs="宋体"/>
                <w:szCs w:val="21"/>
              </w:rPr>
              <w:t xml:space="preserve">分。</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t xml:space="preserve">0.5</w:t>
            </w:r>
            <w:r>
              <w:rPr>
                <w:rFonts w:ascii="宋体" w:hAnsi="宋体" w:cs="宋体"/>
                <w:szCs w:val="21"/>
              </w:rPr>
            </w:r>
            <w:r/>
          </w:p>
        </w:tc>
      </w:tr>
    </w:tbl>
    <w:p>
      <w:pPr>
        <w:pStyle w:val="1344"/>
        <w:keepLines w:val="0"/>
        <w:keepNext w:val="0"/>
        <w:pageBreakBefore w:val="0"/>
        <w:spacing w:line="480" w:lineRule="exact"/>
        <w:rPr>
          <w:rFonts w:ascii="宋体" w:hAnsi="宋体" w:cs="宋体"/>
          <w:b/>
          <w:bCs/>
          <w:szCs w:val="21"/>
        </w:rPr>
      </w:pPr>
      <w:r>
        <w:rPr>
          <w:rFonts w:ascii="宋体" w:hAnsi="宋体" w:cs="宋体"/>
          <w:b/>
          <w:bCs/>
          <w:szCs w:val="21"/>
        </w:rPr>
      </w:r>
      <w:r/>
    </w:p>
    <w:p>
      <w:pPr>
        <w:pStyle w:val="1344"/>
        <w:keepLines w:val="0"/>
        <w:keepNext w:val="0"/>
        <w:pageBreakBefore w:val="0"/>
        <w:spacing w:line="480" w:lineRule="exact"/>
        <w:rPr>
          <w:rFonts w:ascii="宋体" w:hAnsi="宋体" w:cs="宋体"/>
          <w:b/>
          <w:bCs/>
          <w:szCs w:val="21"/>
        </w:rPr>
        <w:outlineLvl w:val="1"/>
      </w:pPr>
      <w:r/>
      <w:bookmarkStart w:id="238" w:name="_Toc24811"/>
      <w:r/>
      <w:bookmarkStart w:id="239" w:name="_Toc4571"/>
      <w:r>
        <w:rPr>
          <w:rFonts w:hint="eastAsia" w:ascii="宋体" w:hAnsi="宋体" w:cs="宋体"/>
          <w:b/>
          <w:bCs/>
          <w:szCs w:val="21"/>
        </w:rPr>
        <w:t xml:space="preserve">分包10</w:t>
      </w:r>
      <w:bookmarkEnd w:id="238"/>
      <w:r/>
      <w:bookmarkEnd w:id="239"/>
      <w:r>
        <w:rPr>
          <w:rFonts w:ascii="宋体" w:hAnsi="宋体" w:cs="宋体"/>
          <w:b/>
          <w:bCs/>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1608"/>
        <w:gridCol w:w="6713"/>
        <w:gridCol w:w="788"/>
      </w:tblGrid>
      <w:tr>
        <w:trPr/>
        <w:tc>
          <w:tcPr>
            <w:tcW w:w="378" w:type="dxa"/>
            <w:vAlign w:val="center"/>
            <w:textDirection w:val="lrTb"/>
            <w:noWrap/>
          </w:tcPr>
          <w:p>
            <w:pPr>
              <w:pStyle w:val="1344"/>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816" w:type="dxa"/>
            <w:vAlign w:val="center"/>
            <w:textDirection w:val="lrTb"/>
            <w:noWrap/>
          </w:tcPr>
          <w:p>
            <w:pPr>
              <w:pStyle w:val="1344"/>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评分因素</w:t>
            </w:r>
            <w:r>
              <w:rPr>
                <w:rFonts w:ascii="宋体" w:hAnsi="宋体" w:cs="宋体"/>
                <w:b/>
                <w:bCs/>
                <w:szCs w:val="21"/>
              </w:rPr>
            </w:r>
            <w:r/>
          </w:p>
        </w:tc>
        <w:tc>
          <w:tcPr>
            <w:tcW w:w="3406" w:type="dxa"/>
            <w:vAlign w:val="center"/>
            <w:textDirection w:val="lrTb"/>
            <w:noWrap/>
          </w:tcPr>
          <w:p>
            <w:pPr>
              <w:pStyle w:val="1344"/>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评审细则</w:t>
            </w:r>
            <w:r>
              <w:rPr>
                <w:rFonts w:ascii="宋体" w:hAnsi="宋体" w:cs="宋体"/>
                <w:b/>
                <w:bCs/>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b/>
                <w:bCs/>
                <w:szCs w:val="21"/>
              </w:rPr>
            </w:pPr>
            <w:r>
              <w:rPr>
                <w:rFonts w:hint="eastAsia" w:ascii="宋体" w:hAnsi="宋体" w:cs="宋体"/>
                <w:b/>
                <w:bCs/>
                <w:szCs w:val="21"/>
              </w:rPr>
              <w:t xml:space="preserve">分值</w:t>
            </w:r>
            <w:r>
              <w:rPr>
                <w:rFonts w:ascii="宋体" w:hAnsi="宋体" w:cs="宋体"/>
                <w:b/>
                <w:bCs/>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816"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投标报价</w:t>
            </w:r>
            <w:r>
              <w:rPr>
                <w:rFonts w:ascii="宋体" w:hAnsi="宋体" w:cs="宋体"/>
                <w:szCs w:val="21"/>
              </w:rPr>
            </w:r>
            <w:r/>
          </w:p>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（30分）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本次招标，以进入详细评审的各投标人评标价的最低值为A值，A值为价格分的满分，即30分。其他投标人的价格分统一按照以下公式计算：投标人评标价得分=（A／该投标人评标价）×30。</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30</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816"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技术及商务响应</w:t>
            </w:r>
            <w:r>
              <w:rPr>
                <w:rFonts w:ascii="宋体" w:hAnsi="宋体" w:cs="宋体"/>
                <w:szCs w:val="21"/>
              </w:rPr>
            </w:r>
            <w:r/>
          </w:p>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40</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设备技术参数及商务要求全部满足招标要求的得满分40分；</w:t>
            </w:r>
            <w:r>
              <w:rPr>
                <w:rFonts w:ascii="宋体" w:hAnsi="宋体" w:cs="宋体"/>
                <w:szCs w:val="21"/>
              </w:rPr>
            </w:r>
            <w:r/>
          </w:p>
          <w:p>
            <w:pPr>
              <w:pStyle w:val="1344"/>
              <w:keepLines w:val="0"/>
              <w:keepNext w:val="0"/>
              <w:pageBreakBefore w:val="0"/>
              <w:spacing w:line="480" w:lineRule="exact"/>
              <w:rPr>
                <w:rFonts w:ascii="宋体" w:hAnsi="宋体" w:cs="宋体"/>
                <w:b/>
                <w:bCs/>
                <w:szCs w:val="21"/>
              </w:rPr>
            </w:pPr>
            <w:r>
              <w:rPr>
                <w:rFonts w:hint="eastAsia" w:ascii="宋体" w:hAnsi="宋体" w:cs="宋体"/>
                <w:szCs w:val="21"/>
              </w:rPr>
              <w:t xml:space="preserve">在此基础上，</w:t>
            </w:r>
            <w:r>
              <w:rPr>
                <w:rFonts w:hint="eastAsia" w:ascii="宋体" w:hAnsi="宋体" w:cs="宋体"/>
                <w:b/>
                <w:bCs/>
                <w:szCs w:val="21"/>
              </w:rPr>
              <w:t xml:space="preserve">招标文件中标注“</w:t>
            </w:r>
            <w:r>
              <w:rPr>
                <w:rFonts w:hint="eastAsia" w:ascii="宋体" w:hAnsi="宋体" w:cs="宋体"/>
                <w:b/>
                <w:bCs/>
                <w:szCs w:val="21"/>
              </w:rPr>
              <w:t xml:space="preserve">★”的条款为实质性要求，有一项负偏离，作无效投标处理，</w:t>
            </w:r>
            <w:r>
              <w:rPr>
                <w:rFonts w:hint="eastAsia" w:ascii="宋体" w:hAnsi="宋体" w:cs="宋体"/>
                <w:szCs w:val="21"/>
              </w:rPr>
              <w:t xml:space="preserve">其他非重要技术条款每有一项负偏离扣1.74分，扣完为止。所有技术参数中，简单复制招标文件并标注响应或无偏离而又无相关完整技术支持资料证实，评审时评审委员会成员有权不予认可。对招标文件明确的需主观判定的功能性描述要求未做任何情况说明或响应承诺的，评标委员会有权予以否决或做负偏离处理。</w:t>
            </w:r>
            <w:r>
              <w:rPr>
                <w:rFonts w:ascii="宋体" w:hAnsi="宋体" w:cs="宋体"/>
                <w:b/>
                <w:bCs/>
                <w:szCs w:val="21"/>
              </w:rPr>
            </w:r>
            <w:r/>
          </w:p>
          <w:p>
            <w:pPr>
              <w:pStyle w:val="1344"/>
              <w:keepLines w:val="0"/>
              <w:keepNext w:val="0"/>
              <w:pageBreakBefore w:val="0"/>
              <w:spacing w:line="480" w:lineRule="exact"/>
              <w:rPr>
                <w:rFonts w:ascii="Calibri" w:hAnsi="Calibri"/>
                <w:szCs w:val="21"/>
              </w:rPr>
            </w:pPr>
            <w:r>
              <w:rPr>
                <w:rFonts w:hint="eastAsia" w:ascii="宋体" w:hAnsi="宋体" w:cs="宋体"/>
                <w:b/>
                <w:bCs/>
                <w:szCs w:val="21"/>
              </w:rPr>
              <w:t xml:space="preserve">注：</w:t>
            </w:r>
            <w:r>
              <w:rPr>
                <w:rFonts w:hint="eastAsia" w:ascii="宋体" w:hAnsi="宋体" w:cs="宋体"/>
                <w:b/>
                <w:szCs w:val="21"/>
              </w:rPr>
              <w:t xml:space="preserve">所有对招标文件标注</w:t>
            </w:r>
            <w:r>
              <w:rPr>
                <w:rFonts w:hint="eastAsia" w:ascii="宋体" w:hAnsi="宋体" w:cs="宋体"/>
                <w:b/>
                <w:bCs/>
                <w:szCs w:val="21"/>
              </w:rPr>
              <w:t xml:space="preserve">“</w:t>
            </w:r>
            <w:r>
              <w:rPr>
                <w:rFonts w:hint="eastAsia" w:ascii="宋体" w:hAnsi="宋体" w:cs="宋体"/>
                <w:b/>
                <w:bCs/>
                <w:szCs w:val="21"/>
              </w:rPr>
              <w:t xml:space="preserve">★”</w:t>
            </w:r>
            <w:r>
              <w:rPr>
                <w:rFonts w:hint="eastAsia" w:ascii="宋体" w:hAnsi="宋体" w:cs="宋体"/>
                <w:b/>
                <w:szCs w:val="21"/>
              </w:rPr>
              <w:t xml:space="preserve">的具体要求、参数、数值指标的响应，要求投标供应商必须在投标文件中提供技术支持资料（技术支持资料种类以文件第四章要求为准，如无特殊要求则为明确说明该技术内容的公开发行的手册、彩页、官网截图、功能页面截图、检测报告、白皮书等），</w:t>
            </w:r>
            <w:r>
              <w:rPr>
                <w:rFonts w:hint="eastAsia" w:ascii="宋体" w:hAnsi="宋体" w:cs="宋体"/>
                <w:b/>
                <w:bCs/>
                <w:szCs w:val="21"/>
              </w:rPr>
              <w:t xml:space="preserve">设备及明细配置清单</w:t>
            </w:r>
            <w:r>
              <w:rPr>
                <w:rFonts w:hint="eastAsia" w:ascii="宋体" w:hAnsi="宋体" w:cs="宋体"/>
                <w:b/>
                <w:bCs/>
                <w:szCs w:val="21"/>
                <w:lang w:eastAsia="zh-CN"/>
              </w:rPr>
              <w:t xml:space="preserve">或商务要求（质保期）中标注“★”</w:t>
            </w:r>
            <w:r>
              <w:rPr>
                <w:rFonts w:hint="eastAsia" w:ascii="宋体" w:hAnsi="宋体" w:cs="宋体"/>
                <w:b/>
                <w:szCs w:val="21"/>
              </w:rPr>
              <w:t xml:space="preserve">的无需提供。</w:t>
            </w:r>
            <w:r>
              <w:rPr>
                <w:rFonts w:ascii="Calibri" w:hAnsi="Calibri"/>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t xml:space="preserve">40</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3.1</w:t>
            </w:r>
            <w:r>
              <w:rPr>
                <w:rFonts w:ascii="宋体" w:hAnsi="宋体" w:cs="宋体"/>
                <w:szCs w:val="21"/>
              </w:rPr>
            </w:r>
            <w:r/>
          </w:p>
        </w:tc>
        <w:tc>
          <w:tcPr>
            <w:tcW w:w="816"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产品技术方案（</w:t>
            </w:r>
            <w:r>
              <w:rPr>
                <w:rFonts w:ascii="宋体" w:hAnsi="宋体" w:cs="宋体"/>
                <w:szCs w:val="21"/>
              </w:rPr>
              <w:t xml:space="preserve">5</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lang w:bidi="ar"/>
              </w:rPr>
            </w:pPr>
            <w:r>
              <w:rPr>
                <w:rFonts w:hint="eastAsia" w:ascii="宋体" w:hAnsi="宋体" w:cs="宋体"/>
                <w:szCs w:val="21"/>
                <w:lang w:bidi="ar"/>
              </w:rPr>
              <w:t xml:space="preserve">评委根据投标文件中</w:t>
            </w:r>
            <w:r>
              <w:rPr>
                <w:rFonts w:hint="eastAsia" w:ascii="宋体" w:hAnsi="宋体" w:cs="宋体"/>
                <w:szCs w:val="21"/>
              </w:rPr>
              <w:t xml:space="preserve">产品技术方案进行打分：</w:t>
            </w:r>
            <w:r>
              <w:rPr>
                <w:rFonts w:ascii="宋体" w:hAnsi="宋体" w:cs="宋体"/>
                <w:szCs w:val="21"/>
                <w:lang w:bidi="ar"/>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w:t>
            </w:r>
            <w:r>
              <w:rPr>
                <w:rFonts w:hint="eastAsia" w:ascii="宋体" w:hAnsi="宋体" w:cs="宋体"/>
                <w:szCs w:val="21"/>
                <w:lang w:bidi="ar"/>
              </w:rPr>
              <w:t xml:space="preserve">方案全面具体、内容详实，产品设计先进、数据准确的得</w:t>
            </w:r>
            <w:r>
              <w:rPr>
                <w:rFonts w:ascii="宋体" w:hAnsi="宋体" w:cs="宋体"/>
                <w:szCs w:val="21"/>
                <w:lang w:bidi="ar"/>
              </w:rPr>
              <w:t xml:space="preserve">5</w:t>
            </w:r>
            <w:r>
              <w:rPr>
                <w:rFonts w:hint="eastAsia" w:ascii="宋体" w:hAnsi="宋体" w:cs="宋体"/>
                <w:szCs w:val="21"/>
                <w:lang w:bidi="ar"/>
              </w:rPr>
              <w:t xml:space="preserve">分； </w:t>
            </w:r>
            <w:r>
              <w:rPr>
                <w:rFonts w:ascii="宋体" w:hAnsi="宋体" w:cs="宋体"/>
                <w:szCs w:val="21"/>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w:t>
            </w:r>
            <w:r>
              <w:rPr>
                <w:rFonts w:hint="eastAsia" w:ascii="宋体" w:hAnsi="宋体" w:cs="宋体"/>
                <w:szCs w:val="21"/>
                <w:lang w:bidi="ar"/>
              </w:rPr>
              <w:t xml:space="preserve">方案较为具体全面、内容完整，产品设计合理、数据准确的得3分；</w:t>
            </w:r>
            <w:r>
              <w:rPr>
                <w:rFonts w:ascii="宋体" w:hAnsi="宋体" w:cs="宋体"/>
                <w:szCs w:val="21"/>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w:t>
            </w:r>
            <w:r>
              <w:rPr>
                <w:rFonts w:hint="eastAsia" w:ascii="宋体" w:hAnsi="宋体" w:cs="宋体"/>
                <w:szCs w:val="21"/>
                <w:lang w:bidi="ar"/>
              </w:rPr>
              <w:t xml:space="preserve">方案不全面、内容空泛，不能完全满足文件产品性能要求的得</w:t>
            </w:r>
            <w:r>
              <w:rPr>
                <w:rFonts w:ascii="宋体" w:hAnsi="宋体" w:cs="宋体"/>
                <w:szCs w:val="21"/>
                <w:lang w:bidi="ar"/>
              </w:rPr>
              <w:t xml:space="preserve">1</w:t>
            </w:r>
            <w:r>
              <w:rPr>
                <w:rFonts w:hint="eastAsia" w:ascii="宋体" w:hAnsi="宋体" w:cs="宋体"/>
                <w:szCs w:val="21"/>
                <w:lang w:bidi="ar"/>
              </w:rPr>
              <w:t xml:space="preserve">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lang w:bidi="ar"/>
              </w:rPr>
              <w:t xml:space="preserve">未在投标文件中提供方案或者提供的方案不可行的得0分。</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t xml:space="preserve">5</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4.1</w:t>
            </w:r>
            <w:r>
              <w:rPr>
                <w:rFonts w:ascii="宋体" w:hAnsi="宋体" w:cs="宋体"/>
                <w:szCs w:val="21"/>
              </w:rPr>
            </w:r>
            <w:r/>
          </w:p>
        </w:tc>
        <w:tc>
          <w:tcPr>
            <w:tcW w:w="816" w:type="dxa"/>
            <w:vAlign w:val="center"/>
            <w:vMerge w:val="restart"/>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实施方案</w:t>
            </w:r>
            <w:r>
              <w:rPr>
                <w:rFonts w:ascii="宋体" w:hAnsi="宋体" w:cs="宋体"/>
                <w:szCs w:val="21"/>
              </w:rPr>
            </w:r>
            <w:r/>
          </w:p>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（8分）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lang w:bidi="ar"/>
              </w:rPr>
              <w:t xml:space="preserve">评委根据投标文件中实施方案的内容（</w:t>
            </w:r>
            <w:r>
              <w:rPr>
                <w:rFonts w:hint="eastAsia" w:ascii="宋体" w:hAnsi="宋体" w:cs="宋体"/>
                <w:szCs w:val="21"/>
              </w:rPr>
              <w:t xml:space="preserve">包括但不限于项目整体方案、改造方案、供货计划、质量保障措施、风险控制管理措施等</w:t>
            </w:r>
            <w:r>
              <w:rPr>
                <w:rFonts w:hint="eastAsia" w:ascii="宋体" w:hAnsi="宋体" w:cs="宋体"/>
                <w:szCs w:val="21"/>
                <w:lang w:bidi="ar"/>
              </w:rPr>
              <w:t xml:space="preserve">）进行打分：</w:t>
            </w:r>
            <w:r>
              <w:rPr>
                <w:rFonts w:ascii="宋体" w:hAnsi="宋体" w:cs="宋体"/>
                <w:szCs w:val="21"/>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lang w:bidi="ar"/>
              </w:rPr>
              <w:t xml:space="preserve">实施方案全面具体、内容详实，合理完善的得4分； </w:t>
            </w:r>
            <w:r>
              <w:rPr>
                <w:rFonts w:ascii="宋体" w:hAnsi="宋体" w:cs="宋体"/>
                <w:szCs w:val="21"/>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lang w:bidi="ar"/>
              </w:rPr>
              <w:t xml:space="preserve">实施方案较全面、内容完整，</w:t>
            </w:r>
            <w:r>
              <w:rPr>
                <w:rFonts w:hint="eastAsia" w:ascii="宋体" w:hAnsi="宋体" w:cs="宋体"/>
                <w:szCs w:val="21"/>
                <w:lang w:val="zh-TW" w:bidi="ar"/>
              </w:rPr>
              <w:t xml:space="preserve">尚有改进空间</w:t>
            </w:r>
            <w:r>
              <w:rPr>
                <w:rFonts w:hint="eastAsia" w:ascii="宋体" w:hAnsi="宋体" w:cs="宋体"/>
                <w:szCs w:val="21"/>
                <w:lang w:bidi="ar"/>
              </w:rPr>
              <w:t xml:space="preserve">的得2分；</w:t>
            </w:r>
            <w:r>
              <w:rPr>
                <w:rFonts w:ascii="宋体" w:hAnsi="宋体" w:cs="宋体"/>
                <w:szCs w:val="21"/>
              </w:rPr>
            </w:r>
            <w:r/>
          </w:p>
          <w:p>
            <w:pPr>
              <w:pStyle w:val="1344"/>
              <w:keepLines w:val="0"/>
              <w:keepNext w:val="0"/>
              <w:pageBreakBefore w:val="0"/>
              <w:spacing w:line="480" w:lineRule="exact"/>
              <w:widowControl/>
              <w:rPr>
                <w:rFonts w:ascii="宋体" w:hAnsi="宋体" w:cs="宋体"/>
                <w:szCs w:val="21"/>
              </w:rPr>
            </w:pPr>
            <w:r>
              <w:rPr>
                <w:rFonts w:hint="eastAsia" w:ascii="宋体" w:hAnsi="宋体" w:cs="宋体"/>
                <w:szCs w:val="21"/>
                <w:lang w:bidi="ar"/>
              </w:rPr>
              <w:t xml:space="preserve">实施方案不全面、内容存在瑕疵，需进一步改进的得</w:t>
            </w:r>
            <w:r>
              <w:rPr>
                <w:rFonts w:ascii="宋体" w:hAnsi="宋体" w:cs="宋体"/>
                <w:szCs w:val="21"/>
                <w:lang w:bidi="ar"/>
              </w:rPr>
              <w:t xml:space="preserve">1</w:t>
            </w:r>
            <w:r>
              <w:rPr>
                <w:rFonts w:hint="eastAsia" w:ascii="宋体" w:hAnsi="宋体" w:cs="宋体"/>
                <w:szCs w:val="21"/>
                <w:lang w:bidi="ar"/>
              </w:rPr>
              <w:t xml:space="preserve">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lang w:bidi="ar"/>
              </w:rPr>
              <w:t xml:space="preserve">未在投标文件中提供实施方案或者提供的实施方案不可行的得0分。</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4.2</w:t>
            </w:r>
            <w:r>
              <w:rPr>
                <w:rFonts w:ascii="宋体" w:hAnsi="宋体" w:cs="宋体"/>
                <w:szCs w:val="21"/>
              </w:rPr>
            </w:r>
            <w:r/>
          </w:p>
        </w:tc>
        <w:tc>
          <w:tcPr>
            <w:tcW w:w="816" w:type="dxa"/>
            <w:vAlign w:val="center"/>
            <w:vMerge w:val="continue"/>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评委根据投标文件中项目技术支撑和进度计划（包括但不限于人员配置、产品质量控制、设备安装调试验收进度、安全保障措施等方面）进行打分：</w:t>
            </w:r>
            <w:r>
              <w:rPr>
                <w:rFonts w:ascii="宋体" w:hAnsi="宋体" w:cs="宋体"/>
                <w:szCs w:val="21"/>
              </w:rPr>
            </w:r>
            <w:r/>
          </w:p>
          <w:p>
            <w:pPr>
              <w:pStyle w:val="1344"/>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技术支撑配置优于采购人的要求，具有针对性，项目进度分析清晰具体的得4分；</w:t>
            </w:r>
            <w:r>
              <w:rPr>
                <w:rFonts w:ascii="宋体" w:hAnsi="宋体" w:cs="宋体"/>
                <w:szCs w:val="21"/>
              </w:rPr>
            </w:r>
            <w:r/>
          </w:p>
          <w:p>
            <w:pPr>
              <w:pStyle w:val="1344"/>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技术支撑配置满足采购人的要求，项目进度分析清晰的得2分；</w:t>
            </w:r>
            <w:r>
              <w:rPr>
                <w:rFonts w:ascii="宋体" w:hAnsi="宋体" w:cs="宋体"/>
                <w:szCs w:val="21"/>
              </w:rPr>
            </w:r>
            <w:r/>
          </w:p>
          <w:p>
            <w:pPr>
              <w:pStyle w:val="1344"/>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技术支撑配置不能完全满足采购人的要求，项目进度不清晰的得1分；</w:t>
            </w:r>
            <w:r>
              <w:rPr>
                <w:rFonts w:ascii="宋体" w:hAnsi="宋体" w:cs="宋体"/>
                <w:szCs w:val="21"/>
              </w:rPr>
            </w:r>
            <w:r/>
          </w:p>
          <w:p>
            <w:pPr>
              <w:pStyle w:val="1344"/>
              <w:jc w:val="left"/>
              <w:keepLines w:val="0"/>
              <w:keepNext w:val="0"/>
              <w:pageBreakBefore w:val="0"/>
              <w:spacing w:line="480" w:lineRule="exact"/>
              <w:widowControl/>
              <w:rPr>
                <w:rFonts w:ascii="宋体" w:hAnsi="宋体" w:cs="宋体"/>
                <w:szCs w:val="21"/>
              </w:rPr>
            </w:pPr>
            <w:r>
              <w:rPr>
                <w:rFonts w:hint="eastAsia" w:ascii="宋体" w:hAnsi="宋体" w:cs="宋体"/>
                <w:szCs w:val="21"/>
              </w:rPr>
              <w:t xml:space="preserve">不提供得0分。</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5.1</w:t>
            </w:r>
            <w:r>
              <w:rPr>
                <w:rFonts w:ascii="宋体" w:hAnsi="宋体" w:cs="宋体"/>
                <w:szCs w:val="21"/>
              </w:rPr>
            </w:r>
            <w:r/>
          </w:p>
        </w:tc>
        <w:tc>
          <w:tcPr>
            <w:tcW w:w="816" w:type="dxa"/>
            <w:vAlign w:val="center"/>
            <w:vMerge w:val="restart"/>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售后服务方案</w:t>
            </w:r>
            <w:r>
              <w:rPr>
                <w:rFonts w:ascii="宋体" w:hAnsi="宋体" w:cs="宋体"/>
                <w:szCs w:val="21"/>
              </w:rPr>
            </w:r>
            <w:r/>
          </w:p>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（8分）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评委根据投标文件中售后服务方案（包括但不限于服务体系、服务内容、故障解决方案、响应时间、专业技术人员保障及服务电话、备品备件保证、质保期外维保方案等方面）进行打分：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售后服务方案完整详细，有明确的售后服务机构及人员、售后服务承诺，售后服务响应及处理时间迅速，质保期内的售后服务范围、质保期满后的售后服务范围和收费情况清晰具体</w:t>
            </w:r>
            <w:r>
              <w:rPr>
                <w:rFonts w:hint="eastAsia" w:ascii="宋体" w:hAnsi="宋体" w:cs="宋体"/>
                <w:szCs w:val="21"/>
                <w:lang w:bidi="ar"/>
              </w:rPr>
              <w:t xml:space="preserve">的</w:t>
            </w:r>
            <w:r>
              <w:rPr>
                <w:rFonts w:hint="eastAsia" w:ascii="宋体" w:hAnsi="宋体" w:cs="宋体"/>
                <w:bCs/>
                <w:szCs w:val="21"/>
              </w:rPr>
              <w:t xml:space="preserve">得4</w:t>
            </w:r>
            <w:r>
              <w:rPr>
                <w:rFonts w:hint="eastAsia" w:ascii="宋体" w:hAnsi="宋体" w:cs="宋体"/>
                <w:szCs w:val="21"/>
              </w:rPr>
              <w:t xml:space="preserve">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售后服务方案完整，有明确的售后服务机构及人员、售后服务承诺，售后服务应答及处理时间，质保期内的售后服务范围、质保期满后的售后服务范围和收费情况较为具体</w:t>
            </w:r>
            <w:r>
              <w:rPr>
                <w:rFonts w:hint="eastAsia" w:ascii="宋体" w:hAnsi="宋体" w:cs="宋体"/>
                <w:szCs w:val="21"/>
                <w:lang w:bidi="ar"/>
              </w:rPr>
              <w:t xml:space="preserve">的</w:t>
            </w:r>
            <w:r>
              <w:rPr>
                <w:rFonts w:hint="eastAsia" w:ascii="宋体" w:hAnsi="宋体" w:cs="宋体"/>
                <w:bCs/>
                <w:szCs w:val="21"/>
              </w:rPr>
              <w:t xml:space="preserve">得2</w:t>
            </w:r>
            <w:r>
              <w:rPr>
                <w:rFonts w:hint="eastAsia" w:ascii="宋体" w:hAnsi="宋体" w:cs="宋体"/>
                <w:szCs w:val="21"/>
              </w:rPr>
              <w:t xml:space="preserve">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售后服务体系</w:t>
            </w:r>
            <w:r>
              <w:rPr>
                <w:rFonts w:hint="eastAsia" w:ascii="宋体" w:hAnsi="宋体" w:cs="宋体"/>
                <w:szCs w:val="21"/>
              </w:rPr>
              <w:t xml:space="preserve">薄弱</w:t>
            </w:r>
            <w:r>
              <w:rPr>
                <w:rFonts w:hint="eastAsia" w:ascii="宋体" w:hAnsi="宋体" w:cs="宋体"/>
                <w:szCs w:val="21"/>
              </w:rPr>
              <w:t xml:space="preserve">，售后服务方案各方面内容存在缺陷或不满足</w:t>
            </w:r>
            <w:r>
              <w:rPr>
                <w:rFonts w:hint="eastAsia" w:ascii="宋体" w:hAnsi="宋体" w:cs="宋体"/>
                <w:szCs w:val="21"/>
              </w:rPr>
              <w:t xml:space="preserve">，</w:t>
            </w:r>
            <w:r>
              <w:rPr>
                <w:rFonts w:hint="eastAsia" w:ascii="宋体" w:hAnsi="宋体" w:cs="宋体"/>
                <w:bCs/>
                <w:szCs w:val="21"/>
              </w:rPr>
              <w:t xml:space="preserve">得1</w:t>
            </w:r>
            <w:r>
              <w:rPr>
                <w:rFonts w:hint="eastAsia" w:ascii="宋体" w:hAnsi="宋体" w:cs="宋体"/>
                <w:szCs w:val="21"/>
              </w:rPr>
              <w:t xml:space="preserve">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不提供得0分。</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5.2</w:t>
            </w:r>
            <w:r>
              <w:rPr>
                <w:rFonts w:ascii="宋体" w:hAnsi="宋体" w:cs="宋体"/>
                <w:szCs w:val="21"/>
              </w:rPr>
            </w:r>
            <w:r/>
          </w:p>
        </w:tc>
        <w:tc>
          <w:tcPr>
            <w:tcW w:w="816" w:type="dxa"/>
            <w:vAlign w:val="center"/>
            <w:vMerge w:val="continue"/>
            <w:textDirection w:val="lrTb"/>
            <w:noWrap/>
          </w:tcPr>
          <w:p>
            <w:pPr>
              <w:pStyle w:val="1344"/>
              <w:keepLines w:val="0"/>
              <w:keepNext w:val="0"/>
              <w:pageBreakBefore w:val="0"/>
              <w:spacing w:line="480" w:lineRule="exact"/>
              <w:rPr>
                <w:rFonts w:ascii="宋体" w:hAnsi="宋体" w:cs="宋体"/>
                <w:szCs w:val="21"/>
              </w:rPr>
            </w:pP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评委根据投标文件中培训方案（包括但不限于培训目标、培训方法、培训内容、培训师资力量、培训时间、拟提供的培训资料等方面</w:t>
            </w:r>
            <w:r>
              <w:rPr>
                <w:rFonts w:hint="eastAsia" w:ascii="宋体" w:hAnsi="宋体" w:cs="宋体"/>
                <w:szCs w:val="21"/>
              </w:rPr>
              <w:t xml:space="preserve">）</w:t>
            </w:r>
            <w:r>
              <w:rPr>
                <w:rFonts w:hint="eastAsia" w:ascii="宋体" w:hAnsi="宋体" w:cs="宋体"/>
                <w:szCs w:val="21"/>
              </w:rPr>
              <w:t xml:space="preserve">进行打分：</w:t>
            </w:r>
            <w:r>
              <w:rPr>
                <w:rFonts w:ascii="宋体" w:hAnsi="宋体" w:cs="宋体"/>
                <w:szCs w:val="21"/>
              </w:rPr>
            </w:r>
            <w:r/>
          </w:p>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培训方案内容全面，计划详细，安排合理的得4分；培训方案内容完整，计划明确，可行性较强的得2分；培训计划简单，形式单一，得1分；不提供得0分</w:t>
            </w:r>
            <w:r>
              <w:rPr>
                <w:rFonts w:hint="eastAsia" w:ascii="宋体" w:hAnsi="宋体" w:cs="宋体"/>
                <w:szCs w:val="21"/>
              </w:rPr>
              <w:t xml:space="preserve">。</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816" w:type="dxa"/>
            <w:vAlign w:val="center"/>
            <w:textDirection w:val="lrTb"/>
            <w:noWrap/>
          </w:tcPr>
          <w:p>
            <w:pPr>
              <w:pStyle w:val="1344"/>
              <w:ind w:right="-263"/>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业绩</w:t>
            </w:r>
            <w:r>
              <w:rPr>
                <w:rFonts w:ascii="宋体" w:hAnsi="宋体" w:cs="宋体"/>
                <w:szCs w:val="21"/>
              </w:rPr>
            </w:r>
            <w:r/>
          </w:p>
          <w:p>
            <w:pPr>
              <w:pStyle w:val="1344"/>
              <w:ind w:right="-263"/>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szCs w:val="21"/>
              </w:rPr>
            </w:pPr>
            <w:r>
              <w:rPr>
                <w:rFonts w:hint="eastAsia" w:ascii="宋体" w:hAnsi="宋体" w:cs="宋体"/>
                <w:szCs w:val="21"/>
              </w:rPr>
              <w:t xml:space="preserve">提供20</w:t>
            </w:r>
            <w:r>
              <w:rPr>
                <w:rFonts w:ascii="宋体" w:hAnsi="宋体" w:cs="宋体"/>
                <w:szCs w:val="21"/>
              </w:rPr>
              <w:t xml:space="preserve">2</w:t>
            </w:r>
            <w:r>
              <w:rPr>
                <w:rFonts w:hint="eastAsia" w:ascii="宋体" w:hAnsi="宋体" w:cs="宋体"/>
                <w:szCs w:val="21"/>
              </w:rPr>
              <w:t xml:space="preserve">3年</w:t>
            </w:r>
            <w:r>
              <w:rPr>
                <w:rFonts w:ascii="宋体" w:hAnsi="宋体" w:cs="宋体"/>
                <w:szCs w:val="21"/>
              </w:rPr>
              <w:t xml:space="preserve">1</w:t>
            </w:r>
            <w:r>
              <w:rPr>
                <w:rFonts w:hint="eastAsia" w:ascii="宋体" w:hAnsi="宋体" w:cs="宋体"/>
                <w:szCs w:val="21"/>
              </w:rPr>
              <w:t xml:space="preserve">月1日以来，</w:t>
            </w:r>
            <w:r>
              <w:rPr>
                <w:rFonts w:hint="eastAsia" w:ascii="宋体" w:hAnsi="宋体" w:cs="宋体"/>
                <w:b/>
                <w:bCs/>
                <w:szCs w:val="21"/>
              </w:rPr>
              <w:t xml:space="preserve">投标人具有与所投核心产品同品牌</w:t>
            </w:r>
            <w:r>
              <w:rPr>
                <w:rFonts w:hint="eastAsia" w:ascii="宋体" w:hAnsi="宋体" w:cs="宋体"/>
                <w:b/>
                <w:bCs/>
                <w:szCs w:val="21"/>
              </w:rPr>
              <w:t xml:space="preserve">同型号产品或与所投核心产品同品牌且技术指标不低于此次招标技术要求的产品</w:t>
            </w:r>
            <w:r>
              <w:rPr>
                <w:rFonts w:hint="eastAsia" w:ascii="宋体" w:hAnsi="宋体" w:cs="宋体"/>
                <w:szCs w:val="21"/>
              </w:rPr>
              <w:t xml:space="preserve">在国内的销售业绩合同。每提供一份销售合同得</w:t>
            </w:r>
            <w:r>
              <w:rPr>
                <w:rFonts w:ascii="宋体" w:hAnsi="宋体" w:cs="宋体"/>
                <w:szCs w:val="21"/>
              </w:rPr>
              <w:t xml:space="preserve">4</w:t>
            </w:r>
            <w:r>
              <w:rPr>
                <w:rFonts w:hint="eastAsia" w:ascii="宋体" w:hAnsi="宋体" w:cs="宋体"/>
                <w:szCs w:val="21"/>
              </w:rPr>
              <w:t xml:space="preserve">分，本项最高</w:t>
            </w:r>
            <w:r>
              <w:rPr>
                <w:rFonts w:ascii="宋体" w:hAnsi="宋体" w:cs="宋体"/>
                <w:szCs w:val="21"/>
              </w:rPr>
              <w:t xml:space="preserve">8</w:t>
            </w:r>
            <w:r>
              <w:rPr>
                <w:rFonts w:hint="eastAsia" w:ascii="宋体" w:hAnsi="宋体" w:cs="宋体"/>
                <w:szCs w:val="21"/>
              </w:rPr>
              <w:t xml:space="preserve">分。</w:t>
            </w:r>
            <w:r>
              <w:rPr>
                <w:rFonts w:hint="eastAsia" w:ascii="宋体" w:hAnsi="宋体" w:cs="宋体"/>
                <w:b/>
                <w:bCs/>
                <w:szCs w:val="21"/>
              </w:rPr>
              <w:t xml:space="preserve">（需同时提供合同及合同对应发票复印件，发票金额可以是部分或全部金额，未提供发票或合同或合同无法反应上述信息的均不得分，原件备查）</w:t>
            </w:r>
            <w:r>
              <w:rPr>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t xml:space="preserve">8</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7.1</w:t>
            </w:r>
            <w:r>
              <w:rPr>
                <w:rFonts w:ascii="宋体" w:hAnsi="宋体" w:cs="宋体"/>
                <w:szCs w:val="21"/>
              </w:rPr>
            </w:r>
            <w:r/>
          </w:p>
        </w:tc>
        <w:tc>
          <w:tcPr>
            <w:tcW w:w="816" w:type="dxa"/>
            <w:vAlign w:val="center"/>
            <w:vMerge w:val="restart"/>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国家政策导向（</w:t>
            </w:r>
            <w:r>
              <w:rPr>
                <w:rFonts w:ascii="宋体" w:hAnsi="宋体" w:cs="宋体"/>
                <w:szCs w:val="21"/>
              </w:rPr>
              <w:t xml:space="preserve">1</w:t>
            </w:r>
            <w:r>
              <w:rPr>
                <w:rFonts w:hint="eastAsia" w:ascii="宋体" w:hAnsi="宋体" w:cs="宋体"/>
                <w:szCs w:val="21"/>
              </w:rPr>
              <w:t xml:space="preserve">分）</w:t>
            </w: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bCs/>
                <w:szCs w:val="21"/>
              </w:rPr>
              <w:t xml:space="preserve">环境标志产品：</w:t>
            </w:r>
            <w:r>
              <w:rPr>
                <w:rFonts w:hint="eastAsia" w:ascii="宋体" w:hAnsi="宋体" w:cs="宋体"/>
                <w:szCs w:val="21"/>
              </w:rPr>
              <w:t xml:space="preserve">投标产品有《环境标志产品政府采购品目清单》内产品，并提供参与实施政府采购环境标志产品认证机构出具的认证证书得</w:t>
            </w:r>
            <w:r>
              <w:rPr>
                <w:rFonts w:ascii="宋体" w:hAnsi="宋体" w:cs="宋体"/>
                <w:szCs w:val="21"/>
              </w:rPr>
              <w:t xml:space="preserve">0.5</w:t>
            </w:r>
            <w:r>
              <w:rPr>
                <w:rFonts w:hint="eastAsia" w:ascii="宋体" w:hAnsi="宋体" w:cs="宋体"/>
                <w:szCs w:val="21"/>
              </w:rPr>
              <w:t xml:space="preserve">分。</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t xml:space="preserve">0.5</w:t>
            </w:r>
            <w:r>
              <w:rPr>
                <w:rFonts w:ascii="宋体" w:hAnsi="宋体" w:cs="宋体"/>
                <w:szCs w:val="21"/>
              </w:rPr>
            </w:r>
            <w:r/>
          </w:p>
        </w:tc>
      </w:tr>
      <w:tr>
        <w:trPr/>
        <w:tc>
          <w:tcPr>
            <w:tcW w:w="378"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hint="eastAsia" w:ascii="宋体" w:hAnsi="宋体" w:cs="宋体"/>
                <w:szCs w:val="21"/>
              </w:rPr>
              <w:t xml:space="preserve">7.2</w:t>
            </w:r>
            <w:r>
              <w:rPr>
                <w:rFonts w:ascii="宋体" w:hAnsi="宋体" w:cs="宋体"/>
                <w:szCs w:val="21"/>
              </w:rPr>
            </w:r>
            <w:r/>
          </w:p>
        </w:tc>
        <w:tc>
          <w:tcPr>
            <w:tcW w:w="816" w:type="dxa"/>
            <w:vAlign w:val="center"/>
            <w:vMerge w:val="continue"/>
            <w:textDirection w:val="lrTb"/>
            <w:noWrap/>
          </w:tcPr>
          <w:p>
            <w:pPr>
              <w:pStyle w:val="1344"/>
              <w:keepLines w:val="0"/>
              <w:keepNext w:val="0"/>
              <w:pageBreakBefore w:val="0"/>
              <w:spacing w:line="480" w:lineRule="exact"/>
              <w:rPr>
                <w:rFonts w:ascii="宋体" w:hAnsi="宋体" w:cs="宋体"/>
                <w:szCs w:val="21"/>
              </w:rPr>
            </w:pPr>
            <w:r>
              <w:rPr>
                <w:rFonts w:ascii="宋体" w:hAnsi="宋体" w:cs="宋体"/>
                <w:szCs w:val="21"/>
              </w:rPr>
            </w:r>
            <w:r/>
          </w:p>
        </w:tc>
        <w:tc>
          <w:tcPr>
            <w:tcW w:w="3406" w:type="dxa"/>
            <w:vAlign w:val="center"/>
            <w:textDirection w:val="lrTb"/>
            <w:noWrap/>
          </w:tcPr>
          <w:p>
            <w:pPr>
              <w:pStyle w:val="1344"/>
              <w:keepLines w:val="0"/>
              <w:keepNext w:val="0"/>
              <w:pageBreakBefore w:val="0"/>
              <w:spacing w:line="480" w:lineRule="exact"/>
              <w:rPr>
                <w:rFonts w:ascii="宋体" w:hAnsi="宋体" w:cs="宋体"/>
                <w:szCs w:val="21"/>
              </w:rPr>
            </w:pPr>
            <w:r>
              <w:rPr>
                <w:rFonts w:hint="eastAsia" w:ascii="宋体" w:hAnsi="宋体" w:cs="宋体"/>
                <w:szCs w:val="21"/>
              </w:rPr>
              <w:t xml:space="preserve">节能产品：投标产品有《节能产品政府采购品目清单》内产品，并提供参与实施政府采购节能产品认证机构出具的认证证书得</w:t>
            </w:r>
            <w:r>
              <w:rPr>
                <w:rFonts w:ascii="宋体" w:hAnsi="宋体" w:cs="宋体"/>
                <w:szCs w:val="21"/>
              </w:rPr>
              <w:t xml:space="preserve">0.5</w:t>
            </w:r>
            <w:r>
              <w:rPr>
                <w:rFonts w:hint="eastAsia" w:ascii="宋体" w:hAnsi="宋体" w:cs="宋体"/>
                <w:szCs w:val="21"/>
              </w:rPr>
              <w:t xml:space="preserve">分。</w:t>
            </w:r>
            <w:r>
              <w:rPr>
                <w:rFonts w:ascii="宋体" w:hAnsi="宋体" w:cs="宋体"/>
                <w:szCs w:val="21"/>
              </w:rPr>
            </w:r>
            <w:r/>
          </w:p>
        </w:tc>
        <w:tc>
          <w:tcPr>
            <w:tcW w:w="401" w:type="dxa"/>
            <w:vAlign w:val="center"/>
            <w:textDirection w:val="lrTb"/>
            <w:noWrap/>
          </w:tcPr>
          <w:p>
            <w:pPr>
              <w:pStyle w:val="1344"/>
              <w:jc w:val="center"/>
              <w:keepLines w:val="0"/>
              <w:keepNext w:val="0"/>
              <w:pageBreakBefore w:val="0"/>
              <w:spacing w:line="480" w:lineRule="exact"/>
              <w:rPr>
                <w:rFonts w:ascii="宋体" w:hAnsi="宋体" w:cs="宋体"/>
                <w:szCs w:val="21"/>
              </w:rPr>
            </w:pPr>
            <w:r>
              <w:rPr>
                <w:rFonts w:ascii="宋体" w:hAnsi="宋体" w:cs="宋体"/>
                <w:szCs w:val="21"/>
              </w:rPr>
              <w:t xml:space="preserve">0.5</w:t>
            </w:r>
            <w:r>
              <w:rPr>
                <w:rFonts w:ascii="宋体" w:hAnsi="宋体" w:cs="宋体"/>
                <w:szCs w:val="21"/>
              </w:rPr>
            </w:r>
            <w:r/>
          </w:p>
        </w:tc>
      </w:tr>
    </w:tbl>
    <w:p>
      <w:pPr>
        <w:pStyle w:val="1344"/>
        <w:keepLines w:val="0"/>
        <w:keepNext w:val="0"/>
        <w:pageBreakBefore w:val="0"/>
        <w:spacing w:line="480" w:lineRule="exact"/>
        <w:rPr>
          <w:rFonts w:hint="eastAsia" w:ascii="宋体" w:hAnsi="宋体" w:cs="宋体"/>
          <w:szCs w:val="21"/>
        </w:rPr>
      </w:pPr>
      <w:r>
        <w:rPr>
          <w:rFonts w:hint="eastAsia" w:ascii="宋体" w:hAnsi="宋体" w:cs="宋体"/>
          <w:b/>
          <w:bCs/>
          <w:szCs w:val="21"/>
        </w:rPr>
        <w:t xml:space="preserve">说明：</w:t>
      </w:r>
      <w:r>
        <w:rPr>
          <w:rFonts w:hint="eastAsia" w:ascii="宋体" w:hAnsi="宋体" w:cs="宋体"/>
          <w:b/>
          <w:szCs w:val="21"/>
        </w:rPr>
        <w:t xml:space="preserve">评审标准中涉及的</w:t>
      </w:r>
      <w:r>
        <w:rPr>
          <w:rFonts w:hint="eastAsia" w:ascii="宋体" w:hAnsi="宋体" w:cs="宋体"/>
          <w:b/>
          <w:bCs/>
          <w:szCs w:val="21"/>
        </w:rPr>
        <w:t xml:space="preserve">证明材料均需附入投标文件内（复印件加盖公章）。</w:t>
      </w:r>
      <w:r>
        <w:rPr>
          <w:rFonts w:hint="eastAsia" w:ascii="宋体" w:hAnsi="宋体" w:cs="宋体"/>
          <w:szCs w:val="21"/>
        </w:rPr>
      </w:r>
      <w:r/>
    </w:p>
    <w:p>
      <w:pPr>
        <w:pStyle w:val="1344"/>
        <w:jc w:val="center"/>
        <w:spacing w:line="440" w:lineRule="exact"/>
        <w:rPr>
          <w:b/>
          <w:sz w:val="28"/>
          <w:szCs w:val="28"/>
        </w:rPr>
        <w:outlineLvl w:val="0"/>
      </w:pPr>
      <w:r>
        <w:rPr>
          <w:b/>
          <w:sz w:val="28"/>
          <w:szCs w:val="28"/>
        </w:rPr>
        <w:br w:type="page" w:clear="all"/>
      </w:r>
      <w:bookmarkStart w:id="240" w:name="_Toc17106"/>
      <w:r/>
      <w:bookmarkStart w:id="241" w:name="_Toc252"/>
      <w:r/>
      <w:bookmarkStart w:id="242" w:name="_Toc26203"/>
      <w:r>
        <w:rPr>
          <w:b/>
          <w:sz w:val="28"/>
          <w:szCs w:val="28"/>
        </w:rPr>
        <w:t xml:space="preserve">第四章 招标</w:t>
      </w:r>
      <w:bookmarkEnd w:id="240"/>
      <w:r/>
      <w:bookmarkEnd w:id="241"/>
      <w:r>
        <w:rPr>
          <w:b/>
          <w:sz w:val="28"/>
          <w:szCs w:val="28"/>
        </w:rPr>
        <w:t xml:space="preserve">技术规格及要求</w:t>
      </w:r>
      <w:bookmarkEnd w:id="242"/>
      <w:r>
        <w:rPr>
          <w:b/>
          <w:sz w:val="28"/>
          <w:szCs w:val="28"/>
        </w:rPr>
      </w:r>
      <w:r/>
    </w:p>
    <w:p>
      <w:pPr>
        <w:pStyle w:val="1344"/>
        <w:spacing w:line="360" w:lineRule="auto"/>
        <w:rPr>
          <w:rFonts w:hint="eastAsia" w:ascii="宋体" w:hAnsi="宋体" w:cs="宋体"/>
          <w:b/>
          <w:bCs/>
          <w:szCs w:val="21"/>
        </w:rPr>
      </w:pPr>
      <w:r/>
      <w:bookmarkStart w:id="243" w:name="_Toc2516"/>
      <w:r/>
      <w:bookmarkStart w:id="244" w:name="_Toc19691"/>
      <w:r>
        <w:rPr>
          <w:rFonts w:hint="eastAsia" w:ascii="宋体" w:hAnsi="宋体" w:cs="宋体"/>
          <w:b/>
          <w:bCs/>
          <w:szCs w:val="21"/>
        </w:rPr>
        <w:t xml:space="preserve">一、</w:t>
      </w:r>
      <w:r>
        <w:rPr>
          <w:rFonts w:hint="eastAsia" w:ascii="宋体" w:hAnsi="宋体" w:cs="宋体"/>
          <w:b/>
          <w:bCs/>
          <w:szCs w:val="21"/>
        </w:rPr>
        <w:tab/>
      </w:r>
      <w:r>
        <w:rPr>
          <w:rFonts w:hint="eastAsia" w:ascii="宋体" w:hAnsi="宋体" w:cs="宋体"/>
          <w:b/>
          <w:bCs/>
          <w:szCs w:val="21"/>
        </w:rPr>
        <w:t xml:space="preserve">采购项目概况</w:t>
      </w:r>
      <w:r>
        <w:rPr>
          <w:rFonts w:hint="eastAsia" w:ascii="宋体" w:hAnsi="宋体" w:cs="宋体"/>
          <w:b/>
          <w:bCs/>
          <w:szCs w:val="21"/>
        </w:rPr>
      </w:r>
      <w:r/>
    </w:p>
    <w:p>
      <w:pPr>
        <w:pStyle w:val="1344"/>
        <w:ind w:firstLine="420"/>
        <w:spacing w:line="360" w:lineRule="auto"/>
        <w:rPr>
          <w:rFonts w:hint="eastAsia" w:ascii="宋体" w:hAnsi="宋体" w:cs="宋体"/>
          <w:szCs w:val="21"/>
        </w:rPr>
      </w:pPr>
      <w:r>
        <w:rPr>
          <w:rFonts w:hint="eastAsia" w:ascii="宋体" w:hAnsi="宋体" w:cs="宋体"/>
          <w:szCs w:val="21"/>
        </w:rPr>
        <w:t xml:space="preserve">1.项目编号：</w:t>
      </w:r>
      <w:r>
        <w:rPr>
          <w:rFonts w:hint="eastAsia" w:ascii="宋体" w:hAnsi="宋体" w:cs="宋体"/>
          <w:szCs w:val="21"/>
          <w:lang w:eastAsia="zh-CN"/>
        </w:rPr>
        <w:t xml:space="preserve">JSZC-320000-SMDY-G2026-0080</w:t>
      </w:r>
      <w:r>
        <w:rPr>
          <w:rFonts w:hint="eastAsia" w:ascii="宋体" w:hAnsi="宋体" w:cs="宋体"/>
          <w:szCs w:val="21"/>
        </w:rPr>
        <w:t xml:space="preserve">（2640SUMEC/ZWGG2156）</w:t>
      </w:r>
      <w:r>
        <w:rPr>
          <w:rFonts w:hint="eastAsia" w:ascii="宋体" w:hAnsi="宋体" w:cs="宋体"/>
          <w:szCs w:val="21"/>
        </w:rPr>
      </w:r>
      <w:r/>
    </w:p>
    <w:p>
      <w:pPr>
        <w:pStyle w:val="1344"/>
        <w:ind w:firstLine="420"/>
        <w:spacing w:line="360" w:lineRule="auto"/>
        <w:rPr>
          <w:rFonts w:hint="eastAsia" w:ascii="宋体" w:hAnsi="宋体" w:cs="宋体"/>
          <w:szCs w:val="21"/>
        </w:rPr>
      </w:pPr>
      <w:r>
        <w:rPr>
          <w:rFonts w:hint="eastAsia" w:ascii="宋体" w:hAnsi="宋体" w:cs="宋体"/>
          <w:szCs w:val="21"/>
        </w:rPr>
        <w:t xml:space="preserve">2.项目名称：江苏省计量院2026年社会公用计量标准设备更新项目</w:t>
      </w:r>
      <w:r>
        <w:rPr>
          <w:rFonts w:hint="eastAsia" w:ascii="宋体" w:hAnsi="宋体" w:cs="宋体"/>
          <w:szCs w:val="21"/>
        </w:rPr>
      </w:r>
      <w:r/>
    </w:p>
    <w:p>
      <w:pPr>
        <w:pStyle w:val="1344"/>
        <w:ind w:firstLine="420"/>
        <w:spacing w:line="360" w:lineRule="auto"/>
        <w:rPr>
          <w:rFonts w:hint="eastAsia" w:ascii="宋体" w:hAnsi="宋体" w:cs="宋体"/>
          <w:szCs w:val="21"/>
        </w:rPr>
      </w:pPr>
      <w:r>
        <w:rPr>
          <w:rFonts w:hint="eastAsia" w:ascii="宋体" w:hAnsi="宋体" w:cs="宋体"/>
          <w:szCs w:val="21"/>
        </w:rPr>
        <w:t xml:space="preserve">3.预算金额：人民币1123万元，其中分包1人民币517.06万元,分包2人民币165.85万元,分包3人民币103.6万元,分包4人民币19.64万元,分包5人民币69.8万元,分包6人民币48.4万元,分包7人民币49.6万元,分包8人民币58.05万元,分包9人民币31万元,分包10人民币60万元</w:t>
      </w:r>
      <w:r>
        <w:rPr>
          <w:rFonts w:hint="eastAsia" w:ascii="宋体" w:hAnsi="宋体" w:cs="宋体"/>
          <w:szCs w:val="21"/>
        </w:rPr>
      </w:r>
      <w:r/>
    </w:p>
    <w:p>
      <w:pPr>
        <w:pStyle w:val="1344"/>
        <w:ind w:firstLine="420"/>
        <w:spacing w:line="360" w:lineRule="auto"/>
        <w:rPr>
          <w:rFonts w:hint="eastAsia" w:ascii="宋体" w:hAnsi="宋体" w:cs="宋体"/>
          <w:szCs w:val="21"/>
        </w:rPr>
      </w:pPr>
      <w:r>
        <w:rPr>
          <w:rFonts w:hint="eastAsia" w:ascii="宋体" w:hAnsi="宋体" w:cs="宋体"/>
          <w:szCs w:val="21"/>
        </w:rPr>
        <w:t xml:space="preserve">4.最高限价：人民币1123万元，具体产品最高限价详见采购需求</w:t>
      </w:r>
      <w:r>
        <w:rPr>
          <w:rFonts w:hint="eastAsia" w:ascii="宋体" w:hAnsi="宋体" w:cs="宋体"/>
          <w:szCs w:val="21"/>
        </w:rPr>
      </w:r>
      <w:r/>
    </w:p>
    <w:p>
      <w:pPr>
        <w:pStyle w:val="1344"/>
        <w:ind w:firstLine="420"/>
        <w:spacing w:line="360" w:lineRule="auto"/>
        <w:rPr>
          <w:rFonts w:hint="eastAsia" w:ascii="宋体" w:hAnsi="宋体" w:cs="宋体"/>
          <w:szCs w:val="21"/>
        </w:rPr>
      </w:pPr>
      <w:r>
        <w:rPr>
          <w:rFonts w:hint="eastAsia" w:ascii="宋体" w:hAnsi="宋体" w:cs="宋体"/>
          <w:szCs w:val="21"/>
        </w:rPr>
        <w:t xml:space="preserve">5.采购需求：</w:t>
      </w:r>
      <w:r>
        <w:rPr>
          <w:rFonts w:hint="eastAsia" w:ascii="宋体" w:hAnsi="宋体" w:cs="宋体"/>
          <w:szCs w:val="21"/>
        </w:rPr>
      </w:r>
      <w:r/>
    </w:p>
    <w:tbl>
      <w:tblPr>
        <w:tblW w:w="4996"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50"/>
        <w:gridCol w:w="675"/>
        <w:gridCol w:w="2930"/>
        <w:gridCol w:w="994"/>
        <w:gridCol w:w="1138"/>
        <w:gridCol w:w="2178"/>
        <w:gridCol w:w="1081"/>
      </w:tblGrid>
      <w:tr>
        <w:trPr>
          <w:trHeight w:val="728"/>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344"/>
              <w:jc w:val="center"/>
              <w:rPr>
                <w:rFonts w:hint="eastAsia" w:ascii="宋体" w:hAnsi="宋体" w:cs="宋体"/>
              </w:rPr>
            </w:pPr>
            <w:r>
              <w:rPr>
                <w:rFonts w:hint="eastAsia" w:ascii="宋体" w:hAnsi="宋体" w:cs="宋体"/>
              </w:rPr>
              <w:t xml:space="preserve">分包号</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1344"/>
              <w:jc w:val="center"/>
              <w:rPr>
                <w:rFonts w:hint="eastAsia" w:ascii="宋体" w:hAnsi="宋体" w:cs="宋体"/>
              </w:rPr>
            </w:pPr>
            <w:r>
              <w:rPr>
                <w:rFonts w:hint="eastAsia" w:ascii="宋体" w:hAnsi="宋体" w:cs="宋体"/>
              </w:rPr>
              <w:t xml:space="preserve">品目号</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rPr>
                <w:rFonts w:hint="eastAsia" w:ascii="宋体" w:hAnsi="宋体" w:cs="宋体"/>
              </w:rPr>
            </w:pPr>
            <w:r>
              <w:rPr>
                <w:rFonts w:hint="eastAsia" w:ascii="宋体" w:hAnsi="宋体" w:cs="宋体"/>
              </w:rPr>
              <w:t xml:space="preserve">品目名称</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rPr>
                <w:rFonts w:hint="eastAsia" w:ascii="宋体" w:hAnsi="宋体" w:cs="宋体"/>
              </w:rPr>
            </w:pPr>
            <w:r>
              <w:rPr>
                <w:rFonts w:hint="eastAsia" w:ascii="宋体" w:hAnsi="宋体" w:cs="宋体"/>
              </w:rPr>
              <w:t xml:space="preserve">数量</w:t>
            </w:r>
            <w:r>
              <w:rPr>
                <w:rFonts w:hint="eastAsia" w:ascii="宋体" w:hAnsi="宋体" w:cs="宋体"/>
              </w:rPr>
            </w:r>
            <w:r/>
          </w:p>
          <w:p>
            <w:pPr>
              <w:pStyle w:val="1344"/>
              <w:jc w:val="center"/>
              <w:rPr>
                <w:rFonts w:hint="eastAsia" w:ascii="宋体" w:hAnsi="宋体" w:cs="宋体"/>
              </w:rPr>
            </w:pPr>
            <w:r>
              <w:rPr>
                <w:rFonts w:hint="eastAsia" w:ascii="宋体" w:hAnsi="宋体" w:cs="宋体"/>
              </w:rPr>
              <w:t xml:space="preserve">（套/台）</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rPr>
                <w:rFonts w:hint="eastAsia" w:ascii="宋体" w:hAnsi="宋体" w:cs="宋体"/>
              </w:rPr>
            </w:pPr>
            <w:r>
              <w:rPr>
                <w:rFonts w:hint="eastAsia" w:ascii="宋体" w:hAnsi="宋体" w:cs="宋体"/>
              </w:rPr>
              <w:t xml:space="preserve">最高限价（万元）</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pStyle w:val="1344"/>
              <w:jc w:val="center"/>
              <w:rPr>
                <w:rFonts w:hint="eastAsia" w:ascii="宋体" w:hAnsi="宋体" w:cs="宋体"/>
              </w:rPr>
            </w:pPr>
            <w:r>
              <w:rPr>
                <w:rFonts w:hint="eastAsia" w:ascii="宋体" w:hAnsi="宋体" w:cs="宋体"/>
              </w:rPr>
              <w:t xml:space="preserve">合同履行期限</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pStyle w:val="1344"/>
              <w:jc w:val="center"/>
              <w:rPr>
                <w:rFonts w:hint="eastAsia" w:ascii="宋体" w:hAnsi="宋体" w:cs="宋体"/>
              </w:rPr>
            </w:pPr>
            <w:r>
              <w:rPr>
                <w:rFonts w:hint="eastAsia" w:ascii="宋体" w:hAnsi="宋体" w:cs="宋体"/>
              </w:rPr>
              <w:t xml:space="preserve">是否接受进口产品</w:t>
            </w:r>
            <w:r>
              <w:rPr>
                <w:rFonts w:hint="eastAsia" w:ascii="宋体" w:hAnsi="宋体" w:cs="宋体"/>
              </w:rPr>
            </w:r>
            <w:r/>
          </w:p>
        </w:tc>
      </w:tr>
      <w:tr>
        <w:trPr>
          <w:trHeight w:val="429"/>
        </w:trPr>
        <w:tc>
          <w:tcPr>
            <w:tcBorders>
              <w:top w:val="single" w:color="000000" w:sz="4" w:space="0"/>
              <w:left w:val="single" w:color="000000" w:sz="4" w:space="0"/>
              <w:bottom w:val="none" w:color="000000" w:sz="0" w:space="0"/>
              <w:right w:val="single" w:color="000000" w:sz="4" w:space="0"/>
            </w:tcBorders>
            <w:tcW w:w="431" w:type="dxa"/>
            <w:vAlign w:val="center"/>
            <w:vMerge w:val="restart"/>
            <w:textDirection w:val="lrTb"/>
            <w:noWrap/>
          </w:tcPr>
          <w:p>
            <w:pPr>
              <w:pStyle w:val="1344"/>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1344"/>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rPr>
                <w:rFonts w:hint="eastAsia" w:ascii="宋体" w:hAnsi="宋体" w:cs="宋体"/>
              </w:rPr>
            </w:pPr>
            <w:r>
              <w:rPr>
                <w:rFonts w:hint="eastAsia" w:ascii="宋体" w:hAnsi="宋体" w:cs="宋体"/>
              </w:rPr>
              <w:t xml:space="preserve">标准砝码组</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rPr>
                <w:rFonts w:hint="eastAsia" w:ascii="宋体" w:hAnsi="宋体" w:cs="宋体"/>
              </w:rPr>
            </w:pPr>
            <w:r>
              <w:rPr>
                <w:rFonts w:hint="eastAsia" w:ascii="宋体" w:hAnsi="宋体" w:cs="宋体"/>
              </w:rPr>
              <w:t xml:space="preserve">1套（4只）</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rPr>
                <w:rFonts w:hint="eastAsia" w:ascii="宋体" w:hAnsi="宋体" w:cs="宋体"/>
              </w:rPr>
            </w:pPr>
            <w:r>
              <w:rPr>
                <w:rFonts w:hint="eastAsia" w:ascii="宋体" w:hAnsi="宋体" w:cs="宋体"/>
              </w:rPr>
              <w:t xml:space="preserve">15.00</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rPr>
                <w:rFonts w:hint="eastAsia" w:ascii="宋体" w:hAnsi="宋体" w:cs="宋体"/>
              </w:rPr>
            </w:pPr>
            <w:r>
              <w:rPr>
                <w:rFonts w:hint="eastAsia" w:ascii="宋体" w:hAnsi="宋体" w:cs="宋体"/>
              </w:rPr>
              <w:t xml:space="preserve">合同签订后6个月</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429"/>
        </w:trPr>
        <w:tc>
          <w:tcPr>
            <w:tcBorders>
              <w:top w:val="none" w:color="000000" w:sz="0" w:space="0"/>
              <w:left w:val="single" w:color="000000" w:sz="4" w:space="0"/>
              <w:bottom w:val="none" w:color="000000" w:sz="0" w:space="0"/>
              <w:right w:val="single" w:color="000000" w:sz="4" w:space="0"/>
            </w:tcBorders>
            <w:tcW w:w="431" w:type="dxa"/>
            <w:vAlign w:val="center"/>
            <w:vMerge w:val="continue"/>
            <w:textDirection w:val="lrTb"/>
            <w:noWrap/>
          </w:tcPr>
          <w:p>
            <w:pPr>
              <w:pStyle w:val="1344"/>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1344"/>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rPr>
                <w:rFonts w:hint="eastAsia" w:ascii="宋体" w:hAnsi="宋体" w:cs="宋体"/>
              </w:rPr>
            </w:pPr>
            <w:r>
              <w:rPr>
                <w:rFonts w:hint="eastAsia" w:ascii="宋体" w:hAnsi="宋体" w:cs="宋体"/>
              </w:rPr>
              <w:t xml:space="preserve">叠加式力标准机</w:t>
            </w:r>
            <w:r>
              <w:rPr>
                <w:rFonts w:hint="eastAsia" w:ascii="宋体" w:hAnsi="宋体" w:cs="宋体"/>
                <w:b/>
                <w:bCs/>
                <w:color w:val="ff0000"/>
              </w:rPr>
              <w:t xml:space="preserve">（核心产品）</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rPr>
                <w:rFonts w:hint="eastAsia" w:ascii="宋体" w:hAnsi="宋体" w:cs="宋体"/>
              </w:rPr>
            </w:pPr>
            <w:r>
              <w:rPr>
                <w:rFonts w:hint="eastAsia" w:ascii="宋体" w:hAnsi="宋体" w:cs="宋体"/>
              </w:rPr>
              <w:t xml:space="preserve">1台</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rPr>
                <w:rFonts w:hint="eastAsia" w:ascii="宋体" w:hAnsi="宋体" w:cs="宋体"/>
              </w:rPr>
            </w:pPr>
            <w:r>
              <w:rPr>
                <w:rFonts w:hint="eastAsia" w:ascii="宋体" w:hAnsi="宋体" w:cs="宋体"/>
              </w:rPr>
              <w:t xml:space="preserve">500.00</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rPr>
                <w:rFonts w:hint="eastAsia" w:ascii="宋体" w:hAnsi="宋体" w:cs="宋体"/>
              </w:rPr>
            </w:pPr>
            <w:r>
              <w:rPr>
                <w:rFonts w:hint="eastAsia" w:ascii="宋体" w:hAnsi="宋体" w:cs="宋体"/>
              </w:rPr>
              <w:t xml:space="preserve">合同签订后11个月</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429"/>
        </w:trPr>
        <w:tc>
          <w:tcPr>
            <w:tcBorders>
              <w:top w:val="none" w:color="000000" w:sz="0" w:space="0"/>
              <w:left w:val="single" w:color="000000" w:sz="4" w:space="0"/>
              <w:bottom w:val="single" w:color="000000" w:sz="4" w:space="0"/>
              <w:right w:val="single" w:color="000000" w:sz="4" w:space="0"/>
            </w:tcBorders>
            <w:tcW w:w="431" w:type="dxa"/>
            <w:vAlign w:val="center"/>
            <w:vMerge w:val="continue"/>
            <w:textDirection w:val="lrTb"/>
            <w:noWrap/>
          </w:tcPr>
          <w:p>
            <w:pPr>
              <w:pStyle w:val="1344"/>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1344"/>
              <w:jc w:val="center"/>
              <w:rPr>
                <w:rFonts w:hint="eastAsia" w:ascii="宋体" w:hAnsi="宋体" w:cs="宋体"/>
              </w:rPr>
            </w:pPr>
            <w:r>
              <w:rPr>
                <w:rFonts w:hint="eastAsia" w:ascii="宋体" w:hAnsi="宋体" w:cs="宋体"/>
              </w:rPr>
              <w:t xml:space="preserve">3</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rPr>
                <w:rFonts w:hint="eastAsia" w:ascii="宋体" w:hAnsi="宋体" w:cs="宋体"/>
              </w:rPr>
            </w:pPr>
            <w:r>
              <w:rPr>
                <w:rFonts w:hint="eastAsia" w:ascii="宋体" w:hAnsi="宋体" w:cs="宋体"/>
              </w:rPr>
              <w:t xml:space="preserve">扭矩扳子检定仪</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rPr>
                <w:rFonts w:hint="eastAsia" w:ascii="宋体" w:hAnsi="宋体" w:cs="宋体"/>
              </w:rPr>
            </w:pPr>
            <w:r>
              <w:rPr>
                <w:rFonts w:hint="eastAsia" w:ascii="宋体" w:hAnsi="宋体" w:cs="宋体"/>
              </w:rPr>
              <w:t xml:space="preserve">1台</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rPr>
                <w:rFonts w:hint="eastAsia" w:ascii="宋体" w:hAnsi="宋体" w:cs="宋体"/>
              </w:rPr>
            </w:pPr>
            <w:r>
              <w:rPr>
                <w:rFonts w:hint="eastAsia" w:ascii="宋体" w:hAnsi="宋体" w:cs="宋体"/>
              </w:rPr>
              <w:t xml:space="preserve">2.06</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rPr>
                <w:rFonts w:hint="eastAsia" w:ascii="宋体" w:hAnsi="宋体" w:cs="宋体"/>
              </w:rPr>
            </w:pPr>
            <w:r>
              <w:rPr>
                <w:rFonts w:hint="eastAsia" w:ascii="宋体" w:hAnsi="宋体" w:cs="宋体"/>
              </w:rPr>
              <w:t xml:space="preserve">合同签订后</w:t>
            </w:r>
            <w:r>
              <w:rPr>
                <w:rFonts w:ascii="宋体" w:hAnsi="宋体" w:cs="宋体"/>
              </w:rPr>
              <w:t xml:space="preserve">6</w:t>
            </w:r>
            <w:r>
              <w:rPr>
                <w:rFonts w:hint="eastAsia" w:ascii="宋体" w:hAnsi="宋体" w:cs="宋体"/>
              </w:rPr>
              <w:t xml:space="preserve">个月</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429"/>
        </w:trPr>
        <w:tc>
          <w:tcPr>
            <w:tcBorders>
              <w:top w:val="single" w:color="000000" w:sz="4" w:space="0"/>
              <w:left w:val="single" w:color="000000" w:sz="4" w:space="0"/>
              <w:bottom w:val="none" w:color="000000" w:sz="0" w:space="0"/>
              <w:right w:val="single" w:color="000000" w:sz="4" w:space="0"/>
            </w:tcBorders>
            <w:tcW w:w="431" w:type="dxa"/>
            <w:vAlign w:val="center"/>
            <w:vMerge w:val="restart"/>
            <w:textDirection w:val="lrTb"/>
            <w:noWrap/>
          </w:tcPr>
          <w:p>
            <w:pPr>
              <w:pStyle w:val="1344"/>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1344"/>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spacing w:line="360" w:lineRule="auto"/>
              <w:rPr>
                <w:rFonts w:hint="eastAsia" w:ascii="宋体" w:hAnsi="宋体" w:cs="宋体"/>
              </w:rPr>
            </w:pPr>
            <w:r>
              <w:rPr>
                <w:rFonts w:hint="eastAsia" w:ascii="宋体" w:hAnsi="宋体" w:cs="宋体"/>
                <w:szCs w:val="21"/>
              </w:rPr>
              <w:t xml:space="preserve">表面温度源</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spacing w:line="360" w:lineRule="auto"/>
              <w:rPr>
                <w:rFonts w:hint="eastAsia" w:ascii="宋体" w:hAnsi="宋体" w:cs="宋体"/>
              </w:rPr>
            </w:pPr>
            <w:r>
              <w:rPr>
                <w:rFonts w:hint="eastAsia" w:ascii="宋体" w:hAnsi="宋体" w:cs="宋体"/>
                <w:szCs w:val="21"/>
              </w:rPr>
              <w:t xml:space="preserve">1</w:t>
            </w:r>
            <w:r>
              <w:rPr>
                <w:rFonts w:hint="eastAsia" w:ascii="宋体" w:hAnsi="宋体" w:cs="宋体"/>
              </w:rPr>
              <w:t xml:space="preserve">台</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spacing w:line="360" w:lineRule="auto"/>
              <w:rPr>
                <w:rFonts w:hint="eastAsia" w:ascii="宋体" w:hAnsi="宋体" w:cs="宋体"/>
              </w:rPr>
            </w:pPr>
            <w:r>
              <w:rPr>
                <w:rFonts w:hint="eastAsia" w:ascii="宋体" w:hAnsi="宋体" w:cs="宋体"/>
                <w:szCs w:val="21"/>
              </w:rPr>
              <w:t xml:space="preserve">15.00</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spacing w:line="360" w:lineRule="auto"/>
              <w:rPr>
                <w:rFonts w:hint="eastAsia" w:ascii="宋体" w:hAnsi="宋体" w:cs="宋体"/>
              </w:rPr>
            </w:pPr>
            <w:r>
              <w:rPr>
                <w:rFonts w:hint="eastAsia" w:ascii="宋体" w:hAnsi="宋体" w:cs="宋体"/>
                <w:szCs w:val="21"/>
              </w:rPr>
              <w:t xml:space="preserve">合同签订后</w:t>
            </w:r>
            <w:r>
              <w:rPr>
                <w:rFonts w:ascii="宋体" w:hAnsi="宋体" w:cs="宋体"/>
                <w:szCs w:val="21"/>
              </w:rPr>
              <w:t xml:space="preserve">3</w:t>
            </w:r>
            <w:r>
              <w:rPr>
                <w:rFonts w:hint="eastAsia" w:ascii="宋体" w:hAnsi="宋体" w:cs="宋体"/>
                <w:szCs w:val="21"/>
              </w:rPr>
              <w:t xml:space="preserve">个月</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spacing w:line="360" w:lineRule="auto"/>
              <w:rPr>
                <w:rFonts w:hint="eastAsia" w:ascii="宋体" w:hAnsi="宋体" w:cs="宋体"/>
              </w:rPr>
            </w:pPr>
            <w:r>
              <w:rPr>
                <w:rFonts w:hint="eastAsia" w:ascii="宋体" w:hAnsi="宋体" w:cs="宋体"/>
                <w:szCs w:val="21"/>
              </w:rPr>
              <w:t xml:space="preserve">否</w:t>
            </w:r>
            <w:r>
              <w:rPr>
                <w:rFonts w:hint="eastAsia" w:ascii="宋体" w:hAnsi="宋体" w:cs="宋体"/>
              </w:rPr>
            </w:r>
            <w:r/>
          </w:p>
        </w:tc>
      </w:tr>
      <w:tr>
        <w:trPr>
          <w:trHeight w:val="429"/>
        </w:trPr>
        <w:tc>
          <w:tcPr>
            <w:tcBorders>
              <w:top w:val="none" w:color="000000" w:sz="0" w:space="0"/>
              <w:left w:val="single" w:color="000000" w:sz="4" w:space="0"/>
              <w:bottom w:val="none" w:color="000000" w:sz="0" w:space="0"/>
              <w:right w:val="single" w:color="000000" w:sz="4" w:space="0"/>
            </w:tcBorders>
            <w:tcW w:w="431" w:type="dxa"/>
            <w:vAlign w:val="center"/>
            <w:vMerge w:val="continue"/>
            <w:textDirection w:val="lrTb"/>
            <w:noWrap/>
          </w:tcPr>
          <w:p>
            <w:pPr>
              <w:pStyle w:val="1344"/>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none" w:color="000000" w:sz="0" w:space="0"/>
              <w:right w:val="single" w:color="000000" w:sz="4" w:space="0"/>
            </w:tcBorders>
            <w:tcW w:w="343" w:type="dxa"/>
            <w:vAlign w:val="center"/>
            <w:textDirection w:val="lrTb"/>
            <w:noWrap/>
          </w:tcPr>
          <w:p>
            <w:pPr>
              <w:pStyle w:val="1344"/>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spacing w:line="360" w:lineRule="auto"/>
              <w:rPr>
                <w:rFonts w:hint="eastAsia" w:ascii="宋体" w:hAnsi="宋体" w:cs="宋体"/>
              </w:rPr>
            </w:pPr>
            <w:r>
              <w:rPr>
                <w:rFonts w:hint="eastAsia" w:ascii="宋体" w:hAnsi="宋体" w:cs="宋体"/>
                <w:szCs w:val="21"/>
              </w:rPr>
              <w:t xml:space="preserve">温湿度检定箱</w:t>
            </w:r>
            <w:r>
              <w:rPr>
                <w:rFonts w:hint="eastAsia" w:ascii="宋体" w:hAnsi="宋体" w:cs="宋体"/>
                <w:b/>
                <w:color w:val="ff0000"/>
                <w:szCs w:val="21"/>
              </w:rPr>
              <w:t xml:space="preserve">（核心产品）</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spacing w:line="360" w:lineRule="auto"/>
              <w:rPr>
                <w:rFonts w:hint="eastAsia" w:ascii="宋体" w:hAnsi="宋体" w:cs="宋体"/>
              </w:rPr>
            </w:pPr>
            <w:r>
              <w:rPr>
                <w:rFonts w:hint="eastAsia" w:ascii="宋体" w:hAnsi="宋体" w:cs="宋体"/>
                <w:szCs w:val="21"/>
              </w:rPr>
              <w:t xml:space="preserve">2</w:t>
            </w:r>
            <w:r>
              <w:rPr>
                <w:rFonts w:hint="eastAsia" w:ascii="宋体" w:hAnsi="宋体" w:cs="宋体"/>
              </w:rPr>
              <w:t xml:space="preserve">台</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spacing w:line="360" w:lineRule="auto"/>
              <w:rPr>
                <w:rFonts w:hint="eastAsia" w:ascii="宋体" w:hAnsi="宋体" w:cs="宋体"/>
              </w:rPr>
            </w:pPr>
            <w:r>
              <w:rPr>
                <w:rFonts w:hint="eastAsia" w:ascii="宋体" w:hAnsi="宋体" w:cs="宋体"/>
                <w:szCs w:val="21"/>
              </w:rPr>
              <w:t xml:space="preserve">110.00</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spacing w:line="360" w:lineRule="auto"/>
              <w:rPr>
                <w:rFonts w:hint="eastAsia" w:ascii="宋体" w:hAnsi="宋体" w:cs="宋体"/>
              </w:rPr>
            </w:pPr>
            <w:r>
              <w:rPr>
                <w:rFonts w:hint="eastAsia" w:ascii="宋体" w:hAnsi="宋体" w:cs="宋体"/>
                <w:szCs w:val="21"/>
              </w:rPr>
              <w:t xml:space="preserve">合同签订后</w:t>
            </w:r>
            <w:r>
              <w:rPr>
                <w:rFonts w:ascii="宋体" w:hAnsi="宋体" w:cs="宋体"/>
                <w:szCs w:val="21"/>
              </w:rPr>
              <w:t xml:space="preserve">3</w:t>
            </w:r>
            <w:r>
              <w:rPr>
                <w:rFonts w:hint="eastAsia" w:ascii="宋体" w:hAnsi="宋体" w:cs="宋体"/>
                <w:szCs w:val="21"/>
              </w:rPr>
              <w:t xml:space="preserve">个月</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spacing w:line="360" w:lineRule="auto"/>
              <w:rPr>
                <w:rFonts w:hint="eastAsia" w:ascii="宋体" w:hAnsi="宋体" w:cs="宋体"/>
              </w:rPr>
            </w:pPr>
            <w:r>
              <w:rPr>
                <w:rFonts w:hint="eastAsia" w:ascii="宋体" w:hAnsi="宋体" w:cs="宋体"/>
                <w:szCs w:val="21"/>
              </w:rPr>
              <w:t xml:space="preserve">否</w:t>
            </w:r>
            <w:r>
              <w:rPr>
                <w:rFonts w:hint="eastAsia" w:ascii="宋体" w:hAnsi="宋体" w:cs="宋体"/>
              </w:rPr>
            </w:r>
            <w:r/>
          </w:p>
        </w:tc>
      </w:tr>
      <w:tr>
        <w:trPr>
          <w:trHeight w:val="429"/>
        </w:trPr>
        <w:tc>
          <w:tcPr>
            <w:tcBorders>
              <w:top w:val="none" w:color="000000" w:sz="0" w:space="0"/>
              <w:left w:val="single" w:color="000000" w:sz="4" w:space="0"/>
              <w:bottom w:val="none" w:color="000000" w:sz="0" w:space="0"/>
              <w:right w:val="single" w:color="000000" w:sz="4" w:space="0"/>
            </w:tcBorders>
            <w:tcW w:w="431" w:type="dxa"/>
            <w:vAlign w:val="center"/>
            <w:vMerge w:val="continue"/>
            <w:textDirection w:val="lrTb"/>
            <w:noWrap/>
          </w:tcPr>
          <w:p>
            <w:pPr>
              <w:pStyle w:val="1344"/>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1344"/>
              <w:jc w:val="center"/>
              <w:rPr>
                <w:rFonts w:hint="eastAsia" w:ascii="宋体" w:hAnsi="宋体" w:cs="宋体"/>
              </w:rPr>
            </w:pPr>
            <w:r>
              <w:rPr>
                <w:rFonts w:hint="eastAsia" w:ascii="宋体" w:hAnsi="宋体" w:cs="宋体"/>
              </w:rPr>
              <w:t xml:space="preserve">3</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spacing w:line="360" w:lineRule="auto"/>
              <w:rPr>
                <w:rFonts w:hint="eastAsia" w:ascii="宋体" w:hAnsi="宋体" w:cs="宋体"/>
              </w:rPr>
            </w:pPr>
            <w:r>
              <w:rPr>
                <w:rFonts w:hint="eastAsia" w:ascii="宋体" w:hAnsi="宋体" w:cs="宋体"/>
                <w:szCs w:val="21"/>
              </w:rPr>
              <w:t xml:space="preserve">热电偶检定炉</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spacing w:line="360" w:lineRule="auto"/>
              <w:rPr>
                <w:rFonts w:hint="eastAsia" w:ascii="宋体" w:hAnsi="宋体" w:cs="宋体"/>
              </w:rPr>
            </w:pPr>
            <w:r>
              <w:rPr>
                <w:rFonts w:hint="eastAsia" w:ascii="宋体" w:hAnsi="宋体" w:cs="宋体"/>
                <w:szCs w:val="21"/>
              </w:rPr>
              <w:t xml:space="preserve">1</w:t>
            </w:r>
            <w:r>
              <w:rPr>
                <w:rFonts w:hint="eastAsia" w:ascii="宋体" w:hAnsi="宋体" w:cs="宋体"/>
              </w:rPr>
              <w:t xml:space="preserve">台</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spacing w:line="360" w:lineRule="auto"/>
              <w:rPr>
                <w:rFonts w:hint="eastAsia" w:ascii="宋体" w:hAnsi="宋体" w:cs="宋体"/>
              </w:rPr>
            </w:pPr>
            <w:r>
              <w:rPr>
                <w:rFonts w:hint="eastAsia" w:ascii="宋体" w:hAnsi="宋体" w:cs="宋体"/>
                <w:szCs w:val="21"/>
              </w:rPr>
              <w:t xml:space="preserve">10.00</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spacing w:line="360" w:lineRule="auto"/>
              <w:rPr>
                <w:rFonts w:hint="eastAsia" w:ascii="宋体" w:hAnsi="宋体" w:cs="宋体"/>
              </w:rPr>
            </w:pPr>
            <w:r>
              <w:rPr>
                <w:rFonts w:hint="eastAsia" w:ascii="宋体" w:hAnsi="宋体" w:cs="宋体"/>
                <w:szCs w:val="21"/>
              </w:rPr>
              <w:t xml:space="preserve">合同签订后</w:t>
            </w:r>
            <w:r>
              <w:rPr>
                <w:rFonts w:ascii="宋体" w:hAnsi="宋体" w:cs="宋体"/>
                <w:szCs w:val="21"/>
              </w:rPr>
              <w:t xml:space="preserve">3</w:t>
            </w:r>
            <w:r>
              <w:rPr>
                <w:rFonts w:hint="eastAsia" w:ascii="宋体" w:hAnsi="宋体" w:cs="宋体"/>
                <w:szCs w:val="21"/>
              </w:rPr>
              <w:t xml:space="preserve">个月</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spacing w:line="360" w:lineRule="auto"/>
              <w:rPr>
                <w:rFonts w:hint="eastAsia" w:ascii="宋体" w:hAnsi="宋体" w:cs="宋体"/>
              </w:rPr>
            </w:pPr>
            <w:r>
              <w:rPr>
                <w:rFonts w:hint="eastAsia" w:ascii="宋体" w:hAnsi="宋体" w:cs="宋体"/>
                <w:szCs w:val="21"/>
              </w:rPr>
              <w:t xml:space="preserve">否</w:t>
            </w:r>
            <w:r>
              <w:rPr>
                <w:rFonts w:hint="eastAsia" w:ascii="宋体" w:hAnsi="宋体" w:cs="宋体"/>
              </w:rPr>
            </w:r>
            <w:r/>
          </w:p>
        </w:tc>
      </w:tr>
      <w:tr>
        <w:trPr>
          <w:trHeight w:val="429"/>
        </w:trPr>
        <w:tc>
          <w:tcPr>
            <w:tcBorders>
              <w:top w:val="none" w:color="000000" w:sz="0" w:space="0"/>
              <w:left w:val="single" w:color="000000" w:sz="4" w:space="0"/>
              <w:bottom w:val="none" w:color="000000" w:sz="0" w:space="0"/>
              <w:right w:val="single" w:color="000000" w:sz="4" w:space="0"/>
            </w:tcBorders>
            <w:tcW w:w="431" w:type="dxa"/>
            <w:vAlign w:val="center"/>
            <w:vMerge w:val="continue"/>
            <w:textDirection w:val="lrTb"/>
            <w:noWrap/>
          </w:tcPr>
          <w:p>
            <w:pPr>
              <w:pStyle w:val="1344"/>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none" w:color="000000" w:sz="0" w:space="0"/>
              <w:right w:val="single" w:color="000000" w:sz="4" w:space="0"/>
            </w:tcBorders>
            <w:tcW w:w="343" w:type="dxa"/>
            <w:vAlign w:val="center"/>
            <w:textDirection w:val="lrTb"/>
            <w:noWrap/>
          </w:tcPr>
          <w:p>
            <w:pPr>
              <w:pStyle w:val="1344"/>
              <w:jc w:val="center"/>
              <w:rPr>
                <w:rFonts w:hint="eastAsia" w:ascii="宋体" w:hAnsi="宋体" w:cs="宋体"/>
              </w:rPr>
            </w:pPr>
            <w:r>
              <w:rPr>
                <w:rFonts w:hint="eastAsia" w:ascii="宋体" w:hAnsi="宋体" w:cs="宋体"/>
              </w:rPr>
              <w:t xml:space="preserve">4</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spacing w:line="360" w:lineRule="auto"/>
              <w:rPr>
                <w:rFonts w:hint="eastAsia" w:ascii="宋体" w:hAnsi="宋体" w:cs="宋体"/>
              </w:rPr>
            </w:pPr>
            <w:r>
              <w:rPr>
                <w:rFonts w:hint="eastAsia" w:ascii="宋体" w:hAnsi="宋体" w:cs="宋体"/>
                <w:szCs w:val="21"/>
              </w:rPr>
              <w:t xml:space="preserve">标准铂电阻温度计</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spacing w:line="360" w:lineRule="auto"/>
              <w:rPr>
                <w:rFonts w:hint="eastAsia" w:ascii="宋体" w:hAnsi="宋体" w:cs="宋体"/>
              </w:rPr>
            </w:pPr>
            <w:r>
              <w:rPr>
                <w:rFonts w:ascii="宋体" w:hAnsi="宋体" w:cs="宋体"/>
                <w:szCs w:val="21"/>
              </w:rPr>
              <w:t xml:space="preserve">2</w:t>
            </w:r>
            <w:r>
              <w:rPr>
                <w:rFonts w:hint="eastAsia" w:ascii="宋体" w:hAnsi="宋体" w:cs="宋体"/>
              </w:rPr>
              <w:t xml:space="preserve">台</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spacing w:line="360" w:lineRule="auto"/>
              <w:rPr>
                <w:rFonts w:hint="eastAsia" w:ascii="宋体" w:hAnsi="宋体" w:cs="宋体"/>
              </w:rPr>
            </w:pPr>
            <w:r>
              <w:rPr>
                <w:rFonts w:ascii="宋体" w:hAnsi="宋体" w:cs="宋体"/>
                <w:szCs w:val="21"/>
              </w:rPr>
              <w:t xml:space="preserve">6</w:t>
            </w:r>
            <w:r>
              <w:rPr>
                <w:rFonts w:hint="eastAsia" w:ascii="宋体" w:hAnsi="宋体" w:cs="宋体"/>
                <w:szCs w:val="21"/>
              </w:rPr>
              <w:t xml:space="preserve">.00</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spacing w:line="360" w:lineRule="auto"/>
              <w:rPr>
                <w:rFonts w:hint="eastAsia" w:ascii="宋体" w:hAnsi="宋体" w:cs="宋体"/>
              </w:rPr>
            </w:pPr>
            <w:r>
              <w:rPr>
                <w:rFonts w:hint="eastAsia" w:ascii="宋体" w:hAnsi="宋体" w:cs="宋体"/>
                <w:szCs w:val="21"/>
              </w:rPr>
              <w:t xml:space="preserve">合同签订后</w:t>
            </w:r>
            <w:r>
              <w:rPr>
                <w:rFonts w:ascii="宋体" w:hAnsi="宋体" w:cs="宋体"/>
                <w:szCs w:val="21"/>
              </w:rPr>
              <w:t xml:space="preserve">3</w:t>
            </w:r>
            <w:r>
              <w:rPr>
                <w:rFonts w:hint="eastAsia" w:ascii="宋体" w:hAnsi="宋体" w:cs="宋体"/>
                <w:szCs w:val="21"/>
              </w:rPr>
              <w:t xml:space="preserve">个月</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spacing w:line="360" w:lineRule="auto"/>
              <w:rPr>
                <w:rFonts w:hint="eastAsia" w:ascii="宋体" w:hAnsi="宋体" w:cs="宋体"/>
              </w:rPr>
            </w:pPr>
            <w:r>
              <w:rPr>
                <w:rFonts w:hint="eastAsia" w:ascii="宋体" w:hAnsi="宋体" w:cs="宋体"/>
                <w:szCs w:val="21"/>
              </w:rPr>
              <w:t xml:space="preserve">否</w:t>
            </w:r>
            <w:r>
              <w:rPr>
                <w:rFonts w:hint="eastAsia" w:ascii="宋体" w:hAnsi="宋体" w:cs="宋体"/>
              </w:rPr>
            </w:r>
            <w:r/>
          </w:p>
        </w:tc>
      </w:tr>
      <w:tr>
        <w:trPr>
          <w:trHeight w:val="429"/>
        </w:trPr>
        <w:tc>
          <w:tcPr>
            <w:tcBorders>
              <w:top w:val="none" w:color="000000" w:sz="0" w:space="0"/>
              <w:left w:val="single" w:color="000000" w:sz="4" w:space="0"/>
              <w:bottom w:val="none" w:color="000000" w:sz="0" w:space="0"/>
              <w:right w:val="single" w:color="000000" w:sz="4" w:space="0"/>
            </w:tcBorders>
            <w:tcW w:w="431" w:type="dxa"/>
            <w:vAlign w:val="center"/>
            <w:vMerge w:val="continue"/>
            <w:textDirection w:val="lrTb"/>
            <w:noWrap/>
          </w:tcPr>
          <w:p>
            <w:pPr>
              <w:pStyle w:val="1344"/>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1344"/>
              <w:jc w:val="center"/>
              <w:rPr>
                <w:rFonts w:hint="eastAsia" w:ascii="宋体" w:hAnsi="宋体" w:cs="宋体"/>
              </w:rPr>
            </w:pPr>
            <w:r>
              <w:rPr>
                <w:rFonts w:hint="eastAsia" w:ascii="宋体" w:hAnsi="宋体" w:cs="宋体"/>
              </w:rPr>
              <w:t xml:space="preserve">5</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spacing w:line="360" w:lineRule="auto"/>
              <w:rPr>
                <w:rFonts w:hint="eastAsia" w:ascii="宋体" w:hAnsi="宋体" w:cs="宋体"/>
              </w:rPr>
            </w:pPr>
            <w:r>
              <w:rPr>
                <w:rFonts w:hint="eastAsia" w:ascii="宋体" w:hAnsi="宋体" w:cs="宋体"/>
                <w:szCs w:val="21"/>
              </w:rPr>
              <w:t xml:space="preserve">活塞式压力计</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spacing w:line="360" w:lineRule="auto"/>
              <w:rPr>
                <w:rFonts w:hint="eastAsia" w:ascii="宋体" w:hAnsi="宋体" w:cs="宋体"/>
              </w:rPr>
            </w:pPr>
            <w:r>
              <w:rPr>
                <w:rFonts w:hint="eastAsia" w:ascii="宋体" w:hAnsi="宋体" w:cs="宋体"/>
                <w:szCs w:val="21"/>
              </w:rPr>
              <w:t xml:space="preserve">1</w:t>
            </w:r>
            <w:r>
              <w:rPr>
                <w:rFonts w:hint="eastAsia" w:ascii="宋体" w:hAnsi="宋体" w:cs="宋体"/>
              </w:rPr>
              <w:t xml:space="preserve">台</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spacing w:line="360" w:lineRule="auto"/>
              <w:rPr>
                <w:rFonts w:hint="eastAsia" w:ascii="宋体" w:hAnsi="宋体" w:cs="宋体"/>
              </w:rPr>
            </w:pPr>
            <w:r>
              <w:rPr>
                <w:rFonts w:hint="eastAsia" w:ascii="宋体" w:hAnsi="宋体" w:cs="宋体"/>
                <w:szCs w:val="21"/>
              </w:rPr>
              <w:t xml:space="preserve">15.00</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spacing w:line="360" w:lineRule="auto"/>
              <w:rPr>
                <w:rFonts w:hint="eastAsia" w:ascii="宋体" w:hAnsi="宋体" w:cs="宋体"/>
              </w:rPr>
            </w:pPr>
            <w:r>
              <w:rPr>
                <w:rFonts w:hint="eastAsia" w:ascii="宋体" w:hAnsi="宋体" w:cs="宋体"/>
                <w:szCs w:val="21"/>
              </w:rPr>
              <w:t xml:space="preserve">合同签订后</w:t>
            </w:r>
            <w:r>
              <w:rPr>
                <w:rFonts w:ascii="宋体" w:hAnsi="宋体" w:cs="宋体"/>
                <w:szCs w:val="21"/>
              </w:rPr>
              <w:t xml:space="preserve">3</w:t>
            </w:r>
            <w:r>
              <w:rPr>
                <w:rFonts w:hint="eastAsia" w:ascii="宋体" w:hAnsi="宋体" w:cs="宋体"/>
                <w:szCs w:val="21"/>
              </w:rPr>
              <w:t xml:space="preserve">个月</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spacing w:line="360" w:lineRule="auto"/>
              <w:rPr>
                <w:rFonts w:hint="eastAsia" w:ascii="宋体" w:hAnsi="宋体" w:cs="宋体"/>
              </w:rPr>
            </w:pPr>
            <w:r>
              <w:rPr>
                <w:rFonts w:hint="eastAsia" w:ascii="宋体" w:hAnsi="宋体" w:cs="宋体"/>
                <w:szCs w:val="21"/>
              </w:rPr>
              <w:t xml:space="preserve">否</w:t>
            </w:r>
            <w:r>
              <w:rPr>
                <w:rFonts w:hint="eastAsia" w:ascii="宋体" w:hAnsi="宋体" w:cs="宋体"/>
              </w:rPr>
            </w:r>
            <w:r/>
          </w:p>
        </w:tc>
      </w:tr>
      <w:tr>
        <w:trPr>
          <w:trHeight w:val="429"/>
        </w:trPr>
        <w:tc>
          <w:tcPr>
            <w:tcBorders>
              <w:top w:val="none" w:color="000000" w:sz="0" w:space="0"/>
              <w:left w:val="single" w:color="000000" w:sz="4" w:space="0"/>
              <w:bottom w:val="none" w:color="000000" w:sz="0" w:space="0"/>
              <w:right w:val="single" w:color="000000" w:sz="4" w:space="0"/>
            </w:tcBorders>
            <w:tcW w:w="431" w:type="dxa"/>
            <w:vAlign w:val="center"/>
            <w:vMerge w:val="continue"/>
            <w:textDirection w:val="lrTb"/>
            <w:noWrap/>
          </w:tcPr>
          <w:p>
            <w:pPr>
              <w:pStyle w:val="1344"/>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none" w:color="000000" w:sz="0" w:space="0"/>
              <w:right w:val="single" w:color="000000" w:sz="4" w:space="0"/>
            </w:tcBorders>
            <w:tcW w:w="343" w:type="dxa"/>
            <w:vAlign w:val="center"/>
            <w:vMerge w:val="restart"/>
            <w:textDirection w:val="lrTb"/>
            <w:noWrap/>
          </w:tcPr>
          <w:p>
            <w:pPr>
              <w:pStyle w:val="1344"/>
              <w:jc w:val="center"/>
              <w:rPr>
                <w:rFonts w:hint="eastAsia" w:ascii="宋体" w:hAnsi="宋体" w:cs="宋体"/>
              </w:rPr>
            </w:pPr>
            <w:r>
              <w:rPr>
                <w:rFonts w:hint="eastAsia" w:ascii="宋体" w:hAnsi="宋体" w:cs="宋体"/>
              </w:rPr>
              <w:t xml:space="preserve">6</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spacing w:line="360" w:lineRule="auto"/>
              <w:rPr>
                <w:rFonts w:hint="eastAsia" w:ascii="宋体" w:hAnsi="宋体" w:cs="宋体"/>
              </w:rPr>
            </w:pPr>
            <w:r>
              <w:rPr>
                <w:rFonts w:hint="eastAsia" w:ascii="宋体" w:hAnsi="宋体" w:cs="宋体"/>
                <w:szCs w:val="21"/>
              </w:rPr>
              <w:t xml:space="preserve">活塞式压力计</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spacing w:line="360" w:lineRule="auto"/>
              <w:rPr>
                <w:rFonts w:hint="eastAsia" w:ascii="宋体" w:hAnsi="宋体" w:cs="宋体"/>
              </w:rPr>
            </w:pPr>
            <w:r>
              <w:rPr>
                <w:rFonts w:hint="eastAsia" w:ascii="宋体" w:hAnsi="宋体" w:cs="宋体"/>
                <w:szCs w:val="21"/>
              </w:rPr>
              <w:t xml:space="preserve">1</w:t>
            </w:r>
            <w:r>
              <w:rPr>
                <w:rFonts w:hint="eastAsia" w:ascii="宋体" w:hAnsi="宋体" w:cs="宋体"/>
              </w:rPr>
              <w:t xml:space="preserve">台</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spacing w:line="360" w:lineRule="auto"/>
              <w:rPr>
                <w:rFonts w:hint="eastAsia" w:ascii="宋体" w:hAnsi="宋体" w:cs="宋体"/>
              </w:rPr>
            </w:pPr>
            <w:r>
              <w:rPr>
                <w:rFonts w:hint="eastAsia" w:ascii="宋体" w:hAnsi="宋体" w:cs="宋体"/>
                <w:szCs w:val="21"/>
              </w:rPr>
              <w:t xml:space="preserve">3.25</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spacing w:line="360" w:lineRule="auto"/>
              <w:rPr>
                <w:rFonts w:hint="eastAsia" w:ascii="宋体" w:hAnsi="宋体" w:cs="宋体"/>
              </w:rPr>
            </w:pPr>
            <w:r>
              <w:rPr>
                <w:rFonts w:hint="eastAsia" w:ascii="宋体" w:hAnsi="宋体" w:cs="宋体"/>
                <w:szCs w:val="21"/>
              </w:rPr>
              <w:t xml:space="preserve">合同签订后</w:t>
            </w:r>
            <w:r>
              <w:rPr>
                <w:rFonts w:ascii="宋体" w:hAnsi="宋体" w:cs="宋体"/>
                <w:szCs w:val="21"/>
              </w:rPr>
              <w:t xml:space="preserve">3</w:t>
            </w:r>
            <w:r>
              <w:rPr>
                <w:rFonts w:hint="eastAsia" w:ascii="宋体" w:hAnsi="宋体" w:cs="宋体"/>
                <w:szCs w:val="21"/>
              </w:rPr>
              <w:t xml:space="preserve">个月</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spacing w:line="360" w:lineRule="auto"/>
              <w:rPr>
                <w:rFonts w:hint="eastAsia" w:ascii="宋体" w:hAnsi="宋体" w:cs="宋体"/>
              </w:rPr>
            </w:pPr>
            <w:r>
              <w:rPr>
                <w:rFonts w:hint="eastAsia" w:ascii="宋体" w:hAnsi="宋体" w:cs="宋体"/>
                <w:szCs w:val="21"/>
              </w:rPr>
              <w:t xml:space="preserve">否</w:t>
            </w:r>
            <w:r>
              <w:rPr>
                <w:rFonts w:hint="eastAsia" w:ascii="宋体" w:hAnsi="宋体" w:cs="宋体"/>
              </w:rPr>
            </w:r>
            <w:r/>
          </w:p>
        </w:tc>
      </w:tr>
      <w:tr>
        <w:trPr>
          <w:trHeight w:val="429"/>
        </w:trPr>
        <w:tc>
          <w:tcPr>
            <w:tcBorders>
              <w:top w:val="none" w:color="000000" w:sz="0" w:space="0"/>
              <w:left w:val="single" w:color="000000" w:sz="4" w:space="0"/>
              <w:bottom w:val="single" w:color="000000" w:sz="4" w:space="0"/>
              <w:right w:val="single" w:color="000000" w:sz="4" w:space="0"/>
            </w:tcBorders>
            <w:tcW w:w="431" w:type="dxa"/>
            <w:vAlign w:val="center"/>
            <w:vMerge w:val="continue"/>
            <w:textDirection w:val="lrTb"/>
            <w:noWrap/>
          </w:tcPr>
          <w:p>
            <w:pPr>
              <w:pStyle w:val="1344"/>
              <w:jc w:val="center"/>
              <w:rPr>
                <w:rFonts w:hint="eastAsia" w:ascii="宋体" w:hAnsi="宋体" w:cs="宋体"/>
              </w:rPr>
            </w:pPr>
            <w:r>
              <w:rPr>
                <w:rFonts w:hint="eastAsia" w:ascii="宋体" w:hAnsi="宋体" w:cs="宋体"/>
              </w:rPr>
            </w:r>
            <w:r/>
          </w:p>
        </w:tc>
        <w:tc>
          <w:tcPr>
            <w:tcBorders>
              <w:top w:val="none" w:color="000000" w:sz="0" w:space="0"/>
              <w:left w:val="single" w:color="000000" w:sz="4" w:space="0"/>
              <w:bottom w:val="single" w:color="000000" w:sz="4" w:space="0"/>
              <w:right w:val="single" w:color="000000" w:sz="4" w:space="0"/>
            </w:tcBorders>
            <w:tcW w:w="343" w:type="dxa"/>
            <w:vAlign w:val="center"/>
            <w:vMerge w:val="continue"/>
            <w:textDirection w:val="lrTb"/>
            <w:noWrap/>
          </w:tcPr>
          <w:p>
            <w:pPr>
              <w:pStyle w:val="1344"/>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spacing w:line="360" w:lineRule="auto"/>
              <w:rPr>
                <w:rFonts w:hint="eastAsia" w:ascii="宋体" w:hAnsi="宋体" w:cs="宋体"/>
              </w:rPr>
            </w:pPr>
            <w:r>
              <w:rPr>
                <w:rFonts w:hint="eastAsia" w:ascii="宋体" w:hAnsi="宋体" w:cs="宋体"/>
                <w:szCs w:val="21"/>
              </w:rPr>
              <w:t xml:space="preserve">活塞式压力计</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spacing w:line="360" w:lineRule="auto"/>
              <w:rPr>
                <w:rFonts w:hint="eastAsia" w:ascii="宋体" w:hAnsi="宋体" w:cs="宋体"/>
              </w:rPr>
            </w:pPr>
            <w:r>
              <w:rPr>
                <w:rFonts w:hint="eastAsia" w:ascii="宋体" w:hAnsi="宋体" w:cs="宋体"/>
                <w:szCs w:val="21"/>
              </w:rPr>
              <w:t xml:space="preserve">1</w:t>
            </w:r>
            <w:r>
              <w:rPr>
                <w:rFonts w:hint="eastAsia" w:ascii="宋体" w:hAnsi="宋体" w:cs="宋体"/>
              </w:rPr>
              <w:t xml:space="preserve">台</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spacing w:line="360" w:lineRule="auto"/>
              <w:rPr>
                <w:rFonts w:hint="eastAsia" w:ascii="宋体" w:hAnsi="宋体" w:cs="宋体"/>
              </w:rPr>
            </w:pPr>
            <w:r>
              <w:rPr>
                <w:rFonts w:hint="eastAsia" w:ascii="宋体" w:hAnsi="宋体" w:cs="宋体"/>
                <w:szCs w:val="21"/>
              </w:rPr>
              <w:t xml:space="preserve">3.25</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spacing w:line="360" w:lineRule="auto"/>
              <w:rPr>
                <w:rFonts w:hint="eastAsia" w:ascii="宋体" w:hAnsi="宋体" w:cs="宋体"/>
              </w:rPr>
            </w:pPr>
            <w:r>
              <w:rPr>
                <w:rFonts w:hint="eastAsia" w:ascii="宋体" w:hAnsi="宋体" w:cs="宋体"/>
                <w:szCs w:val="21"/>
              </w:rPr>
              <w:t xml:space="preserve">合同签订后</w:t>
            </w:r>
            <w:r>
              <w:rPr>
                <w:rFonts w:ascii="宋体" w:hAnsi="宋体" w:cs="宋体"/>
                <w:szCs w:val="21"/>
              </w:rPr>
              <w:t xml:space="preserve">3</w:t>
            </w:r>
            <w:r>
              <w:rPr>
                <w:rFonts w:hint="eastAsia" w:ascii="宋体" w:hAnsi="宋体" w:cs="宋体"/>
                <w:szCs w:val="21"/>
              </w:rPr>
              <w:t xml:space="preserve">个月</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spacing w:line="360" w:lineRule="auto"/>
              <w:rPr>
                <w:rFonts w:hint="eastAsia" w:ascii="宋体" w:hAnsi="宋体" w:cs="宋体"/>
              </w:rPr>
            </w:pPr>
            <w:r>
              <w:rPr>
                <w:rFonts w:hint="eastAsia" w:ascii="宋体" w:hAnsi="宋体" w:cs="宋体"/>
                <w:szCs w:val="21"/>
              </w:rPr>
              <w:t xml:space="preserve">否</w:t>
            </w:r>
            <w:r>
              <w:rPr>
                <w:rFonts w:hint="eastAsia" w:ascii="宋体" w:hAnsi="宋体" w:cs="宋体"/>
              </w:rPr>
            </w:r>
            <w:r/>
          </w:p>
        </w:tc>
      </w:tr>
      <w:tr>
        <w:trPr>
          <w:trHeight w:val="429"/>
        </w:trPr>
        <w:tc>
          <w:tcPr>
            <w:tcBorders>
              <w:top w:val="single" w:color="000000" w:sz="4" w:space="0"/>
              <w:left w:val="single" w:color="000000" w:sz="4" w:space="0"/>
              <w:bottom w:val="single" w:color="000000" w:sz="4" w:space="0"/>
              <w:right w:val="single" w:color="000000" w:sz="4" w:space="0"/>
            </w:tcBorders>
            <w:tcW w:w="431" w:type="dxa"/>
            <w:vAlign w:val="center"/>
            <w:vMerge w:val="continue"/>
            <w:textDirection w:val="lrTb"/>
            <w:noWrap/>
          </w:tcPr>
          <w:p>
            <w:pPr>
              <w:pStyle w:val="1344"/>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3" w:type="dxa"/>
            <w:vAlign w:val="center"/>
            <w:vMerge w:val="continue"/>
            <w:textDirection w:val="lrTb"/>
            <w:noWrap/>
          </w:tcPr>
          <w:p>
            <w:pPr>
              <w:pStyle w:val="1344"/>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spacing w:line="360" w:lineRule="auto"/>
              <w:rPr>
                <w:rFonts w:hint="eastAsia" w:ascii="宋体" w:hAnsi="宋体" w:cs="宋体"/>
              </w:rPr>
            </w:pPr>
            <w:r>
              <w:rPr>
                <w:rFonts w:hint="eastAsia" w:ascii="宋体" w:hAnsi="宋体" w:cs="宋体"/>
                <w:szCs w:val="21"/>
              </w:rPr>
              <w:t xml:space="preserve">活塞式压力计</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spacing w:line="360" w:lineRule="auto"/>
              <w:rPr>
                <w:rFonts w:hint="eastAsia" w:ascii="宋体" w:hAnsi="宋体" w:cs="宋体"/>
              </w:rPr>
            </w:pPr>
            <w:r>
              <w:rPr>
                <w:rFonts w:hint="eastAsia" w:ascii="宋体" w:hAnsi="宋体" w:cs="宋体"/>
                <w:szCs w:val="21"/>
              </w:rPr>
              <w:t xml:space="preserve">1</w:t>
            </w:r>
            <w:r>
              <w:rPr>
                <w:rFonts w:hint="eastAsia" w:ascii="宋体" w:hAnsi="宋体" w:cs="宋体"/>
              </w:rPr>
              <w:t xml:space="preserve">台</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spacing w:line="360" w:lineRule="auto"/>
              <w:rPr>
                <w:rFonts w:hint="eastAsia" w:ascii="宋体" w:hAnsi="宋体" w:cs="宋体"/>
              </w:rPr>
            </w:pPr>
            <w:r>
              <w:rPr>
                <w:rFonts w:hint="eastAsia" w:ascii="宋体" w:hAnsi="宋体" w:cs="宋体"/>
                <w:szCs w:val="21"/>
              </w:rPr>
              <w:t xml:space="preserve">3.35</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spacing w:line="360" w:lineRule="auto"/>
              <w:rPr>
                <w:rFonts w:hint="eastAsia" w:ascii="宋体" w:hAnsi="宋体" w:cs="宋体"/>
              </w:rPr>
            </w:pPr>
            <w:r>
              <w:rPr>
                <w:rFonts w:hint="eastAsia" w:ascii="宋体" w:hAnsi="宋体" w:cs="宋体"/>
                <w:szCs w:val="21"/>
              </w:rPr>
              <w:t xml:space="preserve">合同签订后</w:t>
            </w:r>
            <w:r>
              <w:rPr>
                <w:rFonts w:ascii="宋体" w:hAnsi="宋体" w:cs="宋体"/>
                <w:szCs w:val="21"/>
              </w:rPr>
              <w:t xml:space="preserve">3</w:t>
            </w:r>
            <w:r>
              <w:rPr>
                <w:rFonts w:hint="eastAsia" w:ascii="宋体" w:hAnsi="宋体" w:cs="宋体"/>
                <w:szCs w:val="21"/>
              </w:rPr>
              <w:t xml:space="preserve">个月</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spacing w:line="360" w:lineRule="auto"/>
              <w:rPr>
                <w:rFonts w:hint="eastAsia" w:ascii="宋体" w:hAnsi="宋体" w:cs="宋体"/>
              </w:rPr>
            </w:pPr>
            <w:r>
              <w:rPr>
                <w:rFonts w:hint="eastAsia" w:ascii="宋体" w:hAnsi="宋体" w:cs="宋体"/>
                <w:szCs w:val="21"/>
              </w:rPr>
              <w:t xml:space="preserve">否</w:t>
            </w:r>
            <w:r>
              <w:rPr>
                <w:rFonts w:hint="eastAsia" w:ascii="宋体" w:hAnsi="宋体" w:cs="宋体"/>
              </w:rPr>
            </w:r>
            <w:r/>
          </w:p>
        </w:tc>
      </w:tr>
      <w:tr>
        <w:trPr>
          <w:trHeight w:val="429"/>
        </w:trPr>
        <w:tc>
          <w:tcPr>
            <w:tcBorders>
              <w:top w:val="single" w:color="000000" w:sz="4" w:space="0"/>
              <w:left w:val="single" w:color="000000" w:sz="4" w:space="0"/>
              <w:bottom w:val="none" w:color="000000" w:sz="0" w:space="0"/>
              <w:right w:val="single" w:color="000000" w:sz="4" w:space="0"/>
            </w:tcBorders>
            <w:tcW w:w="431" w:type="dxa"/>
            <w:vAlign w:val="center"/>
            <w:vMerge w:val="restart"/>
            <w:textDirection w:val="lrTb"/>
            <w:noWrap/>
          </w:tcPr>
          <w:p>
            <w:pPr>
              <w:pStyle w:val="1344"/>
              <w:jc w:val="center"/>
              <w:rPr>
                <w:rFonts w:hint="eastAsia" w:ascii="宋体" w:hAnsi="宋体" w:cs="宋体"/>
              </w:rPr>
            </w:pPr>
            <w:r>
              <w:rPr>
                <w:rFonts w:hint="eastAsia" w:ascii="宋体" w:hAnsi="宋体" w:cs="宋体"/>
              </w:rPr>
              <w:t xml:space="preserve">3</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1344"/>
              <w:jc w:val="center"/>
              <w:spacing w:line="360" w:lineRule="auto"/>
              <w:rPr>
                <w:rFonts w:hint="eastAsia" w:ascii="宋体" w:hAnsi="宋体" w:cs="宋体"/>
              </w:rPr>
            </w:pPr>
            <w:r>
              <w:rPr>
                <w:rFonts w:hint="eastAsia" w:ascii="宋体" w:hAnsi="宋体" w:cs="宋体"/>
                <w:szCs w:val="21"/>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rPr>
                <w:rFonts w:hint="eastAsia" w:ascii="宋体" w:hAnsi="宋体" w:cs="宋体"/>
                <w:szCs w:val="21"/>
              </w:rPr>
            </w:pPr>
            <w:r>
              <w:rPr>
                <w:rFonts w:hint="eastAsia" w:ascii="宋体" w:hAnsi="宋体" w:cs="宋体"/>
                <w:szCs w:val="21"/>
              </w:rPr>
              <w:t xml:space="preserve">酸度计检定仪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1.20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合同签订后6个月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r>
      <w:tr>
        <w:trPr>
          <w:trHeight w:val="429"/>
        </w:trPr>
        <w:tc>
          <w:tcPr>
            <w:tcBorders>
              <w:top w:val="none" w:color="000000" w:sz="0" w:space="0"/>
              <w:left w:val="single" w:color="000000" w:sz="4" w:space="0"/>
              <w:bottom w:val="none" w:color="000000" w:sz="0" w:space="0"/>
              <w:right w:val="single" w:color="000000" w:sz="4" w:space="0"/>
            </w:tcBorders>
            <w:tcW w:w="431" w:type="dxa"/>
            <w:vAlign w:val="center"/>
            <w:vMerge w:val="continue"/>
            <w:textDirection w:val="lrTb"/>
            <w:noWrap/>
          </w:tcPr>
          <w:p>
            <w:pPr>
              <w:pStyle w:val="1344"/>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1344"/>
              <w:jc w:val="center"/>
              <w:spacing w:line="360" w:lineRule="auto"/>
              <w:rPr>
                <w:rFonts w:hint="eastAsia" w:ascii="宋体" w:hAnsi="宋体" w:cs="宋体"/>
              </w:rPr>
            </w:pPr>
            <w:r>
              <w:rPr>
                <w:rFonts w:hint="eastAsia" w:ascii="宋体" w:hAnsi="宋体" w:cs="宋体"/>
                <w:szCs w:val="21"/>
              </w:rPr>
              <w:t xml:space="preserve">2</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rPr>
                <w:rFonts w:hint="eastAsia" w:ascii="宋体" w:hAnsi="宋体" w:cs="宋体"/>
                <w:szCs w:val="21"/>
              </w:rPr>
            </w:pPr>
            <w:r>
              <w:rPr>
                <w:rFonts w:hint="eastAsia" w:ascii="宋体" w:hAnsi="宋体" w:cs="宋体"/>
                <w:szCs w:val="21"/>
              </w:rPr>
              <w:t xml:space="preserve">超声功率计</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6.40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合同签订后6个月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r>
      <w:tr>
        <w:trPr>
          <w:trHeight w:val="429"/>
        </w:trPr>
        <w:tc>
          <w:tcPr>
            <w:tcBorders>
              <w:top w:val="none" w:color="000000" w:sz="0" w:space="0"/>
              <w:left w:val="single" w:color="000000" w:sz="4" w:space="0"/>
              <w:bottom w:val="none" w:color="000000" w:sz="0" w:space="0"/>
              <w:right w:val="single" w:color="000000" w:sz="4" w:space="0"/>
            </w:tcBorders>
            <w:tcW w:w="431" w:type="dxa"/>
            <w:vAlign w:val="center"/>
            <w:vMerge w:val="continue"/>
            <w:textDirection w:val="lrTb"/>
            <w:noWrap/>
          </w:tcPr>
          <w:p>
            <w:pPr>
              <w:pStyle w:val="1344"/>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1344"/>
              <w:jc w:val="center"/>
              <w:spacing w:line="360" w:lineRule="auto"/>
              <w:rPr>
                <w:rFonts w:hint="eastAsia" w:ascii="宋体" w:hAnsi="宋体" w:cs="宋体"/>
              </w:rPr>
            </w:pPr>
            <w:r>
              <w:rPr>
                <w:rFonts w:hint="eastAsia" w:ascii="宋体" w:hAnsi="宋体" w:cs="宋体"/>
                <w:szCs w:val="21"/>
              </w:rPr>
              <w:t xml:space="preserve">3</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rPr>
                <w:rFonts w:hint="eastAsia" w:ascii="宋体" w:hAnsi="宋体" w:cs="宋体"/>
                <w:szCs w:val="21"/>
              </w:rPr>
            </w:pPr>
            <w:r>
              <w:rPr>
                <w:rFonts w:hint="eastAsia" w:ascii="宋体" w:hAnsi="宋体" w:cs="宋体"/>
                <w:szCs w:val="21"/>
              </w:rPr>
              <w:t xml:space="preserve">心脑电图机检定仪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7.00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合同签订后6个月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r>
      <w:tr>
        <w:trPr>
          <w:trHeight w:val="429"/>
        </w:trPr>
        <w:tc>
          <w:tcPr>
            <w:tcBorders>
              <w:top w:val="none" w:color="000000" w:sz="0" w:space="0"/>
              <w:left w:val="single" w:color="000000" w:sz="4" w:space="0"/>
              <w:bottom w:val="none" w:color="000000" w:sz="0" w:space="0"/>
              <w:right w:val="single" w:color="000000" w:sz="4" w:space="0"/>
            </w:tcBorders>
            <w:tcW w:w="431" w:type="dxa"/>
            <w:vAlign w:val="center"/>
            <w:vMerge w:val="continue"/>
            <w:textDirection w:val="lrTb"/>
            <w:noWrap/>
          </w:tcPr>
          <w:p>
            <w:pPr>
              <w:pStyle w:val="1344"/>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1344"/>
              <w:jc w:val="center"/>
              <w:spacing w:line="360" w:lineRule="auto"/>
              <w:rPr>
                <w:rFonts w:hint="eastAsia" w:ascii="宋体" w:hAnsi="宋体" w:cs="宋体"/>
              </w:rPr>
            </w:pPr>
            <w:r>
              <w:rPr>
                <w:rFonts w:hint="eastAsia" w:ascii="宋体" w:hAnsi="宋体" w:cs="宋体"/>
                <w:szCs w:val="21"/>
              </w:rPr>
              <w:t xml:space="preserve">4</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rPr>
                <w:rFonts w:ascii="宋体" w:hAnsi="宋体" w:cs="宋体"/>
                <w:szCs w:val="21"/>
              </w:rPr>
            </w:pPr>
            <w:r>
              <w:rPr>
                <w:rFonts w:hint="eastAsia" w:ascii="宋体" w:hAnsi="宋体" w:cs="宋体"/>
                <w:szCs w:val="21"/>
              </w:rPr>
              <w:t xml:space="preserve">呼吸机质量检测仪</w:t>
            </w:r>
            <w:r>
              <w:rPr>
                <w:rFonts w:ascii="宋体" w:hAnsi="宋体" w:cs="宋体"/>
                <w:szCs w:val="21"/>
              </w:rPr>
            </w:r>
            <w:r/>
          </w:p>
          <w:p>
            <w:pPr>
              <w:pStyle w:val="1344"/>
              <w:jc w:val="center"/>
              <w:rPr>
                <w:rFonts w:hint="eastAsia" w:ascii="宋体" w:hAnsi="宋体" w:cs="宋体"/>
                <w:szCs w:val="21"/>
              </w:rPr>
            </w:pPr>
            <w:r>
              <w:rPr>
                <w:rFonts w:hint="eastAsia" w:ascii="宋体" w:hAnsi="宋体" w:cs="宋体"/>
                <w:b/>
                <w:bCs/>
                <w:color w:val="ff0000"/>
                <w:szCs w:val="21"/>
              </w:rPr>
              <w:t xml:space="preserve">（核心产品）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64.00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合同签订后6个月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r>
      <w:tr>
        <w:trPr>
          <w:trHeight w:val="429"/>
        </w:trPr>
        <w:tc>
          <w:tcPr>
            <w:tcBorders>
              <w:top w:val="none" w:color="000000" w:sz="0" w:space="0"/>
              <w:left w:val="single" w:color="000000" w:sz="4" w:space="0"/>
              <w:bottom w:val="none" w:color="000000" w:sz="0" w:space="0"/>
              <w:right w:val="single" w:color="000000" w:sz="4" w:space="0"/>
            </w:tcBorders>
            <w:tcW w:w="431" w:type="dxa"/>
            <w:vAlign w:val="center"/>
            <w:vMerge w:val="continue"/>
            <w:textDirection w:val="lrTb"/>
            <w:noWrap/>
          </w:tcPr>
          <w:p>
            <w:pPr>
              <w:pStyle w:val="1344"/>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1344"/>
              <w:jc w:val="center"/>
              <w:spacing w:line="360" w:lineRule="auto"/>
              <w:rPr>
                <w:rFonts w:hint="eastAsia" w:ascii="宋体" w:hAnsi="宋体" w:cs="宋体"/>
              </w:rPr>
            </w:pPr>
            <w:r>
              <w:rPr>
                <w:rFonts w:hint="eastAsia" w:ascii="宋体" w:hAnsi="宋体" w:cs="宋体"/>
                <w:szCs w:val="21"/>
              </w:rPr>
              <w:t xml:space="preserve">5</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rPr>
                <w:rFonts w:hint="eastAsia" w:ascii="宋体" w:hAnsi="宋体" w:cs="宋体"/>
                <w:szCs w:val="21"/>
              </w:rPr>
            </w:pPr>
            <w:r>
              <w:rPr>
                <w:rFonts w:hint="eastAsia" w:ascii="宋体" w:hAnsi="宋体" w:cs="宋体"/>
                <w:szCs w:val="21"/>
              </w:rPr>
              <w:t xml:space="preserve">无创血压模拟仪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7.00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合同签订后6个月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r>
      <w:tr>
        <w:trPr>
          <w:trHeight w:val="429"/>
        </w:trPr>
        <w:tc>
          <w:tcPr>
            <w:tcBorders>
              <w:top w:val="none" w:color="000000" w:sz="0" w:space="0"/>
              <w:left w:val="single" w:color="000000" w:sz="4" w:space="0"/>
              <w:bottom w:val="none" w:color="000000" w:sz="0" w:space="0"/>
              <w:right w:val="single" w:color="000000" w:sz="4" w:space="0"/>
            </w:tcBorders>
            <w:tcW w:w="431" w:type="dxa"/>
            <w:vAlign w:val="center"/>
            <w:vMerge w:val="continue"/>
            <w:textDirection w:val="lrTb"/>
            <w:noWrap/>
          </w:tcPr>
          <w:p>
            <w:pPr>
              <w:pStyle w:val="1344"/>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1344"/>
              <w:jc w:val="center"/>
              <w:spacing w:line="360" w:lineRule="auto"/>
              <w:rPr>
                <w:rFonts w:hint="eastAsia" w:ascii="宋体" w:hAnsi="宋体" w:cs="宋体"/>
              </w:rPr>
            </w:pPr>
            <w:r>
              <w:rPr>
                <w:rFonts w:hint="eastAsia" w:ascii="宋体" w:hAnsi="宋体" w:cs="宋体"/>
                <w:szCs w:val="21"/>
              </w:rPr>
              <w:t xml:space="preserve">6</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rPr>
                <w:rFonts w:ascii="宋体" w:hAnsi="宋体" w:cs="宋体"/>
                <w:szCs w:val="21"/>
              </w:rPr>
            </w:pPr>
            <w:r>
              <w:rPr>
                <w:rFonts w:hint="eastAsia" w:ascii="宋体" w:hAnsi="宋体" w:cs="宋体"/>
                <w:szCs w:val="21"/>
              </w:rPr>
              <w:t xml:space="preserve">影像测量仪</w:t>
            </w:r>
            <w:r>
              <w:rPr>
                <w:rFonts w:ascii="宋体" w:hAnsi="宋体" w:cs="宋体"/>
                <w:szCs w:val="21"/>
              </w:rPr>
            </w:r>
            <w:r/>
          </w:p>
          <w:p>
            <w:pPr>
              <w:pStyle w:val="1344"/>
              <w:jc w:val="center"/>
              <w:rPr>
                <w:rFonts w:hint="eastAsia" w:ascii="宋体" w:hAnsi="宋体" w:cs="宋体"/>
                <w:szCs w:val="21"/>
              </w:rPr>
            </w:pPr>
            <w:r>
              <w:rPr>
                <w:rFonts w:hint="eastAsia" w:ascii="宋体" w:hAnsi="宋体" w:cs="宋体"/>
                <w:szCs w:val="21"/>
              </w:rPr>
              <w:t xml:space="preserve">（医用磁共振成像模体）</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9.00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合同签订后6个月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r>
      <w:tr>
        <w:trPr>
          <w:trHeight w:val="429"/>
        </w:trPr>
        <w:tc>
          <w:tcPr>
            <w:tcBorders>
              <w:top w:val="none" w:color="000000" w:sz="0" w:space="0"/>
              <w:left w:val="single" w:color="000000" w:sz="4" w:space="0"/>
              <w:bottom w:val="single" w:color="000000" w:sz="4" w:space="0"/>
              <w:right w:val="single" w:color="000000" w:sz="4" w:space="0"/>
            </w:tcBorders>
            <w:tcW w:w="431" w:type="dxa"/>
            <w:vAlign w:val="center"/>
            <w:vMerge w:val="continue"/>
            <w:textDirection w:val="lrTb"/>
            <w:noWrap/>
          </w:tcPr>
          <w:p>
            <w:pPr>
              <w:pStyle w:val="1344"/>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1344"/>
              <w:jc w:val="center"/>
              <w:spacing w:line="360" w:lineRule="auto"/>
              <w:rPr>
                <w:rFonts w:hint="eastAsia" w:ascii="宋体" w:hAnsi="宋体" w:cs="宋体"/>
              </w:rPr>
            </w:pPr>
            <w:r>
              <w:rPr>
                <w:rFonts w:hint="eastAsia" w:ascii="宋体" w:hAnsi="宋体" w:cs="宋体"/>
                <w:szCs w:val="21"/>
              </w:rPr>
              <w:t xml:space="preserve">7</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rPr>
                <w:rFonts w:ascii="宋体" w:hAnsi="宋体" w:cs="宋体"/>
                <w:szCs w:val="21"/>
              </w:rPr>
            </w:pPr>
            <w:r>
              <w:rPr>
                <w:rFonts w:hint="eastAsia" w:ascii="宋体" w:hAnsi="宋体" w:cs="宋体"/>
                <w:szCs w:val="21"/>
              </w:rPr>
              <w:t xml:space="preserve">生命体征模拟仪</w:t>
            </w:r>
            <w:r>
              <w:rPr>
                <w:rFonts w:ascii="宋体" w:hAnsi="宋体" w:cs="宋体"/>
                <w:szCs w:val="21"/>
              </w:rPr>
            </w:r>
            <w:r/>
          </w:p>
          <w:p>
            <w:pPr>
              <w:pStyle w:val="1344"/>
              <w:jc w:val="center"/>
              <w:rPr>
                <w:rFonts w:hint="eastAsia" w:ascii="宋体" w:hAnsi="宋体" w:cs="宋体"/>
                <w:szCs w:val="21"/>
              </w:rPr>
            </w:pPr>
            <w:r>
              <w:rPr>
                <w:rFonts w:hint="eastAsia" w:ascii="宋体" w:hAnsi="宋体" w:cs="宋体"/>
                <w:szCs w:val="21"/>
              </w:rPr>
              <w:t xml:space="preserve">（除颤器分析仪）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9.00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合同签订后6个月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r>
      <w:tr>
        <w:trPr>
          <w:trHeight w:val="429"/>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344"/>
              <w:jc w:val="center"/>
              <w:rPr>
                <w:rFonts w:hint="eastAsia" w:ascii="宋体" w:hAnsi="宋体" w:cs="宋体"/>
              </w:rPr>
            </w:pPr>
            <w:r>
              <w:rPr>
                <w:rFonts w:hint="eastAsia" w:ascii="宋体" w:hAnsi="宋体" w:cs="宋体"/>
              </w:rPr>
              <w:t xml:space="preserve">4</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钟罩式气体流量标准装置</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1套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19.6</w:t>
            </w:r>
            <w:r>
              <w:rPr>
                <w:rFonts w:ascii="宋体" w:hAnsi="宋体" w:cs="宋体"/>
                <w:szCs w:val="21"/>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合同签订后</w:t>
            </w:r>
            <w:r>
              <w:rPr>
                <w:rFonts w:ascii="宋体" w:hAnsi="宋体" w:cs="宋体"/>
                <w:szCs w:val="21"/>
              </w:rPr>
              <w:t xml:space="preserve">7</w:t>
            </w:r>
            <w:r>
              <w:rPr>
                <w:rFonts w:hint="eastAsia" w:ascii="宋体" w:hAnsi="宋体" w:cs="宋体"/>
                <w:szCs w:val="21"/>
              </w:rPr>
              <w:t xml:space="preserve">个月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r>
      <w:tr>
        <w:trPr>
          <w:trHeight w:val="429"/>
        </w:trPr>
        <w:tc>
          <w:tcPr>
            <w:tcBorders>
              <w:top w:val="single" w:color="000000" w:sz="4" w:space="0"/>
              <w:left w:val="single" w:color="000000" w:sz="4" w:space="0"/>
              <w:bottom w:val="none" w:color="000000" w:sz="0" w:space="0"/>
              <w:right w:val="single" w:color="000000" w:sz="4" w:space="0"/>
            </w:tcBorders>
            <w:tcW w:w="431" w:type="dxa"/>
            <w:vAlign w:val="center"/>
            <w:vMerge w:val="restart"/>
            <w:textDirection w:val="lrTb"/>
            <w:noWrap/>
          </w:tcPr>
          <w:p>
            <w:pPr>
              <w:pStyle w:val="1344"/>
              <w:jc w:val="center"/>
              <w:rPr>
                <w:rFonts w:ascii="宋体" w:hAnsi="宋体" w:cs="宋体"/>
              </w:rPr>
            </w:pPr>
            <w:r>
              <w:rPr>
                <w:rFonts w:hint="eastAsia" w:ascii="宋体" w:hAnsi="宋体" w:cs="宋体"/>
              </w:rPr>
              <w:t xml:space="preserve">5</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1344"/>
              <w:jc w:val="center"/>
              <w:rPr>
                <w:rFonts w:hint="eastAsia" w:ascii="宋体" w:hAnsi="宋体" w:cs="宋体"/>
                <w:szCs w:val="21"/>
              </w:rPr>
            </w:pPr>
            <w:r>
              <w:rPr>
                <w:rFonts w:hint="eastAsia" w:ascii="宋体" w:hAnsi="宋体" w:cs="宋体"/>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rPr>
                <w:rFonts w:hint="eastAsia" w:ascii="宋体" w:hAnsi="宋体" w:cs="宋体"/>
                <w:szCs w:val="21"/>
              </w:rPr>
            </w:pPr>
            <w:r>
              <w:rPr>
                <w:rFonts w:hint="eastAsia" w:ascii="宋体" w:hAnsi="宋体" w:cs="宋体"/>
              </w:rPr>
              <w:t xml:space="preserve">电压比例标准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rPr>
                <w:rFonts w:hint="eastAsia" w:ascii="宋体" w:hAnsi="宋体" w:cs="宋体"/>
                <w:szCs w:val="21"/>
              </w:rPr>
            </w:pPr>
            <w:r>
              <w:rPr>
                <w:rFonts w:hint="eastAsia" w:ascii="宋体" w:hAnsi="宋体" w:cs="宋体"/>
              </w:rPr>
              <w:t xml:space="preserve">1台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rPr>
                <w:rFonts w:hint="eastAsia" w:ascii="宋体" w:hAnsi="宋体" w:cs="宋体"/>
                <w:szCs w:val="21"/>
              </w:rPr>
            </w:pPr>
            <w:r>
              <w:rPr>
                <w:rFonts w:hint="eastAsia" w:ascii="宋体" w:hAnsi="宋体" w:cs="宋体"/>
              </w:rPr>
              <w:t xml:space="preserve">5.00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rPr>
                <w:rFonts w:hint="eastAsia" w:ascii="宋体" w:hAnsi="宋体" w:cs="宋体"/>
                <w:szCs w:val="21"/>
              </w:rPr>
            </w:pPr>
            <w:r>
              <w:rPr>
                <w:rFonts w:hint="eastAsia" w:ascii="宋体" w:hAnsi="宋体" w:cs="宋体"/>
              </w:rPr>
              <w:t xml:space="preserve">合同签订后</w:t>
            </w:r>
            <w:r>
              <w:rPr>
                <w:rFonts w:ascii="宋体" w:hAnsi="宋体" w:cs="宋体"/>
              </w:rPr>
              <w:t xml:space="preserve">6</w:t>
            </w:r>
            <w:r>
              <w:rPr>
                <w:rFonts w:hint="eastAsia" w:ascii="宋体" w:hAnsi="宋体" w:cs="宋体"/>
              </w:rPr>
              <w:t xml:space="preserve">个月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rPr>
                <w:rFonts w:hint="eastAsia" w:ascii="宋体" w:hAnsi="宋体" w:cs="宋体"/>
                <w:szCs w:val="21"/>
              </w:rPr>
            </w:pPr>
            <w:r>
              <w:rPr>
                <w:rFonts w:hint="eastAsia" w:ascii="宋体" w:hAnsi="宋体" w:cs="宋体"/>
              </w:rPr>
              <w:t xml:space="preserve">否</w:t>
            </w:r>
            <w:r>
              <w:rPr>
                <w:rFonts w:hint="eastAsia" w:ascii="宋体" w:hAnsi="宋体" w:cs="宋体"/>
                <w:szCs w:val="21"/>
              </w:rPr>
            </w:r>
            <w:r/>
          </w:p>
        </w:tc>
      </w:tr>
      <w:tr>
        <w:trPr>
          <w:trHeight w:val="429"/>
        </w:trPr>
        <w:tc>
          <w:tcPr>
            <w:tcBorders>
              <w:top w:val="none" w:color="000000" w:sz="0" w:space="0"/>
              <w:left w:val="single" w:color="000000" w:sz="4" w:space="0"/>
              <w:bottom w:val="none" w:color="000000" w:sz="0" w:space="0"/>
              <w:right w:val="single" w:color="000000" w:sz="4" w:space="0"/>
            </w:tcBorders>
            <w:tcW w:w="431" w:type="dxa"/>
            <w:vAlign w:val="center"/>
            <w:vMerge w:val="continue"/>
            <w:textDirection w:val="lrTb"/>
            <w:noWrap/>
          </w:tcPr>
          <w:p>
            <w:pPr>
              <w:pStyle w:val="1344"/>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1344"/>
              <w:jc w:val="center"/>
              <w:rPr>
                <w:rFonts w:hint="eastAsia" w:ascii="宋体" w:hAnsi="宋体" w:cs="宋体"/>
                <w:szCs w:val="21"/>
              </w:rPr>
            </w:pPr>
            <w:r>
              <w:rPr>
                <w:rFonts w:hint="eastAsia" w:ascii="宋体" w:hAnsi="宋体" w:cs="宋体"/>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rPr>
                <w:rFonts w:hint="eastAsia" w:ascii="宋体" w:hAnsi="宋体" w:cs="宋体"/>
                <w:szCs w:val="21"/>
              </w:rPr>
            </w:pPr>
            <w:r>
              <w:rPr>
                <w:rFonts w:hint="eastAsia" w:ascii="宋体" w:hAnsi="宋体" w:cs="宋体"/>
              </w:rPr>
              <w:t xml:space="preserve">数字式高阻检定仪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rPr>
                <w:rFonts w:hint="eastAsia" w:ascii="宋体" w:hAnsi="宋体" w:cs="宋体"/>
                <w:szCs w:val="21"/>
              </w:rPr>
            </w:pPr>
            <w:r>
              <w:rPr>
                <w:rFonts w:hint="eastAsia" w:ascii="宋体" w:hAnsi="宋体" w:cs="宋体"/>
              </w:rPr>
              <w:t xml:space="preserve">1台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rPr>
                <w:rFonts w:hint="eastAsia" w:ascii="宋体" w:hAnsi="宋体" w:cs="宋体"/>
                <w:szCs w:val="21"/>
              </w:rPr>
            </w:pPr>
            <w:r>
              <w:rPr>
                <w:rFonts w:hint="eastAsia" w:ascii="宋体" w:hAnsi="宋体" w:cs="宋体"/>
              </w:rPr>
              <w:t xml:space="preserve">4.80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rPr>
                <w:rFonts w:hint="eastAsia" w:ascii="宋体" w:hAnsi="宋体" w:cs="宋体"/>
                <w:szCs w:val="21"/>
              </w:rPr>
            </w:pPr>
            <w:r>
              <w:rPr>
                <w:rFonts w:hint="eastAsia" w:ascii="宋体" w:hAnsi="宋体" w:cs="宋体"/>
              </w:rPr>
              <w:t xml:space="preserve">合同签订后</w:t>
            </w:r>
            <w:r>
              <w:rPr>
                <w:rFonts w:ascii="宋体" w:hAnsi="宋体" w:cs="宋体"/>
              </w:rPr>
              <w:t xml:space="preserve">6</w:t>
            </w:r>
            <w:r>
              <w:rPr>
                <w:rFonts w:hint="eastAsia" w:ascii="宋体" w:hAnsi="宋体" w:cs="宋体"/>
              </w:rPr>
              <w:t xml:space="preserve">个月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rPr>
                <w:rFonts w:hint="eastAsia" w:ascii="宋体" w:hAnsi="宋体" w:cs="宋体"/>
                <w:szCs w:val="21"/>
                <w:highlight w:val="yellow"/>
              </w:rPr>
            </w:pPr>
            <w:r>
              <w:rPr>
                <w:rFonts w:hint="eastAsia" w:ascii="宋体" w:hAnsi="宋体" w:cs="宋体"/>
              </w:rPr>
              <w:t xml:space="preserve">否</w:t>
            </w:r>
            <w:r>
              <w:rPr>
                <w:rFonts w:hint="eastAsia" w:ascii="宋体" w:hAnsi="宋体" w:cs="宋体"/>
                <w:szCs w:val="21"/>
                <w:highlight w:val="yellow"/>
              </w:rPr>
            </w:r>
            <w:r/>
          </w:p>
        </w:tc>
      </w:tr>
      <w:tr>
        <w:trPr>
          <w:trHeight w:val="429"/>
        </w:trPr>
        <w:tc>
          <w:tcPr>
            <w:tcBorders>
              <w:top w:val="none" w:color="000000" w:sz="0" w:space="0"/>
              <w:left w:val="single" w:color="000000" w:sz="4" w:space="0"/>
              <w:bottom w:val="single" w:color="000000" w:sz="4" w:space="0"/>
              <w:right w:val="single" w:color="000000" w:sz="4" w:space="0"/>
            </w:tcBorders>
            <w:tcW w:w="431" w:type="dxa"/>
            <w:vAlign w:val="center"/>
            <w:vMerge w:val="continue"/>
            <w:textDirection w:val="lrTb"/>
            <w:noWrap/>
          </w:tcPr>
          <w:p>
            <w:pPr>
              <w:pStyle w:val="1344"/>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1344"/>
              <w:jc w:val="center"/>
              <w:rPr>
                <w:rFonts w:hint="eastAsia" w:ascii="宋体" w:hAnsi="宋体" w:cs="宋体"/>
                <w:szCs w:val="21"/>
              </w:rPr>
            </w:pPr>
            <w:r>
              <w:rPr>
                <w:rFonts w:hint="eastAsia" w:ascii="宋体" w:hAnsi="宋体" w:cs="宋体"/>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rPr>
                <w:rFonts w:ascii="宋体" w:hAnsi="宋体" w:cs="宋体"/>
              </w:rPr>
            </w:pPr>
            <w:r>
              <w:rPr>
                <w:rFonts w:hint="eastAsia" w:ascii="宋体" w:hAnsi="宋体" w:cs="宋体"/>
              </w:rPr>
              <w:t xml:space="preserve">0.02级三相电能表检定装置</w:t>
            </w:r>
            <w:r>
              <w:rPr>
                <w:rFonts w:ascii="宋体" w:hAnsi="宋体" w:cs="宋体"/>
              </w:rPr>
            </w:r>
            <w:r/>
          </w:p>
          <w:p>
            <w:pPr>
              <w:pStyle w:val="1344"/>
              <w:jc w:val="center"/>
              <w:rPr>
                <w:rFonts w:hint="eastAsia" w:ascii="宋体" w:hAnsi="宋体" w:cs="宋体"/>
                <w:szCs w:val="21"/>
              </w:rPr>
            </w:pPr>
            <w:r>
              <w:rPr>
                <w:rFonts w:hint="eastAsia" w:ascii="宋体" w:hAnsi="宋体" w:cs="宋体"/>
                <w:b/>
                <w:bCs/>
                <w:color w:val="ff0000"/>
              </w:rPr>
              <w:t xml:space="preserve">（核心产品）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rPr>
                <w:rFonts w:hint="eastAsia" w:ascii="宋体" w:hAnsi="宋体" w:cs="宋体"/>
                <w:szCs w:val="21"/>
              </w:rPr>
            </w:pPr>
            <w:r>
              <w:rPr>
                <w:rFonts w:hint="eastAsia" w:ascii="宋体" w:hAnsi="宋体" w:cs="宋体"/>
              </w:rPr>
              <w:t xml:space="preserve">1套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rPr>
                <w:rFonts w:hint="eastAsia" w:ascii="宋体" w:hAnsi="宋体" w:cs="宋体"/>
                <w:szCs w:val="21"/>
              </w:rPr>
            </w:pPr>
            <w:r>
              <w:rPr>
                <w:rFonts w:hint="eastAsia" w:ascii="宋体" w:hAnsi="宋体" w:cs="宋体"/>
              </w:rPr>
              <w:t xml:space="preserve">60.00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rPr>
                <w:rFonts w:hint="eastAsia" w:ascii="宋体" w:hAnsi="宋体" w:cs="宋体"/>
                <w:szCs w:val="21"/>
              </w:rPr>
            </w:pPr>
            <w:r>
              <w:rPr>
                <w:rFonts w:hint="eastAsia" w:ascii="宋体" w:hAnsi="宋体" w:cs="宋体"/>
              </w:rPr>
              <w:t xml:space="preserve">合同签订后6个月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rPr>
                <w:rFonts w:hint="eastAsia" w:ascii="宋体" w:hAnsi="宋体" w:cs="宋体"/>
                <w:szCs w:val="21"/>
                <w:highlight w:val="yellow"/>
              </w:rPr>
            </w:pPr>
            <w:r>
              <w:rPr>
                <w:rFonts w:hint="eastAsia" w:ascii="宋体" w:hAnsi="宋体" w:cs="宋体"/>
              </w:rPr>
              <w:t xml:space="preserve">否</w:t>
            </w:r>
            <w:r>
              <w:rPr>
                <w:rFonts w:hint="eastAsia" w:ascii="宋体" w:hAnsi="宋体" w:cs="宋体"/>
                <w:szCs w:val="21"/>
                <w:highlight w:val="yellow"/>
              </w:rPr>
            </w:r>
            <w:r/>
          </w:p>
        </w:tc>
      </w:tr>
      <w:tr>
        <w:trPr>
          <w:trHeight w:val="429"/>
        </w:trPr>
        <w:tc>
          <w:tcPr>
            <w:tcBorders>
              <w:top w:val="single" w:color="000000" w:sz="4" w:space="0"/>
              <w:left w:val="single" w:color="000000" w:sz="4" w:space="0"/>
              <w:bottom w:val="none" w:color="000000" w:sz="0" w:space="0"/>
              <w:right w:val="single" w:color="000000" w:sz="4" w:space="0"/>
            </w:tcBorders>
            <w:tcW w:w="431" w:type="dxa"/>
            <w:vAlign w:val="center"/>
            <w:vMerge w:val="restart"/>
            <w:textDirection w:val="lrTb"/>
            <w:noWrap/>
          </w:tcPr>
          <w:p>
            <w:pPr>
              <w:pStyle w:val="1344"/>
              <w:jc w:val="center"/>
              <w:rPr>
                <w:rFonts w:ascii="宋体" w:hAnsi="宋体" w:cs="宋体"/>
              </w:rPr>
            </w:pPr>
            <w:r>
              <w:rPr>
                <w:rFonts w:hint="eastAsia" w:ascii="宋体" w:hAnsi="宋体" w:cs="宋体"/>
              </w:rPr>
              <w:t xml:space="preserve">6</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1344"/>
              <w:jc w:val="center"/>
              <w:spacing w:line="360" w:lineRule="auto"/>
              <w:rPr>
                <w:rFonts w:hint="eastAsia" w:ascii="宋体" w:hAnsi="宋体" w:cs="宋体"/>
              </w:rPr>
            </w:pPr>
            <w:r>
              <w:rPr>
                <w:rFonts w:hint="eastAsia" w:ascii="宋体" w:hAnsi="宋体" w:cs="宋体"/>
                <w:szCs w:val="21"/>
              </w:rPr>
              <w:t xml:space="preserve">1</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spacing w:line="360" w:lineRule="auto"/>
              <w:rPr>
                <w:rFonts w:hint="eastAsia" w:ascii="宋体" w:hAnsi="宋体" w:cs="宋体"/>
                <w:b/>
                <w:bCs/>
                <w:color w:val="ff0000"/>
              </w:rPr>
            </w:pPr>
            <w:r>
              <w:rPr>
                <w:rFonts w:hint="eastAsia" w:ascii="宋体" w:hAnsi="宋体" w:cs="宋体"/>
                <w:szCs w:val="21"/>
              </w:rPr>
              <w:t xml:space="preserve">数字多用表</w:t>
            </w:r>
            <w:r>
              <w:rPr>
                <w:rFonts w:hint="eastAsia" w:ascii="宋体" w:hAnsi="宋体" w:cs="宋体"/>
                <w:b/>
                <w:bCs/>
                <w:color w:val="ff0000"/>
                <w:szCs w:val="21"/>
              </w:rPr>
              <w:t xml:space="preserve">（核心产品）</w:t>
            </w:r>
            <w:r>
              <w:rPr>
                <w:rFonts w:hint="eastAsia" w:ascii="宋体" w:hAnsi="宋体" w:cs="宋体"/>
                <w:b/>
                <w:bCs/>
                <w:color w:val="ff0000"/>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spacing w:line="360" w:lineRule="auto"/>
              <w:rPr>
                <w:rFonts w:hint="eastAsia" w:ascii="宋体" w:hAnsi="宋体" w:cs="宋体"/>
              </w:rPr>
            </w:pPr>
            <w:r>
              <w:rPr>
                <w:rFonts w:hint="eastAsia" w:ascii="宋体" w:hAnsi="宋体" w:cs="宋体"/>
                <w:szCs w:val="21"/>
              </w:rPr>
              <w:t xml:space="preserve">1</w:t>
            </w:r>
            <w:r>
              <w:rPr>
                <w:rFonts w:hint="eastAsia" w:ascii="宋体" w:hAnsi="宋体" w:cs="宋体"/>
              </w:rPr>
              <w:t xml:space="preserve">台</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spacing w:line="360" w:lineRule="auto"/>
              <w:rPr>
                <w:rFonts w:hint="eastAsia" w:ascii="宋体" w:hAnsi="宋体" w:cs="宋体"/>
              </w:rPr>
            </w:pPr>
            <w:r>
              <w:rPr>
                <w:rFonts w:hint="eastAsia" w:ascii="宋体" w:hAnsi="宋体" w:cs="宋体"/>
                <w:szCs w:val="21"/>
              </w:rPr>
              <w:t xml:space="preserve">30.00</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spacing w:line="360" w:lineRule="auto"/>
              <w:rPr>
                <w:rFonts w:hint="eastAsia" w:ascii="宋体" w:hAnsi="宋体" w:cs="宋体"/>
              </w:rPr>
            </w:pPr>
            <w:r>
              <w:rPr>
                <w:rFonts w:hint="eastAsia" w:ascii="宋体" w:hAnsi="宋体" w:cs="宋体"/>
                <w:szCs w:val="21"/>
              </w:rPr>
              <w:t xml:space="preserve">合同签订后9个月</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spacing w:line="360" w:lineRule="auto"/>
              <w:rPr>
                <w:rFonts w:hint="eastAsia" w:ascii="宋体" w:hAnsi="宋体" w:cs="宋体"/>
              </w:rPr>
            </w:pPr>
            <w:r>
              <w:rPr>
                <w:rFonts w:hint="eastAsia" w:ascii="宋体" w:hAnsi="宋体" w:cs="宋体"/>
                <w:szCs w:val="21"/>
              </w:rPr>
              <w:t xml:space="preserve">否</w:t>
            </w:r>
            <w:r>
              <w:rPr>
                <w:rFonts w:hint="eastAsia" w:ascii="宋体" w:hAnsi="宋体" w:cs="宋体"/>
              </w:rPr>
            </w:r>
            <w:r/>
          </w:p>
        </w:tc>
      </w:tr>
      <w:tr>
        <w:trPr>
          <w:trHeight w:val="508"/>
        </w:trPr>
        <w:tc>
          <w:tcPr>
            <w:tcBorders>
              <w:top w:val="none" w:color="000000" w:sz="0" w:space="0"/>
              <w:left w:val="single" w:color="000000" w:sz="4" w:space="0"/>
              <w:bottom w:val="single" w:color="000000" w:sz="4" w:space="0"/>
              <w:right w:val="single" w:color="000000" w:sz="4" w:space="0"/>
            </w:tcBorders>
            <w:tcW w:w="431" w:type="dxa"/>
            <w:vAlign w:val="center"/>
            <w:vMerge w:val="continue"/>
            <w:textDirection w:val="lrTb"/>
            <w:noWrap/>
          </w:tcPr>
          <w:p>
            <w:pPr>
              <w:pStyle w:val="1344"/>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1344"/>
              <w:jc w:val="center"/>
              <w:spacing w:line="360" w:lineRule="auto"/>
              <w:rPr>
                <w:rFonts w:hint="eastAsia" w:ascii="宋体" w:hAnsi="宋体" w:cs="宋体"/>
              </w:rPr>
            </w:pPr>
            <w:r>
              <w:rPr>
                <w:rFonts w:hint="eastAsia" w:ascii="宋体" w:hAnsi="宋体" w:cs="宋体"/>
                <w:szCs w:val="21"/>
              </w:rPr>
              <w:t xml:space="preserve">2</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spacing w:line="360" w:lineRule="auto"/>
              <w:rPr>
                <w:rFonts w:hint="eastAsia" w:ascii="宋体" w:hAnsi="宋体" w:cs="宋体"/>
                <w:b/>
                <w:bCs/>
                <w:color w:val="ff0000"/>
              </w:rPr>
            </w:pPr>
            <w:r>
              <w:rPr>
                <w:rFonts w:hint="eastAsia" w:ascii="宋体" w:hAnsi="宋体" w:cs="宋体"/>
                <w:szCs w:val="21"/>
              </w:rPr>
              <w:t xml:space="preserve">数字式高阻检定仪</w:t>
            </w:r>
            <w:r>
              <w:rPr>
                <w:rFonts w:hint="eastAsia" w:ascii="宋体" w:hAnsi="宋体" w:cs="宋体"/>
                <w:b/>
                <w:bCs/>
                <w:color w:val="ff0000"/>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spacing w:line="360" w:lineRule="auto"/>
              <w:rPr>
                <w:rFonts w:hint="eastAsia" w:ascii="宋体" w:hAnsi="宋体" w:cs="宋体"/>
              </w:rPr>
            </w:pPr>
            <w:r>
              <w:rPr>
                <w:rFonts w:hint="eastAsia" w:ascii="宋体" w:hAnsi="宋体" w:cs="宋体"/>
                <w:szCs w:val="21"/>
              </w:rPr>
              <w:t xml:space="preserve">1</w:t>
            </w:r>
            <w:r>
              <w:rPr>
                <w:rFonts w:hint="eastAsia" w:ascii="宋体" w:hAnsi="宋体" w:cs="宋体"/>
              </w:rPr>
              <w:t xml:space="preserve">台</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spacing w:line="360" w:lineRule="auto"/>
              <w:rPr>
                <w:rFonts w:hint="eastAsia" w:ascii="宋体" w:hAnsi="宋体" w:cs="宋体"/>
              </w:rPr>
            </w:pPr>
            <w:r>
              <w:rPr>
                <w:rFonts w:hint="eastAsia" w:ascii="宋体" w:hAnsi="宋体" w:cs="宋体"/>
                <w:szCs w:val="21"/>
              </w:rPr>
              <w:t xml:space="preserve">18.40</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spacing w:line="360" w:lineRule="auto"/>
              <w:rPr>
                <w:rFonts w:hint="eastAsia" w:ascii="宋体" w:hAnsi="宋体" w:cs="宋体"/>
              </w:rPr>
            </w:pPr>
            <w:r>
              <w:rPr>
                <w:rFonts w:hint="eastAsia" w:ascii="宋体" w:hAnsi="宋体" w:cs="宋体"/>
                <w:szCs w:val="21"/>
              </w:rPr>
              <w:t xml:space="preserve">合同签订后</w:t>
            </w:r>
            <w:r>
              <w:rPr>
                <w:rFonts w:ascii="宋体" w:hAnsi="宋体" w:cs="宋体"/>
                <w:szCs w:val="21"/>
              </w:rPr>
              <w:t xml:space="preserve">9</w:t>
            </w:r>
            <w:r>
              <w:rPr>
                <w:rFonts w:hint="eastAsia" w:ascii="宋体" w:hAnsi="宋体" w:cs="宋体"/>
                <w:szCs w:val="21"/>
              </w:rPr>
              <w:t xml:space="preserve">个月</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spacing w:line="360" w:lineRule="auto"/>
              <w:rPr>
                <w:rFonts w:hint="eastAsia" w:ascii="宋体" w:hAnsi="宋体" w:cs="宋体"/>
              </w:rPr>
            </w:pPr>
            <w:r>
              <w:rPr>
                <w:rFonts w:hint="eastAsia" w:ascii="宋体" w:hAnsi="宋体" w:cs="宋体"/>
                <w:szCs w:val="21"/>
              </w:rPr>
              <w:t xml:space="preserve">否</w:t>
            </w:r>
            <w:r>
              <w:rPr>
                <w:rFonts w:hint="eastAsia" w:ascii="宋体" w:hAnsi="宋体" w:cs="宋体"/>
              </w:rPr>
            </w:r>
            <w:r/>
          </w:p>
        </w:tc>
      </w:tr>
      <w:tr>
        <w:trPr>
          <w:trHeight w:val="429"/>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344"/>
              <w:jc w:val="center"/>
              <w:rPr>
                <w:rFonts w:ascii="宋体" w:hAnsi="宋体" w:cs="宋体"/>
              </w:rPr>
            </w:pPr>
            <w:r>
              <w:rPr>
                <w:rFonts w:hint="eastAsia" w:ascii="宋体" w:hAnsi="宋体" w:cs="宋体"/>
              </w:rPr>
              <w:t xml:space="preserve">7</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标准振动台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1套</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49.6</w:t>
            </w:r>
            <w:r>
              <w:rPr>
                <w:rFonts w:ascii="宋体" w:hAnsi="宋体" w:cs="宋体"/>
                <w:szCs w:val="21"/>
              </w:rPr>
              <w:t xml:space="preserve">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合同签订后</w:t>
            </w:r>
            <w:r>
              <w:rPr>
                <w:rFonts w:ascii="宋体" w:hAnsi="宋体" w:cs="宋体"/>
                <w:szCs w:val="21"/>
              </w:rPr>
              <w:t xml:space="preserve">6</w:t>
            </w:r>
            <w:r>
              <w:rPr>
                <w:rFonts w:hint="eastAsia" w:ascii="宋体" w:hAnsi="宋体" w:cs="宋体"/>
                <w:szCs w:val="21"/>
              </w:rPr>
              <w:t xml:space="preserve">个月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r>
      <w:tr>
        <w:trPr>
          <w:trHeight w:val="429"/>
        </w:trPr>
        <w:tc>
          <w:tcPr>
            <w:tcBorders>
              <w:top w:val="single" w:color="000000" w:sz="4" w:space="0"/>
              <w:left w:val="single" w:color="000000" w:sz="4" w:space="0"/>
              <w:bottom w:val="none" w:color="000000" w:sz="0" w:space="0"/>
              <w:right w:val="single" w:color="000000" w:sz="4" w:space="0"/>
            </w:tcBorders>
            <w:tcW w:w="431" w:type="dxa"/>
            <w:vAlign w:val="center"/>
            <w:vMerge w:val="restart"/>
            <w:textDirection w:val="lrTb"/>
            <w:noWrap/>
          </w:tcPr>
          <w:p>
            <w:pPr>
              <w:pStyle w:val="1344"/>
              <w:jc w:val="center"/>
              <w:rPr>
                <w:rFonts w:ascii="宋体" w:hAnsi="宋体" w:cs="宋体"/>
              </w:rPr>
            </w:pPr>
            <w:r>
              <w:rPr>
                <w:rFonts w:hint="eastAsia" w:ascii="宋体" w:hAnsi="宋体" w:cs="宋体"/>
              </w:rPr>
              <w:t xml:space="preserve">8</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声校准器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spacing w:line="360" w:lineRule="auto"/>
              <w:rPr>
                <w:rFonts w:hint="eastAsia" w:ascii="宋体" w:hAnsi="宋体" w:cs="宋体"/>
                <w:szCs w:val="21"/>
              </w:rPr>
            </w:pPr>
            <w:r>
              <w:rPr>
                <w:rFonts w:ascii="宋体" w:hAnsi="宋体" w:cs="宋体"/>
                <w:szCs w:val="21"/>
              </w:rPr>
              <w:t xml:space="preserve">7.80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合同签订后</w:t>
            </w:r>
            <w:r>
              <w:rPr>
                <w:rFonts w:ascii="宋体" w:hAnsi="宋体" w:cs="宋体"/>
                <w:szCs w:val="21"/>
              </w:rPr>
              <w:t xml:space="preserve">6</w:t>
            </w:r>
            <w:r>
              <w:rPr>
                <w:rFonts w:hint="eastAsia" w:ascii="宋体" w:hAnsi="宋体" w:cs="宋体"/>
                <w:szCs w:val="21"/>
              </w:rPr>
              <w:t xml:space="preserve">个月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r>
      <w:tr>
        <w:trPr>
          <w:trHeight w:val="429"/>
        </w:trPr>
        <w:tc>
          <w:tcPr>
            <w:tcBorders>
              <w:top w:val="none" w:color="000000" w:sz="0" w:space="0"/>
              <w:left w:val="single" w:color="000000" w:sz="4" w:space="0"/>
              <w:bottom w:val="none" w:color="000000" w:sz="0" w:space="0"/>
              <w:right w:val="single" w:color="000000" w:sz="4" w:space="0"/>
            </w:tcBorders>
            <w:tcW w:w="431" w:type="dxa"/>
            <w:vAlign w:val="center"/>
            <w:vMerge w:val="continue"/>
            <w:textDirection w:val="lrTb"/>
            <w:noWrap/>
          </w:tcPr>
          <w:p>
            <w:pPr>
              <w:pStyle w:val="1344"/>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声校准器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4.0</w:t>
            </w:r>
            <w:r>
              <w:rPr>
                <w:rFonts w:ascii="宋体" w:hAnsi="宋体" w:cs="宋体"/>
                <w:szCs w:val="21"/>
              </w:rPr>
              <w:t xml:space="preserve">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合同签订后</w:t>
            </w:r>
            <w:r>
              <w:rPr>
                <w:rFonts w:ascii="宋体" w:hAnsi="宋体" w:cs="宋体"/>
                <w:szCs w:val="21"/>
              </w:rPr>
              <w:t xml:space="preserve">6</w:t>
            </w:r>
            <w:r>
              <w:rPr>
                <w:rFonts w:hint="eastAsia" w:ascii="宋体" w:hAnsi="宋体" w:cs="宋体"/>
                <w:szCs w:val="21"/>
              </w:rPr>
              <w:t xml:space="preserve">个月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r>
      <w:tr>
        <w:trPr>
          <w:trHeight w:val="429"/>
        </w:trPr>
        <w:tc>
          <w:tcPr>
            <w:tcBorders>
              <w:top w:val="none" w:color="000000" w:sz="0" w:space="0"/>
              <w:left w:val="single" w:color="000000" w:sz="4" w:space="0"/>
              <w:bottom w:val="single" w:color="000000" w:sz="4" w:space="0"/>
              <w:right w:val="single" w:color="000000" w:sz="4" w:space="0"/>
            </w:tcBorders>
            <w:tcW w:w="431" w:type="dxa"/>
            <w:vAlign w:val="center"/>
            <w:vMerge w:val="continue"/>
            <w:textDirection w:val="lrTb"/>
            <w:noWrap/>
          </w:tcPr>
          <w:p>
            <w:pPr>
              <w:pStyle w:val="1344"/>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多通道声分析仪</w:t>
            </w:r>
            <w:r>
              <w:rPr>
                <w:rFonts w:hint="eastAsia" w:ascii="宋体" w:hAnsi="宋体" w:cs="宋体"/>
                <w:b/>
                <w:bCs/>
                <w:color w:val="ff0000"/>
                <w:szCs w:val="21"/>
              </w:rPr>
              <w:t xml:space="preserve">（核心产品）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46.25</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合同签订后</w:t>
            </w:r>
            <w:r>
              <w:rPr>
                <w:rFonts w:ascii="宋体" w:hAnsi="宋体" w:cs="宋体"/>
                <w:szCs w:val="21"/>
              </w:rPr>
              <w:t xml:space="preserve">6</w:t>
            </w:r>
            <w:r>
              <w:rPr>
                <w:rFonts w:hint="eastAsia" w:ascii="宋体" w:hAnsi="宋体" w:cs="宋体"/>
                <w:szCs w:val="21"/>
              </w:rPr>
              <w:t xml:space="preserve">个月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r>
      <w:tr>
        <w:trPr>
          <w:trHeight w:val="429"/>
        </w:trPr>
        <w:tc>
          <w:tcPr>
            <w:tcBorders>
              <w:top w:val="single" w:color="000000" w:sz="4" w:space="0"/>
              <w:left w:val="single" w:color="000000" w:sz="4" w:space="0"/>
              <w:bottom w:val="none" w:color="000000" w:sz="0" w:space="0"/>
              <w:right w:val="single" w:color="000000" w:sz="4" w:space="0"/>
            </w:tcBorders>
            <w:tcW w:w="431" w:type="dxa"/>
            <w:vAlign w:val="center"/>
            <w:vMerge w:val="restart"/>
            <w:textDirection w:val="lrTb"/>
            <w:noWrap/>
          </w:tcPr>
          <w:p>
            <w:pPr>
              <w:pStyle w:val="1344"/>
              <w:jc w:val="center"/>
              <w:rPr>
                <w:rFonts w:ascii="宋体" w:hAnsi="宋体" w:cs="宋体"/>
              </w:rPr>
            </w:pPr>
            <w:r>
              <w:rPr>
                <w:rFonts w:hint="eastAsia" w:ascii="宋体" w:hAnsi="宋体" w:cs="宋体"/>
              </w:rPr>
              <w:t xml:space="preserve">9</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铷原子频率标准</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10.00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合同签订后</w:t>
            </w:r>
            <w:r>
              <w:rPr>
                <w:rFonts w:ascii="宋体" w:hAnsi="宋体" w:cs="宋体"/>
                <w:szCs w:val="21"/>
              </w:rPr>
              <w:t xml:space="preserve">6</w:t>
            </w:r>
            <w:r>
              <w:rPr>
                <w:rFonts w:hint="eastAsia" w:ascii="宋体" w:hAnsi="宋体" w:cs="宋体"/>
                <w:szCs w:val="21"/>
              </w:rPr>
              <w:t xml:space="preserve">个月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否</w:t>
            </w:r>
            <w:r>
              <w:rPr>
                <w:rFonts w:hint="eastAsia" w:ascii="宋体" w:hAnsi="宋体" w:cs="宋体"/>
                <w:szCs w:val="21"/>
              </w:rPr>
            </w:r>
            <w:r/>
          </w:p>
        </w:tc>
      </w:tr>
      <w:tr>
        <w:trPr>
          <w:trHeight w:val="429"/>
        </w:trPr>
        <w:tc>
          <w:tcPr>
            <w:tcBorders>
              <w:top w:val="none" w:color="000000" w:sz="0" w:space="0"/>
              <w:left w:val="single" w:color="000000" w:sz="4" w:space="0"/>
              <w:bottom w:val="none" w:color="000000" w:sz="0" w:space="0"/>
              <w:right w:val="single" w:color="000000" w:sz="4" w:space="0"/>
            </w:tcBorders>
            <w:tcW w:w="431" w:type="dxa"/>
            <w:vAlign w:val="center"/>
            <w:vMerge w:val="continue"/>
            <w:textDirection w:val="lrTb"/>
            <w:noWrap/>
          </w:tcPr>
          <w:p>
            <w:pPr>
              <w:pStyle w:val="1344"/>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频标比对器</w:t>
            </w:r>
            <w:r>
              <w:rPr>
                <w:rFonts w:hint="eastAsia" w:ascii="宋体" w:hAnsi="宋体" w:cs="宋体"/>
                <w:b/>
                <w:bCs/>
                <w:color w:val="ff0000"/>
                <w:szCs w:val="21"/>
              </w:rPr>
              <w:t xml:space="preserve">（核心产品）</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16.00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合同签订后</w:t>
            </w:r>
            <w:r>
              <w:rPr>
                <w:rFonts w:ascii="宋体" w:hAnsi="宋体" w:cs="宋体"/>
                <w:szCs w:val="21"/>
              </w:rPr>
              <w:t xml:space="preserve">6</w:t>
            </w:r>
            <w:r>
              <w:rPr>
                <w:rFonts w:hint="eastAsia" w:ascii="宋体" w:hAnsi="宋体" w:cs="宋体"/>
                <w:szCs w:val="21"/>
              </w:rPr>
              <w:t xml:space="preserve">个月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spacing w:line="360" w:lineRule="auto"/>
              <w:rPr>
                <w:rFonts w:hint="eastAsia" w:ascii="宋体" w:hAnsi="宋体" w:cs="宋体"/>
                <w:szCs w:val="21"/>
                <w:highlight w:val="yellow"/>
              </w:rPr>
            </w:pPr>
            <w:r>
              <w:rPr>
                <w:rFonts w:hint="eastAsia" w:ascii="宋体" w:hAnsi="宋体" w:cs="宋体"/>
                <w:szCs w:val="21"/>
              </w:rPr>
              <w:t xml:space="preserve">否</w:t>
            </w:r>
            <w:r>
              <w:rPr>
                <w:rFonts w:hint="eastAsia" w:ascii="宋体" w:hAnsi="宋体" w:cs="宋体"/>
                <w:szCs w:val="21"/>
                <w:highlight w:val="yellow"/>
              </w:rPr>
            </w:r>
            <w:r/>
          </w:p>
        </w:tc>
      </w:tr>
      <w:tr>
        <w:trPr>
          <w:trHeight w:val="429"/>
        </w:trPr>
        <w:tc>
          <w:tcPr>
            <w:tcBorders>
              <w:top w:val="none" w:color="000000" w:sz="0" w:space="0"/>
              <w:left w:val="single" w:color="000000" w:sz="4" w:space="0"/>
              <w:bottom w:val="single" w:color="000000" w:sz="4" w:space="0"/>
              <w:right w:val="single" w:color="000000" w:sz="4" w:space="0"/>
            </w:tcBorders>
            <w:tcW w:w="431" w:type="dxa"/>
            <w:vAlign w:val="center"/>
            <w:vMerge w:val="continue"/>
            <w:textDirection w:val="lrTb"/>
            <w:noWrap/>
          </w:tcPr>
          <w:p>
            <w:pPr>
              <w:pStyle w:val="1344"/>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通用计数器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rPr>
              <w:t xml:space="preserve">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5.00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spacing w:line="360" w:lineRule="auto"/>
              <w:rPr>
                <w:rFonts w:hint="eastAsia" w:ascii="宋体" w:hAnsi="宋体" w:cs="宋体"/>
                <w:szCs w:val="21"/>
              </w:rPr>
            </w:pPr>
            <w:r>
              <w:rPr>
                <w:rFonts w:hint="eastAsia" w:ascii="宋体" w:hAnsi="宋体" w:cs="宋体"/>
                <w:szCs w:val="21"/>
              </w:rPr>
              <w:t xml:space="preserve">合同签订后</w:t>
            </w:r>
            <w:r>
              <w:rPr>
                <w:rFonts w:ascii="宋体" w:hAnsi="宋体" w:cs="宋体"/>
                <w:szCs w:val="21"/>
              </w:rPr>
              <w:t xml:space="preserve">6</w:t>
            </w:r>
            <w:r>
              <w:rPr>
                <w:rFonts w:hint="eastAsia" w:ascii="宋体" w:hAnsi="宋体" w:cs="宋体"/>
                <w:szCs w:val="21"/>
              </w:rPr>
              <w:t xml:space="preserve">个月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spacing w:line="360" w:lineRule="auto"/>
              <w:rPr>
                <w:rFonts w:hint="eastAsia" w:ascii="宋体" w:hAnsi="宋体" w:cs="宋体"/>
                <w:szCs w:val="21"/>
                <w:highlight w:val="yellow"/>
              </w:rPr>
            </w:pPr>
            <w:r>
              <w:rPr>
                <w:rFonts w:hint="eastAsia" w:ascii="宋体" w:hAnsi="宋体" w:cs="宋体"/>
                <w:szCs w:val="21"/>
              </w:rPr>
              <w:t xml:space="preserve">否</w:t>
            </w:r>
            <w:r>
              <w:rPr>
                <w:rFonts w:hint="eastAsia" w:ascii="宋体" w:hAnsi="宋体" w:cs="宋体"/>
                <w:szCs w:val="21"/>
                <w:highlight w:val="yellow"/>
              </w:rPr>
            </w:r>
            <w:r/>
          </w:p>
        </w:tc>
      </w:tr>
      <w:tr>
        <w:trPr>
          <w:trHeight w:val="429"/>
        </w:trPr>
        <w:tc>
          <w:tcPr>
            <w:tcBorders>
              <w:top w:val="single" w:color="000000" w:sz="4" w:space="0"/>
              <w:left w:val="single" w:color="000000" w:sz="4" w:space="0"/>
              <w:bottom w:val="single" w:color="000000" w:sz="4" w:space="0"/>
              <w:right w:val="single" w:color="000000" w:sz="4" w:space="0"/>
            </w:tcBorders>
            <w:tcW w:w="431" w:type="dxa"/>
            <w:vAlign w:val="center"/>
            <w:textDirection w:val="lrTb"/>
            <w:noWrap/>
          </w:tcPr>
          <w:p>
            <w:pPr>
              <w:pStyle w:val="1344"/>
              <w:jc w:val="center"/>
              <w:rPr>
                <w:rFonts w:ascii="宋体" w:hAnsi="宋体" w:cs="宋体"/>
              </w:rPr>
            </w:pPr>
            <w:r>
              <w:rPr>
                <w:rFonts w:hint="eastAsia" w:ascii="宋体" w:hAnsi="宋体" w:cs="宋体"/>
              </w:rPr>
              <w:t xml:space="preserve">10</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343" w:type="dxa"/>
            <w:vAlign w:val="center"/>
            <w:textDirection w:val="lrTb"/>
            <w:noWrap/>
          </w:tcPr>
          <w:p>
            <w:pPr>
              <w:pStyle w:val="1344"/>
              <w:jc w:val="center"/>
              <w:rPr>
                <w:rFonts w:hint="eastAsia" w:ascii="宋体" w:hAnsi="宋体" w:cs="宋体"/>
                <w:szCs w:val="21"/>
              </w:rPr>
            </w:pPr>
            <w:r>
              <w:rPr>
                <w:rFonts w:hint="eastAsia" w:ascii="宋体" w:hAnsi="宋体" w:cs="宋体"/>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1344"/>
              <w:jc w:val="center"/>
              <w:rPr>
                <w:rFonts w:hint="eastAsia" w:ascii="宋体" w:hAnsi="宋体" w:cs="宋体"/>
                <w:szCs w:val="21"/>
              </w:rPr>
            </w:pPr>
            <w:r>
              <w:rPr>
                <w:rFonts w:hint="eastAsia" w:ascii="宋体" w:hAnsi="宋体" w:eastAsia="宋体" w:cs="宋体"/>
                <w:szCs w:val="21"/>
              </w:rPr>
              <w:t xml:space="preserve">0.01级三相标准功率电能表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pStyle w:val="1344"/>
              <w:jc w:val="center"/>
              <w:rPr>
                <w:rFonts w:hint="eastAsia" w:ascii="宋体" w:hAnsi="宋体" w:cs="宋体"/>
                <w:szCs w:val="21"/>
              </w:rPr>
            </w:pPr>
            <w:r>
              <w:rPr>
                <w:rFonts w:hint="eastAsia" w:ascii="宋体" w:hAnsi="宋体" w:cs="宋体"/>
              </w:rPr>
              <w:t xml:space="preserve">1台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pStyle w:val="1344"/>
              <w:jc w:val="center"/>
              <w:rPr>
                <w:rFonts w:hint="eastAsia" w:ascii="宋体" w:hAnsi="宋体" w:cs="宋体"/>
                <w:szCs w:val="21"/>
              </w:rPr>
            </w:pPr>
            <w:r>
              <w:rPr>
                <w:rFonts w:hint="eastAsia" w:ascii="宋体" w:hAnsi="宋体" w:cs="宋体"/>
              </w:rPr>
              <w:t xml:space="preserve">60.00</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tcPr>
          <w:p>
            <w:pPr>
              <w:pStyle w:val="1344"/>
              <w:jc w:val="center"/>
              <w:rPr>
                <w:rFonts w:hint="eastAsia" w:ascii="宋体" w:hAnsi="宋体" w:cs="宋体"/>
                <w:szCs w:val="21"/>
              </w:rPr>
            </w:pPr>
            <w:r>
              <w:rPr>
                <w:rFonts w:hint="eastAsia" w:ascii="宋体" w:hAnsi="宋体" w:cs="宋体"/>
              </w:rPr>
              <w:t xml:space="preserve">合同签订后6个月</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pStyle w:val="1344"/>
              <w:jc w:val="center"/>
              <w:rPr>
                <w:rFonts w:hint="eastAsia" w:ascii="宋体" w:hAnsi="宋体" w:cs="宋体"/>
                <w:szCs w:val="21"/>
              </w:rPr>
            </w:pPr>
            <w:r>
              <w:rPr>
                <w:rFonts w:hint="eastAsia" w:ascii="宋体" w:hAnsi="宋体" w:cs="宋体"/>
              </w:rPr>
              <w:t xml:space="preserve">否</w:t>
            </w:r>
            <w:r>
              <w:rPr>
                <w:rFonts w:hint="eastAsia" w:ascii="宋体" w:hAnsi="宋体" w:cs="宋体"/>
                <w:szCs w:val="21"/>
              </w:rPr>
            </w:r>
            <w:r/>
          </w:p>
        </w:tc>
      </w:tr>
    </w:tbl>
    <w:p>
      <w:pPr>
        <w:pStyle w:val="1344"/>
        <w:ind w:firstLine="420"/>
        <w:spacing w:line="360" w:lineRule="auto"/>
        <w:rPr>
          <w:rFonts w:hint="eastAsia" w:ascii="宋体" w:hAnsi="宋体" w:cs="宋体"/>
          <w:szCs w:val="21"/>
        </w:rPr>
      </w:pPr>
      <w:r>
        <w:rPr>
          <w:rFonts w:hint="eastAsia" w:ascii="宋体" w:hAnsi="宋体" w:cs="宋体"/>
          <w:szCs w:val="21"/>
        </w:rPr>
        <w:t xml:space="preserve">6.合同履行期限（交货期）：见采购需求</w:t>
      </w:r>
      <w:r>
        <w:rPr>
          <w:rFonts w:hint="eastAsia" w:ascii="宋体" w:hAnsi="宋体" w:cs="宋体"/>
          <w:szCs w:val="21"/>
        </w:rPr>
      </w:r>
      <w:r/>
    </w:p>
    <w:p>
      <w:pPr>
        <w:pStyle w:val="1344"/>
        <w:ind w:firstLine="420"/>
        <w:spacing w:line="360" w:lineRule="auto"/>
        <w:rPr>
          <w:rFonts w:hint="eastAsia" w:ascii="宋体" w:hAnsi="宋体" w:cs="宋体"/>
          <w:szCs w:val="21"/>
        </w:rPr>
      </w:pPr>
      <w:r>
        <w:rPr>
          <w:rFonts w:hint="eastAsia" w:ascii="宋体" w:hAnsi="宋体" w:cs="宋体"/>
          <w:szCs w:val="21"/>
        </w:rPr>
        <w:t xml:space="preserve">7.本项目不接受联合体投标，中标后不允许转包、分包。</w:t>
      </w:r>
      <w:r>
        <w:rPr>
          <w:rFonts w:hint="eastAsia" w:ascii="宋体" w:hAnsi="宋体" w:cs="宋体"/>
          <w:szCs w:val="21"/>
        </w:rPr>
      </w:r>
      <w:r/>
    </w:p>
    <w:p>
      <w:pPr>
        <w:pStyle w:val="1344"/>
        <w:jc w:val="left"/>
        <w:spacing w:line="360" w:lineRule="auto"/>
        <w:tabs>
          <w:tab w:val="left" w:pos="2325" w:leader="none"/>
        </w:tabs>
        <w:rPr>
          <w:rFonts w:hint="eastAsia" w:ascii="宋体" w:hAnsi="宋体" w:cs="宋体"/>
          <w:b/>
          <w:bCs/>
          <w:szCs w:val="21"/>
        </w:rPr>
      </w:pPr>
      <w:r>
        <w:rPr>
          <w:rFonts w:hint="eastAsia" w:ascii="宋体" w:hAnsi="宋体" w:cs="宋体"/>
          <w:b/>
          <w:bCs/>
          <w:szCs w:val="21"/>
        </w:rPr>
        <w:t xml:space="preserve">注：招标文件中标注“★”的内容为实质性要求，有一项不符合的，作无效投标处理。</w:t>
      </w:r>
      <w:r>
        <w:rPr>
          <w:rFonts w:hint="eastAsia" w:ascii="宋体" w:hAnsi="宋体" w:cs="宋体"/>
          <w:b/>
          <w:bCs/>
          <w:szCs w:val="21"/>
        </w:rPr>
      </w:r>
      <w:r/>
    </w:p>
    <w:p>
      <w:pPr>
        <w:pStyle w:val="1344"/>
        <w:jc w:val="left"/>
        <w:spacing w:line="360" w:lineRule="auto"/>
        <w:tabs>
          <w:tab w:val="left" w:pos="2325" w:leader="none"/>
        </w:tabs>
        <w:rPr>
          <w:rFonts w:hint="eastAsia" w:ascii="宋体" w:hAnsi="宋体" w:cs="宋体"/>
          <w:b/>
          <w:bCs/>
          <w:szCs w:val="21"/>
        </w:rPr>
      </w:pPr>
      <w:r>
        <w:rPr>
          <w:rFonts w:hint="eastAsia" w:ascii="宋体" w:hAnsi="宋体" w:cs="宋体"/>
          <w:b/>
          <w:bCs/>
          <w:szCs w:val="21"/>
        </w:rPr>
      </w:r>
      <w:r/>
    </w:p>
    <w:p>
      <w:pPr>
        <w:pStyle w:val="1344"/>
        <w:jc w:val="left"/>
        <w:spacing w:line="360" w:lineRule="auto"/>
        <w:tabs>
          <w:tab w:val="left" w:pos="2325" w:leader="none"/>
        </w:tabs>
        <w:rPr>
          <w:rFonts w:ascii="宋体" w:hAnsi="宋体" w:cs="宋体"/>
          <w:b/>
          <w:bCs/>
          <w:color w:val="ff0000"/>
          <w:szCs w:val="21"/>
        </w:rPr>
      </w:pPr>
      <w:r/>
      <w:bookmarkEnd w:id="243"/>
      <w:r/>
      <w:bookmarkStart w:id="245" w:name="_Toc16186"/>
      <w:r>
        <w:rPr>
          <w:rFonts w:hint="eastAsia" w:ascii="宋体" w:hAnsi="宋体" w:cs="宋体"/>
          <w:b/>
          <w:bCs/>
          <w:szCs w:val="21"/>
        </w:rPr>
        <w:t xml:space="preserve">二、</w:t>
      </w:r>
      <w:r>
        <w:rPr>
          <w:rFonts w:hint="eastAsia" w:ascii="宋体" w:hAnsi="宋体" w:cs="宋体"/>
          <w:b/>
          <w:bCs/>
          <w:color w:val="000000"/>
          <w:szCs w:val="21"/>
        </w:rPr>
        <w:t xml:space="preserve">技术要求</w:t>
      </w:r>
      <w:r>
        <w:rPr>
          <w:rFonts w:hint="eastAsia" w:ascii="宋体" w:hAnsi="宋体" w:cs="宋体"/>
          <w:b/>
          <w:bCs/>
          <w:color w:val="ff0000"/>
          <w:szCs w:val="21"/>
        </w:rPr>
        <w:t xml:space="preserve">（技术及商务响应评分项）</w:t>
      </w:r>
      <w:r>
        <w:rPr>
          <w:rFonts w:ascii="宋体" w:hAnsi="宋体" w:cs="宋体"/>
          <w:b/>
          <w:bCs/>
          <w:color w:val="ff0000"/>
          <w:szCs w:val="21"/>
        </w:rPr>
      </w:r>
      <w:r/>
    </w:p>
    <w:p>
      <w:pPr>
        <w:pStyle w:val="1344"/>
        <w:jc w:val="left"/>
        <w:spacing w:line="360" w:lineRule="auto"/>
        <w:tabs>
          <w:tab w:val="left" w:pos="2325" w:leader="none"/>
        </w:tabs>
        <w:rPr>
          <w:rFonts w:ascii="宋体" w:hAnsi="宋体" w:cs="宋体"/>
          <w:b/>
          <w:bCs/>
          <w:szCs w:val="21"/>
        </w:rPr>
      </w:pPr>
      <w:r>
        <w:rPr>
          <w:rFonts w:hint="eastAsia" w:ascii="宋体" w:hAnsi="宋体" w:cs="宋体"/>
          <w:b/>
          <w:bCs/>
          <w:szCs w:val="21"/>
        </w:rPr>
        <w:t xml:space="preserve">注：1.本部分所称卖方为供应商，买方为采购人</w:t>
      </w:r>
      <w:r>
        <w:rPr>
          <w:rFonts w:ascii="宋体" w:hAnsi="宋体" w:cs="宋体"/>
          <w:b/>
          <w:bCs/>
          <w:szCs w:val="21"/>
        </w:rPr>
      </w:r>
      <w:r/>
    </w:p>
    <w:p>
      <w:pPr>
        <w:pStyle w:val="1344"/>
        <w:jc w:val="left"/>
        <w:spacing w:line="360" w:lineRule="auto"/>
        <w:tabs>
          <w:tab w:val="left" w:pos="2325" w:leader="none"/>
        </w:tabs>
        <w:rPr>
          <w:rFonts w:ascii="宋体" w:hAnsi="宋体" w:cs="宋体"/>
          <w:b/>
          <w:bCs/>
          <w:szCs w:val="21"/>
        </w:rPr>
      </w:pPr>
      <w:r>
        <w:rPr>
          <w:rFonts w:hint="eastAsia" w:ascii="宋体" w:hAnsi="宋体" w:cs="宋体"/>
          <w:b/>
          <w:bCs/>
          <w:color w:val="000000"/>
          <w:szCs w:val="21"/>
        </w:rPr>
        <w:t xml:space="preserve">2.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采购相当于或高于所列品牌技术标准的材料和设备。</w:t>
      </w:r>
      <w:r>
        <w:rPr>
          <w:rFonts w:ascii="宋体" w:hAnsi="宋体" w:cs="宋体"/>
          <w:b/>
          <w:bCs/>
          <w:szCs w:val="21"/>
        </w:rPr>
      </w:r>
      <w:r/>
    </w:p>
    <w:p>
      <w:pPr>
        <w:pStyle w:val="1344"/>
        <w:jc w:val="center"/>
        <w:spacing w:line="360" w:lineRule="auto"/>
        <w:tabs>
          <w:tab w:val="left" w:pos="4500" w:leader="none"/>
          <w:tab w:val="left" w:pos="4680" w:leader="none"/>
        </w:tabs>
        <w:rPr>
          <w:rFonts w:ascii="宋体" w:hAnsi="宋体" w:cs="宋体"/>
          <w:b/>
          <w:bCs/>
          <w:szCs w:val="21"/>
        </w:rPr>
        <w:outlineLvl w:val="1"/>
      </w:pPr>
      <w:r/>
      <w:bookmarkStart w:id="246" w:name="_Toc16523"/>
      <w:r/>
      <w:bookmarkStart w:id="247" w:name="_Toc22416"/>
      <w:r>
        <w:rPr>
          <w:rFonts w:hint="eastAsia" w:ascii="宋体" w:hAnsi="宋体" w:cs="宋体"/>
          <w:b/>
          <w:szCs w:val="21"/>
        </w:rPr>
        <w:t xml:space="preserve">分包1</w:t>
      </w:r>
      <w:bookmarkEnd w:id="245"/>
      <w:r/>
      <w:bookmarkEnd w:id="246"/>
      <w:r/>
      <w:bookmarkEnd w:id="247"/>
      <w:r>
        <w:rPr>
          <w:rFonts w:ascii="宋体" w:hAnsi="宋体" w:cs="宋体"/>
          <w:b/>
          <w:bCs/>
          <w:szCs w:val="21"/>
        </w:rPr>
      </w:r>
      <w:r/>
    </w:p>
    <w:p>
      <w:pPr>
        <w:pStyle w:val="1344"/>
        <w:jc w:val="center"/>
        <w:spacing w:line="360" w:lineRule="auto"/>
        <w:tabs>
          <w:tab w:val="left" w:pos="4500" w:leader="none"/>
          <w:tab w:val="left" w:pos="4680" w:leader="none"/>
        </w:tabs>
        <w:rPr>
          <w:rFonts w:ascii="宋体" w:hAnsi="宋体" w:cs="宋体"/>
          <w:b/>
          <w:bCs/>
          <w:szCs w:val="21"/>
        </w:rPr>
        <w:outlineLvl w:val="1"/>
      </w:pPr>
      <w:r/>
      <w:bookmarkStart w:id="248" w:name="_Toc30991"/>
      <w:r/>
      <w:bookmarkStart w:id="249" w:name="_Toc9350"/>
      <w:r>
        <w:rPr>
          <w:rFonts w:hint="eastAsia" w:ascii="宋体" w:hAnsi="宋体" w:cs="宋体"/>
          <w:b/>
          <w:szCs w:val="21"/>
        </w:rPr>
        <w:t xml:space="preserve">品目</w:t>
      </w:r>
      <w:r>
        <w:rPr>
          <w:rFonts w:hint="eastAsia" w:ascii="宋体" w:hAnsi="宋体" w:cs="宋体"/>
          <w:b/>
          <w:bCs/>
          <w:szCs w:val="21"/>
        </w:rPr>
        <w:t xml:space="preserve">1 标准砝码组</w:t>
      </w:r>
      <w:bookmarkEnd w:id="248"/>
      <w:r/>
      <w:bookmarkEnd w:id="249"/>
      <w:r>
        <w:rPr>
          <w:rFonts w:ascii="宋体" w:hAnsi="宋体" w:cs="宋体"/>
          <w:b/>
          <w:bCs/>
          <w:szCs w:val="21"/>
        </w:rPr>
      </w:r>
      <w:r/>
    </w:p>
    <w:p>
      <w:pPr>
        <w:pStyle w:val="1344"/>
        <w:spacing w:line="480" w:lineRule="exact"/>
        <w:tabs>
          <w:tab w:val="left" w:pos="4500" w:leader="none"/>
          <w:tab w:val="left" w:pos="4680" w:leader="none"/>
        </w:tabs>
        <w:rPr>
          <w:rFonts w:ascii="宋体" w:hAnsi="宋体" w:cs="宋体"/>
          <w:b/>
          <w:bCs/>
          <w:szCs w:val="21"/>
        </w:rPr>
      </w:pPr>
      <w:r/>
      <w:bookmarkStart w:id="250" w:name="_Toc18631"/>
      <w:r>
        <w:rPr>
          <w:rFonts w:hint="eastAsia" w:ascii="宋体" w:hAnsi="宋体" w:cs="宋体"/>
          <w:b/>
          <w:bCs/>
          <w:szCs w:val="21"/>
        </w:rPr>
        <w:t xml:space="preserve">★（一）设备及明细配置清单</w:t>
      </w:r>
      <w:bookmarkEnd w:id="250"/>
      <w:r>
        <w:rPr>
          <w:rFonts w:ascii="宋体" w:hAnsi="宋体" w:cs="宋体"/>
          <w:b/>
          <w:bCs/>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46"/>
        <w:gridCol w:w="3023"/>
        <w:gridCol w:w="2215"/>
        <w:gridCol w:w="3266"/>
      </w:tblGrid>
      <w:tr>
        <w:trPr>
          <w:trHeight w:val="389"/>
        </w:trPr>
        <w:tc>
          <w:tcPr>
            <w:tcW w:w="683" w:type="dxa"/>
            <w:vAlign w:val="center"/>
            <w:textDirection w:val="lrTb"/>
            <w:noWrap w:val="false"/>
          </w:tcPr>
          <w:p>
            <w:pPr>
              <w:pStyle w:val="1344"/>
              <w:jc w:val="center"/>
              <w:spacing w:line="360" w:lineRule="auto"/>
              <w:rPr>
                <w:rFonts w:ascii="宋体" w:hAnsi="宋体" w:cs="宋体"/>
              </w:rPr>
            </w:pPr>
            <w:r>
              <w:rPr>
                <w:rFonts w:hint="eastAsia" w:ascii="宋体" w:hAnsi="宋体" w:cs="宋体"/>
              </w:rPr>
              <w:t xml:space="preserve">序号</w:t>
            </w:r>
            <w:r>
              <w:rPr>
                <w:rFonts w:ascii="宋体" w:hAnsi="宋体" w:cs="宋体"/>
              </w:rPr>
            </w:r>
            <w:r/>
          </w:p>
        </w:tc>
        <w:tc>
          <w:tcPr>
            <w:tcW w:w="1534" w:type="dxa"/>
            <w:vAlign w:val="center"/>
            <w:textDirection w:val="lrTb"/>
            <w:noWrap w:val="false"/>
          </w:tcPr>
          <w:p>
            <w:pPr>
              <w:pStyle w:val="1344"/>
              <w:jc w:val="center"/>
              <w:spacing w:line="360" w:lineRule="auto"/>
              <w:rPr>
                <w:rFonts w:ascii="宋体" w:hAnsi="宋体" w:cs="宋体"/>
              </w:rPr>
            </w:pPr>
            <w:r>
              <w:rPr>
                <w:rFonts w:hint="eastAsia" w:ascii="宋体" w:hAnsi="宋体" w:cs="宋体"/>
              </w:rPr>
              <w:t xml:space="preserve">设备名称</w:t>
            </w:r>
            <w:r>
              <w:rPr>
                <w:rFonts w:ascii="宋体" w:hAnsi="宋体" w:cs="宋体"/>
              </w:rPr>
            </w:r>
            <w:r/>
          </w:p>
        </w:tc>
        <w:tc>
          <w:tcPr>
            <w:tcW w:w="1124" w:type="dxa"/>
            <w:vAlign w:val="center"/>
            <w:textDirection w:val="lrTb"/>
            <w:noWrap w:val="false"/>
          </w:tcPr>
          <w:p>
            <w:pPr>
              <w:pStyle w:val="1344"/>
              <w:jc w:val="center"/>
              <w:spacing w:line="360" w:lineRule="auto"/>
              <w:rPr>
                <w:rFonts w:ascii="宋体" w:hAnsi="宋体" w:cs="宋体"/>
              </w:rPr>
            </w:pPr>
            <w:r>
              <w:rPr>
                <w:rFonts w:hint="eastAsia" w:ascii="宋体" w:hAnsi="宋体" w:cs="宋体"/>
              </w:rPr>
              <w:t xml:space="preserve">数 量</w:t>
            </w:r>
            <w:r>
              <w:rPr>
                <w:rFonts w:ascii="宋体" w:hAnsi="宋体" w:cs="宋体"/>
              </w:rPr>
            </w:r>
            <w:r/>
          </w:p>
        </w:tc>
        <w:tc>
          <w:tcPr>
            <w:tcW w:w="1657" w:type="dxa"/>
            <w:vAlign w:val="center"/>
            <w:textDirection w:val="lrTb"/>
            <w:noWrap w:val="false"/>
          </w:tcPr>
          <w:p>
            <w:pPr>
              <w:pStyle w:val="1344"/>
              <w:jc w:val="center"/>
              <w:spacing w:line="360" w:lineRule="auto"/>
              <w:rPr>
                <w:rFonts w:ascii="宋体" w:hAnsi="宋体" w:cs="宋体"/>
              </w:rPr>
            </w:pPr>
            <w:r>
              <w:rPr>
                <w:rFonts w:hint="eastAsia" w:ascii="宋体" w:hAnsi="宋体" w:cs="宋体"/>
              </w:rPr>
              <w:t xml:space="preserve">合同履行期限（交货期）</w:t>
            </w:r>
            <w:r>
              <w:rPr>
                <w:rFonts w:ascii="宋体" w:hAnsi="宋体" w:cs="宋体"/>
              </w:rPr>
            </w:r>
            <w:r/>
          </w:p>
        </w:tc>
      </w:tr>
      <w:tr>
        <w:trPr>
          <w:cantSplit/>
          <w:trHeight w:val="454"/>
        </w:trPr>
        <w:tc>
          <w:tcPr>
            <w:tcW w:w="683" w:type="dxa"/>
            <w:vAlign w:val="center"/>
            <w:textDirection w:val="lrTb"/>
            <w:noWrap w:val="false"/>
          </w:tcPr>
          <w:p>
            <w:pPr>
              <w:pStyle w:val="1344"/>
              <w:jc w:val="center"/>
              <w:spacing w:line="360" w:lineRule="auto"/>
              <w:rPr>
                <w:rFonts w:ascii="宋体" w:hAnsi="宋体" w:cs="宋体"/>
              </w:rPr>
            </w:pPr>
            <w:r>
              <w:rPr>
                <w:rFonts w:hint="eastAsia" w:ascii="宋体" w:hAnsi="宋体" w:cs="宋体"/>
              </w:rPr>
              <w:t xml:space="preserve">1</w:t>
            </w:r>
            <w:r>
              <w:rPr>
                <w:rFonts w:ascii="宋体" w:hAnsi="宋体" w:cs="宋体"/>
              </w:rPr>
            </w:r>
            <w:r/>
          </w:p>
        </w:tc>
        <w:tc>
          <w:tcPr>
            <w:tcW w:w="1534" w:type="dxa"/>
            <w:vAlign w:val="center"/>
            <w:textDirection w:val="lrTb"/>
            <w:noWrap w:val="false"/>
          </w:tcPr>
          <w:p>
            <w:pPr>
              <w:pStyle w:val="1344"/>
              <w:jc w:val="center"/>
              <w:spacing w:line="360" w:lineRule="auto"/>
              <w:rPr>
                <w:rFonts w:ascii="宋体" w:hAnsi="宋体" w:cs="宋体"/>
              </w:rPr>
            </w:pPr>
            <w:r>
              <w:rPr>
                <w:rFonts w:hint="eastAsia" w:ascii="宋体" w:hAnsi="宋体" w:cs="宋体"/>
              </w:rPr>
              <w:t xml:space="preserve">标准砝码组</w:t>
            </w:r>
            <w:r>
              <w:rPr>
                <w:rFonts w:ascii="宋体" w:hAnsi="宋体" w:cs="宋体"/>
              </w:rPr>
            </w:r>
            <w:r/>
          </w:p>
        </w:tc>
        <w:tc>
          <w:tcPr>
            <w:tcW w:w="1124" w:type="dxa"/>
            <w:vAlign w:val="center"/>
            <w:textDirection w:val="lrTb"/>
            <w:noWrap w:val="false"/>
          </w:tcPr>
          <w:p>
            <w:pPr>
              <w:pStyle w:val="1344"/>
              <w:jc w:val="center"/>
              <w:spacing w:line="360" w:lineRule="auto"/>
              <w:rPr>
                <w:rFonts w:ascii="宋体" w:hAnsi="宋体" w:cs="宋体"/>
              </w:rPr>
            </w:pPr>
            <w:r>
              <w:rPr>
                <w:rFonts w:hint="eastAsia" w:ascii="宋体" w:hAnsi="宋体" w:cs="宋体"/>
              </w:rPr>
              <w:t xml:space="preserve">1套（4只）</w:t>
            </w:r>
            <w:r>
              <w:rPr>
                <w:rFonts w:ascii="宋体" w:hAnsi="宋体" w:cs="宋体"/>
              </w:rPr>
            </w:r>
            <w:r/>
          </w:p>
        </w:tc>
        <w:tc>
          <w:tcPr>
            <w:tcW w:w="1657" w:type="dxa"/>
            <w:vAlign w:val="center"/>
            <w:textDirection w:val="lrTb"/>
            <w:noWrap w:val="false"/>
          </w:tcPr>
          <w:p>
            <w:pPr>
              <w:pStyle w:val="1344"/>
              <w:jc w:val="center"/>
              <w:spacing w:line="360" w:lineRule="auto"/>
              <w:rPr>
                <w:rFonts w:ascii="宋体" w:hAnsi="宋体" w:cs="宋体"/>
              </w:rPr>
            </w:pPr>
            <w:r>
              <w:rPr>
                <w:rFonts w:hint="eastAsia" w:ascii="宋体" w:hAnsi="宋体" w:cs="宋体"/>
              </w:rPr>
              <w:t xml:space="preserve">合同签订后6个月</w:t>
            </w:r>
            <w:r>
              <w:rPr>
                <w:rFonts w:ascii="宋体" w:hAnsi="宋体" w:cs="宋体"/>
              </w:rPr>
            </w:r>
            <w:r/>
          </w:p>
        </w:tc>
      </w:tr>
    </w:tbl>
    <w:p>
      <w:pPr>
        <w:pStyle w:val="1344"/>
        <w:spacing w:line="480" w:lineRule="exact"/>
        <w:rPr>
          <w:rFonts w:ascii="宋体" w:hAnsi="宋体" w:cs="宋体"/>
          <w:b/>
          <w:bCs/>
          <w:szCs w:val="21"/>
        </w:rPr>
      </w:pPr>
      <w:r>
        <w:rPr>
          <w:rFonts w:hint="eastAsia" w:ascii="宋体" w:hAnsi="宋体" w:cs="宋体"/>
          <w:b/>
          <w:bCs/>
          <w:szCs w:val="21"/>
        </w:rPr>
        <w:t xml:space="preserve">（二）技术指标及功能要求</w:t>
      </w:r>
      <w:r>
        <w:rPr>
          <w:rFonts w:ascii="宋体" w:hAnsi="宋体" w:cs="宋体"/>
          <w:b/>
          <w:bCs/>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1.砝码500kg</w:t>
      </w:r>
      <w:r>
        <w:rPr>
          <w:rFonts w:hint="eastAsia" w:ascii="宋体" w:hAnsi="宋体" w:cs="宋体"/>
        </w:rPr>
        <w:t xml:space="preserve">（4只）</w:t>
      </w:r>
      <w:r>
        <w:rPr>
          <w:rFonts w:hint="eastAsia" w:ascii="宋体" w:hAnsi="宋体" w:cs="宋体"/>
          <w:szCs w:val="21"/>
        </w:rPr>
        <w:t xml:space="preserve">，测量范围500kg～2t，满足F</w:t>
      </w:r>
      <w:r>
        <w:rPr>
          <w:rFonts w:ascii="宋体" w:hAnsi="宋体" w:cs="宋体"/>
          <w:szCs w:val="21"/>
          <w:vertAlign w:val="subscript"/>
        </w:rPr>
        <w:t xml:space="preserve">1</w:t>
      </w:r>
      <w:r>
        <w:rPr>
          <w:rFonts w:hint="eastAsia" w:ascii="宋体" w:hAnsi="宋体" w:cs="宋体"/>
          <w:szCs w:val="21"/>
        </w:rPr>
        <w:t xml:space="preserve">等级新生产砝码的要求；</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2.约定修正值：（0～1.6g）；</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3.有且只有一个调整腔，首次调整后调整腔总体积中约1/2为空，方便后期调整使用；</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4.材料为无磁不锈钢；</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5.材料磁性参数：磁化率小于0.05，极化强度小于25μT；</w:t>
      </w:r>
      <w:r>
        <w:rPr>
          <w:rFonts w:ascii="宋体" w:hAnsi="宋体" w:cs="宋体"/>
          <w:szCs w:val="21"/>
        </w:rPr>
      </w:r>
      <w:r/>
    </w:p>
    <w:p>
      <w:pPr>
        <w:pStyle w:val="1344"/>
        <w:ind w:firstLine="630"/>
        <w:spacing w:line="480" w:lineRule="exact"/>
        <w:rPr>
          <w:rFonts w:ascii="宋体" w:hAnsi="宋体" w:cs="宋体"/>
          <w:szCs w:val="21"/>
        </w:rPr>
      </w:pPr>
      <w:r>
        <w:rPr>
          <w:rFonts w:hint="eastAsia" w:ascii="宋体" w:hAnsi="宋体" w:cs="宋体"/>
          <w:szCs w:val="21"/>
        </w:rPr>
        <w:t xml:space="preserve">材料密度范围：（7900±140）kg/m</w:t>
      </w:r>
      <w:r>
        <w:rPr>
          <w:rFonts w:hint="eastAsia"/>
          <w:szCs w:val="21"/>
          <w:vertAlign w:val="superscript"/>
        </w:rPr>
        <w:t xml:space="preserve">3</w:t>
      </w:r>
      <w:r>
        <w:rPr>
          <w:rFonts w:hint="eastAsia" w:ascii="宋体" w:hAnsi="宋体" w:cs="宋体"/>
          <w:szCs w:val="21"/>
        </w:rPr>
        <w:t xml:space="preserve">；</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6.每只砝码铝盒单独包装，提供配套的起吊工具；</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7.提供使用起吊砝码的完整说明书和安全注意事项文件。</w:t>
      </w:r>
      <w:r>
        <w:rPr>
          <w:rFonts w:ascii="宋体" w:hAnsi="宋体" w:cs="宋体"/>
          <w:szCs w:val="21"/>
        </w:rPr>
      </w:r>
      <w:r/>
    </w:p>
    <w:p>
      <w:pPr>
        <w:pStyle w:val="1344"/>
        <w:spacing w:line="480" w:lineRule="exact"/>
        <w:rPr>
          <w:rFonts w:ascii="宋体" w:hAnsi="宋体" w:cs="宋体"/>
          <w:b/>
          <w:bCs/>
          <w:szCs w:val="21"/>
        </w:rPr>
      </w:pPr>
      <w:r>
        <w:rPr>
          <w:rFonts w:hint="eastAsia" w:ascii="宋体" w:hAnsi="宋体" w:cs="宋体"/>
          <w:b/>
          <w:bCs/>
          <w:szCs w:val="21"/>
        </w:rPr>
        <w:t xml:space="preserve">（三）验收依据、方法及单位</w:t>
      </w:r>
      <w:r>
        <w:rPr>
          <w:rFonts w:ascii="宋体" w:hAnsi="宋体" w:cs="宋体"/>
          <w:b/>
          <w:bCs/>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1.验收依据：JJG99-2022《砝码检定规程》、本技术文件。</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2.卖方负责将设备送检至上海市计量测试技术研究院有限公司进行检定，检定费由卖方承担。</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3.江苏省计量科学研究院依据上述检定证书和本技术文件对该设备的技术指标和功能进行最终验收。</w:t>
      </w:r>
      <w:r>
        <w:rPr>
          <w:rFonts w:ascii="宋体" w:hAnsi="宋体" w:cs="宋体"/>
          <w:szCs w:val="21"/>
        </w:rPr>
      </w:r>
      <w:r/>
    </w:p>
    <w:p>
      <w:pPr>
        <w:pStyle w:val="1344"/>
        <w:spacing w:line="480" w:lineRule="exact"/>
        <w:rPr>
          <w:rFonts w:hint="eastAsia" w:ascii="宋体" w:hAnsi="宋体" w:cs="宋体"/>
          <w:b/>
          <w:bCs/>
          <w:szCs w:val="21"/>
        </w:rPr>
      </w:pPr>
      <w:r>
        <w:rPr>
          <w:rFonts w:hint="eastAsia" w:ascii="宋体" w:hAnsi="宋体" w:cs="宋体"/>
          <w:b/>
          <w:bCs/>
          <w:szCs w:val="21"/>
        </w:rPr>
        <w:t xml:space="preserve">（四）质保期</w:t>
      </w:r>
      <w:r>
        <w:rPr>
          <w:rFonts w:hint="eastAsia" w:ascii="宋体" w:hAnsi="宋体" w:cs="宋体"/>
          <w:b/>
          <w:bCs/>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★1.砝码的质保期为最终验收合格之日起1年。验收后半年内4次稳定性满足最大允许误差1/3的要求。</w:t>
      </w:r>
      <w:r>
        <w:rPr>
          <w:rFonts w:ascii="宋体" w:hAnsi="宋体" w:cs="宋体"/>
          <w:szCs w:val="21"/>
        </w:rPr>
      </w:r>
      <w:r/>
    </w:p>
    <w:p>
      <w:pPr>
        <w:pStyle w:val="1344"/>
        <w:jc w:val="center"/>
        <w:spacing w:line="360" w:lineRule="auto"/>
        <w:tabs>
          <w:tab w:val="left" w:pos="4500" w:leader="none"/>
          <w:tab w:val="left" w:pos="4680" w:leader="none"/>
        </w:tabs>
        <w:rPr>
          <w:rFonts w:ascii="宋体" w:hAnsi="宋体" w:cs="宋体"/>
          <w:b/>
          <w:bCs/>
          <w:szCs w:val="21"/>
        </w:rPr>
        <w:outlineLvl w:val="1"/>
      </w:pPr>
      <w:r/>
      <w:bookmarkStart w:id="251" w:name="_Toc21971"/>
      <w:r/>
      <w:bookmarkStart w:id="252" w:name="_Toc9884"/>
      <w:r>
        <w:rPr>
          <w:rFonts w:hint="eastAsia" w:ascii="宋体" w:hAnsi="宋体" w:cs="宋体"/>
          <w:b/>
          <w:szCs w:val="21"/>
        </w:rPr>
        <w:t xml:space="preserve">品目</w:t>
      </w:r>
      <w:r>
        <w:rPr>
          <w:rFonts w:hint="eastAsia" w:ascii="宋体" w:hAnsi="宋体" w:cs="宋体"/>
          <w:b/>
          <w:bCs/>
          <w:szCs w:val="21"/>
        </w:rPr>
        <w:t xml:space="preserve">2 叠加式力标准机（含全自动型）</w:t>
      </w:r>
      <w:bookmarkEnd w:id="251"/>
      <w:r/>
      <w:bookmarkEnd w:id="252"/>
      <w:r>
        <w:rPr>
          <w:rFonts w:ascii="宋体" w:hAnsi="宋体" w:cs="宋体"/>
          <w:b/>
          <w:bCs/>
          <w:szCs w:val="21"/>
        </w:rPr>
      </w:r>
      <w:r/>
    </w:p>
    <w:p>
      <w:pPr>
        <w:pStyle w:val="1344"/>
        <w:spacing w:line="480" w:lineRule="exact"/>
        <w:tabs>
          <w:tab w:val="left" w:pos="4500" w:leader="none"/>
          <w:tab w:val="left" w:pos="4680" w:leader="none"/>
        </w:tabs>
        <w:rPr>
          <w:rFonts w:ascii="宋体" w:hAnsi="宋体" w:cs="宋体"/>
          <w:b/>
          <w:bCs/>
          <w:szCs w:val="21"/>
        </w:rPr>
      </w:pPr>
      <w:r>
        <w:rPr>
          <w:rFonts w:hint="eastAsia" w:ascii="宋体" w:hAnsi="宋体" w:cs="宋体"/>
          <w:b/>
          <w:bCs/>
          <w:szCs w:val="21"/>
        </w:rPr>
        <w:t xml:space="preserve">★（一）设备及明细配置清单</w:t>
      </w:r>
      <w:r>
        <w:rPr>
          <w:rFonts w:ascii="宋体" w:hAnsi="宋体" w:cs="宋体"/>
          <w:b/>
          <w:bCs/>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4265"/>
        <w:gridCol w:w="1226"/>
        <w:gridCol w:w="2751"/>
      </w:tblGrid>
      <w:tr>
        <w:trPr>
          <w:trHeight w:val="389"/>
        </w:trPr>
        <w:tc>
          <w:tcPr>
            <w:tcW w:w="816" w:type="dxa"/>
            <w:vAlign w:val="center"/>
            <w:textDirection w:val="lrTb"/>
            <w:noWrap w:val="false"/>
          </w:tcPr>
          <w:p>
            <w:pPr>
              <w:pStyle w:val="1344"/>
              <w:ind w:right="141"/>
              <w:jc w:val="center"/>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2164" w:type="dxa"/>
            <w:vAlign w:val="center"/>
            <w:textDirection w:val="lrTb"/>
            <w:noWrap w:val="false"/>
          </w:tcPr>
          <w:p>
            <w:pPr>
              <w:pStyle w:val="1344"/>
              <w:jc w:val="center"/>
              <w:rPr>
                <w:rFonts w:ascii="宋体" w:hAnsi="宋体" w:cs="宋体"/>
                <w:szCs w:val="21"/>
              </w:rPr>
            </w:pPr>
            <w:r>
              <w:rPr>
                <w:rFonts w:hint="eastAsia" w:ascii="宋体" w:hAnsi="宋体" w:cs="宋体"/>
                <w:szCs w:val="21"/>
              </w:rPr>
              <w:t xml:space="preserve">设备名称</w:t>
            </w:r>
            <w:r>
              <w:rPr>
                <w:rFonts w:ascii="宋体" w:hAnsi="宋体" w:cs="宋体"/>
                <w:szCs w:val="21"/>
              </w:rPr>
            </w:r>
            <w:r/>
          </w:p>
        </w:tc>
        <w:tc>
          <w:tcPr>
            <w:tcW w:w="622" w:type="dxa"/>
            <w:vAlign w:val="center"/>
            <w:textDirection w:val="lrTb"/>
            <w:noWrap w:val="false"/>
          </w:tcPr>
          <w:p>
            <w:pPr>
              <w:pStyle w:val="1344"/>
              <w:jc w:val="center"/>
              <w:rPr>
                <w:rFonts w:ascii="宋体" w:hAnsi="宋体" w:cs="宋体"/>
                <w:szCs w:val="21"/>
              </w:rPr>
            </w:pPr>
            <w:r>
              <w:rPr>
                <w:rFonts w:hint="eastAsia" w:ascii="宋体" w:hAnsi="宋体" w:cs="宋体"/>
                <w:szCs w:val="21"/>
              </w:rPr>
              <w:t xml:space="preserve">数 量</w:t>
            </w:r>
            <w:r>
              <w:rPr>
                <w:rFonts w:ascii="宋体" w:hAnsi="宋体" w:cs="宋体"/>
                <w:szCs w:val="21"/>
              </w:rPr>
            </w:r>
            <w:r/>
          </w:p>
        </w:tc>
        <w:tc>
          <w:tcPr>
            <w:tcW w:w="1396" w:type="dxa"/>
            <w:vAlign w:val="center"/>
            <w:textDirection w:val="lrTb"/>
            <w:noWrap w:val="false"/>
          </w:tcPr>
          <w:p>
            <w:pPr>
              <w:pStyle w:val="1344"/>
              <w:jc w:val="center"/>
              <w:rPr>
                <w:rFonts w:ascii="宋体" w:hAnsi="宋体" w:cs="宋体"/>
                <w:szCs w:val="21"/>
              </w:rPr>
            </w:pPr>
            <w:r>
              <w:rPr>
                <w:rFonts w:hint="eastAsia" w:ascii="宋体" w:hAnsi="宋体" w:cs="宋体"/>
                <w:szCs w:val="21"/>
              </w:rPr>
              <w:t xml:space="preserve">合同履行期限（交货期）</w:t>
            </w:r>
            <w:r>
              <w:rPr>
                <w:rFonts w:ascii="宋体" w:hAnsi="宋体" w:cs="宋体"/>
                <w:szCs w:val="21"/>
              </w:rPr>
            </w:r>
            <w:r/>
          </w:p>
        </w:tc>
      </w:tr>
      <w:tr>
        <w:trPr>
          <w:cantSplit/>
          <w:trHeight w:val="454"/>
        </w:trPr>
        <w:tc>
          <w:tcPr>
            <w:tcW w:w="816" w:type="dxa"/>
            <w:vAlign w:val="center"/>
            <w:textDirection w:val="lrTb"/>
            <w:noWrap w:val="false"/>
          </w:tcPr>
          <w:p>
            <w:pPr>
              <w:pStyle w:val="1344"/>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2164" w:type="dxa"/>
            <w:vAlign w:val="center"/>
            <w:textDirection w:val="lrTb"/>
            <w:noWrap w:val="false"/>
          </w:tcPr>
          <w:p>
            <w:pPr>
              <w:pStyle w:val="1344"/>
              <w:jc w:val="center"/>
              <w:rPr>
                <w:rFonts w:ascii="宋体" w:hAnsi="宋体" w:cs="宋体"/>
                <w:szCs w:val="21"/>
              </w:rPr>
            </w:pPr>
            <w:r>
              <w:rPr>
                <w:rFonts w:hint="eastAsia" w:ascii="宋体" w:hAnsi="宋体" w:cs="宋体"/>
                <w:szCs w:val="21"/>
              </w:rPr>
              <w:t xml:space="preserve">叠加式力标准机，不得低于以下配置：</w:t>
            </w:r>
            <w:r>
              <w:rPr>
                <w:rFonts w:ascii="宋体" w:hAnsi="宋体" w:cs="宋体"/>
                <w:szCs w:val="21"/>
              </w:rPr>
            </w:r>
            <w:r/>
          </w:p>
        </w:tc>
        <w:tc>
          <w:tcPr>
            <w:tcW w:w="622" w:type="dxa"/>
            <w:vAlign w:val="center"/>
            <w:textDirection w:val="lrTb"/>
            <w:noWrap w:val="false"/>
          </w:tcPr>
          <w:p>
            <w:pPr>
              <w:pStyle w:val="1344"/>
              <w:jc w:val="center"/>
              <w:keepNext/>
              <w:rPr>
                <w:rFonts w:hint="eastAsia" w:ascii="宋体" w:hAnsi="宋体" w:cs="宋体"/>
                <w:szCs w:val="21"/>
              </w:rPr>
              <w:outlineLvl w:val="0"/>
            </w:pPr>
            <w:r/>
            <w:bookmarkStart w:id="253" w:name="_Toc14229"/>
            <w:r/>
            <w:bookmarkStart w:id="254" w:name="_Toc19342"/>
            <w:r>
              <w:rPr>
                <w:rFonts w:hint="eastAsia" w:ascii="宋体" w:hAnsi="宋体" w:cs="宋体"/>
                <w:szCs w:val="21"/>
              </w:rPr>
              <w:t xml:space="preserve">1</w:t>
            </w:r>
            <w:bookmarkEnd w:id="253"/>
            <w:r>
              <w:rPr>
                <w:rFonts w:hint="eastAsia" w:ascii="宋体" w:hAnsi="宋体" w:cs="宋体"/>
                <w:szCs w:val="21"/>
              </w:rPr>
              <w:t xml:space="preserve">台</w:t>
            </w:r>
            <w:bookmarkEnd w:id="254"/>
            <w:r>
              <w:rPr>
                <w:rFonts w:hint="eastAsia" w:ascii="宋体" w:hAnsi="宋体" w:cs="宋体"/>
                <w:szCs w:val="21"/>
              </w:rPr>
            </w:r>
            <w:r/>
          </w:p>
        </w:tc>
        <w:tc>
          <w:tcPr>
            <w:tcW w:w="1396" w:type="dxa"/>
            <w:vAlign w:val="center"/>
            <w:vMerge w:val="restart"/>
            <w:textDirection w:val="lrTb"/>
            <w:noWrap w:val="false"/>
          </w:tcPr>
          <w:p>
            <w:pPr>
              <w:pStyle w:val="1344"/>
              <w:jc w:val="center"/>
              <w:rPr>
                <w:rFonts w:ascii="宋体" w:hAnsi="宋体" w:cs="宋体"/>
                <w:szCs w:val="21"/>
              </w:rPr>
            </w:pPr>
            <w:r>
              <w:rPr>
                <w:rFonts w:hint="eastAsia" w:ascii="宋体" w:hAnsi="宋体" w:cs="宋体"/>
              </w:rPr>
              <w:t xml:space="preserve">合同签订后</w:t>
            </w:r>
            <w:r>
              <w:rPr>
                <w:rFonts w:hint="eastAsia" w:ascii="宋体" w:hAnsi="宋体" w:cs="宋体"/>
                <w:szCs w:val="21"/>
              </w:rPr>
              <w:t xml:space="preserve">11个月</w:t>
            </w:r>
            <w:r>
              <w:rPr>
                <w:rFonts w:ascii="宋体" w:hAnsi="宋体" w:cs="宋体"/>
                <w:szCs w:val="21"/>
              </w:rPr>
            </w:r>
            <w:r/>
          </w:p>
        </w:tc>
      </w:tr>
      <w:tr>
        <w:trPr>
          <w:cantSplit/>
          <w:trHeight w:val="454"/>
        </w:trPr>
        <w:tc>
          <w:tcPr>
            <w:tcW w:w="816" w:type="dxa"/>
            <w:vAlign w:val="center"/>
            <w:textDirection w:val="lrTb"/>
            <w:noWrap w:val="false"/>
          </w:tcPr>
          <w:p>
            <w:pPr>
              <w:pStyle w:val="1344"/>
              <w:jc w:val="center"/>
              <w:rPr>
                <w:rFonts w:ascii="宋体" w:hAnsi="宋体" w:cs="宋体"/>
                <w:szCs w:val="21"/>
              </w:rPr>
            </w:pPr>
            <w:r>
              <w:rPr>
                <w:rFonts w:hint="eastAsia" w:ascii="宋体" w:hAnsi="宋体" w:cs="宋体"/>
                <w:szCs w:val="21"/>
              </w:rPr>
              <w:t xml:space="preserve">1.1</w:t>
            </w:r>
            <w:r>
              <w:rPr>
                <w:rFonts w:ascii="宋体" w:hAnsi="宋体" w:cs="宋体"/>
                <w:szCs w:val="21"/>
              </w:rPr>
            </w:r>
            <w:r/>
          </w:p>
        </w:tc>
        <w:tc>
          <w:tcPr>
            <w:tcW w:w="2164" w:type="dxa"/>
            <w:vAlign w:val="center"/>
            <w:textDirection w:val="lrTb"/>
            <w:noWrap w:val="false"/>
          </w:tcPr>
          <w:p>
            <w:pPr>
              <w:pStyle w:val="1344"/>
              <w:jc w:val="center"/>
              <w:rPr>
                <w:rFonts w:ascii="宋体" w:hAnsi="宋体" w:cs="宋体"/>
                <w:szCs w:val="21"/>
              </w:rPr>
            </w:pPr>
            <w:r>
              <w:rPr>
                <w:rFonts w:hint="eastAsia" w:ascii="宋体" w:hAnsi="宋体" w:cs="宋体"/>
                <w:szCs w:val="21"/>
              </w:rPr>
              <w:t xml:space="preserve">主机框架</w:t>
            </w:r>
            <w:r>
              <w:rPr>
                <w:rFonts w:ascii="宋体" w:hAnsi="宋体" w:cs="宋体"/>
                <w:szCs w:val="21"/>
              </w:rPr>
            </w:r>
            <w:r/>
          </w:p>
        </w:tc>
        <w:tc>
          <w:tcPr>
            <w:tcW w:w="622" w:type="dxa"/>
            <w:vAlign w:val="center"/>
            <w:textDirection w:val="lrTb"/>
            <w:noWrap w:val="false"/>
          </w:tcPr>
          <w:p>
            <w:pPr>
              <w:pStyle w:val="1344"/>
              <w:jc w:val="center"/>
              <w:keepNext/>
              <w:rPr>
                <w:rFonts w:ascii="宋体" w:hAnsi="宋体" w:cs="宋体"/>
                <w:szCs w:val="21"/>
              </w:rPr>
              <w:outlineLvl w:val="0"/>
            </w:pPr>
            <w:r/>
            <w:bookmarkStart w:id="255" w:name="_Toc5858"/>
            <w:r/>
            <w:bookmarkStart w:id="256" w:name="_Toc6910"/>
            <w:r>
              <w:rPr>
                <w:rFonts w:hint="eastAsia" w:ascii="宋体" w:hAnsi="宋体" w:cs="宋体"/>
                <w:szCs w:val="21"/>
              </w:rPr>
              <w:t xml:space="preserve">1套</w:t>
            </w:r>
            <w:bookmarkEnd w:id="255"/>
            <w:r/>
            <w:bookmarkEnd w:id="256"/>
            <w:r>
              <w:rPr>
                <w:rFonts w:ascii="宋体" w:hAnsi="宋体" w:cs="宋体"/>
                <w:szCs w:val="21"/>
              </w:rPr>
            </w:r>
            <w:r/>
          </w:p>
        </w:tc>
        <w:tc>
          <w:tcPr>
            <w:tcW w:w="1396" w:type="dxa"/>
            <w:vAlign w:val="center"/>
            <w:vMerge w:val="continue"/>
            <w:textDirection w:val="lrTb"/>
            <w:noWrap w:val="false"/>
          </w:tcPr>
          <w:p>
            <w:pPr>
              <w:pStyle w:val="1344"/>
              <w:jc w:val="center"/>
              <w:rPr>
                <w:rFonts w:ascii="宋体" w:hAnsi="宋体" w:cs="宋体"/>
                <w:szCs w:val="21"/>
              </w:rPr>
            </w:pPr>
            <w:r>
              <w:rPr>
                <w:rFonts w:ascii="宋体" w:hAnsi="宋体" w:cs="宋体"/>
                <w:szCs w:val="21"/>
              </w:rPr>
            </w:r>
            <w:r/>
          </w:p>
        </w:tc>
      </w:tr>
      <w:tr>
        <w:trPr>
          <w:cantSplit/>
          <w:trHeight w:val="454"/>
        </w:trPr>
        <w:tc>
          <w:tcPr>
            <w:tcW w:w="816" w:type="dxa"/>
            <w:vAlign w:val="center"/>
            <w:textDirection w:val="lrTb"/>
            <w:noWrap w:val="false"/>
          </w:tcPr>
          <w:p>
            <w:pPr>
              <w:pStyle w:val="1344"/>
              <w:jc w:val="center"/>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W w:w="2164" w:type="dxa"/>
            <w:vAlign w:val="center"/>
            <w:textDirection w:val="lrTb"/>
            <w:noWrap w:val="false"/>
          </w:tcPr>
          <w:p>
            <w:pPr>
              <w:pStyle w:val="1344"/>
              <w:jc w:val="center"/>
              <w:spacing w:line="360" w:lineRule="auto"/>
              <w:widowControl/>
              <w:rPr>
                <w:rFonts w:ascii="宋体" w:hAnsi="宋体" w:cs="宋体"/>
                <w:szCs w:val="21"/>
              </w:rPr>
            </w:pPr>
            <w:r>
              <w:rPr>
                <w:rFonts w:hint="eastAsia" w:ascii="宋体" w:hAnsi="宋体" w:cs="宋体"/>
                <w:szCs w:val="21"/>
              </w:rPr>
              <w:t xml:space="preserve">液体静压支撑放大系统</w:t>
            </w:r>
            <w:r>
              <w:rPr>
                <w:rFonts w:ascii="宋体" w:hAnsi="宋体" w:cs="宋体"/>
                <w:szCs w:val="21"/>
              </w:rPr>
            </w:r>
            <w:r/>
          </w:p>
        </w:tc>
        <w:tc>
          <w:tcPr>
            <w:tcW w:w="622" w:type="dxa"/>
            <w:vAlign w:val="center"/>
            <w:textDirection w:val="lrTb"/>
            <w:noWrap w:val="false"/>
          </w:tcPr>
          <w:p>
            <w:pPr>
              <w:pStyle w:val="1344"/>
              <w:jc w:val="center"/>
              <w:keepNext/>
              <w:rPr>
                <w:rFonts w:ascii="宋体" w:hAnsi="宋体" w:cs="宋体"/>
                <w:szCs w:val="21"/>
              </w:rPr>
              <w:outlineLvl w:val="0"/>
            </w:pPr>
            <w:r/>
            <w:bookmarkStart w:id="257" w:name="_Toc4872"/>
            <w:r/>
            <w:bookmarkStart w:id="258" w:name="_Toc17464"/>
            <w:r>
              <w:rPr>
                <w:rFonts w:hint="eastAsia" w:ascii="宋体" w:hAnsi="宋体" w:cs="宋体"/>
                <w:szCs w:val="21"/>
              </w:rPr>
              <w:t xml:space="preserve">1套</w:t>
            </w:r>
            <w:bookmarkEnd w:id="257"/>
            <w:r/>
            <w:bookmarkEnd w:id="258"/>
            <w:r>
              <w:rPr>
                <w:rFonts w:ascii="宋体" w:hAnsi="宋体" w:cs="宋体"/>
                <w:szCs w:val="21"/>
              </w:rPr>
            </w:r>
            <w:r/>
          </w:p>
        </w:tc>
        <w:tc>
          <w:tcPr>
            <w:tcW w:w="1396" w:type="dxa"/>
            <w:vAlign w:val="center"/>
            <w:vMerge w:val="continue"/>
            <w:textDirection w:val="lrTb"/>
            <w:noWrap w:val="false"/>
          </w:tcPr>
          <w:p>
            <w:pPr>
              <w:pStyle w:val="1344"/>
              <w:jc w:val="center"/>
              <w:rPr>
                <w:rFonts w:ascii="宋体" w:hAnsi="宋体" w:cs="宋体"/>
                <w:szCs w:val="21"/>
              </w:rPr>
            </w:pPr>
            <w:r>
              <w:rPr>
                <w:rFonts w:ascii="宋体" w:hAnsi="宋体" w:cs="宋体"/>
                <w:szCs w:val="21"/>
              </w:rPr>
            </w:r>
            <w:r/>
          </w:p>
        </w:tc>
      </w:tr>
      <w:tr>
        <w:trPr>
          <w:cantSplit/>
          <w:trHeight w:val="454"/>
        </w:trPr>
        <w:tc>
          <w:tcPr>
            <w:tcW w:w="816" w:type="dxa"/>
            <w:vAlign w:val="center"/>
            <w:textDirection w:val="lrTb"/>
            <w:noWrap w:val="false"/>
          </w:tcPr>
          <w:p>
            <w:pPr>
              <w:pStyle w:val="1344"/>
              <w:jc w:val="center"/>
              <w:rPr>
                <w:rFonts w:ascii="宋体" w:hAnsi="宋体" w:cs="宋体"/>
                <w:szCs w:val="21"/>
              </w:rPr>
            </w:pPr>
            <w:r>
              <w:rPr>
                <w:rFonts w:hint="eastAsia" w:ascii="宋体" w:hAnsi="宋体" w:cs="宋体"/>
                <w:szCs w:val="21"/>
              </w:rPr>
              <w:t xml:space="preserve">1.3</w:t>
            </w:r>
            <w:r>
              <w:rPr>
                <w:rFonts w:ascii="宋体" w:hAnsi="宋体" w:cs="宋体"/>
                <w:szCs w:val="21"/>
              </w:rPr>
            </w:r>
            <w:r/>
          </w:p>
        </w:tc>
        <w:tc>
          <w:tcPr>
            <w:tcW w:w="2164" w:type="dxa"/>
            <w:vAlign w:val="center"/>
            <w:textDirection w:val="lrTb"/>
            <w:noWrap w:val="false"/>
          </w:tcPr>
          <w:p>
            <w:pPr>
              <w:pStyle w:val="1344"/>
              <w:jc w:val="center"/>
              <w:rPr>
                <w:rFonts w:ascii="宋体" w:hAnsi="宋体" w:cs="宋体"/>
                <w:szCs w:val="21"/>
              </w:rPr>
            </w:pPr>
            <w:r>
              <w:rPr>
                <w:rFonts w:hint="eastAsia" w:ascii="宋体" w:hAnsi="宋体" w:cs="宋体"/>
                <w:szCs w:val="21"/>
              </w:rPr>
              <w:t xml:space="preserve">50kN静重力源</w:t>
            </w:r>
            <w:r>
              <w:rPr>
                <w:rFonts w:ascii="宋体" w:hAnsi="宋体" w:cs="宋体"/>
                <w:szCs w:val="21"/>
              </w:rPr>
            </w:r>
            <w:r/>
          </w:p>
        </w:tc>
        <w:tc>
          <w:tcPr>
            <w:tcW w:w="622" w:type="dxa"/>
            <w:vAlign w:val="center"/>
            <w:textDirection w:val="lrTb"/>
            <w:noWrap w:val="false"/>
          </w:tcPr>
          <w:p>
            <w:pPr>
              <w:pStyle w:val="1344"/>
              <w:jc w:val="center"/>
              <w:keepNext/>
              <w:rPr>
                <w:rFonts w:ascii="宋体" w:hAnsi="宋体" w:cs="宋体"/>
                <w:szCs w:val="21"/>
              </w:rPr>
              <w:outlineLvl w:val="0"/>
            </w:pPr>
            <w:r/>
            <w:bookmarkStart w:id="259" w:name="_Toc19156"/>
            <w:r/>
            <w:bookmarkStart w:id="260" w:name="_Toc6438"/>
            <w:r>
              <w:rPr>
                <w:rFonts w:hint="eastAsia" w:ascii="宋体" w:hAnsi="宋体" w:cs="宋体"/>
                <w:szCs w:val="21"/>
              </w:rPr>
              <w:t xml:space="preserve">1套</w:t>
            </w:r>
            <w:bookmarkEnd w:id="259"/>
            <w:r/>
            <w:bookmarkEnd w:id="260"/>
            <w:r>
              <w:rPr>
                <w:rFonts w:ascii="宋体" w:hAnsi="宋体" w:cs="宋体"/>
                <w:szCs w:val="21"/>
              </w:rPr>
            </w:r>
            <w:r/>
          </w:p>
        </w:tc>
        <w:tc>
          <w:tcPr>
            <w:tcW w:w="1396" w:type="dxa"/>
            <w:vAlign w:val="center"/>
            <w:vMerge w:val="continue"/>
            <w:textDirection w:val="lrTb"/>
            <w:noWrap w:val="false"/>
          </w:tcPr>
          <w:p>
            <w:pPr>
              <w:pStyle w:val="1344"/>
              <w:jc w:val="center"/>
              <w:rPr>
                <w:rFonts w:ascii="宋体" w:hAnsi="宋体" w:cs="宋体"/>
                <w:szCs w:val="21"/>
              </w:rPr>
            </w:pPr>
            <w:r>
              <w:rPr>
                <w:rFonts w:ascii="宋体" w:hAnsi="宋体" w:cs="宋体"/>
                <w:szCs w:val="21"/>
              </w:rPr>
            </w:r>
            <w:r/>
          </w:p>
        </w:tc>
      </w:tr>
      <w:tr>
        <w:trPr>
          <w:cantSplit/>
          <w:trHeight w:val="454"/>
        </w:trPr>
        <w:tc>
          <w:tcPr>
            <w:tcW w:w="816" w:type="dxa"/>
            <w:vAlign w:val="center"/>
            <w:textDirection w:val="lrTb"/>
            <w:noWrap w:val="false"/>
          </w:tcPr>
          <w:p>
            <w:pPr>
              <w:pStyle w:val="1344"/>
              <w:jc w:val="center"/>
              <w:rPr>
                <w:rFonts w:ascii="宋体" w:hAnsi="宋体" w:cs="宋体"/>
                <w:szCs w:val="21"/>
              </w:rPr>
            </w:pPr>
            <w:r>
              <w:rPr>
                <w:rFonts w:hint="eastAsia" w:ascii="宋体" w:hAnsi="宋体" w:cs="宋体"/>
                <w:szCs w:val="21"/>
              </w:rPr>
              <w:t xml:space="preserve">1.4</w:t>
            </w:r>
            <w:r>
              <w:rPr>
                <w:rFonts w:ascii="宋体" w:hAnsi="宋体" w:cs="宋体"/>
                <w:szCs w:val="21"/>
              </w:rPr>
            </w:r>
            <w:r/>
          </w:p>
        </w:tc>
        <w:tc>
          <w:tcPr>
            <w:tcW w:w="2164" w:type="dxa"/>
            <w:vAlign w:val="center"/>
            <w:textDirection w:val="lrTb"/>
            <w:noWrap w:val="false"/>
          </w:tcPr>
          <w:p>
            <w:pPr>
              <w:pStyle w:val="1344"/>
              <w:jc w:val="center"/>
              <w:rPr>
                <w:rFonts w:ascii="宋体" w:hAnsi="宋体" w:cs="宋体"/>
                <w:szCs w:val="21"/>
              </w:rPr>
            </w:pPr>
            <w:r>
              <w:rPr>
                <w:rFonts w:hint="eastAsia" w:ascii="宋体" w:hAnsi="宋体" w:cs="宋体"/>
                <w:szCs w:val="21"/>
              </w:rPr>
              <w:t xml:space="preserve">参考标准测力仪</w:t>
            </w:r>
            <w:r>
              <w:rPr>
                <w:rFonts w:ascii="宋体" w:hAnsi="宋体" w:cs="宋体"/>
                <w:szCs w:val="21"/>
              </w:rPr>
            </w:r>
            <w:r/>
          </w:p>
        </w:tc>
        <w:tc>
          <w:tcPr>
            <w:tcW w:w="622" w:type="dxa"/>
            <w:vAlign w:val="center"/>
            <w:textDirection w:val="lrTb"/>
            <w:noWrap w:val="false"/>
          </w:tcPr>
          <w:p>
            <w:pPr>
              <w:pStyle w:val="1344"/>
              <w:jc w:val="center"/>
              <w:keepNext/>
              <w:rPr>
                <w:rFonts w:ascii="宋体" w:hAnsi="宋体" w:cs="宋体"/>
                <w:szCs w:val="21"/>
              </w:rPr>
              <w:outlineLvl w:val="0"/>
            </w:pPr>
            <w:r/>
            <w:bookmarkStart w:id="261" w:name="_Toc31253"/>
            <w:r/>
            <w:bookmarkStart w:id="262" w:name="_Toc6223"/>
            <w:r>
              <w:rPr>
                <w:rFonts w:hint="eastAsia" w:ascii="宋体" w:hAnsi="宋体" w:cs="宋体"/>
                <w:szCs w:val="21"/>
              </w:rPr>
              <w:t xml:space="preserve">1</w:t>
            </w:r>
            <w:bookmarkEnd w:id="261"/>
            <w:r>
              <w:rPr>
                <w:rFonts w:hint="eastAsia" w:ascii="宋体" w:hAnsi="宋体" w:cs="宋体"/>
                <w:szCs w:val="21"/>
              </w:rPr>
              <w:t xml:space="preserve">台</w:t>
            </w:r>
            <w:bookmarkEnd w:id="262"/>
            <w:r>
              <w:rPr>
                <w:rFonts w:ascii="宋体" w:hAnsi="宋体" w:cs="宋体"/>
                <w:szCs w:val="21"/>
              </w:rPr>
            </w:r>
            <w:r/>
          </w:p>
        </w:tc>
        <w:tc>
          <w:tcPr>
            <w:tcW w:w="1396" w:type="dxa"/>
            <w:vAlign w:val="center"/>
            <w:vMerge w:val="continue"/>
            <w:textDirection w:val="lrTb"/>
            <w:noWrap w:val="false"/>
          </w:tcPr>
          <w:p>
            <w:pPr>
              <w:pStyle w:val="1344"/>
              <w:jc w:val="center"/>
              <w:rPr>
                <w:rFonts w:ascii="宋体" w:hAnsi="宋体" w:cs="宋体"/>
                <w:szCs w:val="21"/>
              </w:rPr>
            </w:pPr>
            <w:r>
              <w:rPr>
                <w:rFonts w:ascii="宋体" w:hAnsi="宋体" w:cs="宋体"/>
                <w:szCs w:val="21"/>
              </w:rPr>
            </w:r>
            <w:r/>
          </w:p>
        </w:tc>
      </w:tr>
      <w:tr>
        <w:trPr>
          <w:cantSplit/>
          <w:trHeight w:val="454"/>
        </w:trPr>
        <w:tc>
          <w:tcPr>
            <w:tcW w:w="816" w:type="dxa"/>
            <w:vAlign w:val="center"/>
            <w:textDirection w:val="lrTb"/>
            <w:noWrap w:val="false"/>
          </w:tcPr>
          <w:p>
            <w:pPr>
              <w:pStyle w:val="1344"/>
              <w:jc w:val="center"/>
              <w:rPr>
                <w:rFonts w:ascii="宋体" w:hAnsi="宋体" w:cs="宋体"/>
                <w:szCs w:val="21"/>
              </w:rPr>
            </w:pPr>
            <w:r>
              <w:rPr>
                <w:rFonts w:hint="eastAsia" w:ascii="宋体" w:hAnsi="宋体" w:cs="宋体"/>
                <w:szCs w:val="21"/>
              </w:rPr>
              <w:t xml:space="preserve">1.5</w:t>
            </w:r>
            <w:r>
              <w:rPr>
                <w:rFonts w:ascii="宋体" w:hAnsi="宋体" w:cs="宋体"/>
                <w:szCs w:val="21"/>
              </w:rPr>
            </w:r>
            <w:r/>
          </w:p>
        </w:tc>
        <w:tc>
          <w:tcPr>
            <w:tcW w:w="2164" w:type="dxa"/>
            <w:vAlign w:val="center"/>
            <w:textDirection w:val="lrTb"/>
            <w:noWrap w:val="false"/>
          </w:tcPr>
          <w:p>
            <w:pPr>
              <w:pStyle w:val="1344"/>
              <w:jc w:val="center"/>
              <w:rPr>
                <w:rFonts w:ascii="宋体" w:hAnsi="宋体" w:cs="宋体"/>
                <w:szCs w:val="21"/>
              </w:rPr>
            </w:pPr>
            <w:r>
              <w:rPr>
                <w:rFonts w:hint="eastAsia" w:ascii="宋体" w:hAnsi="宋体" w:cs="宋体"/>
                <w:szCs w:val="21"/>
              </w:rPr>
              <w:t xml:space="preserve">伺服控制系统</w:t>
            </w:r>
            <w:r>
              <w:rPr>
                <w:rFonts w:ascii="宋体" w:hAnsi="宋体" w:cs="宋体"/>
                <w:szCs w:val="21"/>
              </w:rPr>
            </w:r>
            <w:r/>
          </w:p>
        </w:tc>
        <w:tc>
          <w:tcPr>
            <w:tcW w:w="622" w:type="dxa"/>
            <w:vAlign w:val="center"/>
            <w:textDirection w:val="lrTb"/>
            <w:noWrap w:val="false"/>
          </w:tcPr>
          <w:p>
            <w:pPr>
              <w:pStyle w:val="1344"/>
              <w:jc w:val="center"/>
              <w:keepNext/>
              <w:rPr>
                <w:rFonts w:ascii="宋体" w:hAnsi="宋体" w:cs="宋体"/>
                <w:szCs w:val="21"/>
              </w:rPr>
              <w:outlineLvl w:val="0"/>
            </w:pPr>
            <w:r/>
            <w:bookmarkStart w:id="263" w:name="_Toc8887"/>
            <w:r/>
            <w:bookmarkStart w:id="264" w:name="_Toc1353"/>
            <w:r>
              <w:rPr>
                <w:rFonts w:hint="eastAsia" w:ascii="宋体" w:hAnsi="宋体" w:cs="宋体"/>
                <w:szCs w:val="21"/>
              </w:rPr>
              <w:t xml:space="preserve">1套</w:t>
            </w:r>
            <w:bookmarkEnd w:id="263"/>
            <w:r/>
            <w:bookmarkEnd w:id="264"/>
            <w:r>
              <w:rPr>
                <w:rFonts w:ascii="宋体" w:hAnsi="宋体" w:cs="宋体"/>
                <w:szCs w:val="21"/>
              </w:rPr>
            </w:r>
            <w:r/>
          </w:p>
        </w:tc>
        <w:tc>
          <w:tcPr>
            <w:tcW w:w="1396" w:type="dxa"/>
            <w:vAlign w:val="center"/>
            <w:vMerge w:val="continue"/>
            <w:textDirection w:val="lrTb"/>
            <w:noWrap w:val="false"/>
          </w:tcPr>
          <w:p>
            <w:pPr>
              <w:pStyle w:val="1344"/>
              <w:jc w:val="center"/>
              <w:rPr>
                <w:rFonts w:ascii="宋体" w:hAnsi="宋体" w:cs="宋体"/>
                <w:szCs w:val="21"/>
              </w:rPr>
            </w:pPr>
            <w:r>
              <w:rPr>
                <w:rFonts w:ascii="宋体" w:hAnsi="宋体" w:cs="宋体"/>
                <w:szCs w:val="21"/>
              </w:rPr>
            </w:r>
            <w:r/>
          </w:p>
        </w:tc>
      </w:tr>
    </w:tbl>
    <w:p>
      <w:pPr>
        <w:pStyle w:val="1344"/>
        <w:spacing w:line="360" w:lineRule="auto"/>
        <w:tabs>
          <w:tab w:val="left" w:pos="4500" w:leader="none"/>
          <w:tab w:val="left" w:pos="4680" w:leader="none"/>
        </w:tabs>
        <w:rPr>
          <w:rFonts w:ascii="宋体" w:hAnsi="宋体" w:cs="宋体"/>
          <w:b/>
          <w:bCs/>
          <w:szCs w:val="21"/>
        </w:rPr>
      </w:pPr>
      <w:r>
        <w:rPr>
          <w:rFonts w:hint="eastAsia" w:ascii="宋体" w:hAnsi="宋体" w:cs="宋体"/>
          <w:b/>
          <w:bCs/>
          <w:szCs w:val="21"/>
        </w:rPr>
        <w:t xml:space="preserve">（二）技术指标及功能要求</w:t>
      </w:r>
      <w:r>
        <w:rPr>
          <w:rFonts w:ascii="宋体" w:hAnsi="宋体" w:cs="宋体"/>
          <w:b/>
          <w:bCs/>
          <w:szCs w:val="21"/>
        </w:rPr>
      </w:r>
      <w:r/>
    </w:p>
    <w:p>
      <w:pPr>
        <w:pStyle w:val="1344"/>
        <w:ind w:firstLine="420"/>
        <w:spacing w:line="360" w:lineRule="auto"/>
        <w:rPr>
          <w:rFonts w:ascii="宋体" w:hAnsi="宋体" w:cs="宋体"/>
          <w:szCs w:val="21"/>
        </w:rPr>
      </w:pPr>
      <w:r>
        <w:rPr>
          <w:rFonts w:hint="eastAsia" w:ascii="宋体" w:hAnsi="宋体" w:cs="宋体"/>
          <w:szCs w:val="21"/>
        </w:rPr>
        <w:t xml:space="preserve">1.叠加式力标准机应能满足JJG1116-2015《叠加式力标准机》、JJG1117-2015《液压式力标准机》、JJG391-2009《力传感器检定规程》、JJG669-2003《称重传感器检定规程》、JJG455-2000《工作测力仪检定规程》及JJG144-2007《标准测力仪检定规程》等多项国家计量规程的要求，实现对标准测力仪、工作测力仪、称重传感器、力传感器的检定和校准。</w:t>
      </w:r>
      <w:r>
        <w:rPr>
          <w:rFonts w:ascii="宋体" w:hAnsi="宋体" w:cs="宋体"/>
          <w:szCs w:val="21"/>
        </w:rPr>
      </w:r>
      <w:r/>
    </w:p>
    <w:p>
      <w:pPr>
        <w:pStyle w:val="1344"/>
        <w:ind w:firstLine="420"/>
        <w:spacing w:line="360" w:lineRule="auto"/>
        <w:rPr>
          <w:rFonts w:ascii="宋体" w:hAnsi="宋体" w:cs="宋体"/>
          <w:szCs w:val="21"/>
        </w:rPr>
      </w:pPr>
      <w:r>
        <w:rPr>
          <w:rFonts w:hint="eastAsia" w:ascii="宋体" w:hAnsi="宋体" w:cs="宋体"/>
          <w:szCs w:val="21"/>
        </w:rPr>
        <w:t xml:space="preserve">2.整体技术指标：</w:t>
      </w:r>
      <w:r>
        <w:rPr>
          <w:rFonts w:ascii="宋体" w:hAnsi="宋体" w:cs="宋体"/>
          <w:szCs w:val="21"/>
        </w:rPr>
      </w:r>
      <w:r/>
    </w:p>
    <w:p>
      <w:pPr>
        <w:pStyle w:val="1344"/>
        <w:ind w:firstLine="420"/>
        <w:spacing w:line="360" w:lineRule="auto"/>
        <w:rPr>
          <w:rFonts w:ascii="宋体" w:hAnsi="宋体" w:cs="宋体"/>
          <w:szCs w:val="21"/>
        </w:rPr>
      </w:pPr>
      <w:r>
        <w:rPr>
          <w:rFonts w:hint="eastAsia" w:ascii="宋体" w:hAnsi="宋体" w:cs="宋体"/>
          <w:szCs w:val="21"/>
        </w:rPr>
        <w:t xml:space="preserve">2.1 测量范围：50kN～5MN</w:t>
      </w:r>
      <w:r>
        <w:rPr>
          <w:rFonts w:ascii="宋体" w:hAnsi="宋体" w:cs="宋体"/>
          <w:szCs w:val="21"/>
        </w:rPr>
      </w:r>
      <w:r/>
    </w:p>
    <w:p>
      <w:pPr>
        <w:pStyle w:val="1344"/>
        <w:ind w:firstLine="422"/>
        <w:spacing w:line="360" w:lineRule="auto"/>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2.2 准确度等级：0.05级</w:t>
      </w:r>
      <w:r>
        <w:rPr>
          <w:rFonts w:ascii="宋体" w:hAnsi="宋体" w:cs="宋体"/>
          <w:szCs w:val="21"/>
        </w:rPr>
      </w:r>
      <w:r/>
    </w:p>
    <w:p>
      <w:pPr>
        <w:pStyle w:val="1344"/>
        <w:ind w:firstLine="422"/>
        <w:spacing w:line="360" w:lineRule="auto"/>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2.3 力值重复性：0.05%</w:t>
      </w:r>
      <w:r>
        <w:rPr>
          <w:rFonts w:ascii="宋体" w:hAnsi="宋体" w:cs="宋体"/>
          <w:szCs w:val="21"/>
        </w:rPr>
      </w:r>
      <w:r/>
    </w:p>
    <w:p>
      <w:pPr>
        <w:pStyle w:val="1344"/>
        <w:ind w:firstLine="422"/>
        <w:spacing w:line="360" w:lineRule="auto"/>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2.4 最大允许误差：±0.05%</w:t>
      </w:r>
      <w:r>
        <w:rPr>
          <w:rFonts w:ascii="宋体" w:hAnsi="宋体" w:cs="宋体"/>
          <w:szCs w:val="21"/>
        </w:rPr>
      </w:r>
      <w:r/>
    </w:p>
    <w:p>
      <w:pPr>
        <w:pStyle w:val="1344"/>
        <w:ind w:firstLine="422"/>
        <w:spacing w:line="360" w:lineRule="auto"/>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2.5 30s负荷波动性：0.02%</w:t>
      </w:r>
      <w:r>
        <w:rPr>
          <w:rFonts w:ascii="宋体" w:hAnsi="宋体" w:cs="宋体"/>
          <w:szCs w:val="21"/>
        </w:rPr>
      </w:r>
      <w:r/>
    </w:p>
    <w:p>
      <w:pPr>
        <w:pStyle w:val="1344"/>
        <w:ind w:firstLine="420"/>
        <w:spacing w:line="360" w:lineRule="auto"/>
        <w:rPr>
          <w:rFonts w:ascii="宋体" w:hAnsi="宋体" w:cs="宋体"/>
          <w:szCs w:val="21"/>
        </w:rPr>
      </w:pPr>
      <w:r>
        <w:rPr>
          <w:rFonts w:hint="eastAsia" w:ascii="宋体" w:hAnsi="宋体" w:cs="宋体"/>
          <w:szCs w:val="21"/>
        </w:rPr>
        <w:t xml:space="preserve">2.6 鉴别力：0.01%</w:t>
      </w:r>
      <w:r>
        <w:rPr>
          <w:rFonts w:ascii="宋体" w:hAnsi="宋体" w:cs="宋体"/>
          <w:szCs w:val="21"/>
        </w:rPr>
      </w:r>
      <w:r/>
    </w:p>
    <w:p>
      <w:pPr>
        <w:pStyle w:val="1344"/>
        <w:ind w:firstLine="420"/>
        <w:spacing w:line="360" w:lineRule="auto"/>
        <w:rPr>
          <w:rFonts w:ascii="宋体" w:hAnsi="宋体" w:cs="宋体"/>
          <w:szCs w:val="21"/>
        </w:rPr>
      </w:pPr>
      <w:r>
        <w:rPr>
          <w:rFonts w:hint="eastAsia" w:ascii="宋体" w:hAnsi="宋体" w:cs="宋体"/>
          <w:szCs w:val="21"/>
        </w:rPr>
        <w:t xml:space="preserve">2.7 拉/压向试验空间（长×宽×高）：800 mm×800 mm×1500 mm</w:t>
      </w:r>
      <w:r>
        <w:rPr>
          <w:rFonts w:ascii="宋体" w:hAnsi="宋体" w:cs="宋体"/>
          <w:szCs w:val="21"/>
        </w:rPr>
      </w:r>
      <w:r/>
    </w:p>
    <w:p>
      <w:pPr>
        <w:pStyle w:val="1344"/>
        <w:ind w:firstLine="420"/>
        <w:spacing w:line="360" w:lineRule="auto"/>
        <w:rPr>
          <w:rFonts w:ascii="宋体" w:hAnsi="宋体" w:cs="宋体"/>
          <w:szCs w:val="21"/>
        </w:rPr>
      </w:pPr>
      <w:r>
        <w:rPr>
          <w:rFonts w:hint="eastAsia" w:ascii="宋体" w:hAnsi="宋体" w:cs="宋体"/>
          <w:szCs w:val="21"/>
        </w:rPr>
        <w:t xml:space="preserve">3.主机框架技术指标：</w:t>
      </w:r>
      <w:r>
        <w:rPr>
          <w:rFonts w:ascii="宋体" w:hAnsi="宋体" w:cs="宋体"/>
          <w:szCs w:val="21"/>
        </w:rPr>
      </w:r>
      <w:r/>
    </w:p>
    <w:p>
      <w:pPr>
        <w:pStyle w:val="1344"/>
        <w:ind w:firstLine="420"/>
        <w:spacing w:line="360" w:lineRule="auto"/>
        <w:rPr>
          <w:rFonts w:ascii="宋体" w:hAnsi="宋体" w:cs="宋体"/>
          <w:szCs w:val="21"/>
        </w:rPr>
      </w:pPr>
      <w:r>
        <w:rPr>
          <w:rFonts w:hint="eastAsia" w:ascii="宋体" w:hAnsi="宋体" w:cs="宋体"/>
          <w:szCs w:val="21"/>
        </w:rPr>
        <w:t xml:space="preserve">3.1功能：</w:t>
      </w:r>
      <w:r>
        <w:rPr>
          <w:rFonts w:ascii="宋体" w:hAnsi="宋体" w:cs="宋体"/>
          <w:szCs w:val="21"/>
        </w:rPr>
      </w:r>
      <w:r/>
    </w:p>
    <w:p>
      <w:pPr>
        <w:pStyle w:val="1344"/>
        <w:ind w:firstLine="420"/>
        <w:jc w:val="left"/>
        <w:spacing w:line="360" w:lineRule="auto"/>
        <w:widowControl/>
        <w:rPr>
          <w:rFonts w:ascii="宋体" w:hAnsi="宋体" w:cs="宋体"/>
          <w:szCs w:val="21"/>
        </w:rPr>
      </w:pPr>
      <w:r>
        <w:rPr>
          <w:rFonts w:hint="eastAsia" w:ascii="宋体" w:hAnsi="宋体" w:cs="宋体"/>
          <w:szCs w:val="21"/>
        </w:rPr>
        <w:t xml:space="preserve">主机框架需具有额定力承载、位移调节与力值转换核心功能。机架通过上横梁、底座与丝杆构成整体承载框架，可为静压支撑油缸提供可靠安装支撑，保障设备作业结构稳定。移动梁机构通过伺服电机、蜗轮蜗杆及丝杆螺套传动结构，实现移动梁垂直升降调节，支持微机自动控制与手动控制双模式操作，可适配不同检测行程调节需求。反向器可精准传递油缸标准载荷至被测传感器，可实现设备输出力的拉向、压向双向转换，满足各类传感器力学校准检测功能需求。</w:t>
      </w:r>
      <w:r>
        <w:rPr>
          <w:rFonts w:ascii="宋体" w:hAnsi="宋体" w:cs="宋体"/>
          <w:szCs w:val="21"/>
        </w:rPr>
      </w:r>
      <w:r/>
    </w:p>
    <w:p>
      <w:pPr>
        <w:pStyle w:val="1344"/>
        <w:ind w:firstLine="420"/>
        <w:spacing w:line="360" w:lineRule="auto"/>
        <w:rPr>
          <w:rFonts w:ascii="宋体" w:hAnsi="宋体" w:cs="宋体"/>
          <w:szCs w:val="21"/>
        </w:rPr>
      </w:pPr>
      <w:r>
        <w:rPr>
          <w:rFonts w:hint="eastAsia" w:ascii="宋体" w:hAnsi="宋体" w:cs="宋体"/>
          <w:szCs w:val="21"/>
        </w:rPr>
        <w:t xml:space="preserve">3.2技术参数：</w:t>
      </w:r>
      <w:r>
        <w:rPr>
          <w:rFonts w:ascii="宋体" w:hAnsi="宋体" w:cs="宋体"/>
          <w:szCs w:val="21"/>
        </w:rPr>
      </w:r>
      <w:r/>
    </w:p>
    <w:p>
      <w:pPr>
        <w:pStyle w:val="1344"/>
        <w:ind w:firstLine="420"/>
        <w:spacing w:line="360" w:lineRule="auto"/>
        <w:rPr>
          <w:rFonts w:ascii="宋体" w:hAnsi="宋体" w:cs="宋体"/>
          <w:szCs w:val="21"/>
        </w:rPr>
      </w:pPr>
      <w:r>
        <w:rPr>
          <w:rFonts w:hint="eastAsia" w:ascii="宋体" w:hAnsi="宋体" w:cs="宋体"/>
          <w:szCs w:val="21"/>
        </w:rPr>
        <w:t xml:space="preserve">3.2.1额定承载力：＞5MN</w:t>
      </w:r>
      <w:r>
        <w:rPr>
          <w:rFonts w:ascii="宋体" w:hAnsi="宋体" w:cs="宋体"/>
          <w:szCs w:val="21"/>
        </w:rPr>
      </w:r>
      <w:r/>
    </w:p>
    <w:p>
      <w:pPr>
        <w:pStyle w:val="1344"/>
        <w:ind w:firstLine="420"/>
        <w:spacing w:line="360" w:lineRule="auto"/>
        <w:rPr>
          <w:rFonts w:ascii="宋体" w:hAnsi="宋体" w:cs="宋体"/>
          <w:szCs w:val="21"/>
        </w:rPr>
      </w:pPr>
      <w:r>
        <w:rPr>
          <w:rFonts w:hint="eastAsia" w:ascii="宋体" w:hAnsi="宋体" w:cs="宋体"/>
          <w:szCs w:val="21"/>
        </w:rPr>
        <w:t xml:space="preserve">3.2.2额定载荷下安全系数：＞5</w:t>
      </w:r>
      <w:r>
        <w:rPr>
          <w:rFonts w:ascii="宋体" w:hAnsi="宋体" w:cs="宋体"/>
          <w:szCs w:val="21"/>
        </w:rPr>
      </w:r>
      <w:r/>
    </w:p>
    <w:p>
      <w:pPr>
        <w:pStyle w:val="1344"/>
        <w:ind w:firstLine="420"/>
        <w:spacing w:line="360" w:lineRule="auto"/>
        <w:rPr>
          <w:rFonts w:ascii="宋体" w:hAnsi="宋体" w:cs="宋体"/>
          <w:szCs w:val="21"/>
        </w:rPr>
      </w:pPr>
      <w:r>
        <w:rPr>
          <w:rFonts w:hint="eastAsia" w:ascii="宋体" w:hAnsi="宋体" w:cs="宋体"/>
          <w:szCs w:val="21"/>
        </w:rPr>
        <w:t xml:space="preserve">3.2.3刚度：K＞3×10</w:t>
      </w:r>
      <w:r>
        <w:rPr>
          <w:rFonts w:hint="eastAsia" w:ascii="宋体" w:hAnsi="宋体" w:cs="宋体"/>
          <w:szCs w:val="21"/>
          <w:vertAlign w:val="superscript"/>
        </w:rPr>
        <w:t xml:space="preserve">8</w:t>
      </w:r>
      <w:r>
        <w:rPr>
          <w:rFonts w:hint="eastAsia" w:ascii="宋体" w:hAnsi="宋体" w:cs="宋体"/>
          <w:szCs w:val="21"/>
        </w:rPr>
        <w:t xml:space="preserve">kN/m</w:t>
      </w:r>
      <w:r>
        <w:rPr>
          <w:rFonts w:ascii="宋体" w:hAnsi="宋体" w:cs="宋体"/>
          <w:szCs w:val="21"/>
        </w:rPr>
      </w:r>
      <w:r/>
    </w:p>
    <w:p>
      <w:pPr>
        <w:pStyle w:val="1344"/>
        <w:ind w:firstLine="420"/>
        <w:spacing w:line="360" w:lineRule="auto"/>
        <w:rPr>
          <w:rFonts w:ascii="宋体" w:hAnsi="宋体" w:cs="宋体"/>
          <w:szCs w:val="21"/>
        </w:rPr>
      </w:pPr>
      <w:r>
        <w:rPr>
          <w:rFonts w:hint="eastAsia" w:ascii="宋体" w:hAnsi="宋体" w:cs="宋体"/>
          <w:szCs w:val="21"/>
        </w:rPr>
        <w:t xml:space="preserve">3.2.4水平度：≤0.3/1000mm</w:t>
      </w:r>
      <w:r>
        <w:rPr>
          <w:rFonts w:ascii="宋体" w:hAnsi="宋体" w:cs="宋体"/>
          <w:szCs w:val="21"/>
        </w:rPr>
      </w:r>
      <w:r/>
    </w:p>
    <w:p>
      <w:pPr>
        <w:pStyle w:val="1344"/>
        <w:ind w:firstLine="420"/>
        <w:spacing w:line="360" w:lineRule="auto"/>
        <w:rPr>
          <w:rFonts w:ascii="宋体" w:hAnsi="宋体" w:cs="宋体"/>
          <w:szCs w:val="21"/>
        </w:rPr>
      </w:pPr>
      <w:r>
        <w:rPr>
          <w:rFonts w:hint="eastAsia" w:ascii="宋体" w:hAnsi="宋体" w:cs="宋体"/>
          <w:szCs w:val="21"/>
        </w:rPr>
        <w:t xml:space="preserve">3.2.5主体丝杆垂直度：≤0.3/1000mm</w:t>
      </w:r>
      <w:r>
        <w:rPr>
          <w:rFonts w:ascii="宋体" w:hAnsi="宋体" w:cs="宋体"/>
          <w:szCs w:val="21"/>
        </w:rPr>
      </w:r>
      <w:r/>
    </w:p>
    <w:p>
      <w:pPr>
        <w:pStyle w:val="1344"/>
        <w:ind w:firstLine="420"/>
        <w:spacing w:line="360" w:lineRule="auto"/>
        <w:rPr>
          <w:rFonts w:ascii="宋体" w:hAnsi="宋体" w:cs="宋体"/>
          <w:szCs w:val="21"/>
        </w:rPr>
      </w:pPr>
      <w:r>
        <w:rPr>
          <w:rFonts w:hint="eastAsia" w:ascii="宋体" w:hAnsi="宋体" w:cs="宋体"/>
          <w:szCs w:val="21"/>
        </w:rPr>
        <w:t xml:space="preserve">3.2.6移动梁升降速度：(0～150)mm/min</w:t>
      </w:r>
      <w:r>
        <w:rPr>
          <w:rFonts w:ascii="宋体" w:hAnsi="宋体" w:cs="宋体"/>
          <w:szCs w:val="21"/>
        </w:rPr>
      </w:r>
      <w:r/>
    </w:p>
    <w:p>
      <w:pPr>
        <w:pStyle w:val="1344"/>
        <w:ind w:firstLine="420"/>
        <w:spacing w:line="360" w:lineRule="auto"/>
        <w:rPr>
          <w:rFonts w:ascii="宋体" w:hAnsi="宋体" w:cs="宋体"/>
          <w:szCs w:val="21"/>
        </w:rPr>
      </w:pPr>
      <w:r>
        <w:rPr>
          <w:rFonts w:hint="eastAsia" w:ascii="宋体" w:hAnsi="宋体" w:cs="宋体"/>
          <w:szCs w:val="21"/>
        </w:rPr>
        <w:t xml:space="preserve">3.2.7移动梁空间调整范围：1500mm</w:t>
      </w:r>
      <w:r>
        <w:rPr>
          <w:rFonts w:ascii="宋体" w:hAnsi="宋体" w:cs="宋体"/>
          <w:szCs w:val="21"/>
        </w:rPr>
      </w:r>
      <w:r/>
    </w:p>
    <w:p>
      <w:pPr>
        <w:pStyle w:val="1344"/>
        <w:ind w:firstLine="420"/>
        <w:jc w:val="left"/>
        <w:spacing w:line="360" w:lineRule="auto"/>
        <w:widowControl/>
        <w:rPr>
          <w:rFonts w:ascii="宋体" w:hAnsi="宋体" w:cs="宋体"/>
          <w:szCs w:val="21"/>
        </w:rPr>
      </w:pPr>
      <w:r>
        <w:rPr>
          <w:rFonts w:hint="eastAsia" w:ascii="宋体" w:hAnsi="宋体" w:cs="宋体"/>
          <w:szCs w:val="21"/>
        </w:rPr>
        <w:t xml:space="preserve">4.液体静压支撑放大系统</w:t>
      </w:r>
      <w:r>
        <w:rPr>
          <w:rFonts w:ascii="宋体" w:hAnsi="宋体" w:cs="宋体"/>
          <w:szCs w:val="21"/>
        </w:rPr>
      </w:r>
      <w:r/>
    </w:p>
    <w:p>
      <w:pPr>
        <w:pStyle w:val="1344"/>
        <w:ind w:firstLine="420"/>
        <w:jc w:val="left"/>
        <w:spacing w:line="360" w:lineRule="auto"/>
        <w:widowControl/>
        <w:rPr>
          <w:rFonts w:ascii="宋体" w:hAnsi="宋体" w:cs="宋体"/>
          <w:szCs w:val="21"/>
        </w:rPr>
      </w:pPr>
      <w:r>
        <w:rPr>
          <w:rFonts w:hint="eastAsia" w:ascii="宋体" w:hAnsi="宋体" w:cs="宋体"/>
          <w:szCs w:val="21"/>
        </w:rPr>
        <w:t xml:space="preserve">4.1功能</w:t>
      </w:r>
      <w:r>
        <w:rPr>
          <w:rFonts w:ascii="宋体" w:hAnsi="宋体" w:cs="宋体"/>
          <w:szCs w:val="21"/>
        </w:rPr>
      </w:r>
      <w:r/>
    </w:p>
    <w:p>
      <w:pPr>
        <w:pStyle w:val="1344"/>
        <w:ind w:firstLine="420"/>
        <w:jc w:val="left"/>
        <w:spacing w:line="360" w:lineRule="auto"/>
        <w:widowControl/>
        <w:rPr>
          <w:rFonts w:ascii="宋体" w:hAnsi="宋体" w:cs="宋体"/>
          <w:szCs w:val="21"/>
        </w:rPr>
      </w:pPr>
      <w:r>
        <w:rPr>
          <w:rFonts w:hint="eastAsia" w:ascii="宋体" w:hAnsi="宋体" w:cs="宋体"/>
          <w:szCs w:val="21"/>
        </w:rPr>
        <w:t xml:space="preserve">根据帕斯卡原理，将砝码的重力经测力液体静压支撑-压力传递-工件液体静压支撑，按固定的放大比将砝码的重力复现到工件液体静压支撑上。还可以按叠加机工作原理，通过安装在工作工件液体静压支撑上的标准测力仪为参考标准输出标准载荷。</w:t>
      </w:r>
      <w:r>
        <w:rPr>
          <w:rFonts w:ascii="宋体" w:hAnsi="宋体" w:cs="宋体"/>
          <w:szCs w:val="21"/>
        </w:rPr>
      </w:r>
      <w:r/>
    </w:p>
    <w:p>
      <w:pPr>
        <w:pStyle w:val="1344"/>
        <w:ind w:firstLine="420"/>
        <w:jc w:val="left"/>
        <w:spacing w:line="360" w:lineRule="auto"/>
        <w:widowControl/>
        <w:rPr>
          <w:rFonts w:ascii="宋体" w:hAnsi="宋体" w:cs="宋体"/>
          <w:szCs w:val="21"/>
        </w:rPr>
      </w:pPr>
      <w:r>
        <w:rPr>
          <w:rFonts w:hint="eastAsia" w:ascii="宋体" w:hAnsi="宋体" w:cs="宋体"/>
          <w:szCs w:val="21"/>
        </w:rPr>
        <w:t xml:space="preserve">4.2技术参数：</w:t>
      </w:r>
      <w:r>
        <w:rPr>
          <w:rFonts w:ascii="宋体" w:hAnsi="宋体" w:cs="宋体"/>
          <w:szCs w:val="21"/>
        </w:rPr>
      </w:r>
      <w:r/>
    </w:p>
    <w:p>
      <w:pPr>
        <w:pStyle w:val="1344"/>
        <w:ind w:firstLine="420"/>
        <w:jc w:val="left"/>
        <w:spacing w:line="360" w:lineRule="auto"/>
        <w:widowControl/>
        <w:rPr>
          <w:rFonts w:ascii="宋体" w:hAnsi="宋体" w:cs="宋体"/>
          <w:szCs w:val="21"/>
        </w:rPr>
      </w:pPr>
      <w:r>
        <w:rPr>
          <w:rFonts w:hint="eastAsia" w:ascii="宋体" w:hAnsi="宋体" w:cs="宋体"/>
          <w:szCs w:val="21"/>
        </w:rPr>
        <w:t xml:space="preserve">4.2.1 液压放大比：1:100</w:t>
      </w:r>
      <w:r>
        <w:rPr>
          <w:rFonts w:ascii="宋体" w:hAnsi="宋体" w:cs="宋体"/>
          <w:szCs w:val="21"/>
        </w:rPr>
      </w:r>
      <w:r/>
    </w:p>
    <w:p>
      <w:pPr>
        <w:pStyle w:val="1344"/>
        <w:ind w:firstLine="420"/>
        <w:jc w:val="left"/>
        <w:spacing w:line="360" w:lineRule="auto"/>
        <w:widowControl/>
        <w:rPr>
          <w:rFonts w:ascii="宋体" w:hAnsi="宋体" w:cs="宋体"/>
          <w:szCs w:val="21"/>
        </w:rPr>
      </w:pPr>
      <w:r>
        <w:rPr>
          <w:rFonts w:hint="eastAsia" w:ascii="宋体" w:hAnsi="宋体" w:cs="宋体"/>
          <w:szCs w:val="21"/>
        </w:rPr>
        <w:t xml:space="preserve">4.2.2 最高工作压力：≤28Mpa</w:t>
      </w:r>
      <w:r>
        <w:rPr>
          <w:rFonts w:ascii="宋体" w:hAnsi="宋体" w:cs="宋体"/>
          <w:szCs w:val="21"/>
        </w:rPr>
      </w:r>
      <w:r/>
    </w:p>
    <w:p>
      <w:pPr>
        <w:pStyle w:val="1344"/>
        <w:ind w:firstLine="420"/>
        <w:jc w:val="left"/>
        <w:spacing w:line="360" w:lineRule="auto"/>
        <w:widowControl/>
        <w:rPr>
          <w:rFonts w:ascii="宋体" w:hAnsi="宋体" w:cs="宋体"/>
          <w:szCs w:val="21"/>
        </w:rPr>
      </w:pPr>
      <w:r>
        <w:rPr>
          <w:rFonts w:hint="eastAsia" w:ascii="宋体" w:hAnsi="宋体" w:cs="宋体"/>
          <w:szCs w:val="21"/>
        </w:rPr>
        <w:t xml:space="preserve">4.2.3 最大静态力：5000kN/50kN</w:t>
      </w:r>
      <w:r>
        <w:rPr>
          <w:rFonts w:ascii="宋体" w:hAnsi="宋体" w:cs="宋体"/>
          <w:szCs w:val="21"/>
        </w:rPr>
      </w:r>
      <w:r/>
    </w:p>
    <w:p>
      <w:pPr>
        <w:pStyle w:val="1344"/>
        <w:ind w:firstLine="420"/>
        <w:jc w:val="left"/>
        <w:spacing w:line="360" w:lineRule="auto"/>
        <w:widowControl/>
        <w:rPr>
          <w:rFonts w:ascii="宋体" w:hAnsi="宋体" w:cs="宋体"/>
          <w:szCs w:val="21"/>
        </w:rPr>
      </w:pPr>
      <w:r>
        <w:rPr>
          <w:rFonts w:hint="eastAsia" w:ascii="宋体" w:hAnsi="宋体" w:cs="宋体"/>
          <w:szCs w:val="21"/>
        </w:rPr>
        <w:t xml:space="preserve">4.2.4 液体静压支撑的摩擦阻力：≤0.01%</w:t>
      </w:r>
      <w:r>
        <w:rPr>
          <w:rFonts w:ascii="宋体" w:hAnsi="宋体" w:cs="宋体"/>
          <w:szCs w:val="21"/>
        </w:rPr>
      </w:r>
      <w:r/>
    </w:p>
    <w:p>
      <w:pPr>
        <w:pStyle w:val="1344"/>
        <w:ind w:firstLine="420"/>
        <w:jc w:val="left"/>
        <w:spacing w:line="360" w:lineRule="auto"/>
        <w:widowControl/>
        <w:rPr>
          <w:rFonts w:ascii="宋体" w:hAnsi="宋体" w:cs="宋体"/>
          <w:szCs w:val="21"/>
        </w:rPr>
      </w:pPr>
      <w:r>
        <w:rPr>
          <w:rFonts w:hint="eastAsia" w:ascii="宋体" w:hAnsi="宋体" w:cs="宋体"/>
          <w:szCs w:val="21"/>
        </w:rPr>
        <w:t xml:space="preserve">4.2.5 有效行程：50mm</w:t>
      </w:r>
      <w:r>
        <w:rPr>
          <w:rFonts w:ascii="宋体" w:hAnsi="宋体" w:cs="宋体"/>
          <w:szCs w:val="21"/>
        </w:rPr>
      </w:r>
      <w:r/>
    </w:p>
    <w:p>
      <w:pPr>
        <w:pStyle w:val="1344"/>
        <w:ind w:firstLine="420"/>
        <w:jc w:val="left"/>
        <w:spacing w:line="360" w:lineRule="auto"/>
        <w:widowControl/>
        <w:rPr>
          <w:rFonts w:ascii="宋体" w:hAnsi="宋体" w:cs="宋体"/>
          <w:szCs w:val="21"/>
        </w:rPr>
      </w:pPr>
      <w:r>
        <w:rPr>
          <w:rFonts w:hint="eastAsia" w:ascii="宋体" w:hAnsi="宋体" w:cs="宋体"/>
          <w:szCs w:val="21"/>
        </w:rPr>
        <w:t xml:space="preserve">4.2.6 5MN液体静压支撑抗侧向承载能力：＞100kN</w:t>
      </w:r>
      <w:r>
        <w:rPr>
          <w:rFonts w:ascii="宋体" w:hAnsi="宋体" w:cs="宋体"/>
          <w:szCs w:val="21"/>
        </w:rPr>
      </w:r>
      <w:r/>
    </w:p>
    <w:p>
      <w:pPr>
        <w:pStyle w:val="1344"/>
        <w:ind w:firstLine="420"/>
        <w:jc w:val="left"/>
        <w:spacing w:line="360" w:lineRule="auto"/>
        <w:widowControl/>
        <w:rPr>
          <w:rFonts w:ascii="宋体" w:hAnsi="宋体" w:cs="宋体"/>
          <w:szCs w:val="21"/>
        </w:rPr>
      </w:pPr>
      <w:r>
        <w:rPr>
          <w:rFonts w:hint="eastAsia" w:ascii="宋体" w:hAnsi="宋体" w:cs="宋体"/>
          <w:szCs w:val="21"/>
        </w:rPr>
        <w:t xml:space="preserve">4.2.7 50kN液体静压支撑抗侧向承载能力：＞1kN</w:t>
      </w:r>
      <w:r>
        <w:rPr>
          <w:rFonts w:ascii="宋体" w:hAnsi="宋体" w:cs="宋体"/>
          <w:szCs w:val="21"/>
        </w:rPr>
      </w:r>
      <w:r/>
    </w:p>
    <w:p>
      <w:pPr>
        <w:pStyle w:val="1344"/>
        <w:ind w:firstLine="420"/>
        <w:jc w:val="left"/>
        <w:spacing w:line="360" w:lineRule="auto"/>
        <w:widowControl/>
        <w:rPr>
          <w:rFonts w:ascii="宋体" w:hAnsi="宋体" w:cs="宋体"/>
          <w:szCs w:val="21"/>
        </w:rPr>
      </w:pPr>
      <w:r>
        <w:rPr>
          <w:rFonts w:hint="eastAsia" w:ascii="宋体" w:hAnsi="宋体" w:cs="宋体"/>
          <w:szCs w:val="21"/>
        </w:rPr>
        <w:t xml:space="preserve">4.2.8启动压力：≤0.001MPa</w:t>
      </w:r>
      <w:r>
        <w:rPr>
          <w:rFonts w:ascii="宋体" w:hAnsi="宋体" w:cs="宋体"/>
          <w:szCs w:val="21"/>
        </w:rPr>
      </w:r>
      <w:r/>
    </w:p>
    <w:p>
      <w:pPr>
        <w:pStyle w:val="1344"/>
        <w:ind w:firstLine="420"/>
        <w:spacing w:line="360" w:lineRule="auto"/>
        <w:rPr>
          <w:rFonts w:ascii="宋体" w:hAnsi="宋体" w:cs="宋体"/>
          <w:szCs w:val="21"/>
        </w:rPr>
      </w:pPr>
      <w:r>
        <w:rPr>
          <w:rFonts w:hint="eastAsia" w:ascii="宋体" w:hAnsi="宋体" w:cs="宋体"/>
          <w:szCs w:val="21"/>
        </w:rPr>
        <w:t xml:space="preserve">5. 50kN静重力源</w:t>
      </w:r>
      <w:r>
        <w:rPr>
          <w:rFonts w:ascii="宋体" w:hAnsi="宋体" w:cs="宋体"/>
          <w:szCs w:val="21"/>
        </w:rPr>
      </w:r>
      <w:r/>
    </w:p>
    <w:p>
      <w:pPr>
        <w:pStyle w:val="1344"/>
        <w:ind w:firstLine="420"/>
        <w:spacing w:line="360" w:lineRule="auto"/>
        <w:rPr>
          <w:rFonts w:ascii="宋体" w:hAnsi="宋体" w:cs="宋体"/>
          <w:szCs w:val="21"/>
        </w:rPr>
      </w:pPr>
      <w:r>
        <w:rPr>
          <w:rFonts w:hint="eastAsia" w:ascii="宋体" w:hAnsi="宋体" w:cs="宋体"/>
          <w:szCs w:val="21"/>
        </w:rPr>
        <w:t xml:space="preserve">5.1功能</w:t>
      </w:r>
      <w:r>
        <w:rPr>
          <w:rFonts w:ascii="宋体" w:hAnsi="宋体" w:cs="宋体"/>
          <w:szCs w:val="21"/>
        </w:rPr>
      </w:r>
      <w:r/>
    </w:p>
    <w:p>
      <w:pPr>
        <w:pStyle w:val="1344"/>
        <w:ind w:firstLine="420"/>
        <w:spacing w:line="360" w:lineRule="auto"/>
        <w:rPr>
          <w:rFonts w:ascii="宋体" w:hAnsi="宋体" w:cs="宋体"/>
          <w:szCs w:val="21"/>
        </w:rPr>
      </w:pPr>
      <w:r>
        <w:rPr>
          <w:rFonts w:hint="eastAsia" w:ascii="宋体" w:hAnsi="宋体" w:cs="宋体"/>
          <w:szCs w:val="21"/>
        </w:rPr>
        <w:t xml:space="preserve">将砝码产生的重力作为标准力源加载到测力液体静压支撑上。</w:t>
      </w:r>
      <w:r>
        <w:rPr>
          <w:rFonts w:ascii="宋体" w:hAnsi="宋体" w:cs="宋体"/>
          <w:szCs w:val="21"/>
        </w:rPr>
      </w:r>
      <w:r/>
    </w:p>
    <w:p>
      <w:pPr>
        <w:pStyle w:val="1344"/>
        <w:ind w:firstLine="420"/>
        <w:spacing w:line="360" w:lineRule="auto"/>
        <w:rPr>
          <w:rFonts w:ascii="宋体" w:hAnsi="宋体" w:cs="宋体"/>
          <w:szCs w:val="21"/>
        </w:rPr>
      </w:pPr>
      <w:r>
        <w:rPr>
          <w:rFonts w:hint="eastAsia" w:ascii="宋体" w:hAnsi="宋体" w:cs="宋体"/>
          <w:szCs w:val="21"/>
        </w:rPr>
        <w:t xml:space="preserve">5.2技术参数</w:t>
      </w:r>
      <w:r>
        <w:rPr>
          <w:rFonts w:ascii="宋体" w:hAnsi="宋体" w:cs="宋体"/>
          <w:szCs w:val="21"/>
        </w:rPr>
      </w:r>
      <w:r/>
    </w:p>
    <w:p>
      <w:pPr>
        <w:pStyle w:val="1344"/>
        <w:ind w:firstLine="420"/>
        <w:spacing w:line="360" w:lineRule="auto"/>
        <w:rPr>
          <w:rFonts w:ascii="宋体" w:hAnsi="宋体" w:cs="宋体"/>
          <w:szCs w:val="21"/>
        </w:rPr>
      </w:pPr>
      <w:r>
        <w:rPr>
          <w:rFonts w:hint="eastAsia" w:ascii="宋体" w:hAnsi="宋体" w:cs="宋体"/>
          <w:szCs w:val="21"/>
        </w:rPr>
        <w:t xml:space="preserve">5.2.1 50kN静重力源机架：保持足够的强度和刚度，设计安全系数大于5。</w:t>
      </w:r>
      <w:r>
        <w:rPr>
          <w:rFonts w:ascii="宋体" w:hAnsi="宋体" w:cs="宋体"/>
          <w:szCs w:val="21"/>
        </w:rPr>
      </w:r>
      <w:r/>
    </w:p>
    <w:p>
      <w:pPr>
        <w:pStyle w:val="1344"/>
        <w:ind w:firstLine="420"/>
        <w:spacing w:line="360" w:lineRule="auto"/>
        <w:rPr>
          <w:rFonts w:ascii="宋体" w:hAnsi="宋体" w:cs="宋体"/>
          <w:szCs w:val="21"/>
        </w:rPr>
      </w:pPr>
      <w:r>
        <w:rPr>
          <w:rFonts w:hint="eastAsia" w:ascii="宋体" w:hAnsi="宋体" w:cs="宋体"/>
          <w:szCs w:val="21"/>
        </w:rPr>
        <w:t xml:space="preserve">5.2.2 50kN静重力源反向器：保持足够的强度和刚度，设计安全系数大于5倍。</w:t>
      </w:r>
      <w:r>
        <w:rPr>
          <w:rFonts w:ascii="宋体" w:hAnsi="宋体" w:cs="宋体"/>
          <w:szCs w:val="21"/>
        </w:rPr>
      </w:r>
      <w:r/>
    </w:p>
    <w:p>
      <w:pPr>
        <w:pStyle w:val="1344"/>
        <w:ind w:firstLine="420"/>
        <w:spacing w:line="360" w:lineRule="auto"/>
        <w:rPr>
          <w:rFonts w:ascii="宋体" w:hAnsi="宋体" w:cs="宋体"/>
          <w:szCs w:val="21"/>
        </w:rPr>
      </w:pPr>
      <w:r>
        <w:rPr>
          <w:rFonts w:hint="eastAsia" w:ascii="宋体" w:hAnsi="宋体" w:cs="宋体"/>
          <w:szCs w:val="21"/>
        </w:rPr>
        <w:t xml:space="preserve">5.2.3砝码：砝码质量不确定度≤0.002%，采用304不锈钢加工；其配置需在不调换砝码的前提下，满足0.5MN、1MN、2MN 、5MN 标准测力仪、力传感器10点检测的要求。</w:t>
      </w:r>
      <w:r>
        <w:rPr>
          <w:rFonts w:ascii="宋体" w:hAnsi="宋体" w:cs="宋体"/>
          <w:szCs w:val="21"/>
        </w:rPr>
      </w:r>
      <w:r/>
    </w:p>
    <w:p>
      <w:pPr>
        <w:pStyle w:val="1344"/>
        <w:ind w:firstLine="420"/>
        <w:spacing w:line="360" w:lineRule="auto"/>
        <w:rPr>
          <w:rFonts w:ascii="宋体" w:hAnsi="宋体" w:cs="宋体"/>
          <w:szCs w:val="21"/>
        </w:rPr>
      </w:pPr>
      <w:r>
        <w:rPr>
          <w:rFonts w:hint="eastAsia" w:ascii="宋体" w:hAnsi="宋体" w:cs="宋体"/>
          <w:szCs w:val="21"/>
        </w:rPr>
        <w:t xml:space="preserve">5.2.4砝码加/卸载机构：采用伺服电机驱动砝码托架上下移动的方式实现砝码的加/卸载，砝码驱动机构应加载平稳，不应引起砝码倾斜或撞击。</w:t>
      </w:r>
      <w:r>
        <w:rPr>
          <w:rFonts w:ascii="宋体" w:hAnsi="宋体" w:cs="宋体"/>
          <w:szCs w:val="21"/>
        </w:rPr>
      </w:r>
      <w:r/>
    </w:p>
    <w:p>
      <w:pPr>
        <w:pStyle w:val="1344"/>
        <w:ind w:firstLine="420"/>
        <w:spacing w:line="360" w:lineRule="auto"/>
        <w:rPr>
          <w:rFonts w:ascii="宋体" w:hAnsi="宋体" w:cs="宋体"/>
          <w:szCs w:val="21"/>
        </w:rPr>
      </w:pPr>
      <w:r>
        <w:rPr>
          <w:rFonts w:hint="eastAsia" w:ascii="宋体" w:hAnsi="宋体" w:cs="宋体"/>
          <w:szCs w:val="21"/>
        </w:rPr>
        <w:t xml:space="preserve">6. 5MN参考标准测力仪</w:t>
      </w:r>
      <w:r>
        <w:rPr>
          <w:rFonts w:ascii="宋体" w:hAnsi="宋体" w:cs="宋体"/>
          <w:szCs w:val="21"/>
        </w:rPr>
      </w:r>
      <w:r/>
    </w:p>
    <w:p>
      <w:pPr>
        <w:pStyle w:val="1344"/>
        <w:ind w:firstLine="420"/>
        <w:spacing w:line="360" w:lineRule="auto"/>
        <w:rPr>
          <w:rFonts w:ascii="宋体" w:hAnsi="宋体" w:cs="宋体"/>
          <w:szCs w:val="21"/>
        </w:rPr>
      </w:pPr>
      <w:r>
        <w:rPr>
          <w:rFonts w:hint="eastAsia" w:ascii="宋体" w:hAnsi="宋体" w:cs="宋体"/>
          <w:szCs w:val="21"/>
        </w:rPr>
        <w:t xml:space="preserve">6.1测量范围：（0.5～5）MN</w:t>
      </w:r>
      <w:r>
        <w:rPr>
          <w:rFonts w:ascii="宋体" w:hAnsi="宋体" w:cs="宋体"/>
          <w:szCs w:val="21"/>
        </w:rPr>
      </w:r>
      <w:r/>
    </w:p>
    <w:p>
      <w:pPr>
        <w:pStyle w:val="1344"/>
        <w:ind w:firstLine="420"/>
        <w:spacing w:line="360" w:lineRule="auto"/>
        <w:rPr>
          <w:rFonts w:ascii="宋体" w:hAnsi="宋体" w:cs="宋体"/>
          <w:szCs w:val="21"/>
        </w:rPr>
      </w:pPr>
      <w:r>
        <w:rPr>
          <w:rFonts w:hint="eastAsia" w:ascii="宋体" w:hAnsi="宋体" w:cs="宋体"/>
          <w:szCs w:val="21"/>
        </w:rPr>
        <w:t xml:space="preserve">6.2准确度等级：0.05</w:t>
      </w:r>
      <w:r>
        <w:rPr>
          <w:rFonts w:ascii="宋体" w:hAnsi="宋体" w:cs="宋体"/>
          <w:szCs w:val="21"/>
        </w:rPr>
      </w:r>
      <w:r/>
    </w:p>
    <w:p>
      <w:pPr>
        <w:pStyle w:val="1344"/>
        <w:ind w:firstLine="420"/>
        <w:spacing w:line="360" w:lineRule="auto"/>
        <w:rPr>
          <w:rFonts w:ascii="宋体" w:hAnsi="宋体" w:cs="宋体"/>
          <w:szCs w:val="21"/>
        </w:rPr>
      </w:pPr>
      <w:r>
        <w:rPr>
          <w:rFonts w:hint="eastAsia" w:ascii="宋体" w:hAnsi="宋体" w:cs="宋体"/>
          <w:szCs w:val="21"/>
        </w:rPr>
        <w:t xml:space="preserve">7.伺服控制系统</w:t>
      </w:r>
      <w:r>
        <w:rPr>
          <w:rFonts w:ascii="宋体" w:hAnsi="宋体" w:cs="宋体"/>
          <w:szCs w:val="21"/>
        </w:rPr>
      </w:r>
      <w:r/>
    </w:p>
    <w:p>
      <w:pPr>
        <w:pStyle w:val="1344"/>
        <w:ind w:firstLine="420"/>
        <w:spacing w:line="360" w:lineRule="auto"/>
        <w:rPr>
          <w:rFonts w:ascii="宋体" w:hAnsi="宋体" w:cs="宋体"/>
          <w:szCs w:val="21"/>
        </w:rPr>
      </w:pPr>
      <w:r>
        <w:rPr>
          <w:rFonts w:hint="eastAsia" w:ascii="宋体" w:hAnsi="宋体" w:cs="宋体"/>
          <w:szCs w:val="21"/>
        </w:rPr>
        <w:t xml:space="preserve">7.1伺服液压控制系统</w:t>
      </w:r>
      <w:r>
        <w:rPr>
          <w:rFonts w:ascii="宋体" w:hAnsi="宋体" w:cs="宋体"/>
          <w:szCs w:val="21"/>
        </w:rPr>
      </w:r>
      <w:r/>
    </w:p>
    <w:p>
      <w:pPr>
        <w:pStyle w:val="1344"/>
        <w:ind w:firstLine="422"/>
        <w:spacing w:line="360" w:lineRule="auto"/>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7.1.1液压控制系统包含工作油路、密封油路、静压油路等三大油路的控制，各油路均用双泵伺服控制技术，即由两个伺服电机分别控制两个油泵，两个油泵分别控制油缸的进油和回油，两套油泵的进回油差控制油缸的进退和力值的大小。</w:t>
      </w:r>
      <w:r>
        <w:rPr>
          <w:rFonts w:ascii="宋体" w:hAnsi="宋体" w:cs="宋体"/>
          <w:szCs w:val="21"/>
        </w:rPr>
      </w:r>
      <w:r/>
    </w:p>
    <w:p>
      <w:pPr>
        <w:pStyle w:val="1344"/>
        <w:ind w:firstLine="420"/>
        <w:spacing w:line="360" w:lineRule="auto"/>
        <w:rPr>
          <w:rFonts w:ascii="宋体" w:hAnsi="宋体" w:cs="宋体"/>
          <w:color w:val="000000"/>
          <w:szCs w:val="21"/>
        </w:rPr>
      </w:pPr>
      <w:r>
        <w:rPr>
          <w:rFonts w:hint="eastAsia" w:ascii="宋体" w:hAnsi="宋体" w:cs="宋体"/>
          <w:szCs w:val="21"/>
        </w:rPr>
        <w:t xml:space="preserve">7.1.2</w:t>
      </w:r>
      <w:r>
        <w:rPr>
          <w:rFonts w:hint="eastAsia" w:ascii="宋体" w:hAnsi="宋体" w:cs="宋体"/>
          <w:color w:val="000000"/>
          <w:szCs w:val="21"/>
        </w:rPr>
        <w:t xml:space="preserve">工作油路：</w:t>
      </w:r>
      <w:r>
        <w:rPr>
          <w:rFonts w:hint="eastAsia" w:ascii="宋体" w:hAnsi="宋体" w:cs="宋体"/>
          <w:szCs w:val="21"/>
        </w:rPr>
        <w:t xml:space="preserve">控制压力(</w:t>
      </w:r>
      <w:r>
        <w:rPr>
          <w:rFonts w:hint="eastAsia" w:ascii="宋体" w:hAnsi="宋体" w:cs="宋体"/>
          <w:color w:val="000000"/>
          <w:szCs w:val="21"/>
        </w:rPr>
        <w:t xml:space="preserve">0</w:t>
      </w:r>
      <w:r>
        <w:rPr>
          <w:rFonts w:hint="eastAsia" w:ascii="宋体" w:hAnsi="宋体" w:cs="宋体"/>
          <w:szCs w:val="21"/>
        </w:rPr>
        <w:t xml:space="preserve">～</w:t>
      </w:r>
      <w:r>
        <w:rPr>
          <w:rFonts w:hint="eastAsia" w:ascii="宋体" w:hAnsi="宋体" w:cs="宋体"/>
          <w:color w:val="000000"/>
          <w:szCs w:val="21"/>
        </w:rPr>
        <w:t xml:space="preserve">30)MPa,</w:t>
      </w:r>
      <w:r>
        <w:rPr>
          <w:rFonts w:hint="eastAsia" w:ascii="宋体" w:hAnsi="宋体" w:cs="宋体"/>
          <w:szCs w:val="21"/>
        </w:rPr>
        <w:t xml:space="preserve">控制压力波动度≤5×10</w:t>
      </w:r>
      <w:r>
        <w:rPr>
          <w:rFonts w:hint="eastAsia" w:ascii="宋体" w:hAnsi="宋体" w:cs="宋体"/>
          <w:szCs w:val="21"/>
          <w:vertAlign w:val="superscript"/>
        </w:rPr>
        <w:t xml:space="preserve">-5</w:t>
      </w:r>
      <w:r>
        <w:rPr>
          <w:rFonts w:hint="eastAsia" w:ascii="宋体" w:hAnsi="宋体" w:cs="宋体"/>
          <w:szCs w:val="21"/>
        </w:rPr>
        <w:t xml:space="preserve">MPa</w:t>
      </w:r>
      <w:r>
        <w:rPr>
          <w:rFonts w:ascii="宋体" w:hAnsi="宋体" w:cs="宋体"/>
          <w:color w:val="000000"/>
          <w:szCs w:val="21"/>
        </w:rPr>
      </w:r>
      <w:r/>
    </w:p>
    <w:p>
      <w:pPr>
        <w:pStyle w:val="1344"/>
        <w:ind w:firstLine="420"/>
        <w:spacing w:line="360" w:lineRule="auto"/>
        <w:rPr>
          <w:rFonts w:ascii="宋体" w:hAnsi="宋体" w:cs="宋体"/>
          <w:color w:val="000000"/>
          <w:szCs w:val="21"/>
        </w:rPr>
      </w:pPr>
      <w:r>
        <w:rPr>
          <w:rFonts w:hint="eastAsia" w:ascii="宋体" w:hAnsi="宋体" w:cs="宋体"/>
          <w:szCs w:val="21"/>
        </w:rPr>
        <w:t xml:space="preserve">7.1.3</w:t>
      </w:r>
      <w:r>
        <w:rPr>
          <w:rFonts w:hint="eastAsia" w:ascii="宋体" w:hAnsi="宋体" w:cs="宋体"/>
          <w:color w:val="000000"/>
          <w:szCs w:val="21"/>
        </w:rPr>
        <w:t xml:space="preserve">密封油路：</w:t>
      </w:r>
      <w:r>
        <w:rPr>
          <w:rFonts w:hint="eastAsia" w:ascii="宋体" w:hAnsi="宋体" w:cs="宋体"/>
          <w:szCs w:val="21"/>
        </w:rPr>
        <w:t xml:space="preserve">控制压力(</w:t>
      </w:r>
      <w:r>
        <w:rPr>
          <w:rFonts w:hint="eastAsia" w:ascii="宋体" w:hAnsi="宋体" w:cs="宋体"/>
          <w:color w:val="000000"/>
          <w:szCs w:val="21"/>
        </w:rPr>
        <w:t xml:space="preserve">0</w:t>
      </w:r>
      <w:r>
        <w:rPr>
          <w:rFonts w:hint="eastAsia" w:ascii="宋体" w:hAnsi="宋体" w:cs="宋体"/>
          <w:szCs w:val="21"/>
        </w:rPr>
        <w:t xml:space="preserve">～</w:t>
      </w:r>
      <w:r>
        <w:rPr>
          <w:rFonts w:hint="eastAsia" w:ascii="宋体" w:hAnsi="宋体" w:cs="宋体"/>
          <w:color w:val="000000"/>
          <w:szCs w:val="21"/>
        </w:rPr>
        <w:t xml:space="preserve">30)MPa,</w:t>
      </w:r>
      <w:r>
        <w:rPr>
          <w:rFonts w:hint="eastAsia" w:ascii="宋体" w:hAnsi="宋体" w:cs="宋体"/>
          <w:szCs w:val="21"/>
        </w:rPr>
        <w:t xml:space="preserve">控制压力波动度≤5×10</w:t>
      </w:r>
      <w:r>
        <w:rPr>
          <w:rFonts w:hint="eastAsia" w:ascii="宋体" w:hAnsi="宋体" w:cs="宋体"/>
          <w:szCs w:val="21"/>
          <w:vertAlign w:val="superscript"/>
        </w:rPr>
        <w:t xml:space="preserve">-5</w:t>
      </w:r>
      <w:r>
        <w:rPr>
          <w:rFonts w:hint="eastAsia" w:ascii="宋体" w:hAnsi="宋体" w:cs="宋体"/>
          <w:szCs w:val="21"/>
        </w:rPr>
        <w:t xml:space="preserve">MPa</w:t>
      </w:r>
      <w:r>
        <w:rPr>
          <w:rFonts w:ascii="宋体" w:hAnsi="宋体" w:cs="宋体"/>
          <w:color w:val="000000"/>
          <w:szCs w:val="21"/>
        </w:rPr>
      </w:r>
      <w:r/>
    </w:p>
    <w:p>
      <w:pPr>
        <w:pStyle w:val="1344"/>
        <w:ind w:firstLine="420"/>
        <w:spacing w:line="360" w:lineRule="auto"/>
        <w:rPr>
          <w:rFonts w:ascii="宋体" w:hAnsi="宋体" w:cs="宋体"/>
          <w:szCs w:val="21"/>
        </w:rPr>
      </w:pPr>
      <w:r>
        <w:rPr>
          <w:rFonts w:hint="eastAsia" w:ascii="宋体" w:hAnsi="宋体" w:cs="宋体"/>
          <w:szCs w:val="21"/>
        </w:rPr>
        <w:t xml:space="preserve">7.1.4</w:t>
      </w:r>
      <w:r>
        <w:rPr>
          <w:rFonts w:hint="eastAsia" w:ascii="宋体" w:hAnsi="宋体" w:cs="宋体"/>
          <w:color w:val="000000"/>
          <w:szCs w:val="21"/>
        </w:rPr>
        <w:t xml:space="preserve">静压油路：</w:t>
      </w:r>
      <w:r>
        <w:rPr>
          <w:rFonts w:hint="eastAsia" w:ascii="宋体" w:hAnsi="宋体" w:cs="宋体"/>
          <w:szCs w:val="21"/>
        </w:rPr>
        <w:t xml:space="preserve">控制压力(</w:t>
      </w:r>
      <w:r>
        <w:rPr>
          <w:rFonts w:hint="eastAsia" w:ascii="宋体" w:hAnsi="宋体" w:cs="宋体"/>
          <w:color w:val="000000"/>
          <w:szCs w:val="21"/>
        </w:rPr>
        <w:t xml:space="preserve">0</w:t>
      </w:r>
      <w:r>
        <w:rPr>
          <w:rFonts w:hint="eastAsia" w:ascii="宋体" w:hAnsi="宋体" w:cs="宋体"/>
          <w:szCs w:val="21"/>
        </w:rPr>
        <w:t xml:space="preserve">～</w:t>
      </w:r>
      <w:r>
        <w:rPr>
          <w:rFonts w:hint="eastAsia" w:ascii="宋体" w:hAnsi="宋体" w:cs="宋体"/>
          <w:color w:val="000000"/>
          <w:szCs w:val="21"/>
        </w:rPr>
        <w:t xml:space="preserve">30)MPa,</w:t>
      </w:r>
      <w:r>
        <w:rPr>
          <w:rFonts w:hint="eastAsia" w:ascii="宋体" w:hAnsi="宋体" w:cs="宋体"/>
          <w:szCs w:val="21"/>
        </w:rPr>
        <w:t xml:space="preserve">控制压力波动度≤5×10</w:t>
      </w:r>
      <w:r>
        <w:rPr>
          <w:rFonts w:hint="eastAsia" w:ascii="宋体" w:hAnsi="宋体" w:cs="宋体"/>
          <w:szCs w:val="21"/>
          <w:vertAlign w:val="superscript"/>
        </w:rPr>
        <w:t xml:space="preserve">-5</w:t>
      </w:r>
      <w:r>
        <w:rPr>
          <w:rFonts w:hint="eastAsia" w:ascii="宋体" w:hAnsi="宋体" w:cs="宋体"/>
          <w:szCs w:val="21"/>
        </w:rPr>
        <w:t xml:space="preserve">MPa</w:t>
      </w:r>
      <w:r>
        <w:rPr>
          <w:rFonts w:ascii="宋体" w:hAnsi="宋体" w:cs="宋体"/>
          <w:szCs w:val="21"/>
        </w:rPr>
      </w:r>
      <w:r/>
    </w:p>
    <w:p>
      <w:pPr>
        <w:pStyle w:val="1344"/>
        <w:ind w:firstLine="420"/>
        <w:spacing w:line="360" w:lineRule="auto"/>
        <w:rPr>
          <w:rFonts w:ascii="宋体" w:hAnsi="宋体" w:cs="宋体"/>
          <w:szCs w:val="21"/>
        </w:rPr>
      </w:pPr>
      <w:r>
        <w:rPr>
          <w:rFonts w:hint="eastAsia" w:ascii="宋体" w:hAnsi="宋体" w:cs="宋体"/>
          <w:szCs w:val="21"/>
        </w:rPr>
        <w:t xml:space="preserve">7.2测控及电气系统</w:t>
      </w:r>
      <w:r>
        <w:rPr>
          <w:rFonts w:ascii="宋体" w:hAnsi="宋体" w:cs="宋体"/>
          <w:szCs w:val="21"/>
        </w:rPr>
      </w:r>
      <w:r/>
    </w:p>
    <w:p>
      <w:pPr>
        <w:pStyle w:val="1344"/>
        <w:ind w:firstLine="420"/>
        <w:jc w:val="left"/>
        <w:spacing w:line="360" w:lineRule="auto"/>
        <w:widowControl/>
        <w:rPr>
          <w:rFonts w:ascii="宋体" w:hAnsi="宋体" w:cs="宋体"/>
          <w:szCs w:val="21"/>
        </w:rPr>
      </w:pPr>
      <w:r>
        <w:rPr>
          <w:rFonts w:hint="eastAsia" w:ascii="宋体" w:hAnsi="宋体" w:cs="宋体"/>
          <w:szCs w:val="21"/>
        </w:rPr>
        <w:t xml:space="preserve">系统依托控制软件实现试验空间调节、砝码自动加卸载，包含数据采集、数据处理、PLC 电气控制三部分。</w:t>
      </w:r>
      <w:r>
        <w:rPr>
          <w:rFonts w:ascii="宋体" w:hAnsi="宋体" w:cs="宋体"/>
          <w:szCs w:val="21"/>
        </w:rPr>
      </w:r>
      <w:r/>
    </w:p>
    <w:p>
      <w:pPr>
        <w:pStyle w:val="1344"/>
        <w:ind w:firstLine="420"/>
        <w:jc w:val="left"/>
        <w:spacing w:line="360" w:lineRule="auto"/>
        <w:widowControl/>
        <w:rPr>
          <w:rFonts w:ascii="宋体" w:hAnsi="宋体" w:cs="宋体"/>
          <w:szCs w:val="21"/>
        </w:rPr>
      </w:pPr>
      <w:r>
        <w:rPr>
          <w:rFonts w:hint="eastAsia" w:ascii="宋体" w:hAnsi="宋体" w:cs="宋体"/>
          <w:szCs w:val="21"/>
        </w:rPr>
        <w:t xml:space="preserve">7.2.1数据采集单元配置不少于7通道高精度采集仪表及RS232接口，采集油缸温度、各油路压力及油缸位置信号。</w:t>
      </w:r>
      <w:r>
        <w:rPr>
          <w:rFonts w:ascii="宋体" w:hAnsi="宋体" w:cs="宋体"/>
          <w:szCs w:val="21"/>
        </w:rPr>
      </w:r>
      <w:r/>
    </w:p>
    <w:p>
      <w:pPr>
        <w:pStyle w:val="1344"/>
        <w:ind w:firstLine="420"/>
        <w:jc w:val="left"/>
        <w:spacing w:line="360" w:lineRule="auto"/>
        <w:widowControl/>
        <w:rPr>
          <w:rFonts w:ascii="宋体" w:hAnsi="宋体" w:cs="宋体"/>
          <w:szCs w:val="21"/>
        </w:rPr>
      </w:pPr>
      <w:r>
        <w:rPr>
          <w:rFonts w:hint="eastAsia" w:ascii="宋体" w:hAnsi="宋体" w:cs="宋体"/>
          <w:szCs w:val="21"/>
        </w:rPr>
        <w:t xml:space="preserve">7.2.2数据处理单元采用主频≥2GHz工控机，通过RS232/RS485 通讯，按规程处理数据并生成文档。</w:t>
      </w:r>
      <w:r>
        <w:rPr>
          <w:rFonts w:ascii="宋体" w:hAnsi="宋体" w:cs="宋体"/>
          <w:szCs w:val="21"/>
        </w:rPr>
      </w:r>
      <w:r/>
    </w:p>
    <w:p>
      <w:pPr>
        <w:pStyle w:val="1344"/>
        <w:ind w:firstLine="420"/>
        <w:jc w:val="left"/>
        <w:spacing w:line="360" w:lineRule="auto"/>
        <w:widowControl/>
        <w:rPr>
          <w:rFonts w:ascii="宋体" w:hAnsi="宋体" w:cs="宋体"/>
          <w:szCs w:val="21"/>
        </w:rPr>
      </w:pPr>
      <w:r>
        <w:rPr>
          <w:rFonts w:hint="eastAsia" w:ascii="宋体" w:hAnsi="宋体" w:cs="宋体"/>
          <w:szCs w:val="21"/>
        </w:rPr>
        <w:t xml:space="preserve">7.2.3电气系统采用PLC，依靠位移传感器与接近开关实时反馈位置，自动完成空间调整与砝码加卸载。</w:t>
      </w:r>
      <w:r>
        <w:rPr>
          <w:rFonts w:ascii="宋体" w:hAnsi="宋体" w:cs="宋体"/>
          <w:szCs w:val="21"/>
        </w:rPr>
      </w:r>
      <w:r/>
    </w:p>
    <w:p>
      <w:pPr>
        <w:pStyle w:val="1344"/>
        <w:ind w:firstLine="420"/>
        <w:jc w:val="left"/>
        <w:spacing w:line="360" w:lineRule="auto"/>
        <w:widowControl/>
        <w:rPr>
          <w:rFonts w:ascii="宋体" w:hAnsi="宋体" w:cs="宋体"/>
          <w:szCs w:val="21"/>
        </w:rPr>
      </w:pPr>
      <w:r>
        <w:rPr>
          <w:rFonts w:hint="eastAsia" w:ascii="宋体" w:hAnsi="宋体" w:cs="宋体"/>
          <w:szCs w:val="21"/>
        </w:rPr>
        <w:t xml:space="preserve">7.3控制软件</w:t>
      </w:r>
      <w:r>
        <w:rPr>
          <w:rFonts w:ascii="宋体" w:hAnsi="宋体" w:cs="宋体"/>
          <w:szCs w:val="21"/>
        </w:rPr>
      </w:r>
      <w:r/>
    </w:p>
    <w:p>
      <w:pPr>
        <w:pStyle w:val="1344"/>
        <w:ind w:firstLine="420"/>
        <w:jc w:val="left"/>
        <w:spacing w:line="360" w:lineRule="auto"/>
        <w:widowControl/>
        <w:rPr>
          <w:rFonts w:ascii="宋体" w:hAnsi="宋体" w:cs="宋体"/>
          <w:szCs w:val="21"/>
        </w:rPr>
      </w:pPr>
      <w:r>
        <w:rPr>
          <w:rFonts w:hint="eastAsia" w:ascii="宋体" w:hAnsi="宋体" w:cs="宋体"/>
          <w:szCs w:val="21"/>
        </w:rPr>
        <w:t xml:space="preserve">系统配套专用上位机控制软件，配备人机交互界面，应能实现工控机、电气控制系统与液压控制系统的数据交互及协同控制，支持力标准机全自动检定作业，具备设备开机自检、故障异常报警、检定方案选择、试验参数录入、自动化检定、数据存储及检定报告自动生成等完整功能，满足传感器拉向、压向检定需求并符合相关检定规程；软件应能保障设备检定重复性、稳定性及整体高精度运行指标。</w:t>
      </w:r>
      <w:r>
        <w:rPr>
          <w:rFonts w:ascii="宋体" w:hAnsi="宋体" w:cs="宋体"/>
          <w:szCs w:val="21"/>
        </w:rPr>
      </w:r>
      <w:r/>
    </w:p>
    <w:p>
      <w:pPr>
        <w:pStyle w:val="1344"/>
        <w:spacing w:line="360" w:lineRule="auto"/>
        <w:tabs>
          <w:tab w:val="left" w:pos="4500" w:leader="none"/>
          <w:tab w:val="left" w:pos="4680" w:leader="none"/>
        </w:tabs>
        <w:rPr>
          <w:rFonts w:ascii="宋体" w:hAnsi="宋体" w:cs="宋体"/>
          <w:b/>
          <w:bCs/>
          <w:szCs w:val="21"/>
        </w:rPr>
      </w:pPr>
      <w:r>
        <w:rPr>
          <w:rFonts w:hint="eastAsia" w:ascii="宋体" w:hAnsi="宋体" w:cs="宋体"/>
          <w:b/>
          <w:bCs/>
          <w:szCs w:val="21"/>
        </w:rPr>
        <w:t xml:space="preserve">（三）验收依据、方法及单位</w:t>
      </w:r>
      <w:r>
        <w:rPr>
          <w:rFonts w:ascii="宋体" w:hAnsi="宋体" w:cs="宋体"/>
          <w:b/>
          <w:bCs/>
          <w:szCs w:val="21"/>
        </w:rPr>
      </w:r>
      <w:r/>
    </w:p>
    <w:p>
      <w:pPr>
        <w:pStyle w:val="1344"/>
        <w:ind w:firstLine="420"/>
        <w:jc w:val="left"/>
        <w:spacing w:line="360" w:lineRule="auto"/>
        <w:widowControl/>
        <w:rPr>
          <w:rFonts w:ascii="宋体" w:hAnsi="宋体" w:cs="宋体"/>
          <w:szCs w:val="21"/>
        </w:rPr>
      </w:pPr>
      <w:r>
        <w:rPr>
          <w:rFonts w:hint="eastAsia" w:ascii="宋体" w:hAnsi="宋体" w:cs="宋体"/>
          <w:szCs w:val="21"/>
        </w:rPr>
        <w:t xml:space="preserve">1.验收依据：JJG1116-2015《叠加式力标准机》、JJG1117-2015《液压式力标准机》、本技术文件、制造厂商提供的用户手册中的技术要求。</w:t>
      </w:r>
      <w:r>
        <w:rPr>
          <w:rFonts w:ascii="宋体" w:hAnsi="宋体" w:cs="宋体"/>
          <w:szCs w:val="21"/>
        </w:rPr>
      </w:r>
      <w:r/>
    </w:p>
    <w:p>
      <w:pPr>
        <w:pStyle w:val="1344"/>
        <w:ind w:firstLine="420"/>
        <w:jc w:val="left"/>
        <w:spacing w:line="360" w:lineRule="auto"/>
        <w:widowControl/>
        <w:rPr>
          <w:rFonts w:ascii="宋体" w:hAnsi="宋体" w:cs="宋体"/>
          <w:szCs w:val="21"/>
        </w:rPr>
      </w:pPr>
      <w:r>
        <w:rPr>
          <w:rFonts w:hint="eastAsia" w:ascii="宋体" w:hAnsi="宋体" w:cs="宋体"/>
          <w:szCs w:val="21"/>
        </w:rPr>
        <w:t xml:space="preserve">2.卖方负责将设备送检至中国计量科学研究院进行检定/校准，并出具检定/校准证书，检测费用由卖方承担。</w:t>
      </w:r>
      <w:r>
        <w:rPr>
          <w:rFonts w:ascii="宋体" w:hAnsi="宋体" w:cs="宋体"/>
          <w:szCs w:val="21"/>
        </w:rPr>
      </w:r>
      <w:r/>
    </w:p>
    <w:p>
      <w:pPr>
        <w:pStyle w:val="1344"/>
        <w:ind w:firstLine="420"/>
        <w:jc w:val="left"/>
        <w:spacing w:line="360" w:lineRule="auto"/>
        <w:widowControl/>
        <w:rPr>
          <w:rFonts w:ascii="宋体" w:hAnsi="宋体" w:cs="宋体"/>
          <w:szCs w:val="21"/>
        </w:rPr>
      </w:pPr>
      <w:r>
        <w:rPr>
          <w:rFonts w:hint="eastAsia" w:ascii="宋体" w:hAnsi="宋体" w:cs="宋体"/>
          <w:szCs w:val="21"/>
        </w:rPr>
        <w:t xml:space="preserve">3.江苏省计量科学研究院根据以上证书、本技术文件和用户手册对整套设备的技术指标和功能进行最终验收。</w:t>
      </w:r>
      <w:r>
        <w:rPr>
          <w:rFonts w:ascii="宋体" w:hAnsi="宋体" w:cs="宋体"/>
          <w:szCs w:val="21"/>
        </w:rPr>
      </w:r>
      <w:r/>
    </w:p>
    <w:p>
      <w:pPr>
        <w:pStyle w:val="1344"/>
        <w:spacing w:line="360" w:lineRule="auto"/>
        <w:tabs>
          <w:tab w:val="left" w:pos="4500" w:leader="none"/>
          <w:tab w:val="left" w:pos="4680" w:leader="none"/>
        </w:tabs>
        <w:rPr>
          <w:rFonts w:hint="eastAsia" w:ascii="宋体" w:hAnsi="宋体" w:cs="宋体"/>
          <w:b/>
          <w:bCs/>
          <w:szCs w:val="21"/>
        </w:rPr>
      </w:pPr>
      <w:r>
        <w:rPr>
          <w:rFonts w:hint="eastAsia" w:ascii="宋体" w:hAnsi="宋体" w:cs="宋体"/>
          <w:b/>
          <w:bCs/>
          <w:szCs w:val="21"/>
        </w:rPr>
        <w:t xml:space="preserve">（四）质保期</w:t>
      </w:r>
      <w:r>
        <w:rPr>
          <w:rFonts w:hint="eastAsia" w:ascii="宋体" w:hAnsi="宋体" w:cs="宋体"/>
          <w:b/>
          <w:bCs/>
          <w:szCs w:val="21"/>
        </w:rPr>
      </w:r>
      <w:r/>
    </w:p>
    <w:p>
      <w:pPr>
        <w:pStyle w:val="1344"/>
        <w:ind w:firstLine="420"/>
        <w:spacing w:line="360" w:lineRule="auto"/>
        <w:rPr>
          <w:rFonts w:ascii="宋体" w:hAnsi="宋体" w:cs="宋体"/>
          <w:szCs w:val="21"/>
        </w:rPr>
      </w:pPr>
      <w:r>
        <w:rPr>
          <w:rFonts w:hint="eastAsia" w:ascii="宋体" w:hAnsi="宋体" w:cs="宋体"/>
          <w:szCs w:val="21"/>
        </w:rPr>
        <w:t xml:space="preserve">★1.叠加式力标准机的整机质保期为验收合格之日起</w:t>
      </w:r>
      <w:r>
        <w:rPr>
          <w:rFonts w:ascii="宋体" w:hAnsi="宋体" w:cs="宋体"/>
          <w:szCs w:val="21"/>
        </w:rPr>
        <w:t xml:space="preserve">3</w:t>
      </w:r>
      <w:r>
        <w:rPr>
          <w:rFonts w:hint="eastAsia" w:ascii="宋体" w:hAnsi="宋体" w:cs="宋体"/>
          <w:szCs w:val="21"/>
        </w:rPr>
        <w:t xml:space="preserve">年。</w:t>
      </w:r>
      <w:r>
        <w:rPr>
          <w:rFonts w:ascii="宋体" w:hAnsi="宋体" w:cs="宋体"/>
          <w:szCs w:val="21"/>
        </w:rPr>
      </w:r>
      <w:r/>
    </w:p>
    <w:p>
      <w:pPr>
        <w:pStyle w:val="1344"/>
        <w:ind w:firstLine="422"/>
        <w:jc w:val="center"/>
        <w:spacing w:line="480" w:lineRule="exact"/>
        <w:rPr>
          <w:rFonts w:ascii="宋体" w:hAnsi="宋体" w:cs="宋体"/>
          <w:b/>
          <w:bCs/>
          <w:szCs w:val="21"/>
        </w:rPr>
        <w:outlineLvl w:val="1"/>
      </w:pPr>
      <w:r/>
      <w:bookmarkStart w:id="265" w:name="_Toc30342"/>
      <w:r/>
      <w:bookmarkStart w:id="266" w:name="_Toc12854"/>
      <w:r>
        <w:rPr>
          <w:rFonts w:hint="eastAsia" w:ascii="宋体" w:hAnsi="宋体" w:cs="宋体"/>
          <w:b/>
          <w:szCs w:val="21"/>
        </w:rPr>
        <w:t xml:space="preserve">品目</w:t>
      </w:r>
      <w:r>
        <w:rPr>
          <w:rFonts w:hint="eastAsia" w:ascii="宋体" w:hAnsi="宋体" w:cs="宋体"/>
          <w:b/>
          <w:bCs/>
          <w:szCs w:val="21"/>
        </w:rPr>
        <w:t xml:space="preserve">3 扭矩扳子检定仪</w:t>
      </w:r>
      <w:bookmarkEnd w:id="265"/>
      <w:r/>
      <w:bookmarkEnd w:id="266"/>
      <w:r>
        <w:rPr>
          <w:rFonts w:ascii="宋体" w:hAnsi="宋体" w:cs="宋体"/>
          <w:b/>
          <w:bCs/>
          <w:szCs w:val="21"/>
        </w:rPr>
      </w:r>
      <w:r/>
    </w:p>
    <w:p>
      <w:pPr>
        <w:pStyle w:val="1344"/>
        <w:spacing w:line="480" w:lineRule="exact"/>
        <w:tabs>
          <w:tab w:val="left" w:pos="4500" w:leader="none"/>
          <w:tab w:val="left" w:pos="4680" w:leader="none"/>
        </w:tabs>
        <w:rPr>
          <w:rFonts w:ascii="宋体" w:hAnsi="宋体" w:cs="宋体"/>
          <w:b/>
          <w:bCs/>
          <w:szCs w:val="21"/>
        </w:rPr>
      </w:pPr>
      <w:r>
        <w:rPr>
          <w:rFonts w:hint="eastAsia" w:ascii="宋体" w:hAnsi="宋体" w:cs="宋体"/>
          <w:b/>
          <w:bCs/>
          <w:szCs w:val="21"/>
        </w:rPr>
        <w:t xml:space="preserve">★（一）设备及明细配置清单</w:t>
      </w:r>
      <w:r>
        <w:rPr>
          <w:rFonts w:ascii="宋体" w:hAnsi="宋体" w:cs="宋体"/>
          <w:b/>
          <w:bCs/>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10"/>
        <w:gridCol w:w="3161"/>
        <w:gridCol w:w="1411"/>
        <w:gridCol w:w="3668"/>
      </w:tblGrid>
      <w:tr>
        <w:trPr>
          <w:trHeight w:val="389"/>
        </w:trPr>
        <w:tc>
          <w:tcPr>
            <w:tcW w:w="817" w:type="dxa"/>
            <w:vAlign w:val="center"/>
            <w:textDirection w:val="lrTb"/>
            <w:noWrap w:val="false"/>
          </w:tcPr>
          <w:p>
            <w:pPr>
              <w:pStyle w:val="1344"/>
              <w:jc w:val="center"/>
              <w:spacing w:line="360" w:lineRule="auto"/>
              <w:rPr>
                <w:rFonts w:ascii="宋体" w:hAnsi="宋体" w:cs="宋体"/>
              </w:rPr>
            </w:pPr>
            <w:r>
              <w:rPr>
                <w:rFonts w:hint="eastAsia" w:ascii="宋体" w:hAnsi="宋体" w:cs="宋体"/>
              </w:rPr>
              <w:t xml:space="preserve">序号</w:t>
            </w:r>
            <w:r>
              <w:rPr>
                <w:rFonts w:ascii="宋体" w:hAnsi="宋体" w:cs="宋体"/>
              </w:rPr>
            </w:r>
            <w:r/>
          </w:p>
        </w:tc>
        <w:tc>
          <w:tcPr>
            <w:tcW w:w="1604" w:type="dxa"/>
            <w:vAlign w:val="center"/>
            <w:textDirection w:val="lrTb"/>
            <w:noWrap w:val="false"/>
          </w:tcPr>
          <w:p>
            <w:pPr>
              <w:pStyle w:val="1344"/>
              <w:jc w:val="center"/>
              <w:spacing w:line="360" w:lineRule="auto"/>
              <w:rPr>
                <w:rFonts w:ascii="宋体" w:hAnsi="宋体" w:cs="宋体"/>
              </w:rPr>
            </w:pPr>
            <w:r>
              <w:rPr>
                <w:rFonts w:hint="eastAsia" w:ascii="宋体" w:hAnsi="宋体" w:cs="宋体"/>
              </w:rPr>
              <w:t xml:space="preserve">设备名称</w:t>
            </w:r>
            <w:r>
              <w:rPr>
                <w:rFonts w:ascii="宋体" w:hAnsi="宋体" w:cs="宋体"/>
              </w:rPr>
            </w:r>
            <w:r/>
          </w:p>
        </w:tc>
        <w:tc>
          <w:tcPr>
            <w:tcW w:w="716" w:type="dxa"/>
            <w:vAlign w:val="center"/>
            <w:textDirection w:val="lrTb"/>
            <w:noWrap w:val="false"/>
          </w:tcPr>
          <w:p>
            <w:pPr>
              <w:pStyle w:val="1344"/>
              <w:jc w:val="center"/>
              <w:spacing w:line="360" w:lineRule="auto"/>
              <w:rPr>
                <w:rFonts w:ascii="宋体" w:hAnsi="宋体" w:cs="宋体"/>
              </w:rPr>
            </w:pPr>
            <w:r>
              <w:rPr>
                <w:rFonts w:hint="eastAsia" w:ascii="宋体" w:hAnsi="宋体" w:cs="宋体"/>
              </w:rPr>
              <w:t xml:space="preserve">数 量</w:t>
            </w:r>
            <w:r>
              <w:rPr>
                <w:rFonts w:ascii="宋体" w:hAnsi="宋体" w:cs="宋体"/>
              </w:rPr>
            </w:r>
            <w:r/>
          </w:p>
        </w:tc>
        <w:tc>
          <w:tcPr>
            <w:tcW w:w="1861" w:type="dxa"/>
            <w:vAlign w:val="center"/>
            <w:textDirection w:val="lrTb"/>
            <w:noWrap w:val="false"/>
          </w:tcPr>
          <w:p>
            <w:pPr>
              <w:pStyle w:val="1344"/>
              <w:jc w:val="center"/>
              <w:spacing w:line="360" w:lineRule="auto"/>
              <w:rPr>
                <w:rFonts w:ascii="宋体" w:hAnsi="宋体" w:cs="宋体"/>
              </w:rPr>
            </w:pPr>
            <w:r>
              <w:rPr>
                <w:rFonts w:hint="eastAsia" w:ascii="宋体" w:hAnsi="宋体" w:cs="宋体"/>
              </w:rPr>
              <w:t xml:space="preserve">合同履行期限（交货期）</w:t>
            </w:r>
            <w:r>
              <w:rPr>
                <w:rFonts w:ascii="宋体" w:hAnsi="宋体" w:cs="宋体"/>
              </w:rPr>
            </w:r>
            <w:r/>
          </w:p>
        </w:tc>
      </w:tr>
      <w:tr>
        <w:trPr>
          <w:cantSplit/>
          <w:trHeight w:val="454"/>
        </w:trPr>
        <w:tc>
          <w:tcPr>
            <w:tcW w:w="817" w:type="dxa"/>
            <w:vAlign w:val="center"/>
            <w:textDirection w:val="lrTb"/>
            <w:noWrap w:val="false"/>
          </w:tcPr>
          <w:p>
            <w:pPr>
              <w:pStyle w:val="1344"/>
              <w:jc w:val="center"/>
              <w:spacing w:line="360" w:lineRule="auto"/>
              <w:rPr>
                <w:rFonts w:ascii="宋体" w:hAnsi="宋体" w:cs="宋体"/>
              </w:rPr>
            </w:pPr>
            <w:r>
              <w:rPr>
                <w:rFonts w:hint="eastAsia" w:ascii="宋体" w:hAnsi="宋体" w:cs="宋体"/>
              </w:rPr>
              <w:t xml:space="preserve">1</w:t>
            </w:r>
            <w:r>
              <w:rPr>
                <w:rFonts w:ascii="宋体" w:hAnsi="宋体" w:cs="宋体"/>
              </w:rPr>
            </w:r>
            <w:r/>
          </w:p>
        </w:tc>
        <w:tc>
          <w:tcPr>
            <w:tcW w:w="1604" w:type="dxa"/>
            <w:vAlign w:val="center"/>
            <w:textDirection w:val="lrTb"/>
            <w:noWrap w:val="false"/>
          </w:tcPr>
          <w:p>
            <w:pPr>
              <w:pStyle w:val="1344"/>
              <w:jc w:val="center"/>
              <w:spacing w:line="360" w:lineRule="auto"/>
              <w:rPr>
                <w:rFonts w:ascii="宋体" w:hAnsi="宋体" w:cs="宋体"/>
              </w:rPr>
            </w:pPr>
            <w:r>
              <w:rPr>
                <w:rFonts w:hint="eastAsia" w:ascii="宋体" w:hAnsi="宋体" w:cs="宋体"/>
              </w:rPr>
              <w:t xml:space="preserve">扭矩板子检定仪</w:t>
            </w:r>
            <w:r>
              <w:rPr>
                <w:rFonts w:ascii="宋体" w:hAnsi="宋体" w:cs="宋体"/>
              </w:rPr>
            </w:r>
            <w:r/>
          </w:p>
        </w:tc>
        <w:tc>
          <w:tcPr>
            <w:tcW w:w="716" w:type="dxa"/>
            <w:vAlign w:val="center"/>
            <w:textDirection w:val="lrTb"/>
            <w:noWrap w:val="false"/>
          </w:tcPr>
          <w:p>
            <w:pPr>
              <w:pStyle w:val="1344"/>
              <w:jc w:val="center"/>
              <w:spacing w:line="360" w:lineRule="auto"/>
              <w:rPr>
                <w:rFonts w:ascii="宋体" w:hAnsi="宋体" w:cs="宋体"/>
              </w:rPr>
            </w:pPr>
            <w:r>
              <w:rPr>
                <w:rFonts w:hint="eastAsia" w:ascii="宋体" w:hAnsi="宋体" w:cs="宋体"/>
              </w:rPr>
              <w:t xml:space="preserve">1台</w:t>
            </w:r>
            <w:r>
              <w:rPr>
                <w:rFonts w:ascii="宋体" w:hAnsi="宋体" w:cs="宋体"/>
              </w:rPr>
            </w:r>
            <w:r/>
          </w:p>
        </w:tc>
        <w:tc>
          <w:tcPr>
            <w:tcW w:w="1861" w:type="dxa"/>
            <w:vAlign w:val="center"/>
            <w:textDirection w:val="lrTb"/>
            <w:noWrap w:val="false"/>
          </w:tcPr>
          <w:p>
            <w:pPr>
              <w:pStyle w:val="1344"/>
              <w:jc w:val="center"/>
              <w:spacing w:line="360" w:lineRule="auto"/>
              <w:rPr>
                <w:rFonts w:ascii="宋体" w:hAnsi="宋体" w:cs="宋体"/>
              </w:rPr>
            </w:pPr>
            <w:r>
              <w:rPr>
                <w:rFonts w:hint="eastAsia" w:ascii="宋体" w:hAnsi="宋体" w:cs="宋体"/>
              </w:rPr>
              <w:t xml:space="preserve">合同签订后</w:t>
            </w:r>
            <w:r>
              <w:rPr>
                <w:rFonts w:ascii="宋体" w:hAnsi="宋体" w:cs="宋体"/>
              </w:rPr>
              <w:t xml:space="preserve">6</w:t>
            </w:r>
            <w:r>
              <w:rPr>
                <w:rFonts w:hint="eastAsia" w:ascii="宋体" w:hAnsi="宋体" w:cs="宋体"/>
              </w:rPr>
              <w:t xml:space="preserve">个月</w:t>
            </w:r>
            <w:r>
              <w:rPr>
                <w:rFonts w:ascii="宋体" w:hAnsi="宋体" w:cs="宋体"/>
              </w:rPr>
            </w:r>
            <w:r/>
          </w:p>
        </w:tc>
      </w:tr>
    </w:tbl>
    <w:p>
      <w:pPr>
        <w:pStyle w:val="1344"/>
        <w:jc w:val="left"/>
        <w:spacing w:line="480" w:lineRule="exact"/>
        <w:rPr>
          <w:rFonts w:ascii="宋体" w:hAnsi="宋体" w:cs="宋体"/>
          <w:b/>
          <w:bCs/>
          <w:szCs w:val="21"/>
        </w:rPr>
      </w:pPr>
      <w:r>
        <w:rPr>
          <w:rFonts w:hint="eastAsia" w:ascii="宋体" w:hAnsi="宋体" w:cs="宋体"/>
          <w:b/>
          <w:bCs/>
          <w:szCs w:val="21"/>
        </w:rPr>
        <w:t xml:space="preserve">（二）技术指标及功能要求</w:t>
      </w:r>
      <w:r>
        <w:rPr>
          <w:rFonts w:ascii="宋体" w:hAnsi="宋体" w:cs="宋体"/>
          <w:b/>
          <w:bCs/>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1.扭矩测量范围（2～20）Nm。</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2.精度等级±1%。</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3.具有抗干扰能力，能够实现正反两个方向的检测。</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4.应能进行实时模式、跟踪模式、峰值模式三种模式切换。</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5.要求TFT LCD液晶屏显示。</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6.应配有通讯接口，可将检测数据传输到计算机进行智能化处理，自动生成检定结果。</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7.仪器外观无磕碰、锈蚀、损伤，各开关、按钮、接口完好。</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8.仪器使用说明书、合格证、出厂证书等齐全。</w:t>
      </w:r>
      <w:r>
        <w:rPr>
          <w:rFonts w:ascii="宋体" w:hAnsi="宋体" w:cs="宋体"/>
          <w:szCs w:val="21"/>
        </w:rPr>
      </w:r>
      <w:r/>
    </w:p>
    <w:p>
      <w:pPr>
        <w:pStyle w:val="1344"/>
        <w:ind w:left="1" w:hanging="200"/>
        <w:jc w:val="left"/>
        <w:spacing w:line="480" w:lineRule="exact"/>
        <w:rPr>
          <w:rFonts w:ascii="宋体" w:hAnsi="宋体" w:cs="宋体"/>
          <w:b/>
          <w:bCs/>
          <w:szCs w:val="21"/>
        </w:rPr>
      </w:pPr>
      <w:r>
        <w:rPr>
          <w:rFonts w:hint="eastAsia" w:ascii="宋体" w:hAnsi="宋体" w:cs="宋体"/>
          <w:b/>
          <w:bCs/>
          <w:szCs w:val="21"/>
        </w:rPr>
        <w:t xml:space="preserve">（三）验收依据、方法及单位</w:t>
      </w:r>
      <w:r>
        <w:rPr>
          <w:rFonts w:ascii="宋体" w:hAnsi="宋体" w:cs="宋体"/>
          <w:b/>
          <w:bCs/>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1.验收依据：满足JJG 797-2013《扭矩扳子检定仪检定规程》要求。</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2.卖方负责将设备送检至省级及以上计量技术机构进行检定/校准，并出具检定/校准证书，检测费用由卖方承担。</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3.江苏省计量科学研究院根据以上证书、用户手册和本技术文件对整套设备的技术指标和功能进行最终验收。</w:t>
      </w:r>
      <w:r>
        <w:rPr>
          <w:rFonts w:ascii="宋体" w:hAnsi="宋体" w:cs="宋体"/>
          <w:szCs w:val="21"/>
        </w:rPr>
      </w:r>
      <w:r/>
    </w:p>
    <w:p>
      <w:pPr>
        <w:pStyle w:val="1344"/>
        <w:jc w:val="left"/>
        <w:spacing w:line="480" w:lineRule="exact"/>
        <w:rPr>
          <w:rFonts w:hint="eastAsia" w:ascii="宋体" w:hAnsi="宋体" w:cs="宋体"/>
          <w:b/>
          <w:bCs/>
          <w:szCs w:val="21"/>
        </w:rPr>
      </w:pPr>
      <w:r>
        <w:rPr>
          <w:rFonts w:hint="eastAsia" w:ascii="宋体" w:hAnsi="宋体" w:cs="宋体"/>
          <w:b/>
          <w:bCs/>
          <w:szCs w:val="21"/>
        </w:rPr>
        <w:t xml:space="preserve">（四）质保期</w:t>
      </w:r>
      <w:r>
        <w:rPr>
          <w:rFonts w:hint="eastAsia" w:ascii="宋体" w:hAnsi="宋体" w:cs="宋体"/>
          <w:b/>
          <w:bCs/>
          <w:szCs w:val="21"/>
        </w:rPr>
      </w:r>
      <w:r/>
    </w:p>
    <w:p>
      <w:pPr>
        <w:pStyle w:val="1344"/>
        <w:ind w:firstLine="420"/>
        <w:jc w:val="left"/>
        <w:spacing w:line="480" w:lineRule="exact"/>
        <w:rPr>
          <w:rFonts w:hint="eastAsia" w:ascii="宋体" w:hAnsi="宋体" w:cs="宋体"/>
          <w:szCs w:val="21"/>
        </w:rPr>
      </w:pPr>
      <w:r>
        <w:rPr>
          <w:rFonts w:hint="eastAsia" w:ascii="宋体" w:hAnsi="宋体" w:cs="宋体"/>
          <w:szCs w:val="21"/>
        </w:rPr>
        <w:t xml:space="preserve">★1.扭矩板子检定仪的质保期为最终验收合格之日起1年。</w:t>
      </w:r>
      <w:r>
        <w:rPr>
          <w:rFonts w:hint="eastAsia" w:ascii="宋体" w:hAnsi="宋体" w:cs="宋体"/>
          <w:szCs w:val="21"/>
        </w:rPr>
      </w:r>
      <w:r/>
    </w:p>
    <w:p>
      <w:pPr>
        <w:pStyle w:val="1344"/>
        <w:jc w:val="center"/>
        <w:spacing w:line="360" w:lineRule="auto"/>
        <w:tabs>
          <w:tab w:val="left" w:pos="4500" w:leader="none"/>
          <w:tab w:val="left" w:pos="4680" w:leader="none"/>
        </w:tabs>
        <w:rPr>
          <w:rFonts w:ascii="宋体" w:hAnsi="宋体" w:cs="宋体"/>
          <w:b/>
          <w:bCs/>
          <w:szCs w:val="21"/>
        </w:rPr>
        <w:outlineLvl w:val="1"/>
      </w:pPr>
      <w:r/>
      <w:bookmarkStart w:id="267" w:name="_Toc16885"/>
      <w:r/>
      <w:bookmarkStart w:id="268" w:name="_Toc13186"/>
      <w:r>
        <w:rPr>
          <w:rFonts w:hint="eastAsia" w:ascii="宋体" w:hAnsi="宋体" w:cs="宋体"/>
          <w:b/>
          <w:szCs w:val="21"/>
        </w:rPr>
        <w:t xml:space="preserve">分包2</w:t>
      </w:r>
      <w:bookmarkEnd w:id="267"/>
      <w:r/>
      <w:bookmarkEnd w:id="268"/>
      <w:r>
        <w:rPr>
          <w:rFonts w:ascii="宋体" w:hAnsi="宋体" w:cs="宋体"/>
          <w:b/>
          <w:bCs/>
          <w:szCs w:val="21"/>
        </w:rPr>
      </w:r>
      <w:r/>
    </w:p>
    <w:p>
      <w:pPr>
        <w:pStyle w:val="1344"/>
        <w:jc w:val="center"/>
        <w:spacing w:line="360" w:lineRule="auto"/>
        <w:tabs>
          <w:tab w:val="left" w:pos="4500" w:leader="none"/>
          <w:tab w:val="left" w:pos="4680" w:leader="none"/>
        </w:tabs>
        <w:rPr>
          <w:rFonts w:ascii="宋体" w:hAnsi="宋体" w:cs="宋体"/>
          <w:b/>
          <w:bCs/>
          <w:szCs w:val="21"/>
        </w:rPr>
        <w:outlineLvl w:val="1"/>
      </w:pPr>
      <w:r/>
      <w:bookmarkStart w:id="269" w:name="_Toc31826"/>
      <w:r/>
      <w:bookmarkStart w:id="270" w:name="_Toc27465"/>
      <w:r>
        <w:rPr>
          <w:rFonts w:hint="eastAsia" w:ascii="宋体" w:hAnsi="宋体" w:cs="宋体"/>
          <w:b/>
          <w:szCs w:val="21"/>
        </w:rPr>
        <w:t xml:space="preserve">品目</w:t>
      </w:r>
      <w:r>
        <w:rPr>
          <w:rFonts w:ascii="宋体" w:hAnsi="宋体" w:cs="宋体"/>
          <w:b/>
          <w:bCs/>
          <w:szCs w:val="21"/>
        </w:rPr>
        <w:t xml:space="preserve">1 </w:t>
      </w:r>
      <w:r>
        <w:rPr>
          <w:rFonts w:hint="eastAsia" w:ascii="宋体" w:hAnsi="宋体" w:cs="宋体"/>
          <w:b/>
          <w:bCs/>
          <w:szCs w:val="21"/>
        </w:rPr>
        <w:t xml:space="preserve">表面温度源</w:t>
      </w:r>
      <w:bookmarkEnd w:id="269"/>
      <w:r/>
      <w:bookmarkEnd w:id="270"/>
      <w:r>
        <w:rPr>
          <w:rFonts w:ascii="宋体" w:hAnsi="宋体" w:cs="宋体"/>
          <w:b/>
          <w:bCs/>
          <w:szCs w:val="21"/>
        </w:rPr>
      </w:r>
      <w:r/>
    </w:p>
    <w:p>
      <w:pPr>
        <w:pStyle w:val="1344"/>
        <w:spacing w:line="480" w:lineRule="exact"/>
        <w:tabs>
          <w:tab w:val="left" w:pos="4500" w:leader="none"/>
          <w:tab w:val="left" w:pos="4680" w:leader="none"/>
        </w:tabs>
        <w:rPr>
          <w:rFonts w:ascii="宋体" w:hAnsi="宋体" w:cs="宋体"/>
          <w:b/>
          <w:bCs/>
          <w:szCs w:val="21"/>
        </w:rPr>
      </w:pPr>
      <w:r>
        <w:rPr>
          <w:rFonts w:hint="eastAsia" w:ascii="宋体" w:hAnsi="宋体" w:cs="宋体"/>
          <w:b/>
          <w:bCs/>
          <w:szCs w:val="21"/>
        </w:rPr>
        <w:t xml:space="preserve">★（一）设备及明细配置清单</w:t>
      </w:r>
      <w:r>
        <w:rPr>
          <w:rFonts w:ascii="宋体" w:hAnsi="宋体" w:cs="宋体"/>
          <w:b/>
          <w:bCs/>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34"/>
        <w:gridCol w:w="3222"/>
        <w:gridCol w:w="1870"/>
        <w:gridCol w:w="3124"/>
      </w:tblGrid>
      <w:tr>
        <w:trPr>
          <w:trHeight w:val="515"/>
        </w:trPr>
        <w:tc>
          <w:tcPr>
            <w:tcW w:w="829" w:type="dxa"/>
            <w:vAlign w:val="center"/>
            <w:textDirection w:val="lrTb"/>
            <w:noWrap w:val="false"/>
          </w:tcPr>
          <w:p>
            <w:pPr>
              <w:pStyle w:val="1344"/>
              <w:ind w:right="141"/>
              <w:jc w:val="center"/>
              <w:spacing w:line="360" w:lineRule="auto"/>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635"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设备名称</w:t>
            </w:r>
            <w:r>
              <w:rPr>
                <w:rFonts w:ascii="宋体" w:hAnsi="宋体" w:cs="宋体"/>
                <w:szCs w:val="21"/>
              </w:rPr>
            </w:r>
            <w:r/>
          </w:p>
        </w:tc>
        <w:tc>
          <w:tcPr>
            <w:tcW w:w="949"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数 量</w:t>
            </w:r>
            <w:r>
              <w:rPr>
                <w:rFonts w:ascii="宋体" w:hAnsi="宋体" w:cs="宋体"/>
                <w:szCs w:val="21"/>
              </w:rPr>
            </w:r>
            <w:r/>
          </w:p>
        </w:tc>
        <w:tc>
          <w:tcPr>
            <w:tcW w:w="1585"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合同履行期限（交货期）</w:t>
            </w:r>
            <w:r>
              <w:rPr>
                <w:rFonts w:ascii="宋体" w:hAnsi="宋体" w:cs="宋体"/>
                <w:szCs w:val="21"/>
              </w:rPr>
            </w:r>
            <w:r/>
          </w:p>
        </w:tc>
      </w:tr>
      <w:tr>
        <w:trPr>
          <w:cantSplit/>
          <w:trHeight w:val="692"/>
        </w:trPr>
        <w:tc>
          <w:tcPr>
            <w:tcW w:w="829"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635"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表面温度源</w:t>
            </w:r>
            <w:r>
              <w:rPr>
                <w:rFonts w:ascii="宋体" w:hAnsi="宋体" w:cs="宋体"/>
                <w:szCs w:val="21"/>
              </w:rPr>
            </w:r>
            <w:r/>
          </w:p>
        </w:tc>
        <w:tc>
          <w:tcPr>
            <w:tcW w:w="949" w:type="dxa"/>
            <w:vAlign w:val="center"/>
            <w:textDirection w:val="lrTb"/>
            <w:noWrap w:val="false"/>
          </w:tcPr>
          <w:p>
            <w:pPr>
              <w:pStyle w:val="1344"/>
              <w:jc w:val="center"/>
              <w:keepNext/>
              <w:spacing w:line="360" w:lineRule="auto"/>
              <w:rPr>
                <w:rFonts w:ascii="宋体" w:hAnsi="宋体" w:cs="宋体"/>
                <w:szCs w:val="21"/>
              </w:rPr>
              <w:outlineLvl w:val="0"/>
            </w:pPr>
            <w:r/>
            <w:bookmarkStart w:id="271" w:name="_Toc27608"/>
            <w:r/>
            <w:bookmarkStart w:id="272" w:name="_Toc19707"/>
            <w:r>
              <w:rPr>
                <w:rFonts w:hint="eastAsia" w:ascii="宋体" w:hAnsi="宋体" w:cs="宋体"/>
                <w:szCs w:val="21"/>
              </w:rPr>
              <w:t xml:space="preserve">1台</w:t>
            </w:r>
            <w:bookmarkEnd w:id="271"/>
            <w:r/>
            <w:bookmarkEnd w:id="272"/>
            <w:r>
              <w:rPr>
                <w:rFonts w:ascii="宋体" w:hAnsi="宋体" w:cs="宋体"/>
                <w:szCs w:val="21"/>
              </w:rPr>
            </w:r>
            <w:r/>
          </w:p>
        </w:tc>
        <w:tc>
          <w:tcPr>
            <w:tcW w:w="1585"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合同签订后</w:t>
            </w:r>
            <w:r>
              <w:rPr>
                <w:rFonts w:ascii="宋体" w:hAnsi="宋体" w:cs="宋体"/>
                <w:szCs w:val="21"/>
              </w:rPr>
              <w:t xml:space="preserve">3</w:t>
            </w:r>
            <w:r>
              <w:rPr>
                <w:rFonts w:hint="eastAsia" w:ascii="宋体" w:hAnsi="宋体" w:cs="宋体"/>
                <w:szCs w:val="21"/>
              </w:rPr>
              <w:t xml:space="preserve">个月</w:t>
            </w:r>
            <w:r>
              <w:rPr>
                <w:rFonts w:ascii="宋体" w:hAnsi="宋体" w:cs="宋体"/>
                <w:szCs w:val="21"/>
              </w:rPr>
            </w:r>
            <w:r/>
          </w:p>
        </w:tc>
      </w:tr>
    </w:tbl>
    <w:p>
      <w:pPr>
        <w:pStyle w:val="1344"/>
        <w:spacing w:line="360" w:lineRule="auto"/>
        <w:tabs>
          <w:tab w:val="left" w:pos="4500" w:leader="none"/>
          <w:tab w:val="left" w:pos="4680" w:leader="none"/>
        </w:tabs>
        <w:rPr>
          <w:rFonts w:ascii="宋体" w:hAnsi="宋体" w:cs="宋体"/>
          <w:b/>
          <w:bCs/>
          <w:szCs w:val="21"/>
        </w:rPr>
      </w:pPr>
      <w:r>
        <w:rPr>
          <w:rFonts w:hint="eastAsia" w:ascii="宋体" w:hAnsi="宋体" w:cs="宋体"/>
          <w:b/>
          <w:bCs/>
          <w:szCs w:val="21"/>
        </w:rPr>
        <w:t xml:space="preserve">（二）技术指标及功能要求</w:t>
      </w:r>
      <w:r>
        <w:rPr>
          <w:rFonts w:ascii="宋体" w:hAnsi="宋体" w:cs="宋体"/>
          <w:b/>
          <w:bCs/>
          <w:szCs w:val="21"/>
        </w:rPr>
      </w:r>
      <w:r/>
    </w:p>
    <w:p>
      <w:pPr>
        <w:pStyle w:val="1344"/>
        <w:ind w:firstLine="420"/>
        <w:jc w:val="left"/>
        <w:spacing w:line="360" w:lineRule="auto"/>
        <w:widowControl/>
        <w:rPr>
          <w:rFonts w:ascii="宋体" w:hAnsi="宋体" w:cs="宋体"/>
          <w:szCs w:val="21"/>
        </w:rPr>
      </w:pPr>
      <w:r>
        <w:rPr>
          <w:rFonts w:hint="eastAsia" w:ascii="宋体" w:hAnsi="宋体" w:cs="宋体"/>
          <w:szCs w:val="21"/>
        </w:rPr>
        <w:t xml:space="preserve">1.温度范围：室温～600℃</w:t>
      </w:r>
      <w:r>
        <w:rPr>
          <w:rFonts w:ascii="宋体" w:hAnsi="宋体" w:cs="宋体"/>
          <w:szCs w:val="21"/>
        </w:rPr>
      </w:r>
      <w:r/>
    </w:p>
    <w:p>
      <w:pPr>
        <w:pStyle w:val="1344"/>
        <w:ind w:firstLine="420"/>
        <w:jc w:val="left"/>
        <w:spacing w:line="360" w:lineRule="auto"/>
        <w:widowControl/>
        <w:rPr>
          <w:rFonts w:ascii="宋体" w:hAnsi="宋体" w:cs="宋体"/>
          <w:szCs w:val="21"/>
        </w:rPr>
      </w:pPr>
      <w:r>
        <w:rPr>
          <w:rFonts w:hint="eastAsia" w:ascii="宋体" w:hAnsi="宋体" w:cs="宋体"/>
          <w:szCs w:val="21"/>
        </w:rPr>
        <w:t xml:space="preserve">★2.表面温度均匀度：</w:t>
      </w:r>
      <w:bookmarkStart w:id="273" w:name="OLE_LINK13"/>
      <w:r/>
      <w:bookmarkStart w:id="274" w:name="OLE_LINK14"/>
      <w:r>
        <w:rPr>
          <w:rFonts w:ascii="宋体" w:hAnsi="宋体" w:cs="宋体"/>
          <w:szCs w:val="21"/>
        </w:rPr>
      </w:r>
      <w:r/>
    </w:p>
    <w:p>
      <w:pPr>
        <w:pStyle w:val="1344"/>
        <w:ind w:firstLine="638"/>
        <w:jc w:val="left"/>
        <w:spacing w:line="360" w:lineRule="auto"/>
        <w:widowControl/>
        <w:rPr>
          <w:rFonts w:ascii="宋体" w:hAnsi="宋体" w:cs="宋体"/>
          <w:szCs w:val="21"/>
        </w:rPr>
      </w:pPr>
      <w:r>
        <w:rPr>
          <w:rFonts w:hint="eastAsia" w:ascii="宋体" w:hAnsi="宋体" w:cs="宋体"/>
          <w:szCs w:val="21"/>
        </w:rPr>
        <w:t xml:space="preserve">室温～100℃</w:t>
      </w:r>
      <w:bookmarkEnd w:id="273"/>
      <w:r/>
      <w:bookmarkEnd w:id="274"/>
      <w:r>
        <w:rPr>
          <w:rFonts w:hint="eastAsia" w:ascii="宋体" w:hAnsi="宋体" w:cs="宋体"/>
          <w:szCs w:val="21"/>
        </w:rPr>
        <w:t xml:space="preserve">：小于0.5℃；</w:t>
      </w:r>
      <w:bookmarkStart w:id="275" w:name="OLE_LINK15"/>
      <w:r/>
      <w:bookmarkStart w:id="276" w:name="OLE_LINK16"/>
      <w:r>
        <w:rPr>
          <w:rFonts w:hint="eastAsia" w:ascii="宋体" w:hAnsi="宋体" w:cs="宋体"/>
          <w:szCs w:val="21"/>
        </w:rPr>
        <w:t xml:space="preserve">  100℃～300℃</w:t>
      </w:r>
      <w:bookmarkEnd w:id="275"/>
      <w:r/>
      <w:bookmarkEnd w:id="276"/>
      <w:r>
        <w:rPr>
          <w:rFonts w:hint="eastAsia" w:ascii="宋体" w:hAnsi="宋体" w:cs="宋体"/>
          <w:szCs w:val="21"/>
        </w:rPr>
        <w:t xml:space="preserve">：小于1.0℃；</w:t>
      </w:r>
      <w:r>
        <w:rPr>
          <w:rFonts w:ascii="宋体" w:hAnsi="宋体" w:cs="宋体"/>
          <w:szCs w:val="21"/>
        </w:rPr>
      </w:r>
      <w:r/>
    </w:p>
    <w:p>
      <w:pPr>
        <w:pStyle w:val="1344"/>
        <w:ind w:firstLine="638"/>
        <w:jc w:val="left"/>
        <w:spacing w:line="360" w:lineRule="auto"/>
        <w:widowControl/>
        <w:rPr>
          <w:rFonts w:ascii="宋体" w:hAnsi="宋体" w:cs="宋体"/>
          <w:szCs w:val="21"/>
        </w:rPr>
      </w:pPr>
      <w:r/>
      <w:bookmarkStart w:id="277" w:name="OLE_LINK18"/>
      <w:r/>
      <w:bookmarkStart w:id="278" w:name="OLE_LINK17"/>
      <w:r>
        <w:rPr>
          <w:rFonts w:hint="eastAsia" w:ascii="宋体" w:hAnsi="宋体" w:cs="宋体"/>
          <w:szCs w:val="21"/>
        </w:rPr>
        <w:t xml:space="preserve">300℃～400℃：小于1.5℃；</w:t>
      </w:r>
      <w:bookmarkEnd w:id="277"/>
      <w:r/>
      <w:bookmarkEnd w:id="278"/>
      <w:r>
        <w:rPr>
          <w:rFonts w:hint="eastAsia" w:ascii="宋体" w:hAnsi="宋体" w:cs="宋体"/>
          <w:szCs w:val="21"/>
        </w:rPr>
        <w:t xml:space="preserve"> 400℃～600℃：小于2.0℃；</w:t>
      </w:r>
      <w:r>
        <w:rPr>
          <w:rFonts w:ascii="宋体" w:hAnsi="宋体" w:cs="宋体"/>
          <w:szCs w:val="21"/>
        </w:rPr>
      </w:r>
      <w:r/>
    </w:p>
    <w:p>
      <w:pPr>
        <w:pStyle w:val="1344"/>
        <w:ind w:firstLine="420"/>
        <w:jc w:val="left"/>
        <w:spacing w:line="360" w:lineRule="auto"/>
        <w:widowControl/>
        <w:rPr>
          <w:rFonts w:ascii="宋体" w:hAnsi="宋体" w:cs="宋体"/>
          <w:szCs w:val="21"/>
        </w:rPr>
      </w:pPr>
      <w:r>
        <w:rPr>
          <w:rFonts w:hint="eastAsia" w:ascii="宋体" w:hAnsi="宋体" w:cs="宋体"/>
          <w:szCs w:val="21"/>
        </w:rPr>
        <w:t xml:space="preserve">3.表面温度稳定度：</w:t>
      </w:r>
      <w:r>
        <w:rPr>
          <w:rFonts w:ascii="宋体" w:hAnsi="宋体" w:cs="宋体"/>
          <w:szCs w:val="21"/>
        </w:rPr>
      </w:r>
      <w:r/>
    </w:p>
    <w:p>
      <w:pPr>
        <w:pStyle w:val="1344"/>
        <w:ind w:firstLine="638"/>
        <w:jc w:val="left"/>
        <w:spacing w:line="360" w:lineRule="auto"/>
        <w:widowControl/>
        <w:rPr>
          <w:rFonts w:ascii="宋体" w:hAnsi="宋体" w:cs="宋体"/>
          <w:szCs w:val="21"/>
        </w:rPr>
      </w:pPr>
      <w:r>
        <w:rPr>
          <w:rFonts w:hint="eastAsia" w:ascii="宋体" w:hAnsi="宋体" w:cs="宋体"/>
          <w:szCs w:val="21"/>
        </w:rPr>
        <w:t xml:space="preserve">室温～100℃</w:t>
      </w:r>
      <w:bookmarkStart w:id="279" w:name="OLE_LINK19"/>
      <w:r/>
      <w:bookmarkStart w:id="280" w:name="OLE_LINK20"/>
      <w:r>
        <w:rPr>
          <w:rFonts w:hint="eastAsia" w:ascii="宋体" w:hAnsi="宋体" w:cs="宋体"/>
          <w:szCs w:val="21"/>
        </w:rPr>
        <w:t xml:space="preserve">：优于±0.2℃/10min</w:t>
      </w:r>
      <w:bookmarkEnd w:id="279"/>
      <w:r/>
      <w:bookmarkEnd w:id="280"/>
      <w:r>
        <w:rPr>
          <w:rFonts w:hint="eastAsia" w:ascii="宋体" w:hAnsi="宋体" w:cs="宋体"/>
          <w:szCs w:val="21"/>
        </w:rPr>
        <w:t xml:space="preserve">；  100℃～300℃：优于±0.3℃/10min；</w:t>
      </w:r>
      <w:r>
        <w:rPr>
          <w:rFonts w:ascii="宋体" w:hAnsi="宋体" w:cs="宋体"/>
          <w:szCs w:val="21"/>
        </w:rPr>
      </w:r>
      <w:r/>
    </w:p>
    <w:p>
      <w:pPr>
        <w:pStyle w:val="1344"/>
        <w:ind w:firstLine="638"/>
        <w:jc w:val="left"/>
        <w:spacing w:line="360" w:lineRule="auto"/>
        <w:widowControl/>
        <w:rPr>
          <w:rFonts w:ascii="宋体" w:hAnsi="宋体" w:cs="宋体"/>
          <w:szCs w:val="21"/>
        </w:rPr>
      </w:pPr>
      <w:r>
        <w:rPr>
          <w:rFonts w:hint="eastAsia" w:ascii="宋体" w:hAnsi="宋体" w:cs="宋体"/>
          <w:szCs w:val="21"/>
        </w:rPr>
        <w:t xml:space="preserve">300℃～400℃</w:t>
      </w:r>
      <w:bookmarkStart w:id="281" w:name="OLE_LINK21"/>
      <w:r/>
      <w:bookmarkStart w:id="282" w:name="OLE_LINK22"/>
      <w:r>
        <w:rPr>
          <w:rFonts w:hint="eastAsia" w:ascii="宋体" w:hAnsi="宋体" w:cs="宋体"/>
          <w:szCs w:val="21"/>
        </w:rPr>
        <w:t xml:space="preserve">：优于±0.4℃/10min</w:t>
      </w:r>
      <w:bookmarkEnd w:id="281"/>
      <w:r/>
      <w:bookmarkEnd w:id="282"/>
      <w:r>
        <w:rPr>
          <w:rFonts w:hint="eastAsia" w:ascii="宋体" w:hAnsi="宋体" w:cs="宋体"/>
          <w:szCs w:val="21"/>
        </w:rPr>
        <w:t xml:space="preserve">； 400℃～600℃：优于±0.6℃/10min。</w:t>
      </w:r>
      <w:r>
        <w:rPr>
          <w:rFonts w:ascii="宋体" w:hAnsi="宋体" w:cs="宋体"/>
          <w:szCs w:val="21"/>
        </w:rPr>
      </w:r>
      <w:r/>
    </w:p>
    <w:p>
      <w:pPr>
        <w:pStyle w:val="1344"/>
        <w:spacing w:line="480" w:lineRule="exact"/>
        <w:tabs>
          <w:tab w:val="left" w:pos="4500" w:leader="none"/>
          <w:tab w:val="left" w:pos="4680" w:leader="none"/>
        </w:tabs>
        <w:rPr>
          <w:rFonts w:ascii="宋体" w:hAnsi="宋体" w:cs="宋体"/>
          <w:b/>
          <w:bCs/>
          <w:szCs w:val="21"/>
        </w:rPr>
      </w:pPr>
      <w:r>
        <w:rPr>
          <w:rFonts w:hint="eastAsia" w:ascii="宋体" w:hAnsi="宋体" w:cs="宋体"/>
          <w:b/>
          <w:bCs/>
          <w:szCs w:val="21"/>
        </w:rPr>
        <w:t xml:space="preserve">（三）验收依据、方法及单位</w:t>
      </w:r>
      <w:r>
        <w:rPr>
          <w:rFonts w:ascii="宋体" w:hAnsi="宋体" w:cs="宋体"/>
          <w:b/>
          <w:bCs/>
          <w:szCs w:val="21"/>
        </w:rPr>
      </w:r>
      <w:r/>
    </w:p>
    <w:p>
      <w:pPr>
        <w:pStyle w:val="1344"/>
        <w:ind w:firstLine="420"/>
        <w:jc w:val="left"/>
        <w:spacing w:line="480" w:lineRule="exact"/>
        <w:widowControl/>
        <w:rPr>
          <w:rFonts w:ascii="宋体" w:hAnsi="宋体" w:cs="宋体"/>
          <w:szCs w:val="21"/>
        </w:rPr>
      </w:pPr>
      <w:r>
        <w:rPr>
          <w:rFonts w:hint="eastAsia" w:ascii="宋体" w:hAnsi="宋体" w:cs="宋体"/>
          <w:szCs w:val="21"/>
        </w:rPr>
        <w:t xml:space="preserve">1.验收依据：JJF1409-2013《表面温度计校准规范》</w:t>
      </w:r>
      <w:r>
        <w:rPr>
          <w:rFonts w:ascii="宋体" w:hAnsi="宋体" w:cs="宋体"/>
          <w:szCs w:val="21"/>
        </w:rPr>
      </w:r>
      <w:r/>
    </w:p>
    <w:p>
      <w:pPr>
        <w:pStyle w:val="1344"/>
        <w:ind w:firstLine="420"/>
        <w:jc w:val="left"/>
        <w:spacing w:line="480" w:lineRule="exact"/>
        <w:widowControl/>
        <w:rPr>
          <w:rFonts w:ascii="宋体" w:hAnsi="宋体" w:cs="宋体"/>
          <w:szCs w:val="21"/>
        </w:rPr>
      </w:pPr>
      <w:r>
        <w:rPr>
          <w:rFonts w:hint="eastAsia" w:ascii="宋体" w:hAnsi="宋体" w:cs="宋体"/>
          <w:szCs w:val="21"/>
        </w:rPr>
        <w:t xml:space="preserve">2.卖方负责将设备送检至省级及以上计量技术机构进行检定/校准，并出具检定/校准证书，检测费用由卖方承担。</w:t>
      </w:r>
      <w:r>
        <w:rPr>
          <w:rFonts w:ascii="宋体" w:hAnsi="宋体" w:cs="宋体"/>
          <w:szCs w:val="21"/>
        </w:rPr>
      </w:r>
      <w:r/>
    </w:p>
    <w:p>
      <w:pPr>
        <w:pStyle w:val="1344"/>
        <w:ind w:firstLine="420"/>
        <w:jc w:val="left"/>
        <w:spacing w:line="480" w:lineRule="exact"/>
        <w:widowControl/>
        <w:rPr>
          <w:rFonts w:ascii="宋体" w:hAnsi="宋体" w:cs="宋体"/>
          <w:szCs w:val="21"/>
        </w:rPr>
      </w:pPr>
      <w:r>
        <w:rPr>
          <w:rFonts w:hint="eastAsia" w:ascii="宋体" w:hAnsi="宋体" w:cs="宋体"/>
          <w:szCs w:val="21"/>
        </w:rPr>
        <w:t xml:space="preserve">3.江苏省计量科学研究院根据以上证书和本技术文件对整套设备的技术指标和功能进行最终验收。</w:t>
      </w:r>
      <w:r>
        <w:rPr>
          <w:rFonts w:ascii="宋体" w:hAnsi="宋体" w:cs="宋体"/>
          <w:szCs w:val="21"/>
        </w:rPr>
      </w:r>
      <w:r/>
    </w:p>
    <w:p>
      <w:pPr>
        <w:pStyle w:val="1344"/>
        <w:spacing w:line="480" w:lineRule="exact"/>
        <w:tabs>
          <w:tab w:val="left" w:pos="4500" w:leader="none"/>
          <w:tab w:val="left" w:pos="4680" w:leader="none"/>
        </w:tabs>
        <w:rPr>
          <w:rFonts w:hint="eastAsia" w:ascii="宋体" w:hAnsi="宋体" w:cs="宋体"/>
          <w:b/>
          <w:bCs/>
          <w:szCs w:val="21"/>
        </w:rPr>
      </w:pPr>
      <w:r>
        <w:rPr>
          <w:rFonts w:hint="eastAsia" w:ascii="宋体" w:hAnsi="宋体" w:cs="宋体"/>
          <w:b/>
          <w:bCs/>
          <w:szCs w:val="21"/>
        </w:rPr>
        <w:t xml:space="preserve">（四）质保期</w:t>
      </w:r>
      <w:r>
        <w:rPr>
          <w:rFonts w:hint="eastAsia" w:ascii="宋体" w:hAnsi="宋体" w:cs="宋体"/>
          <w:b/>
          <w:bCs/>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★1.表面温度源的质保期为最终验收合格之日起1年。</w:t>
      </w:r>
      <w:r>
        <w:rPr>
          <w:rFonts w:ascii="宋体" w:hAnsi="宋体" w:cs="宋体"/>
          <w:szCs w:val="21"/>
        </w:rPr>
      </w:r>
      <w:r/>
    </w:p>
    <w:p>
      <w:pPr>
        <w:pStyle w:val="1344"/>
        <w:ind w:firstLine="422"/>
        <w:jc w:val="center"/>
        <w:spacing w:line="480" w:lineRule="exact"/>
        <w:rPr>
          <w:rFonts w:ascii="宋体" w:hAnsi="宋体" w:cs="宋体"/>
          <w:b/>
          <w:bCs/>
          <w:szCs w:val="21"/>
        </w:rPr>
        <w:outlineLvl w:val="1"/>
      </w:pPr>
      <w:r/>
      <w:bookmarkStart w:id="283" w:name="_Toc26151"/>
      <w:r/>
      <w:bookmarkStart w:id="284" w:name="_Toc22069"/>
      <w:r>
        <w:rPr>
          <w:rFonts w:hint="eastAsia" w:ascii="宋体" w:hAnsi="宋体" w:cs="宋体"/>
          <w:b/>
          <w:szCs w:val="21"/>
        </w:rPr>
        <w:t xml:space="preserve">品目</w:t>
      </w:r>
      <w:r>
        <w:rPr>
          <w:rFonts w:ascii="宋体" w:hAnsi="宋体" w:cs="宋体"/>
          <w:b/>
          <w:bCs/>
          <w:szCs w:val="21"/>
        </w:rPr>
        <w:t xml:space="preserve">2 </w:t>
      </w:r>
      <w:r>
        <w:rPr>
          <w:rFonts w:hint="eastAsia" w:ascii="宋体" w:hAnsi="宋体" w:cs="宋体"/>
          <w:b/>
          <w:bCs/>
          <w:szCs w:val="21"/>
        </w:rPr>
        <w:t xml:space="preserve">温湿度检定箱</w:t>
      </w:r>
      <w:bookmarkEnd w:id="283"/>
      <w:r/>
      <w:bookmarkEnd w:id="284"/>
      <w:r>
        <w:rPr>
          <w:rFonts w:ascii="宋体" w:hAnsi="宋体" w:cs="宋体"/>
          <w:b/>
          <w:bCs/>
          <w:szCs w:val="21"/>
        </w:rPr>
      </w:r>
      <w:r/>
    </w:p>
    <w:p>
      <w:pPr>
        <w:pStyle w:val="1344"/>
        <w:spacing w:line="480" w:lineRule="exact"/>
        <w:tabs>
          <w:tab w:val="left" w:pos="4500" w:leader="none"/>
          <w:tab w:val="left" w:pos="4680" w:leader="none"/>
        </w:tabs>
        <w:rPr>
          <w:rFonts w:ascii="宋体" w:hAnsi="宋体" w:cs="宋体"/>
          <w:b/>
          <w:bCs/>
          <w:szCs w:val="21"/>
        </w:rPr>
      </w:pPr>
      <w:r>
        <w:rPr>
          <w:rFonts w:hint="eastAsia" w:ascii="宋体" w:hAnsi="宋体" w:cs="宋体"/>
          <w:b/>
          <w:bCs/>
          <w:szCs w:val="21"/>
        </w:rPr>
        <w:t xml:space="preserve">★（一）设备及明细配置清单</w:t>
      </w:r>
      <w:r>
        <w:rPr>
          <w:rFonts w:ascii="宋体" w:hAnsi="宋体" w:cs="宋体"/>
          <w:b/>
          <w:bCs/>
          <w:szCs w:val="21"/>
        </w:rPr>
      </w:r>
      <w:r/>
    </w:p>
    <w:tbl>
      <w:tblPr>
        <w:tblW w:w="486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65"/>
        <w:gridCol w:w="3455"/>
        <w:gridCol w:w="1290"/>
        <w:gridCol w:w="3280"/>
      </w:tblGrid>
      <w:tr>
        <w:trPr>
          <w:trHeight w:val="389"/>
        </w:trPr>
        <w:tc>
          <w:tcPr>
            <w:tcW w:w="816" w:type="dxa"/>
            <w:vAlign w:val="center"/>
            <w:textDirection w:val="lrTb"/>
            <w:noWrap w:val="false"/>
          </w:tcPr>
          <w:p>
            <w:pPr>
              <w:pStyle w:val="1344"/>
              <w:jc w:val="center"/>
              <w:spacing w:line="480" w:lineRule="exact"/>
              <w:rPr>
                <w:rFonts w:ascii="宋体" w:hAnsi="宋体" w:cs="宋体"/>
              </w:rPr>
            </w:pPr>
            <w:r>
              <w:rPr>
                <w:rFonts w:hint="eastAsia" w:ascii="宋体" w:hAnsi="宋体" w:cs="宋体"/>
              </w:rPr>
              <w:t xml:space="preserve">序号</w:t>
            </w:r>
            <w:r>
              <w:rPr>
                <w:rFonts w:ascii="宋体" w:hAnsi="宋体" w:cs="宋体"/>
              </w:rPr>
            </w:r>
            <w:r/>
          </w:p>
        </w:tc>
        <w:tc>
          <w:tcPr>
            <w:tcW w:w="1800" w:type="dxa"/>
            <w:vAlign w:val="center"/>
            <w:textDirection w:val="lrTb"/>
            <w:noWrap w:val="false"/>
          </w:tcPr>
          <w:p>
            <w:pPr>
              <w:pStyle w:val="1344"/>
              <w:jc w:val="center"/>
              <w:spacing w:line="480" w:lineRule="exact"/>
              <w:rPr>
                <w:rFonts w:ascii="宋体" w:hAnsi="宋体" w:cs="宋体"/>
              </w:rPr>
            </w:pPr>
            <w:r>
              <w:rPr>
                <w:rFonts w:hint="eastAsia" w:ascii="宋体" w:hAnsi="宋体" w:cs="宋体"/>
              </w:rPr>
              <w:t xml:space="preserve">设备名称</w:t>
            </w:r>
            <w:r>
              <w:rPr>
                <w:rFonts w:ascii="宋体" w:hAnsi="宋体" w:cs="宋体"/>
              </w:rPr>
            </w:r>
            <w:r/>
          </w:p>
        </w:tc>
        <w:tc>
          <w:tcPr>
            <w:tcW w:w="672" w:type="dxa"/>
            <w:vAlign w:val="center"/>
            <w:textDirection w:val="lrTb"/>
            <w:noWrap w:val="false"/>
          </w:tcPr>
          <w:p>
            <w:pPr>
              <w:pStyle w:val="1344"/>
              <w:jc w:val="center"/>
              <w:spacing w:line="480" w:lineRule="exact"/>
              <w:rPr>
                <w:rFonts w:ascii="宋体" w:hAnsi="宋体" w:cs="宋体"/>
              </w:rPr>
            </w:pPr>
            <w:r>
              <w:rPr>
                <w:rFonts w:hint="eastAsia" w:ascii="宋体" w:hAnsi="宋体" w:cs="宋体"/>
              </w:rPr>
              <w:t xml:space="preserve">数 量</w:t>
            </w:r>
            <w:r>
              <w:rPr>
                <w:rFonts w:ascii="宋体" w:hAnsi="宋体" w:cs="宋体"/>
              </w:rPr>
            </w:r>
            <w:r/>
          </w:p>
        </w:tc>
        <w:tc>
          <w:tcPr>
            <w:tcW w:w="1709" w:type="dxa"/>
            <w:vAlign w:val="center"/>
            <w:textDirection w:val="lrTb"/>
            <w:noWrap w:val="false"/>
          </w:tcPr>
          <w:p>
            <w:pPr>
              <w:pStyle w:val="1344"/>
              <w:jc w:val="center"/>
              <w:spacing w:line="480" w:lineRule="exact"/>
              <w:rPr>
                <w:rFonts w:ascii="宋体" w:hAnsi="宋体" w:cs="宋体"/>
              </w:rPr>
            </w:pPr>
            <w:r>
              <w:rPr>
                <w:rFonts w:hint="eastAsia" w:ascii="宋体" w:hAnsi="宋体" w:cs="宋体"/>
              </w:rPr>
              <w:t xml:space="preserve">合同履行期限（交货期）</w:t>
            </w:r>
            <w:r>
              <w:rPr>
                <w:rFonts w:ascii="宋体" w:hAnsi="宋体" w:cs="宋体"/>
              </w:rPr>
            </w:r>
            <w:r/>
          </w:p>
        </w:tc>
      </w:tr>
      <w:tr>
        <w:trPr>
          <w:cantSplit/>
          <w:trHeight w:val="454"/>
        </w:trPr>
        <w:tc>
          <w:tcPr>
            <w:tcW w:w="816" w:type="dxa"/>
            <w:vAlign w:val="center"/>
            <w:textDirection w:val="lrTb"/>
            <w:noWrap w:val="false"/>
          </w:tcPr>
          <w:p>
            <w:pPr>
              <w:pStyle w:val="1344"/>
              <w:jc w:val="center"/>
              <w:spacing w:line="480" w:lineRule="exact"/>
              <w:rPr>
                <w:rFonts w:ascii="宋体" w:hAnsi="宋体" w:cs="宋体"/>
              </w:rPr>
            </w:pPr>
            <w:r>
              <w:rPr>
                <w:rFonts w:hint="eastAsia" w:ascii="宋体" w:hAnsi="宋体" w:cs="宋体"/>
              </w:rPr>
              <w:t xml:space="preserve">1</w:t>
            </w:r>
            <w:r>
              <w:rPr>
                <w:rFonts w:ascii="宋体" w:hAnsi="宋体" w:cs="宋体"/>
              </w:rPr>
            </w:r>
            <w:r/>
          </w:p>
        </w:tc>
        <w:tc>
          <w:tcPr>
            <w:tcW w:w="1800" w:type="dxa"/>
            <w:vAlign w:val="center"/>
            <w:textDirection w:val="lrTb"/>
            <w:noWrap w:val="false"/>
          </w:tcPr>
          <w:p>
            <w:pPr>
              <w:pStyle w:val="1344"/>
              <w:jc w:val="center"/>
              <w:spacing w:line="480" w:lineRule="exact"/>
              <w:rPr>
                <w:rFonts w:ascii="宋体" w:hAnsi="宋体" w:cs="宋体"/>
              </w:rPr>
            </w:pPr>
            <w:r>
              <w:rPr>
                <w:rFonts w:hint="eastAsia" w:ascii="宋体" w:hAnsi="宋体" w:cs="宋体"/>
              </w:rPr>
              <w:t xml:space="preserve">温湿度检定箱</w:t>
            </w:r>
            <w:r>
              <w:rPr>
                <w:rFonts w:ascii="宋体" w:hAnsi="宋体" w:cs="宋体"/>
              </w:rPr>
            </w:r>
            <w:r/>
          </w:p>
        </w:tc>
        <w:tc>
          <w:tcPr>
            <w:tcW w:w="672" w:type="dxa"/>
            <w:vAlign w:val="center"/>
            <w:textDirection w:val="lrTb"/>
            <w:noWrap w:val="false"/>
          </w:tcPr>
          <w:p>
            <w:pPr>
              <w:pStyle w:val="1344"/>
              <w:jc w:val="center"/>
              <w:spacing w:line="480" w:lineRule="exact"/>
              <w:rPr>
                <w:rFonts w:ascii="宋体" w:hAnsi="宋体" w:cs="宋体"/>
              </w:rPr>
            </w:pPr>
            <w:r>
              <w:rPr>
                <w:rFonts w:hint="eastAsia" w:ascii="宋体" w:hAnsi="宋体" w:cs="宋体"/>
              </w:rPr>
              <w:t xml:space="preserve">2台</w:t>
            </w:r>
            <w:r>
              <w:rPr>
                <w:rFonts w:ascii="宋体" w:hAnsi="宋体" w:cs="宋体"/>
              </w:rPr>
            </w:r>
            <w:r/>
          </w:p>
        </w:tc>
        <w:tc>
          <w:tcPr>
            <w:tcW w:w="1709" w:type="dxa"/>
            <w:vAlign w:val="center"/>
            <w:textDirection w:val="lrTb"/>
            <w:noWrap w:val="false"/>
          </w:tcPr>
          <w:p>
            <w:pPr>
              <w:pStyle w:val="1344"/>
              <w:jc w:val="center"/>
              <w:spacing w:line="480" w:lineRule="exact"/>
              <w:rPr>
                <w:rFonts w:ascii="宋体" w:hAnsi="宋体" w:cs="宋体"/>
              </w:rPr>
            </w:pPr>
            <w:r>
              <w:rPr>
                <w:rFonts w:hint="eastAsia" w:ascii="宋体" w:hAnsi="宋体" w:cs="宋体"/>
              </w:rPr>
              <w:t xml:space="preserve">合同签订后</w:t>
            </w:r>
            <w:r>
              <w:rPr>
                <w:rFonts w:ascii="宋体" w:hAnsi="宋体" w:cs="宋体"/>
              </w:rPr>
              <w:t xml:space="preserve">3</w:t>
            </w:r>
            <w:r>
              <w:rPr>
                <w:rFonts w:hint="eastAsia" w:ascii="宋体" w:hAnsi="宋体" w:cs="宋体"/>
              </w:rPr>
              <w:t xml:space="preserve">个月</w:t>
            </w:r>
            <w:r>
              <w:rPr>
                <w:rFonts w:ascii="宋体" w:hAnsi="宋体" w:cs="宋体"/>
              </w:rPr>
            </w:r>
            <w:r/>
          </w:p>
        </w:tc>
      </w:tr>
    </w:tbl>
    <w:p>
      <w:pPr>
        <w:pStyle w:val="1344"/>
        <w:jc w:val="left"/>
        <w:spacing w:line="480" w:lineRule="exact"/>
        <w:rPr>
          <w:rFonts w:ascii="宋体" w:hAnsi="宋体" w:cs="宋体"/>
          <w:b/>
          <w:bCs/>
          <w:szCs w:val="21"/>
        </w:rPr>
      </w:pPr>
      <w:r>
        <w:rPr>
          <w:rFonts w:hint="eastAsia" w:ascii="宋体" w:hAnsi="宋体" w:cs="宋体"/>
          <w:b/>
          <w:bCs/>
          <w:szCs w:val="21"/>
        </w:rPr>
        <w:t xml:space="preserve">（二）技术指标及功能要求</w:t>
      </w:r>
      <w:r>
        <w:rPr>
          <w:rFonts w:ascii="宋体" w:hAnsi="宋体" w:cs="宋体"/>
          <w:b/>
          <w:bCs/>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1.温度指标</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★1.1温度范围：(-40～180) ℃</w:t>
      </w:r>
      <w:r>
        <w:rPr>
          <w:rFonts w:ascii="宋体" w:hAnsi="宋体" w:cs="宋体"/>
          <w:szCs w:val="21"/>
        </w:rPr>
      </w:r>
      <w:r/>
    </w:p>
    <w:p>
      <w:pPr>
        <w:pStyle w:val="1344"/>
        <w:ind w:firstLine="422"/>
        <w:jc w:val="left"/>
        <w:spacing w:line="480" w:lineRule="exact"/>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1.2温度波动度：≤±0.05℃/30min</w:t>
      </w:r>
      <w:r>
        <w:rPr>
          <w:rFonts w:ascii="宋体" w:hAnsi="宋体" w:cs="宋体"/>
          <w:szCs w:val="21"/>
        </w:rPr>
      </w:r>
      <w:r/>
    </w:p>
    <w:p>
      <w:pPr>
        <w:pStyle w:val="1344"/>
        <w:ind w:firstLine="422"/>
        <w:jc w:val="left"/>
        <w:spacing w:line="480" w:lineRule="exact"/>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1.3温度均匀度：≤0.2℃（5℃～50℃）</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1.4分辨力：0.01℃</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1.5温度升降速度：20℃至180℃≤90min，20℃至-40℃≤70min</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2.湿度指标</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★2.1湿度范围：5%RH～98%RH，其中5%～95%RH（10～95℃）</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2.2湿度波动度：≤±0.3%RH/30min</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2.3湿度均匀度：≤0.5%RH（20℃）</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2.4分辨力：0.01%RH</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2.5湿度升降速度：10%RH至90%RH≤40min，90%RH至10%RH≤60min；</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3.工作腔容积≥320L</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★4.全触屏操作，支持APP远程控制</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5. 需配合干气源实现快速升降湿和低温低湿（10℃下实现5%）</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5.1 最高压力≥0.8MPa</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5.2 排气量≥200L/min</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5.3 出口露点≤-40℃DP</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5.4 储气罐容积≥80L</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6.可靠性满足高强度运行要求，可连续 24小时运行。</w:t>
      </w:r>
      <w:r>
        <w:rPr>
          <w:rFonts w:ascii="宋体" w:hAnsi="宋体" w:cs="宋体"/>
          <w:szCs w:val="21"/>
        </w:rPr>
      </w:r>
      <w:r/>
    </w:p>
    <w:p>
      <w:pPr>
        <w:pStyle w:val="1344"/>
        <w:ind w:left="1" w:hanging="200"/>
        <w:jc w:val="left"/>
        <w:spacing w:line="480" w:lineRule="exact"/>
        <w:rPr>
          <w:rFonts w:ascii="宋体" w:hAnsi="宋体" w:cs="宋体"/>
          <w:b/>
          <w:bCs/>
          <w:szCs w:val="21"/>
        </w:rPr>
      </w:pPr>
      <w:r>
        <w:rPr>
          <w:rFonts w:hint="eastAsia" w:ascii="宋体" w:hAnsi="宋体" w:cs="宋体"/>
          <w:b/>
          <w:bCs/>
          <w:szCs w:val="21"/>
        </w:rPr>
        <w:t xml:space="preserve">（三）验收依据、方法及单位</w:t>
      </w:r>
      <w:r>
        <w:rPr>
          <w:rFonts w:ascii="宋体" w:hAnsi="宋体" w:cs="宋体"/>
          <w:b/>
          <w:bCs/>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1.验收依据：JJF 1564-2016《温湿度标准箱校准规范》、JJF1101-2019《环境试验设备温度、湿度参数校准规范》、本技术文件、仪器说明书等。</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2.卖方负责将设备送检至省级及以上计量技术机构进行检定/校准，并出具检定/校准证书，检测费用由卖方承担。</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3.江苏省计量科学研究院根据以上证书和本技术文件对整套设备的技术指标和功能进行最终验收。</w:t>
      </w:r>
      <w:r>
        <w:rPr>
          <w:rFonts w:ascii="宋体" w:hAnsi="宋体" w:cs="宋体"/>
          <w:szCs w:val="21"/>
        </w:rPr>
      </w:r>
      <w:r/>
    </w:p>
    <w:p>
      <w:pPr>
        <w:pStyle w:val="1344"/>
        <w:jc w:val="left"/>
        <w:spacing w:line="480" w:lineRule="exact"/>
        <w:rPr>
          <w:rFonts w:hint="eastAsia" w:ascii="宋体" w:hAnsi="宋体" w:cs="宋体"/>
          <w:b/>
          <w:bCs/>
          <w:szCs w:val="21"/>
        </w:rPr>
      </w:pPr>
      <w:r>
        <w:rPr>
          <w:rFonts w:hint="eastAsia" w:ascii="宋体" w:hAnsi="宋体" w:cs="宋体"/>
          <w:b/>
          <w:bCs/>
          <w:szCs w:val="21"/>
        </w:rPr>
        <w:t xml:space="preserve">（四）质保期</w:t>
      </w:r>
      <w:r>
        <w:rPr>
          <w:rFonts w:hint="eastAsia" w:ascii="宋体" w:hAnsi="宋体" w:cs="宋体"/>
          <w:b/>
          <w:bCs/>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★1.温湿度检定箱的质保期为最终验收合格之日起1年。</w:t>
      </w:r>
      <w:r>
        <w:rPr>
          <w:rFonts w:ascii="宋体" w:hAnsi="宋体" w:cs="宋体"/>
          <w:szCs w:val="21"/>
        </w:rPr>
      </w:r>
      <w:r/>
    </w:p>
    <w:p>
      <w:pPr>
        <w:pStyle w:val="1344"/>
        <w:ind w:firstLine="422"/>
        <w:jc w:val="center"/>
        <w:spacing w:line="480" w:lineRule="exact"/>
        <w:rPr>
          <w:rFonts w:ascii="宋体" w:hAnsi="宋体" w:cs="宋体"/>
          <w:b/>
          <w:bCs/>
          <w:szCs w:val="21"/>
        </w:rPr>
        <w:outlineLvl w:val="1"/>
      </w:pPr>
      <w:r/>
      <w:bookmarkStart w:id="285" w:name="_Toc28145"/>
      <w:r/>
      <w:bookmarkStart w:id="286" w:name="_Toc5085"/>
      <w:r>
        <w:rPr>
          <w:rFonts w:hint="eastAsia" w:ascii="宋体" w:hAnsi="宋体" w:cs="宋体"/>
          <w:b/>
          <w:szCs w:val="21"/>
        </w:rPr>
        <w:t xml:space="preserve">品目</w:t>
      </w:r>
      <w:r>
        <w:rPr>
          <w:rFonts w:ascii="宋体" w:hAnsi="宋体" w:cs="宋体"/>
          <w:b/>
          <w:bCs/>
          <w:szCs w:val="21"/>
        </w:rPr>
        <w:t xml:space="preserve">3</w:t>
      </w:r>
      <w:r>
        <w:rPr>
          <w:rFonts w:hint="eastAsia" w:ascii="宋体" w:hAnsi="宋体" w:cs="宋体"/>
          <w:b/>
          <w:bCs/>
          <w:szCs w:val="21"/>
        </w:rPr>
        <w:t xml:space="preserve"> 热电偶检定炉</w:t>
      </w:r>
      <w:bookmarkEnd w:id="285"/>
      <w:r/>
      <w:bookmarkEnd w:id="286"/>
      <w:r>
        <w:rPr>
          <w:rFonts w:ascii="宋体" w:hAnsi="宋体" w:cs="宋体"/>
          <w:b/>
          <w:bCs/>
          <w:szCs w:val="21"/>
        </w:rPr>
      </w:r>
      <w:r/>
    </w:p>
    <w:p>
      <w:pPr>
        <w:pStyle w:val="1344"/>
        <w:spacing w:line="480" w:lineRule="exact"/>
        <w:tabs>
          <w:tab w:val="left" w:pos="4500" w:leader="none"/>
          <w:tab w:val="left" w:pos="4680" w:leader="none"/>
        </w:tabs>
        <w:rPr>
          <w:rFonts w:ascii="宋体" w:hAnsi="宋体" w:cs="宋体"/>
          <w:b/>
          <w:bCs/>
          <w:szCs w:val="21"/>
        </w:rPr>
      </w:pPr>
      <w:r>
        <w:rPr>
          <w:rFonts w:hint="eastAsia" w:ascii="宋体" w:hAnsi="宋体" w:cs="宋体"/>
          <w:b/>
          <w:bCs/>
          <w:szCs w:val="21"/>
        </w:rPr>
        <w:t xml:space="preserve">★（一）设备及明细配置清单</w:t>
      </w:r>
      <w:r>
        <w:rPr>
          <w:rFonts w:ascii="宋体" w:hAnsi="宋体" w:cs="宋体"/>
          <w:b/>
          <w:bCs/>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10"/>
        <w:gridCol w:w="3500"/>
        <w:gridCol w:w="1561"/>
        <w:gridCol w:w="3179"/>
      </w:tblGrid>
      <w:tr>
        <w:trPr>
          <w:trHeight w:val="389"/>
        </w:trPr>
        <w:tc>
          <w:tcPr>
            <w:tcW w:w="817" w:type="dxa"/>
            <w:vAlign w:val="center"/>
            <w:textDirection w:val="lrTb"/>
            <w:noWrap w:val="false"/>
          </w:tcPr>
          <w:p>
            <w:pPr>
              <w:pStyle w:val="1344"/>
              <w:ind w:right="141"/>
              <w:jc w:val="center"/>
              <w:spacing w:line="360" w:lineRule="auto"/>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776"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设备名称</w:t>
            </w:r>
            <w:r>
              <w:rPr>
                <w:rFonts w:ascii="宋体" w:hAnsi="宋体" w:cs="宋体"/>
                <w:szCs w:val="21"/>
              </w:rPr>
            </w:r>
            <w:r/>
          </w:p>
        </w:tc>
        <w:tc>
          <w:tcPr>
            <w:tcW w:w="792"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数 量</w:t>
            </w:r>
            <w:r>
              <w:rPr>
                <w:rFonts w:ascii="宋体" w:hAnsi="宋体" w:cs="宋体"/>
                <w:szCs w:val="21"/>
              </w:rPr>
            </w:r>
            <w:r/>
          </w:p>
        </w:tc>
        <w:tc>
          <w:tcPr>
            <w:tcW w:w="1613"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合同履行期限（交货期）</w:t>
            </w:r>
            <w:r>
              <w:rPr>
                <w:rFonts w:ascii="宋体" w:hAnsi="宋体" w:cs="宋体"/>
                <w:szCs w:val="21"/>
              </w:rPr>
            </w:r>
            <w:r/>
          </w:p>
        </w:tc>
      </w:tr>
      <w:tr>
        <w:trPr>
          <w:cantSplit/>
          <w:trHeight w:val="676"/>
        </w:trPr>
        <w:tc>
          <w:tcPr>
            <w:tcW w:w="817"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776"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热电偶检定炉</w:t>
            </w:r>
            <w:r>
              <w:rPr>
                <w:rFonts w:ascii="宋体" w:hAnsi="宋体" w:cs="宋体"/>
                <w:szCs w:val="21"/>
              </w:rPr>
            </w:r>
            <w:r/>
          </w:p>
        </w:tc>
        <w:tc>
          <w:tcPr>
            <w:tcW w:w="792"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1台</w:t>
            </w:r>
            <w:r>
              <w:rPr>
                <w:rFonts w:hint="eastAsia" w:ascii="宋体" w:hAnsi="宋体" w:cs="宋体"/>
                <w:szCs w:val="21"/>
              </w:rPr>
            </w:r>
            <w:r/>
          </w:p>
        </w:tc>
        <w:tc>
          <w:tcPr>
            <w:tcW w:w="1613"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合同签订后</w:t>
            </w:r>
            <w:r>
              <w:rPr>
                <w:rFonts w:ascii="宋体" w:hAnsi="宋体" w:cs="宋体"/>
                <w:szCs w:val="21"/>
              </w:rPr>
              <w:t xml:space="preserve">3</w:t>
            </w:r>
            <w:r>
              <w:rPr>
                <w:rFonts w:hint="eastAsia" w:ascii="宋体" w:hAnsi="宋体" w:cs="宋体"/>
                <w:szCs w:val="21"/>
              </w:rPr>
              <w:t xml:space="preserve">个月</w:t>
            </w:r>
            <w:r>
              <w:rPr>
                <w:rFonts w:ascii="宋体" w:hAnsi="宋体" w:cs="宋体"/>
                <w:szCs w:val="21"/>
              </w:rPr>
            </w:r>
            <w:r/>
          </w:p>
        </w:tc>
      </w:tr>
    </w:tbl>
    <w:p>
      <w:pPr>
        <w:pStyle w:val="1344"/>
        <w:spacing w:line="480" w:lineRule="exact"/>
        <w:rPr>
          <w:rFonts w:ascii="宋体" w:hAnsi="宋体" w:cs="宋体"/>
          <w:b/>
          <w:bCs/>
          <w:szCs w:val="21"/>
        </w:rPr>
      </w:pPr>
      <w:r>
        <w:rPr>
          <w:rFonts w:hint="eastAsia" w:ascii="宋体" w:hAnsi="宋体" w:cs="宋体"/>
          <w:b/>
          <w:bCs/>
          <w:szCs w:val="21"/>
        </w:rPr>
        <w:t xml:space="preserve">（二）技术指标及功能要求</w:t>
      </w:r>
      <w:r>
        <w:rPr>
          <w:rFonts w:ascii="宋体" w:hAnsi="宋体" w:cs="宋体"/>
          <w:b/>
          <w:bCs/>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1.测量范围：(1100～1500)℃；</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2.温场长度40mm范围内，温度梯度不大于0.5℃/cm；</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★3.温场长度40mm的中心点位于检定炉炉膛中心，炉内温度最高点偏离炉膛几何中心不大于20mm；</w:t>
      </w:r>
      <w:r>
        <w:rPr>
          <w:rFonts w:ascii="宋体" w:hAnsi="宋体" w:cs="宋体"/>
          <w:szCs w:val="21"/>
        </w:rPr>
      </w:r>
      <w:r/>
    </w:p>
    <w:p>
      <w:pPr>
        <w:pStyle w:val="1344"/>
        <w:ind w:firstLine="422"/>
        <w:spacing w:line="480" w:lineRule="exact"/>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4.需配送热电偶检测支架3个、石英管3个、炉膛刚玉管3个。</w:t>
      </w:r>
      <w:r>
        <w:rPr>
          <w:rFonts w:ascii="宋体" w:hAnsi="宋体" w:cs="宋体"/>
          <w:szCs w:val="21"/>
        </w:rPr>
      </w:r>
      <w:r/>
    </w:p>
    <w:p>
      <w:pPr>
        <w:pStyle w:val="1344"/>
        <w:spacing w:line="480" w:lineRule="exact"/>
        <w:rPr>
          <w:rFonts w:ascii="宋体" w:hAnsi="宋体" w:cs="宋体"/>
          <w:b/>
          <w:bCs/>
          <w:szCs w:val="21"/>
        </w:rPr>
      </w:pPr>
      <w:r>
        <w:rPr>
          <w:rFonts w:hint="eastAsia" w:ascii="宋体" w:hAnsi="宋体" w:cs="宋体"/>
          <w:b/>
          <w:bCs/>
          <w:szCs w:val="21"/>
        </w:rPr>
        <w:t xml:space="preserve">（三）验收依据、方法及单位</w:t>
      </w:r>
      <w:r>
        <w:rPr>
          <w:rFonts w:ascii="宋体" w:hAnsi="宋体" w:cs="宋体"/>
          <w:b/>
          <w:bCs/>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1.验收依据：JJF 1184-2024 《热电偶检定炉温度场测试技术规范》</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2.卖方负责将设备送检至省级及以上计量技术机构进行检定/校准，并出具检定/校准证书，检测费用由卖方承担。</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3.江苏省计量科学研究院根据以上证书和本技术文件对整套设备的技术指标和功能进行最终验收。</w:t>
      </w:r>
      <w:r>
        <w:rPr>
          <w:rFonts w:ascii="宋体" w:hAnsi="宋体" w:cs="宋体"/>
          <w:szCs w:val="21"/>
        </w:rPr>
      </w:r>
      <w:r/>
    </w:p>
    <w:p>
      <w:pPr>
        <w:pStyle w:val="1344"/>
        <w:spacing w:line="480" w:lineRule="exact"/>
        <w:rPr>
          <w:rFonts w:hint="eastAsia" w:ascii="宋体" w:hAnsi="宋体" w:cs="宋体"/>
          <w:b/>
          <w:bCs/>
          <w:szCs w:val="21"/>
        </w:rPr>
      </w:pPr>
      <w:r>
        <w:rPr>
          <w:rFonts w:hint="eastAsia" w:ascii="宋体" w:hAnsi="宋体" w:cs="宋体"/>
          <w:b/>
          <w:bCs/>
          <w:szCs w:val="21"/>
        </w:rPr>
        <w:t xml:space="preserve">（四）质保期</w:t>
      </w:r>
      <w:r>
        <w:rPr>
          <w:rFonts w:hint="eastAsia" w:ascii="宋体" w:hAnsi="宋体" w:cs="宋体"/>
          <w:b/>
          <w:bCs/>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★1.热电偶检定炉的质保期为最终验收合格之日起2年。</w:t>
      </w:r>
      <w:r>
        <w:rPr>
          <w:rFonts w:ascii="宋体" w:hAnsi="宋体" w:cs="宋体"/>
          <w:szCs w:val="21"/>
        </w:rPr>
      </w:r>
      <w:r/>
    </w:p>
    <w:p>
      <w:pPr>
        <w:pStyle w:val="1344"/>
        <w:jc w:val="center"/>
        <w:spacing w:line="480" w:lineRule="exact"/>
        <w:rPr>
          <w:rFonts w:ascii="宋体" w:hAnsi="宋体" w:cs="宋体"/>
          <w:b/>
          <w:bCs/>
          <w:szCs w:val="21"/>
        </w:rPr>
        <w:outlineLvl w:val="1"/>
      </w:pPr>
      <w:r/>
      <w:bookmarkStart w:id="287" w:name="_Toc4470"/>
      <w:r/>
      <w:bookmarkStart w:id="288" w:name="_Toc3832"/>
      <w:r>
        <w:rPr>
          <w:rFonts w:hint="eastAsia" w:ascii="宋体" w:hAnsi="宋体" w:cs="宋体"/>
          <w:b/>
          <w:szCs w:val="21"/>
        </w:rPr>
        <w:t xml:space="preserve">品目</w:t>
      </w:r>
      <w:r>
        <w:rPr>
          <w:rFonts w:ascii="宋体" w:hAnsi="宋体" w:cs="宋体"/>
          <w:b/>
          <w:bCs/>
          <w:szCs w:val="21"/>
        </w:rPr>
        <w:t xml:space="preserve">4</w:t>
      </w:r>
      <w:r>
        <w:rPr>
          <w:rFonts w:hint="eastAsia" w:ascii="宋体" w:hAnsi="宋体" w:cs="宋体"/>
          <w:b/>
          <w:bCs/>
          <w:szCs w:val="21"/>
        </w:rPr>
        <w:t xml:space="preserve"> 标准铂电阻温度计</w:t>
      </w:r>
      <w:bookmarkEnd w:id="287"/>
      <w:r/>
      <w:bookmarkEnd w:id="288"/>
      <w:r>
        <w:rPr>
          <w:rFonts w:ascii="宋体" w:hAnsi="宋体" w:cs="宋体"/>
          <w:b/>
          <w:bCs/>
          <w:szCs w:val="21"/>
        </w:rPr>
      </w:r>
      <w:r/>
    </w:p>
    <w:p>
      <w:pPr>
        <w:pStyle w:val="1344"/>
        <w:spacing w:line="480" w:lineRule="exact"/>
        <w:tabs>
          <w:tab w:val="left" w:pos="4500" w:leader="none"/>
          <w:tab w:val="left" w:pos="4680" w:leader="none"/>
        </w:tabs>
        <w:rPr>
          <w:rFonts w:ascii="宋体" w:hAnsi="宋体" w:cs="宋体"/>
          <w:b/>
          <w:bCs/>
          <w:szCs w:val="21"/>
        </w:rPr>
      </w:pPr>
      <w:r>
        <w:rPr>
          <w:rFonts w:hint="eastAsia" w:ascii="宋体" w:hAnsi="宋体" w:cs="宋体"/>
          <w:b/>
          <w:bCs/>
          <w:szCs w:val="21"/>
        </w:rPr>
        <w:t xml:space="preserve">★（一）设备及明细配置清单</w:t>
      </w:r>
      <w:r>
        <w:rPr>
          <w:rFonts w:ascii="宋体" w:hAnsi="宋体" w:cs="宋体"/>
          <w:b/>
          <w:bCs/>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11"/>
        <w:gridCol w:w="3264"/>
        <w:gridCol w:w="1759"/>
        <w:gridCol w:w="3216"/>
      </w:tblGrid>
      <w:tr>
        <w:trPr>
          <w:trHeight w:val="389"/>
        </w:trPr>
        <w:tc>
          <w:tcPr>
            <w:tcW w:w="818" w:type="dxa"/>
            <w:vAlign w:val="center"/>
            <w:textDirection w:val="lrTb"/>
            <w:noWrap w:val="false"/>
          </w:tcPr>
          <w:p>
            <w:pPr>
              <w:pStyle w:val="1344"/>
              <w:ind w:right="141"/>
              <w:jc w:val="center"/>
              <w:spacing w:line="360" w:lineRule="auto"/>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657"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设备名称</w:t>
            </w:r>
            <w:r>
              <w:rPr>
                <w:rFonts w:ascii="宋体" w:hAnsi="宋体" w:cs="宋体"/>
                <w:szCs w:val="21"/>
              </w:rPr>
            </w:r>
            <w:r/>
          </w:p>
        </w:tc>
        <w:tc>
          <w:tcPr>
            <w:tcW w:w="893"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数 量</w:t>
            </w:r>
            <w:r>
              <w:rPr>
                <w:rFonts w:ascii="宋体" w:hAnsi="宋体" w:cs="宋体"/>
                <w:szCs w:val="21"/>
              </w:rPr>
            </w:r>
            <w:r/>
          </w:p>
        </w:tc>
        <w:tc>
          <w:tcPr>
            <w:tcW w:w="1632"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合同履行期限（交货期）</w:t>
            </w:r>
            <w:r>
              <w:rPr>
                <w:rFonts w:ascii="宋体" w:hAnsi="宋体" w:cs="宋体"/>
                <w:szCs w:val="21"/>
              </w:rPr>
            </w:r>
            <w:r/>
          </w:p>
        </w:tc>
      </w:tr>
      <w:tr>
        <w:trPr>
          <w:cantSplit/>
          <w:trHeight w:val="454"/>
        </w:trPr>
        <w:tc>
          <w:tcPr>
            <w:tcW w:w="818"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657"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标准铂电阻温度计</w:t>
            </w:r>
            <w:r>
              <w:rPr>
                <w:rFonts w:ascii="宋体" w:hAnsi="宋体" w:cs="宋体"/>
                <w:szCs w:val="21"/>
              </w:rPr>
            </w:r>
            <w:r/>
          </w:p>
        </w:tc>
        <w:tc>
          <w:tcPr>
            <w:tcW w:w="893" w:type="dxa"/>
            <w:vAlign w:val="center"/>
            <w:textDirection w:val="lrTb"/>
            <w:noWrap w:val="false"/>
          </w:tcPr>
          <w:p>
            <w:pPr>
              <w:pStyle w:val="1344"/>
              <w:jc w:val="center"/>
              <w:keepNext/>
              <w:spacing w:line="360" w:lineRule="auto"/>
              <w:rPr>
                <w:rFonts w:hint="eastAsia" w:ascii="宋体" w:hAnsi="宋体" w:cs="宋体"/>
                <w:szCs w:val="21"/>
              </w:rPr>
              <w:outlineLvl w:val="0"/>
            </w:pPr>
            <w:r/>
            <w:bookmarkStart w:id="289" w:name="_Toc285"/>
            <w:r/>
            <w:bookmarkStart w:id="290" w:name="_Toc22826"/>
            <w:r>
              <w:rPr>
                <w:rFonts w:hint="eastAsia" w:ascii="宋体" w:hAnsi="宋体" w:cs="宋体"/>
              </w:rPr>
              <w:t xml:space="preserve">2台</w:t>
            </w:r>
            <w:bookmarkEnd w:id="289"/>
            <w:r/>
            <w:bookmarkEnd w:id="290"/>
            <w:r>
              <w:rPr>
                <w:rFonts w:hint="eastAsia" w:ascii="宋体" w:hAnsi="宋体" w:cs="宋体"/>
                <w:szCs w:val="21"/>
              </w:rPr>
            </w:r>
            <w:r/>
          </w:p>
        </w:tc>
        <w:tc>
          <w:tcPr>
            <w:tcW w:w="1632"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合同签订后</w:t>
            </w:r>
            <w:r>
              <w:rPr>
                <w:rFonts w:ascii="宋体" w:hAnsi="宋体" w:cs="宋体"/>
                <w:szCs w:val="21"/>
              </w:rPr>
              <w:t xml:space="preserve">3</w:t>
            </w:r>
            <w:r>
              <w:rPr>
                <w:rFonts w:hint="eastAsia" w:ascii="宋体" w:hAnsi="宋体" w:cs="宋体"/>
                <w:szCs w:val="21"/>
              </w:rPr>
              <w:t xml:space="preserve">个月</w:t>
            </w:r>
            <w:r>
              <w:rPr>
                <w:rFonts w:ascii="宋体" w:hAnsi="宋体" w:cs="宋体"/>
                <w:szCs w:val="21"/>
              </w:rPr>
            </w:r>
            <w:r/>
          </w:p>
        </w:tc>
      </w:tr>
    </w:tbl>
    <w:p>
      <w:pPr>
        <w:pStyle w:val="1344"/>
        <w:spacing w:line="480" w:lineRule="exact"/>
        <w:rPr>
          <w:rFonts w:ascii="宋体" w:hAnsi="宋体" w:cs="宋体"/>
          <w:b/>
          <w:bCs/>
          <w:szCs w:val="21"/>
        </w:rPr>
      </w:pPr>
      <w:r>
        <w:rPr>
          <w:rFonts w:hint="eastAsia" w:ascii="宋体" w:hAnsi="宋体" w:cs="宋体"/>
          <w:b/>
          <w:bCs/>
          <w:szCs w:val="21"/>
        </w:rPr>
        <w:t xml:space="preserve">（二）技术指标及功能要求</w:t>
      </w:r>
      <w:r>
        <w:rPr>
          <w:rFonts w:ascii="宋体" w:hAnsi="宋体" w:cs="宋体"/>
          <w:b/>
          <w:bCs/>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1.温度范围：（-189.3442～660.323）℃；</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★2.准确度等级：一等；</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3.Rtp满足（25±1）Ω的要求；</w:t>
      </w:r>
      <w:r>
        <w:rPr>
          <w:rFonts w:ascii="宋体" w:hAnsi="宋体" w:cs="宋体"/>
          <w:szCs w:val="21"/>
        </w:rPr>
      </w:r>
      <w:r/>
    </w:p>
    <w:p>
      <w:pPr>
        <w:pStyle w:val="1344"/>
        <w:ind w:firstLine="422"/>
        <w:spacing w:line="480" w:lineRule="exact"/>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4.标准铂电阻温度计外部石英护管直径小于7.5mm；</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5.标准铂电阻温度计及其外护管的长度不少于480mm。</w:t>
      </w:r>
      <w:r>
        <w:rPr>
          <w:rFonts w:ascii="宋体" w:hAnsi="宋体" w:cs="宋体"/>
          <w:szCs w:val="21"/>
        </w:rPr>
      </w:r>
      <w:r/>
    </w:p>
    <w:p>
      <w:pPr>
        <w:pStyle w:val="1344"/>
        <w:spacing w:line="480" w:lineRule="exact"/>
        <w:rPr>
          <w:rFonts w:ascii="宋体" w:hAnsi="宋体" w:cs="宋体"/>
          <w:b/>
          <w:bCs/>
          <w:szCs w:val="21"/>
        </w:rPr>
      </w:pPr>
      <w:r>
        <w:rPr>
          <w:rFonts w:hint="eastAsia" w:ascii="宋体" w:hAnsi="宋体" w:cs="宋体"/>
          <w:b/>
          <w:bCs/>
          <w:szCs w:val="21"/>
        </w:rPr>
        <w:t xml:space="preserve">（三）验收依据、方法及单位</w:t>
      </w:r>
      <w:r>
        <w:rPr>
          <w:rFonts w:ascii="宋体" w:hAnsi="宋体" w:cs="宋体"/>
          <w:b/>
          <w:bCs/>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1.验收依据：JJG 160-2007 《标准铂电阻温度计检定规程》</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2.卖方负责将设备送检至中国测试技术研究院并出具检定证书，检定费由卖方承担。</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3.江苏省计量科学研究院依据上述检定证书和本技术文件对该设备的技术指标和功能进行最终验收。</w:t>
      </w:r>
      <w:r>
        <w:rPr>
          <w:rFonts w:ascii="宋体" w:hAnsi="宋体" w:cs="宋体"/>
          <w:szCs w:val="21"/>
        </w:rPr>
      </w:r>
      <w:r/>
    </w:p>
    <w:p>
      <w:pPr>
        <w:pStyle w:val="1344"/>
        <w:spacing w:line="480" w:lineRule="exact"/>
        <w:rPr>
          <w:rFonts w:hint="eastAsia" w:ascii="宋体" w:hAnsi="宋体" w:cs="宋体"/>
          <w:b/>
          <w:bCs/>
          <w:szCs w:val="21"/>
        </w:rPr>
      </w:pPr>
      <w:r>
        <w:rPr>
          <w:rFonts w:hint="eastAsia" w:ascii="宋体" w:hAnsi="宋体" w:cs="宋体"/>
          <w:b/>
          <w:bCs/>
          <w:szCs w:val="21"/>
        </w:rPr>
        <w:t xml:space="preserve">（四）质保期</w:t>
      </w:r>
      <w:r>
        <w:rPr>
          <w:rFonts w:hint="eastAsia" w:ascii="宋体" w:hAnsi="宋体" w:cs="宋体"/>
          <w:b/>
          <w:bCs/>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★1.标准铂电阻温度计的质保期为最终验收合格之日起1年。</w:t>
      </w:r>
      <w:r>
        <w:rPr>
          <w:rFonts w:ascii="宋体" w:hAnsi="宋体" w:cs="宋体"/>
          <w:szCs w:val="21"/>
        </w:rPr>
      </w:r>
      <w:r/>
    </w:p>
    <w:p>
      <w:pPr>
        <w:pStyle w:val="1344"/>
        <w:jc w:val="center"/>
        <w:spacing w:line="360" w:lineRule="auto"/>
        <w:tabs>
          <w:tab w:val="left" w:pos="4500" w:leader="none"/>
          <w:tab w:val="left" w:pos="4680" w:leader="none"/>
        </w:tabs>
        <w:rPr>
          <w:rFonts w:ascii="宋体" w:hAnsi="宋体" w:cs="宋体"/>
          <w:b/>
          <w:bCs/>
          <w:szCs w:val="21"/>
        </w:rPr>
        <w:outlineLvl w:val="1"/>
      </w:pPr>
      <w:r/>
      <w:bookmarkStart w:id="291" w:name="_Toc18007"/>
      <w:r/>
      <w:bookmarkStart w:id="292" w:name="_Toc21496"/>
      <w:r>
        <w:rPr>
          <w:rFonts w:hint="eastAsia" w:ascii="宋体" w:hAnsi="宋体" w:cs="宋体"/>
          <w:b/>
          <w:szCs w:val="21"/>
        </w:rPr>
        <w:t xml:space="preserve">品目</w:t>
      </w:r>
      <w:r>
        <w:rPr>
          <w:rFonts w:ascii="宋体" w:hAnsi="宋体" w:cs="宋体"/>
          <w:b/>
          <w:bCs/>
          <w:szCs w:val="21"/>
        </w:rPr>
        <w:t xml:space="preserve">5</w:t>
      </w:r>
      <w:r>
        <w:rPr>
          <w:rFonts w:hint="eastAsia" w:ascii="宋体" w:hAnsi="宋体" w:cs="宋体"/>
          <w:b/>
          <w:bCs/>
          <w:szCs w:val="21"/>
        </w:rPr>
        <w:t xml:space="preserve"> 活塞式压力计</w:t>
      </w:r>
      <w:bookmarkEnd w:id="291"/>
      <w:r/>
      <w:bookmarkEnd w:id="292"/>
      <w:r>
        <w:rPr>
          <w:rFonts w:ascii="宋体" w:hAnsi="宋体" w:cs="宋体"/>
          <w:b/>
          <w:bCs/>
          <w:szCs w:val="21"/>
        </w:rPr>
      </w:r>
      <w:r/>
    </w:p>
    <w:p>
      <w:pPr>
        <w:pStyle w:val="1344"/>
        <w:spacing w:line="480" w:lineRule="exact"/>
        <w:tabs>
          <w:tab w:val="left" w:pos="4500" w:leader="none"/>
          <w:tab w:val="left" w:pos="4680" w:leader="none"/>
        </w:tabs>
        <w:rPr>
          <w:rFonts w:ascii="宋体" w:hAnsi="宋体" w:cs="宋体"/>
          <w:b/>
          <w:bCs/>
          <w:szCs w:val="21"/>
        </w:rPr>
      </w:pPr>
      <w:r>
        <w:rPr>
          <w:rFonts w:hint="eastAsia" w:ascii="宋体" w:hAnsi="宋体" w:cs="宋体"/>
          <w:b/>
          <w:bCs/>
          <w:szCs w:val="21"/>
        </w:rPr>
        <w:t xml:space="preserve">★（一）设备及明细配置清单</w:t>
      </w:r>
      <w:r>
        <w:rPr>
          <w:rFonts w:ascii="宋体" w:hAnsi="宋体" w:cs="宋体"/>
          <w:b/>
          <w:bCs/>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95"/>
        <w:gridCol w:w="3559"/>
        <w:gridCol w:w="1780"/>
        <w:gridCol w:w="3116"/>
      </w:tblGrid>
      <w:tr>
        <w:trPr>
          <w:trHeight w:val="389"/>
        </w:trPr>
        <w:tc>
          <w:tcPr>
            <w:tcW w:w="708"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806"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设 备 名 称</w:t>
            </w:r>
            <w:r>
              <w:rPr>
                <w:rFonts w:ascii="宋体" w:hAnsi="宋体" w:cs="宋体"/>
                <w:szCs w:val="21"/>
              </w:rPr>
            </w:r>
            <w:r/>
          </w:p>
        </w:tc>
        <w:tc>
          <w:tcPr>
            <w:tcW w:w="903"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数 量</w:t>
            </w:r>
            <w:r>
              <w:rPr>
                <w:rFonts w:ascii="宋体" w:hAnsi="宋体" w:cs="宋体"/>
                <w:szCs w:val="21"/>
              </w:rPr>
            </w:r>
            <w:r/>
          </w:p>
        </w:tc>
        <w:tc>
          <w:tcPr>
            <w:tcW w:w="1581"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合同履行期限（交货期）</w:t>
            </w:r>
            <w:r>
              <w:rPr>
                <w:rFonts w:ascii="宋体" w:hAnsi="宋体" w:cs="宋体"/>
                <w:szCs w:val="21"/>
              </w:rPr>
            </w:r>
            <w:r/>
          </w:p>
        </w:tc>
      </w:tr>
      <w:tr>
        <w:trPr>
          <w:trHeight w:val="620"/>
        </w:trPr>
        <w:tc>
          <w:tcPr>
            <w:tcW w:w="708"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806"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活塞式压力计</w:t>
            </w:r>
            <w:r>
              <w:rPr>
                <w:rFonts w:ascii="宋体" w:hAnsi="宋体" w:cs="宋体"/>
                <w:szCs w:val="21"/>
              </w:rPr>
            </w:r>
            <w:r/>
          </w:p>
        </w:tc>
        <w:tc>
          <w:tcPr>
            <w:tcW w:w="903"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1台</w:t>
            </w:r>
            <w:r>
              <w:rPr>
                <w:rFonts w:ascii="宋体" w:hAnsi="宋体" w:cs="宋体"/>
                <w:szCs w:val="21"/>
              </w:rPr>
            </w:r>
            <w:r/>
          </w:p>
        </w:tc>
        <w:tc>
          <w:tcPr>
            <w:tcW w:w="1581"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合同签订后</w:t>
            </w:r>
            <w:r>
              <w:rPr>
                <w:rFonts w:ascii="宋体" w:hAnsi="宋体" w:cs="宋体"/>
                <w:szCs w:val="21"/>
              </w:rPr>
              <w:t xml:space="preserve">3</w:t>
            </w:r>
            <w:r>
              <w:rPr>
                <w:rFonts w:hint="eastAsia" w:ascii="宋体" w:hAnsi="宋体" w:cs="宋体"/>
                <w:szCs w:val="21"/>
              </w:rPr>
              <w:t xml:space="preserve">个月</w:t>
            </w:r>
            <w:r>
              <w:rPr>
                <w:rFonts w:ascii="宋体" w:hAnsi="宋体" w:cs="宋体"/>
                <w:szCs w:val="21"/>
              </w:rPr>
            </w:r>
            <w:r/>
          </w:p>
        </w:tc>
      </w:tr>
    </w:tbl>
    <w:p>
      <w:pPr>
        <w:pStyle w:val="1344"/>
        <w:spacing w:line="480" w:lineRule="exact"/>
        <w:rPr>
          <w:rFonts w:ascii="宋体" w:hAnsi="宋体" w:cs="宋体"/>
          <w:b/>
          <w:bCs/>
          <w:szCs w:val="21"/>
        </w:rPr>
      </w:pPr>
      <w:r>
        <w:rPr>
          <w:rFonts w:hint="eastAsia" w:ascii="宋体" w:hAnsi="宋体" w:cs="宋体"/>
          <w:b/>
          <w:bCs/>
          <w:szCs w:val="21"/>
        </w:rPr>
        <w:t xml:space="preserve">（二）技术指标及功能要求</w:t>
      </w:r>
      <w:r>
        <w:rPr>
          <w:rFonts w:ascii="宋体" w:hAnsi="宋体" w:cs="宋体"/>
          <w:b/>
          <w:bCs/>
          <w:szCs w:val="21"/>
        </w:rPr>
      </w:r>
      <w:r/>
    </w:p>
    <w:p>
      <w:pPr>
        <w:pStyle w:val="1344"/>
        <w:ind w:firstLine="422"/>
        <w:spacing w:line="480" w:lineRule="exact"/>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1.测量范围：（1～100）MPa</w:t>
      </w:r>
      <w:r>
        <w:rPr>
          <w:rFonts w:ascii="宋体" w:hAnsi="宋体" w:cs="宋体"/>
          <w:szCs w:val="21"/>
        </w:rPr>
      </w:r>
      <w:r/>
    </w:p>
    <w:p>
      <w:pPr>
        <w:pStyle w:val="1344"/>
        <w:ind w:firstLine="422"/>
        <w:spacing w:line="480" w:lineRule="exact"/>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2.准确度等级：0.005级</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3.传压介质：癸二酸二（2-乙基已基）酯</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4.活塞系统材质：碳化钨</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5.砝码材质：304不锈钢；密度：（8000±50）kg/m</w:t>
      </w:r>
      <w:r>
        <w:rPr>
          <w:rFonts w:ascii="宋体" w:hAnsi="宋体" w:cs="宋体"/>
          <w:szCs w:val="21"/>
          <w:vertAlign w:val="superscript"/>
        </w:rPr>
        <w:t xml:space="preserve">3</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6.活塞有效面积：1 cm</w:t>
      </w:r>
      <w:r>
        <w:rPr>
          <w:rFonts w:ascii="宋体" w:hAnsi="宋体" w:cs="宋体"/>
          <w:szCs w:val="21"/>
          <w:vertAlign w:val="superscript"/>
        </w:rPr>
        <w:t xml:space="preserve">2</w:t>
      </w:r>
      <w:r>
        <w:rPr>
          <w:rFonts w:hint="eastAsia" w:ascii="宋体" w:hAnsi="宋体" w:cs="宋体"/>
          <w:szCs w:val="21"/>
        </w:rPr>
        <w:t xml:space="preserve">/0.1 cm</w:t>
      </w:r>
      <w:r>
        <w:rPr>
          <w:rFonts w:ascii="宋体" w:hAnsi="宋体" w:cs="宋体"/>
          <w:szCs w:val="21"/>
          <w:vertAlign w:val="superscript"/>
        </w:rPr>
        <w:t xml:space="preserve">2</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7.需配备高低压切换装置，工作压力为1MPa时即可转换成高压模式。</w:t>
      </w:r>
      <w:r>
        <w:rPr>
          <w:rFonts w:ascii="宋体" w:hAnsi="宋体" w:cs="宋体"/>
          <w:szCs w:val="21"/>
        </w:rPr>
      </w:r>
      <w:r/>
    </w:p>
    <w:p>
      <w:pPr>
        <w:pStyle w:val="1344"/>
        <w:spacing w:line="480" w:lineRule="exact"/>
        <w:rPr>
          <w:rFonts w:ascii="宋体" w:hAnsi="宋体" w:cs="宋体"/>
          <w:b/>
          <w:bCs/>
          <w:szCs w:val="21"/>
        </w:rPr>
      </w:pPr>
      <w:r>
        <w:rPr>
          <w:rFonts w:hint="eastAsia" w:ascii="宋体" w:hAnsi="宋体" w:cs="宋体"/>
          <w:b/>
          <w:bCs/>
          <w:szCs w:val="21"/>
        </w:rPr>
        <w:t xml:space="preserve">（三）验收依据、方法及单位</w:t>
      </w:r>
      <w:r>
        <w:rPr>
          <w:rFonts w:ascii="宋体" w:hAnsi="宋体" w:cs="宋体"/>
          <w:b/>
          <w:bCs/>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1.验收依据：JJG59-2022《液体活塞式压力计检定规程》</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2.卖方负责将设备送检至中国计量科学研究院并出具检定证书，检定费由卖方承担。</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3.江苏省计量科学研究院依据上述检定证书和本技术文件对该设备的技术指标和功能进行最终验收。</w:t>
      </w:r>
      <w:r>
        <w:rPr>
          <w:rFonts w:ascii="宋体" w:hAnsi="宋体" w:cs="宋体"/>
          <w:szCs w:val="21"/>
        </w:rPr>
      </w:r>
      <w:r/>
    </w:p>
    <w:p>
      <w:pPr>
        <w:pStyle w:val="1344"/>
        <w:spacing w:line="480" w:lineRule="exact"/>
        <w:rPr>
          <w:rFonts w:hint="eastAsia" w:ascii="宋体" w:hAnsi="宋体" w:cs="宋体"/>
          <w:b/>
          <w:bCs/>
          <w:szCs w:val="21"/>
        </w:rPr>
      </w:pPr>
      <w:r>
        <w:rPr>
          <w:rFonts w:hint="eastAsia" w:ascii="宋体" w:hAnsi="宋体" w:cs="宋体"/>
          <w:b/>
          <w:bCs/>
          <w:szCs w:val="21"/>
        </w:rPr>
        <w:t xml:space="preserve">（四）质保期</w:t>
      </w:r>
      <w:r>
        <w:rPr>
          <w:rFonts w:hint="eastAsia" w:ascii="宋体" w:hAnsi="宋体" w:cs="宋体"/>
          <w:b/>
          <w:bCs/>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★1.活塞式压力计的质保期为最终验收合格之日起3年。</w:t>
      </w:r>
      <w:r>
        <w:rPr>
          <w:rFonts w:ascii="宋体" w:hAnsi="宋体" w:cs="宋体"/>
          <w:szCs w:val="21"/>
        </w:rPr>
      </w:r>
      <w:r/>
    </w:p>
    <w:p>
      <w:pPr>
        <w:pStyle w:val="1344"/>
        <w:jc w:val="center"/>
        <w:spacing w:line="480" w:lineRule="exact"/>
        <w:rPr>
          <w:rFonts w:ascii="宋体" w:hAnsi="宋体" w:cs="宋体"/>
          <w:b/>
          <w:bCs/>
          <w:szCs w:val="21"/>
        </w:rPr>
        <w:outlineLvl w:val="1"/>
      </w:pPr>
      <w:r/>
      <w:bookmarkStart w:id="293" w:name="_Toc17926"/>
      <w:r/>
      <w:bookmarkStart w:id="294" w:name="_Toc29635"/>
      <w:r>
        <w:rPr>
          <w:rFonts w:hint="eastAsia" w:ascii="宋体" w:hAnsi="宋体" w:cs="宋体"/>
          <w:b/>
          <w:szCs w:val="21"/>
        </w:rPr>
        <w:t xml:space="preserve">品目</w:t>
      </w:r>
      <w:r>
        <w:rPr>
          <w:rFonts w:ascii="宋体" w:hAnsi="宋体" w:cs="宋体"/>
          <w:b/>
          <w:bCs/>
          <w:szCs w:val="21"/>
        </w:rPr>
        <w:t xml:space="preserve">6</w:t>
      </w:r>
      <w:r>
        <w:rPr>
          <w:rFonts w:hint="eastAsia" w:ascii="宋体" w:hAnsi="宋体" w:cs="宋体"/>
          <w:b/>
          <w:bCs/>
          <w:szCs w:val="21"/>
        </w:rPr>
        <w:t xml:space="preserve"> 活塞式压力计</w:t>
      </w:r>
      <w:bookmarkEnd w:id="293"/>
      <w:r/>
      <w:bookmarkEnd w:id="294"/>
      <w:r>
        <w:rPr>
          <w:rFonts w:ascii="宋体" w:hAnsi="宋体" w:cs="宋体"/>
          <w:b/>
          <w:bCs/>
          <w:szCs w:val="21"/>
        </w:rPr>
      </w:r>
      <w:r/>
    </w:p>
    <w:p>
      <w:pPr>
        <w:pStyle w:val="1344"/>
        <w:spacing w:line="480" w:lineRule="exact"/>
        <w:tabs>
          <w:tab w:val="left" w:pos="4500" w:leader="none"/>
          <w:tab w:val="left" w:pos="4680" w:leader="none"/>
        </w:tabs>
        <w:rPr>
          <w:rFonts w:ascii="宋体" w:hAnsi="宋体" w:cs="宋体"/>
          <w:b/>
          <w:bCs/>
          <w:szCs w:val="21"/>
        </w:rPr>
      </w:pPr>
      <w:r>
        <w:rPr>
          <w:rFonts w:hint="eastAsia" w:ascii="宋体" w:hAnsi="宋体" w:cs="宋体"/>
          <w:b/>
          <w:bCs/>
          <w:szCs w:val="21"/>
        </w:rPr>
        <w:t xml:space="preserve">★（一）设备及明细配置清单</w:t>
      </w:r>
      <w:r>
        <w:rPr>
          <w:rFonts w:ascii="宋体" w:hAnsi="宋体" w:cs="宋体"/>
          <w:b/>
          <w:bCs/>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12"/>
        <w:gridCol w:w="3151"/>
        <w:gridCol w:w="1647"/>
        <w:gridCol w:w="3440"/>
      </w:tblGrid>
      <w:tr>
        <w:trPr>
          <w:trHeight w:val="389"/>
        </w:trPr>
        <w:tc>
          <w:tcPr>
            <w:tcW w:w="818" w:type="dxa"/>
            <w:vAlign w:val="center"/>
            <w:textDirection w:val="lrTb"/>
            <w:noWrap w:val="false"/>
          </w:tcPr>
          <w:p>
            <w:pPr>
              <w:pStyle w:val="1344"/>
              <w:ind w:right="141"/>
              <w:jc w:val="center"/>
              <w:spacing w:line="360" w:lineRule="auto"/>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599"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设备名称</w:t>
            </w:r>
            <w:r>
              <w:rPr>
                <w:rFonts w:ascii="宋体" w:hAnsi="宋体" w:cs="宋体"/>
                <w:szCs w:val="21"/>
              </w:rPr>
            </w:r>
            <w:r/>
          </w:p>
        </w:tc>
        <w:tc>
          <w:tcPr>
            <w:tcW w:w="836"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数 量</w:t>
            </w:r>
            <w:r>
              <w:rPr>
                <w:rFonts w:ascii="宋体" w:hAnsi="宋体" w:cs="宋体"/>
                <w:szCs w:val="21"/>
              </w:rPr>
            </w:r>
            <w:r/>
          </w:p>
        </w:tc>
        <w:tc>
          <w:tcPr>
            <w:tcW w:w="1746"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合同履行期限（交货期）</w:t>
            </w:r>
            <w:r>
              <w:rPr>
                <w:rFonts w:ascii="宋体" w:hAnsi="宋体" w:cs="宋体"/>
                <w:szCs w:val="21"/>
              </w:rPr>
            </w:r>
            <w:r/>
          </w:p>
        </w:tc>
      </w:tr>
      <w:tr>
        <w:trPr>
          <w:cantSplit/>
          <w:trHeight w:val="454"/>
        </w:trPr>
        <w:tc>
          <w:tcPr>
            <w:tcW w:w="818"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599"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活塞式压力计</w:t>
            </w:r>
            <w:r>
              <w:rPr>
                <w:rFonts w:ascii="宋体" w:hAnsi="宋体" w:cs="宋体"/>
                <w:szCs w:val="21"/>
              </w:rPr>
            </w:r>
            <w:r/>
          </w:p>
        </w:tc>
        <w:tc>
          <w:tcPr>
            <w:tcW w:w="836" w:type="dxa"/>
            <w:vAlign w:val="center"/>
            <w:textDirection w:val="lrTb"/>
            <w:noWrap w:val="false"/>
          </w:tcPr>
          <w:p>
            <w:pPr>
              <w:pStyle w:val="1344"/>
              <w:jc w:val="center"/>
              <w:keepNext/>
              <w:spacing w:line="360" w:lineRule="auto"/>
              <w:rPr>
                <w:rFonts w:hint="eastAsia" w:ascii="宋体" w:hAnsi="宋体" w:cs="宋体"/>
                <w:szCs w:val="21"/>
              </w:rPr>
              <w:outlineLvl w:val="0"/>
            </w:pPr>
            <w:r/>
            <w:bookmarkStart w:id="295" w:name="_Toc15301"/>
            <w:r/>
            <w:bookmarkStart w:id="296" w:name="_Toc4591"/>
            <w:r>
              <w:rPr>
                <w:rFonts w:hint="eastAsia" w:ascii="宋体" w:hAnsi="宋体" w:cs="宋体"/>
                <w:szCs w:val="21"/>
              </w:rPr>
              <w:t xml:space="preserve">1</w:t>
            </w:r>
            <w:bookmarkEnd w:id="295"/>
            <w:r>
              <w:rPr>
                <w:rFonts w:hint="eastAsia" w:ascii="宋体" w:hAnsi="宋体" w:cs="宋体"/>
                <w:szCs w:val="21"/>
              </w:rPr>
              <w:t xml:space="preserve">台</w:t>
            </w:r>
            <w:bookmarkEnd w:id="296"/>
            <w:r>
              <w:rPr>
                <w:rFonts w:hint="eastAsia" w:ascii="宋体" w:hAnsi="宋体" w:cs="宋体"/>
                <w:szCs w:val="21"/>
              </w:rPr>
            </w:r>
            <w:r/>
          </w:p>
        </w:tc>
        <w:tc>
          <w:tcPr>
            <w:tcW w:w="1746" w:type="dxa"/>
            <w:vAlign w:val="center"/>
            <w:vMerge w:val="restart"/>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合同签订后</w:t>
            </w:r>
            <w:r>
              <w:rPr>
                <w:rFonts w:ascii="宋体" w:hAnsi="宋体" w:cs="宋体"/>
                <w:szCs w:val="21"/>
              </w:rPr>
              <w:t xml:space="preserve">3</w:t>
            </w:r>
            <w:r>
              <w:rPr>
                <w:rFonts w:hint="eastAsia" w:ascii="宋体" w:hAnsi="宋体" w:cs="宋体"/>
                <w:szCs w:val="21"/>
              </w:rPr>
              <w:t xml:space="preserve">个月</w:t>
            </w:r>
            <w:r>
              <w:rPr>
                <w:rFonts w:ascii="宋体" w:hAnsi="宋体" w:cs="宋体"/>
                <w:szCs w:val="21"/>
              </w:rPr>
            </w:r>
            <w:r/>
          </w:p>
        </w:tc>
      </w:tr>
      <w:tr>
        <w:trPr>
          <w:cantSplit/>
          <w:trHeight w:val="454"/>
        </w:trPr>
        <w:tc>
          <w:tcPr>
            <w:tcW w:w="818"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599"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活塞式压力计</w:t>
            </w:r>
            <w:r>
              <w:rPr>
                <w:rFonts w:ascii="宋体" w:hAnsi="宋体" w:cs="宋体"/>
                <w:szCs w:val="21"/>
              </w:rPr>
            </w:r>
            <w:r/>
          </w:p>
        </w:tc>
        <w:tc>
          <w:tcPr>
            <w:tcW w:w="836" w:type="dxa"/>
            <w:vAlign w:val="center"/>
            <w:textDirection w:val="lrTb"/>
            <w:noWrap w:val="false"/>
          </w:tcPr>
          <w:p>
            <w:pPr>
              <w:pStyle w:val="1344"/>
              <w:jc w:val="center"/>
              <w:keepNext/>
              <w:spacing w:line="360" w:lineRule="auto"/>
              <w:rPr>
                <w:rFonts w:ascii="宋体" w:hAnsi="宋体" w:cs="宋体"/>
                <w:szCs w:val="21"/>
              </w:rPr>
              <w:outlineLvl w:val="0"/>
            </w:pPr>
            <w:r/>
            <w:bookmarkStart w:id="297" w:name="_Toc16016"/>
            <w:r/>
            <w:bookmarkStart w:id="298" w:name="_Toc29743"/>
            <w:r>
              <w:rPr>
                <w:rFonts w:hint="eastAsia" w:ascii="宋体" w:hAnsi="宋体" w:cs="宋体"/>
                <w:szCs w:val="21"/>
              </w:rPr>
              <w:t xml:space="preserve">1</w:t>
            </w:r>
            <w:bookmarkEnd w:id="297"/>
            <w:r>
              <w:rPr>
                <w:rFonts w:hint="eastAsia" w:ascii="宋体" w:hAnsi="宋体" w:cs="宋体"/>
                <w:szCs w:val="21"/>
              </w:rPr>
              <w:t xml:space="preserve">台</w:t>
            </w:r>
            <w:bookmarkEnd w:id="298"/>
            <w:r>
              <w:rPr>
                <w:rFonts w:ascii="宋体" w:hAnsi="宋体" w:cs="宋体"/>
                <w:szCs w:val="21"/>
              </w:rPr>
            </w:r>
            <w:r/>
          </w:p>
        </w:tc>
        <w:tc>
          <w:tcPr>
            <w:tcW w:w="1746" w:type="dxa"/>
            <w:vAlign w:val="center"/>
            <w:vMerge w:val="continue"/>
            <w:textDirection w:val="lrTb"/>
            <w:noWrap w:val="false"/>
          </w:tcPr>
          <w:p>
            <w:pPr>
              <w:pStyle w:val="1344"/>
              <w:jc w:val="center"/>
              <w:spacing w:line="360" w:lineRule="auto"/>
              <w:rPr>
                <w:rFonts w:ascii="宋体" w:hAnsi="宋体" w:cs="宋体"/>
                <w:szCs w:val="21"/>
              </w:rPr>
            </w:pPr>
            <w:r>
              <w:rPr>
                <w:rFonts w:ascii="宋体" w:hAnsi="宋体" w:cs="宋体"/>
                <w:szCs w:val="21"/>
              </w:rPr>
            </w:r>
            <w:r/>
          </w:p>
        </w:tc>
      </w:tr>
      <w:tr>
        <w:trPr>
          <w:cantSplit/>
          <w:trHeight w:val="454"/>
        </w:trPr>
        <w:tc>
          <w:tcPr>
            <w:tcW w:w="818"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1599"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活塞式压力计</w:t>
            </w:r>
            <w:r>
              <w:rPr>
                <w:rFonts w:ascii="宋体" w:hAnsi="宋体" w:cs="宋体"/>
                <w:szCs w:val="21"/>
              </w:rPr>
            </w:r>
            <w:r/>
          </w:p>
        </w:tc>
        <w:tc>
          <w:tcPr>
            <w:tcW w:w="836" w:type="dxa"/>
            <w:vAlign w:val="center"/>
            <w:textDirection w:val="lrTb"/>
            <w:noWrap w:val="false"/>
          </w:tcPr>
          <w:p>
            <w:pPr>
              <w:pStyle w:val="1344"/>
              <w:jc w:val="center"/>
              <w:keepNext/>
              <w:spacing w:line="360" w:lineRule="auto"/>
              <w:rPr>
                <w:rFonts w:ascii="宋体" w:hAnsi="宋体" w:cs="宋体"/>
                <w:szCs w:val="21"/>
              </w:rPr>
              <w:outlineLvl w:val="0"/>
            </w:pPr>
            <w:r/>
            <w:bookmarkStart w:id="299" w:name="_Toc716"/>
            <w:r/>
            <w:bookmarkStart w:id="300" w:name="_Toc14035"/>
            <w:r>
              <w:rPr>
                <w:rFonts w:hint="eastAsia" w:ascii="宋体" w:hAnsi="宋体" w:cs="宋体"/>
                <w:szCs w:val="21"/>
              </w:rPr>
              <w:t xml:space="preserve">1</w:t>
            </w:r>
            <w:bookmarkEnd w:id="299"/>
            <w:r>
              <w:rPr>
                <w:rFonts w:hint="eastAsia" w:ascii="宋体" w:hAnsi="宋体" w:cs="宋体"/>
                <w:szCs w:val="21"/>
              </w:rPr>
              <w:t xml:space="preserve">台</w:t>
            </w:r>
            <w:bookmarkEnd w:id="300"/>
            <w:r>
              <w:rPr>
                <w:rFonts w:ascii="宋体" w:hAnsi="宋体" w:cs="宋体"/>
                <w:szCs w:val="21"/>
              </w:rPr>
            </w:r>
            <w:r/>
          </w:p>
        </w:tc>
        <w:tc>
          <w:tcPr>
            <w:tcW w:w="1746" w:type="dxa"/>
            <w:vAlign w:val="center"/>
            <w:vMerge w:val="continue"/>
            <w:textDirection w:val="lrTb"/>
            <w:noWrap w:val="false"/>
          </w:tcPr>
          <w:p>
            <w:pPr>
              <w:pStyle w:val="1344"/>
              <w:jc w:val="center"/>
              <w:spacing w:line="360" w:lineRule="auto"/>
              <w:rPr>
                <w:rFonts w:ascii="宋体" w:hAnsi="宋体" w:cs="宋体"/>
                <w:szCs w:val="21"/>
              </w:rPr>
            </w:pPr>
            <w:r>
              <w:rPr>
                <w:rFonts w:ascii="宋体" w:hAnsi="宋体" w:cs="宋体"/>
                <w:szCs w:val="21"/>
              </w:rPr>
            </w:r>
            <w:r/>
          </w:p>
        </w:tc>
      </w:tr>
    </w:tbl>
    <w:p>
      <w:pPr>
        <w:pStyle w:val="1344"/>
        <w:spacing w:line="480" w:lineRule="exact"/>
        <w:rPr>
          <w:rFonts w:ascii="宋体" w:hAnsi="宋体" w:cs="宋体"/>
          <w:b/>
          <w:bCs/>
          <w:szCs w:val="21"/>
        </w:rPr>
      </w:pPr>
      <w:r>
        <w:rPr>
          <w:rFonts w:hint="eastAsia" w:ascii="宋体" w:hAnsi="宋体" w:cs="宋体"/>
          <w:b/>
          <w:bCs/>
          <w:szCs w:val="21"/>
        </w:rPr>
        <w:t xml:space="preserve">（二）技术指标及功能要求</w:t>
      </w:r>
      <w:r>
        <w:rPr>
          <w:rFonts w:ascii="宋体" w:hAnsi="宋体" w:cs="宋体"/>
          <w:b/>
          <w:bCs/>
          <w:szCs w:val="21"/>
        </w:rPr>
      </w:r>
      <w:r/>
    </w:p>
    <w:p>
      <w:pPr>
        <w:pStyle w:val="1344"/>
        <w:ind w:firstLine="422"/>
        <w:spacing w:line="480" w:lineRule="exact"/>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1.活塞压力计的测量范围分别为：（0.04～0.6）MPa，（0.1～6）MPa，（1～60）MPa。</w:t>
      </w:r>
      <w:r>
        <w:rPr>
          <w:rFonts w:ascii="宋体" w:hAnsi="宋体" w:cs="宋体"/>
          <w:szCs w:val="21"/>
        </w:rPr>
      </w:r>
      <w:r/>
    </w:p>
    <w:p>
      <w:pPr>
        <w:pStyle w:val="1344"/>
        <w:ind w:firstLine="422"/>
        <w:spacing w:line="480" w:lineRule="exact"/>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2.准确度等级：0.05级。</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3.台体材质为铝合金板材。</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4.活塞杆和活塞缸材质为碳化钨。</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5.砝码材质为不锈钢。</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6.仪器外观无磕碰、锈蚀、损伤，各开关、按钮、接口完好。</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7.仪器使用说明书、合格证、出厂证书等齐全。</w:t>
      </w:r>
      <w:r>
        <w:rPr>
          <w:rFonts w:ascii="宋体" w:hAnsi="宋体" w:cs="宋体"/>
          <w:szCs w:val="21"/>
        </w:rPr>
      </w:r>
      <w:r/>
    </w:p>
    <w:p>
      <w:pPr>
        <w:pStyle w:val="1344"/>
        <w:spacing w:line="480" w:lineRule="exact"/>
        <w:rPr>
          <w:rFonts w:ascii="宋体" w:hAnsi="宋体" w:cs="宋体"/>
          <w:b/>
          <w:bCs/>
          <w:szCs w:val="21"/>
        </w:rPr>
      </w:pPr>
      <w:r>
        <w:rPr>
          <w:rFonts w:hint="eastAsia" w:ascii="宋体" w:hAnsi="宋体" w:cs="宋体"/>
          <w:b/>
          <w:bCs/>
          <w:szCs w:val="21"/>
        </w:rPr>
        <w:t xml:space="preserve">（三）验收依据、方法及单位</w:t>
      </w:r>
      <w:r>
        <w:rPr>
          <w:rFonts w:ascii="宋体" w:hAnsi="宋体" w:cs="宋体"/>
          <w:b/>
          <w:bCs/>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1.验收依据：满足JJG 59-2022《液体活塞式压力计检定规程》要求。</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2.卖方负责将设备送检至省级及以上计量技术机构进行检定/校准，并出具检定/校准证书，检测费用由卖方承担。</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3.江苏省计量科学研究院根据以上证书和本技术文件对整套设备的技术指标和功能进行最终验收。</w:t>
      </w:r>
      <w:r>
        <w:rPr>
          <w:rFonts w:ascii="宋体" w:hAnsi="宋体" w:cs="宋体"/>
          <w:szCs w:val="21"/>
        </w:rPr>
      </w:r>
      <w:r/>
    </w:p>
    <w:p>
      <w:pPr>
        <w:pStyle w:val="1344"/>
        <w:spacing w:line="480" w:lineRule="exact"/>
        <w:rPr>
          <w:rFonts w:hint="eastAsia" w:ascii="宋体" w:hAnsi="宋体" w:cs="宋体"/>
          <w:b/>
          <w:bCs/>
          <w:szCs w:val="21"/>
        </w:rPr>
      </w:pPr>
      <w:r>
        <w:rPr>
          <w:rFonts w:hint="eastAsia" w:ascii="宋体" w:hAnsi="宋体" w:cs="宋体"/>
          <w:b/>
          <w:bCs/>
          <w:szCs w:val="21"/>
        </w:rPr>
        <w:t xml:space="preserve">（四）质保期</w:t>
      </w:r>
      <w:r>
        <w:rPr>
          <w:rFonts w:hint="eastAsia" w:ascii="宋体" w:hAnsi="宋体" w:cs="宋体"/>
          <w:b/>
          <w:bCs/>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★1.活塞式压力计的质保期为最终验收合格之日起1年。</w:t>
      </w:r>
      <w:r>
        <w:rPr>
          <w:rFonts w:ascii="宋体" w:hAnsi="宋体" w:cs="宋体"/>
          <w:szCs w:val="21"/>
        </w:rPr>
      </w:r>
      <w:r/>
    </w:p>
    <w:p>
      <w:pPr>
        <w:pStyle w:val="1344"/>
        <w:jc w:val="center"/>
        <w:spacing w:line="360" w:lineRule="auto"/>
        <w:tabs>
          <w:tab w:val="left" w:pos="4500" w:leader="none"/>
          <w:tab w:val="left" w:pos="4680" w:leader="none"/>
        </w:tabs>
        <w:rPr>
          <w:rFonts w:ascii="宋体" w:hAnsi="宋体" w:cs="宋体"/>
          <w:b/>
          <w:bCs/>
          <w:szCs w:val="21"/>
        </w:rPr>
        <w:outlineLvl w:val="1"/>
      </w:pPr>
      <w:r/>
      <w:bookmarkStart w:id="301" w:name="_Toc5036"/>
      <w:r/>
      <w:bookmarkStart w:id="302" w:name="_Toc9776"/>
      <w:r>
        <w:rPr>
          <w:rFonts w:hint="eastAsia" w:ascii="宋体" w:hAnsi="宋体" w:cs="宋体"/>
          <w:b/>
          <w:szCs w:val="21"/>
        </w:rPr>
        <w:t xml:space="preserve">分包3</w:t>
      </w:r>
      <w:bookmarkEnd w:id="301"/>
      <w:r/>
      <w:bookmarkEnd w:id="302"/>
      <w:r>
        <w:rPr>
          <w:rFonts w:ascii="宋体" w:hAnsi="宋体" w:cs="宋体"/>
          <w:b/>
          <w:bCs/>
          <w:szCs w:val="21"/>
        </w:rPr>
      </w:r>
      <w:r/>
    </w:p>
    <w:p>
      <w:pPr>
        <w:pStyle w:val="1344"/>
        <w:jc w:val="center"/>
        <w:spacing w:line="480" w:lineRule="exact"/>
        <w:tabs>
          <w:tab w:val="left" w:pos="4500" w:leader="none"/>
          <w:tab w:val="left" w:pos="4680" w:leader="none"/>
        </w:tabs>
        <w:rPr>
          <w:rFonts w:ascii="宋体" w:hAnsi="宋体" w:cs="宋体"/>
          <w:b/>
          <w:bCs/>
          <w:szCs w:val="21"/>
        </w:rPr>
        <w:outlineLvl w:val="1"/>
      </w:pPr>
      <w:r/>
      <w:bookmarkStart w:id="303" w:name="_Toc11267"/>
      <w:r/>
      <w:bookmarkStart w:id="304" w:name="_Toc10728"/>
      <w:r>
        <w:rPr>
          <w:rFonts w:hint="eastAsia" w:ascii="宋体" w:hAnsi="宋体" w:cs="宋体"/>
          <w:b/>
          <w:szCs w:val="21"/>
        </w:rPr>
        <w:t xml:space="preserve">品目</w:t>
      </w:r>
      <w:r>
        <w:rPr>
          <w:rFonts w:hint="eastAsia" w:ascii="宋体" w:hAnsi="宋体" w:cs="宋体"/>
          <w:b/>
          <w:bCs/>
          <w:szCs w:val="21"/>
        </w:rPr>
        <w:t xml:space="preserve">1 酸度计检定仪</w:t>
      </w:r>
      <w:bookmarkEnd w:id="303"/>
      <w:r/>
      <w:bookmarkEnd w:id="304"/>
      <w:r>
        <w:rPr>
          <w:rFonts w:ascii="宋体" w:hAnsi="宋体" w:cs="宋体"/>
          <w:b/>
          <w:bCs/>
          <w:szCs w:val="21"/>
        </w:rPr>
      </w:r>
      <w:r/>
    </w:p>
    <w:p>
      <w:pPr>
        <w:pStyle w:val="1344"/>
        <w:spacing w:line="480" w:lineRule="exact"/>
        <w:tabs>
          <w:tab w:val="left" w:pos="4500" w:leader="none"/>
          <w:tab w:val="left" w:pos="4680" w:leader="none"/>
        </w:tabs>
        <w:rPr>
          <w:rFonts w:ascii="宋体" w:hAnsi="宋体" w:cs="宋体"/>
          <w:b/>
          <w:bCs/>
          <w:szCs w:val="21"/>
        </w:rPr>
      </w:pPr>
      <w:r>
        <w:rPr>
          <w:rFonts w:hint="eastAsia" w:ascii="宋体" w:hAnsi="宋体" w:cs="宋体"/>
          <w:b/>
          <w:bCs/>
          <w:szCs w:val="21"/>
        </w:rPr>
        <w:t xml:space="preserve">★（一）设备及明细配置清单</w:t>
      </w:r>
      <w:r>
        <w:rPr>
          <w:rFonts w:ascii="宋体" w:hAnsi="宋体" w:cs="宋体"/>
          <w:b/>
          <w:bCs/>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11"/>
        <w:gridCol w:w="3547"/>
        <w:gridCol w:w="1551"/>
        <w:gridCol w:w="3141"/>
      </w:tblGrid>
      <w:tr>
        <w:trPr>
          <w:trHeight w:val="389"/>
        </w:trPr>
        <w:tc>
          <w:tcPr>
            <w:tcW w:w="818" w:type="dxa"/>
            <w:vAlign w:val="center"/>
            <w:textDirection w:val="lrTb"/>
            <w:noWrap w:val="false"/>
          </w:tcPr>
          <w:p>
            <w:pPr>
              <w:pStyle w:val="1344"/>
              <w:ind w:right="141"/>
              <w:jc w:val="center"/>
              <w:spacing w:line="480" w:lineRule="exact"/>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800"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设备名称</w:t>
            </w:r>
            <w:r>
              <w:rPr>
                <w:rFonts w:ascii="宋体" w:hAnsi="宋体" w:cs="宋体"/>
                <w:szCs w:val="21"/>
              </w:rPr>
            </w:r>
            <w:r/>
          </w:p>
        </w:tc>
        <w:tc>
          <w:tcPr>
            <w:tcW w:w="787"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数 量</w:t>
            </w:r>
            <w:r>
              <w:rPr>
                <w:rFonts w:ascii="宋体" w:hAnsi="宋体" w:cs="宋体"/>
                <w:szCs w:val="21"/>
              </w:rPr>
            </w:r>
            <w:r/>
          </w:p>
        </w:tc>
        <w:tc>
          <w:tcPr>
            <w:tcW w:w="1594"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合同履行期限（交货期）</w:t>
            </w:r>
            <w:r>
              <w:rPr>
                <w:rFonts w:ascii="宋体" w:hAnsi="宋体" w:cs="宋体"/>
                <w:szCs w:val="21"/>
              </w:rPr>
            </w:r>
            <w:r/>
          </w:p>
        </w:tc>
      </w:tr>
      <w:tr>
        <w:trPr>
          <w:cantSplit/>
          <w:trHeight w:val="454"/>
        </w:trPr>
        <w:tc>
          <w:tcPr>
            <w:tcW w:w="818"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800"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酸度计检定仪</w:t>
            </w:r>
            <w:r>
              <w:rPr>
                <w:rFonts w:ascii="宋体" w:hAnsi="宋体" w:cs="宋体"/>
                <w:szCs w:val="21"/>
              </w:rPr>
            </w:r>
            <w:r/>
          </w:p>
        </w:tc>
        <w:tc>
          <w:tcPr>
            <w:tcW w:w="787" w:type="dxa"/>
            <w:vAlign w:val="center"/>
            <w:textDirection w:val="lrTb"/>
            <w:noWrap w:val="false"/>
          </w:tcPr>
          <w:p>
            <w:pPr>
              <w:pStyle w:val="1344"/>
              <w:jc w:val="center"/>
              <w:keepNext/>
              <w:spacing w:line="480" w:lineRule="exact"/>
              <w:rPr>
                <w:rFonts w:hint="eastAsia" w:ascii="宋体" w:hAnsi="宋体" w:cs="宋体"/>
                <w:szCs w:val="21"/>
              </w:rPr>
              <w:outlineLvl w:val="0"/>
            </w:pPr>
            <w:r/>
            <w:bookmarkStart w:id="305" w:name="_Toc23176"/>
            <w:r/>
            <w:bookmarkStart w:id="306" w:name="_Toc16079"/>
            <w:r>
              <w:rPr>
                <w:rFonts w:hint="eastAsia" w:ascii="宋体" w:hAnsi="宋体" w:cs="宋体"/>
                <w:szCs w:val="21"/>
              </w:rPr>
              <w:t xml:space="preserve">1台</w:t>
            </w:r>
            <w:bookmarkEnd w:id="305"/>
            <w:r/>
            <w:bookmarkEnd w:id="306"/>
            <w:r>
              <w:rPr>
                <w:rFonts w:hint="eastAsia" w:ascii="宋体" w:hAnsi="宋体" w:cs="宋体"/>
                <w:szCs w:val="21"/>
              </w:rPr>
            </w:r>
            <w:r/>
          </w:p>
        </w:tc>
        <w:tc>
          <w:tcPr>
            <w:tcW w:w="1594"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合同签订后6个月</w:t>
            </w:r>
            <w:r>
              <w:rPr>
                <w:rFonts w:ascii="宋体" w:hAnsi="宋体" w:cs="宋体"/>
                <w:szCs w:val="21"/>
              </w:rPr>
            </w:r>
            <w:r/>
          </w:p>
        </w:tc>
      </w:tr>
    </w:tbl>
    <w:p>
      <w:pPr>
        <w:pStyle w:val="1344"/>
        <w:spacing w:line="480" w:lineRule="exact"/>
        <w:rPr>
          <w:rFonts w:ascii="宋体" w:hAnsi="宋体" w:cs="宋体"/>
          <w:b/>
          <w:bCs/>
          <w:szCs w:val="21"/>
        </w:rPr>
      </w:pPr>
      <w:r>
        <w:rPr>
          <w:rFonts w:hint="eastAsia" w:ascii="宋体" w:hAnsi="宋体" w:cs="宋体"/>
          <w:b/>
          <w:bCs/>
          <w:szCs w:val="21"/>
        </w:rPr>
        <w:t xml:space="preserve">（二）技术指标及功能要求</w:t>
      </w:r>
      <w:r>
        <w:rPr>
          <w:rFonts w:ascii="宋体" w:hAnsi="宋体" w:cs="宋体"/>
          <w:b/>
          <w:bCs/>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1.准确度等级：0.0006级；</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2.测量范围：(0.0000～14.0000)pH；</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3.等电点：（0.0000～16.0000）；</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4.测量电压：（-2000～+2000）V；</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5.仪器外观无磕碰、锈蚀、损伤，各开关、按钮、接口完好；</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6.仪器使用说明书、合格证、出厂证书等齐全。</w:t>
      </w:r>
      <w:r>
        <w:rPr>
          <w:rFonts w:ascii="宋体" w:hAnsi="宋体" w:cs="宋体"/>
          <w:szCs w:val="21"/>
        </w:rPr>
      </w:r>
      <w:r/>
    </w:p>
    <w:p>
      <w:pPr>
        <w:pStyle w:val="1344"/>
        <w:spacing w:line="480" w:lineRule="exact"/>
        <w:rPr>
          <w:rFonts w:ascii="宋体" w:hAnsi="宋体" w:cs="宋体"/>
          <w:b/>
          <w:bCs/>
          <w:szCs w:val="21"/>
        </w:rPr>
      </w:pPr>
      <w:r>
        <w:rPr>
          <w:rFonts w:hint="eastAsia" w:ascii="宋体" w:hAnsi="宋体" w:cs="宋体"/>
          <w:b/>
          <w:bCs/>
          <w:szCs w:val="21"/>
        </w:rPr>
        <w:t xml:space="preserve">（三）验收依据、方法及单位</w:t>
      </w:r>
      <w:r>
        <w:rPr>
          <w:rFonts w:ascii="宋体" w:hAnsi="宋体" w:cs="宋体"/>
          <w:b/>
          <w:bCs/>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1.验收依据：JJG 919-2023《pH计检定仪检定规程》</w:t>
      </w:r>
      <w:r>
        <w:rPr>
          <w:rFonts w:ascii="宋体" w:hAnsi="宋体" w:cs="宋体"/>
          <w:szCs w:val="21"/>
        </w:rPr>
      </w:r>
      <w:r/>
    </w:p>
    <w:p>
      <w:pPr>
        <w:pStyle w:val="1344"/>
        <w:ind w:firstLine="420"/>
        <w:spacing w:line="480" w:lineRule="exact"/>
        <w:rPr>
          <w:rFonts w:hint="eastAsia" w:ascii="宋体" w:hAnsi="宋体" w:cs="宋体"/>
          <w:szCs w:val="21"/>
        </w:rPr>
      </w:pPr>
      <w:r>
        <w:rPr>
          <w:rFonts w:hint="eastAsia" w:ascii="宋体" w:hAnsi="宋体" w:cs="宋体"/>
          <w:szCs w:val="21"/>
        </w:rPr>
        <w:t xml:space="preserve">2.卖方负责将设备送检至省级及以上计量技术机构进行检定/校准，并出具检定/校准证书，检测费用由卖方承担。</w:t>
      </w:r>
      <w:r>
        <w:rPr>
          <w:rFonts w:hint="eastAsia"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3.江苏省计量科学研究院根据以上证书、用户手册和本技术文件对整套设备的技术指标和功能进行最终验收。</w:t>
      </w:r>
      <w:r>
        <w:rPr>
          <w:rFonts w:ascii="宋体" w:hAnsi="宋体" w:cs="宋体"/>
          <w:szCs w:val="21"/>
        </w:rPr>
      </w:r>
      <w:r/>
    </w:p>
    <w:p>
      <w:pPr>
        <w:pStyle w:val="1344"/>
        <w:spacing w:line="480" w:lineRule="exact"/>
        <w:rPr>
          <w:rFonts w:hint="eastAsia" w:ascii="宋体" w:hAnsi="宋体" w:cs="宋体"/>
          <w:b/>
          <w:bCs/>
          <w:szCs w:val="21"/>
        </w:rPr>
      </w:pPr>
      <w:r>
        <w:rPr>
          <w:rFonts w:hint="eastAsia" w:ascii="宋体" w:hAnsi="宋体" w:cs="宋体"/>
          <w:b/>
          <w:bCs/>
          <w:szCs w:val="21"/>
        </w:rPr>
        <w:t xml:space="preserve">（四）质保期</w:t>
      </w:r>
      <w:r>
        <w:rPr>
          <w:rFonts w:hint="eastAsia" w:ascii="宋体" w:hAnsi="宋体" w:cs="宋体"/>
          <w:b/>
          <w:bCs/>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★1.酸度计检定仪的质保期为最终验收合格之日起1年。</w:t>
      </w:r>
      <w:r>
        <w:rPr>
          <w:rFonts w:ascii="宋体" w:hAnsi="宋体" w:cs="宋体"/>
          <w:szCs w:val="21"/>
        </w:rPr>
      </w:r>
      <w:r/>
    </w:p>
    <w:p>
      <w:pPr>
        <w:pStyle w:val="1344"/>
        <w:jc w:val="center"/>
        <w:spacing w:line="480" w:lineRule="exact"/>
        <w:tabs>
          <w:tab w:val="left" w:pos="4500" w:leader="none"/>
          <w:tab w:val="left" w:pos="4680" w:leader="none"/>
        </w:tabs>
        <w:rPr>
          <w:rFonts w:ascii="宋体" w:hAnsi="宋体" w:cs="宋体"/>
          <w:b/>
          <w:bCs/>
          <w:szCs w:val="21"/>
        </w:rPr>
        <w:outlineLvl w:val="1"/>
      </w:pPr>
      <w:r/>
      <w:bookmarkStart w:id="307" w:name="_Toc31139"/>
      <w:r/>
      <w:bookmarkStart w:id="308" w:name="_Toc17664"/>
      <w:r>
        <w:rPr>
          <w:rFonts w:hint="eastAsia" w:ascii="宋体" w:hAnsi="宋体" w:cs="宋体"/>
          <w:b/>
          <w:szCs w:val="21"/>
        </w:rPr>
        <w:t xml:space="preserve">品目</w:t>
      </w:r>
      <w:r>
        <w:rPr>
          <w:rFonts w:hint="eastAsia" w:ascii="宋体" w:hAnsi="宋体" w:cs="宋体"/>
          <w:b/>
          <w:bCs/>
          <w:szCs w:val="21"/>
        </w:rPr>
        <w:t xml:space="preserve">2 超声功率计</w:t>
      </w:r>
      <w:bookmarkEnd w:id="307"/>
      <w:r/>
      <w:bookmarkEnd w:id="308"/>
      <w:r>
        <w:rPr>
          <w:rFonts w:ascii="宋体" w:hAnsi="宋体" w:cs="宋体"/>
          <w:b/>
          <w:bCs/>
          <w:szCs w:val="21"/>
        </w:rPr>
      </w:r>
      <w:r/>
    </w:p>
    <w:p>
      <w:pPr>
        <w:pStyle w:val="1344"/>
        <w:spacing w:line="480" w:lineRule="exact"/>
        <w:tabs>
          <w:tab w:val="left" w:pos="4500" w:leader="none"/>
          <w:tab w:val="left" w:pos="4680" w:leader="none"/>
        </w:tabs>
        <w:rPr>
          <w:rFonts w:ascii="宋体" w:hAnsi="宋体" w:cs="宋体"/>
          <w:b/>
          <w:bCs/>
          <w:szCs w:val="21"/>
        </w:rPr>
      </w:pPr>
      <w:r>
        <w:rPr>
          <w:rFonts w:hint="eastAsia" w:ascii="宋体" w:hAnsi="宋体" w:cs="宋体"/>
          <w:b/>
          <w:bCs/>
          <w:szCs w:val="21"/>
        </w:rPr>
        <w:t xml:space="preserve">★（一）设备及明细配置清单</w:t>
      </w:r>
      <w:r>
        <w:rPr>
          <w:rFonts w:ascii="宋体" w:hAnsi="宋体" w:cs="宋体"/>
          <w:b/>
          <w:bCs/>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13"/>
        <w:gridCol w:w="3442"/>
        <w:gridCol w:w="1675"/>
        <w:gridCol w:w="3120"/>
      </w:tblGrid>
      <w:tr>
        <w:trPr>
          <w:trHeight w:val="389"/>
        </w:trPr>
        <w:tc>
          <w:tcPr>
            <w:tcW w:w="819" w:type="dxa"/>
            <w:vAlign w:val="center"/>
            <w:textDirection w:val="lrTb"/>
            <w:noWrap w:val="false"/>
          </w:tcPr>
          <w:p>
            <w:pPr>
              <w:pStyle w:val="1344"/>
              <w:ind w:right="141"/>
              <w:jc w:val="center"/>
              <w:spacing w:line="480" w:lineRule="exact"/>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747"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设备名称</w:t>
            </w:r>
            <w:r>
              <w:rPr>
                <w:rFonts w:ascii="宋体" w:hAnsi="宋体" w:cs="宋体"/>
                <w:szCs w:val="21"/>
              </w:rPr>
            </w:r>
            <w:r/>
          </w:p>
        </w:tc>
        <w:tc>
          <w:tcPr>
            <w:tcW w:w="850"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数 量</w:t>
            </w:r>
            <w:r>
              <w:rPr>
                <w:rFonts w:ascii="宋体" w:hAnsi="宋体" w:cs="宋体"/>
                <w:szCs w:val="21"/>
              </w:rPr>
            </w:r>
            <w:r/>
          </w:p>
        </w:tc>
        <w:tc>
          <w:tcPr>
            <w:tcW w:w="1584"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合同履行期限（交货期）</w:t>
            </w:r>
            <w:r>
              <w:rPr>
                <w:rFonts w:ascii="宋体" w:hAnsi="宋体" w:cs="宋体"/>
                <w:szCs w:val="21"/>
              </w:rPr>
            </w:r>
            <w:r/>
          </w:p>
        </w:tc>
      </w:tr>
      <w:tr>
        <w:trPr>
          <w:cantSplit/>
          <w:trHeight w:val="454"/>
        </w:trPr>
        <w:tc>
          <w:tcPr>
            <w:tcW w:w="819"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747"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超声功率计</w:t>
            </w:r>
            <w:r>
              <w:rPr>
                <w:rFonts w:ascii="宋体" w:hAnsi="宋体" w:cs="宋体"/>
                <w:szCs w:val="21"/>
              </w:rPr>
            </w:r>
            <w:r/>
          </w:p>
        </w:tc>
        <w:tc>
          <w:tcPr>
            <w:tcW w:w="850" w:type="dxa"/>
            <w:vAlign w:val="center"/>
            <w:textDirection w:val="lrTb"/>
            <w:noWrap w:val="false"/>
          </w:tcPr>
          <w:p>
            <w:pPr>
              <w:pStyle w:val="1344"/>
              <w:jc w:val="center"/>
              <w:keepNext/>
              <w:spacing w:line="480" w:lineRule="exact"/>
              <w:rPr>
                <w:rFonts w:hint="eastAsia" w:ascii="宋体" w:hAnsi="宋体" w:cs="宋体"/>
                <w:szCs w:val="21"/>
              </w:rPr>
              <w:outlineLvl w:val="0"/>
            </w:pPr>
            <w:r/>
            <w:bookmarkStart w:id="309" w:name="_Toc7016"/>
            <w:r/>
            <w:bookmarkStart w:id="310" w:name="_Toc16770"/>
            <w:r>
              <w:rPr>
                <w:rFonts w:hint="eastAsia" w:ascii="宋体" w:hAnsi="宋体" w:cs="宋体"/>
                <w:szCs w:val="21"/>
              </w:rPr>
              <w:t xml:space="preserve">1台</w:t>
            </w:r>
            <w:bookmarkEnd w:id="309"/>
            <w:r/>
            <w:bookmarkEnd w:id="310"/>
            <w:r>
              <w:rPr>
                <w:rFonts w:hint="eastAsia" w:ascii="宋体" w:hAnsi="宋体" w:cs="宋体"/>
                <w:szCs w:val="21"/>
              </w:rPr>
            </w:r>
            <w:r/>
          </w:p>
        </w:tc>
        <w:tc>
          <w:tcPr>
            <w:tcW w:w="1584" w:type="dxa"/>
            <w:vAlign w:val="center"/>
            <w:vMerge w:val="restart"/>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合同签订后</w:t>
            </w:r>
            <w:r>
              <w:rPr>
                <w:rFonts w:ascii="宋体" w:hAnsi="宋体" w:cs="宋体"/>
                <w:szCs w:val="21"/>
              </w:rPr>
              <w:t xml:space="preserve">6</w:t>
            </w:r>
            <w:r>
              <w:rPr>
                <w:rFonts w:hint="eastAsia" w:ascii="宋体" w:hAnsi="宋体" w:cs="宋体"/>
                <w:szCs w:val="21"/>
              </w:rPr>
              <w:t xml:space="preserve">个月</w:t>
            </w:r>
            <w:r>
              <w:rPr>
                <w:rFonts w:ascii="宋体" w:hAnsi="宋体" w:cs="宋体"/>
                <w:szCs w:val="21"/>
              </w:rPr>
            </w:r>
            <w:r/>
          </w:p>
        </w:tc>
      </w:tr>
      <w:tr>
        <w:trPr>
          <w:cantSplit/>
          <w:trHeight w:val="454"/>
        </w:trPr>
        <w:tc>
          <w:tcPr>
            <w:tcW w:w="819"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附件</w:t>
            </w:r>
            <w:r>
              <w:rPr>
                <w:rFonts w:ascii="宋体" w:hAnsi="宋体" w:cs="宋体"/>
                <w:szCs w:val="21"/>
              </w:rPr>
            </w:r>
            <w:r/>
          </w:p>
        </w:tc>
        <w:tc>
          <w:tcPr>
            <w:tcW w:w="1747"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平面吸收靶</w:t>
            </w:r>
            <w:r>
              <w:rPr>
                <w:rFonts w:ascii="宋体" w:hAnsi="宋体" w:cs="宋体"/>
                <w:szCs w:val="21"/>
              </w:rPr>
            </w:r>
            <w:r/>
          </w:p>
        </w:tc>
        <w:tc>
          <w:tcPr>
            <w:tcW w:w="850"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1台</w:t>
            </w:r>
            <w:r>
              <w:rPr>
                <w:rFonts w:ascii="宋体" w:hAnsi="宋体" w:cs="宋体"/>
                <w:szCs w:val="21"/>
              </w:rPr>
            </w:r>
            <w:r/>
          </w:p>
        </w:tc>
        <w:tc>
          <w:tcPr>
            <w:tcW w:w="1584" w:type="dxa"/>
            <w:vAlign w:val="center"/>
            <w:vMerge w:val="continue"/>
            <w:textDirection w:val="lrTb"/>
            <w:noWrap w:val="false"/>
          </w:tcPr>
          <w:p>
            <w:pPr>
              <w:pStyle w:val="1344"/>
              <w:jc w:val="center"/>
              <w:spacing w:line="480" w:lineRule="exact"/>
              <w:rPr>
                <w:rFonts w:ascii="宋体" w:hAnsi="宋体" w:cs="宋体"/>
                <w:szCs w:val="21"/>
              </w:rPr>
            </w:pPr>
            <w:r>
              <w:rPr>
                <w:rFonts w:ascii="宋体" w:hAnsi="宋体" w:cs="宋体"/>
                <w:szCs w:val="21"/>
              </w:rPr>
            </w:r>
            <w:r/>
          </w:p>
        </w:tc>
      </w:tr>
    </w:tbl>
    <w:p>
      <w:pPr>
        <w:pStyle w:val="1344"/>
        <w:spacing w:line="480" w:lineRule="exact"/>
        <w:tabs>
          <w:tab w:val="left" w:pos="4500" w:leader="none"/>
          <w:tab w:val="left" w:pos="4680" w:leader="none"/>
        </w:tabs>
        <w:rPr>
          <w:rFonts w:ascii="宋体" w:hAnsi="宋体" w:cs="宋体"/>
          <w:b/>
          <w:bCs/>
          <w:szCs w:val="21"/>
        </w:rPr>
      </w:pPr>
      <w:r>
        <w:rPr>
          <w:rFonts w:hint="eastAsia" w:ascii="宋体" w:hAnsi="宋体" w:cs="宋体"/>
          <w:b/>
          <w:bCs/>
          <w:szCs w:val="21"/>
        </w:rPr>
        <w:t xml:space="preserve">（二）技术指标及功能要求</w:t>
      </w:r>
      <w:r>
        <w:rPr>
          <w:rFonts w:ascii="宋体" w:hAnsi="宋体" w:cs="宋体"/>
          <w:b/>
          <w:bCs/>
          <w:szCs w:val="21"/>
        </w:rPr>
      </w:r>
      <w:r/>
    </w:p>
    <w:p>
      <w:pPr>
        <w:pStyle w:val="1344"/>
        <w:ind w:firstLine="420"/>
        <w:jc w:val="left"/>
        <w:spacing w:line="480" w:lineRule="exact"/>
        <w:widowControl/>
        <w:rPr>
          <w:rFonts w:hint="eastAsia" w:ascii="宋体" w:hAnsi="宋体" w:cs="宋体"/>
          <w:szCs w:val="21"/>
        </w:rPr>
      </w:pPr>
      <w:r>
        <w:rPr>
          <w:rFonts w:hint="eastAsia" w:ascii="宋体" w:hAnsi="宋体" w:cs="宋体"/>
          <w:szCs w:val="21"/>
        </w:rPr>
        <w:t xml:space="preserve">1.功率范围0</w:t>
      </w:r>
      <w:bookmarkStart w:id="311" w:name="OLE_LINK2"/>
      <w:r>
        <w:rPr>
          <w:rFonts w:hint="eastAsia" w:ascii="宋体" w:hAnsi="宋体" w:cs="宋体"/>
          <w:szCs w:val="21"/>
        </w:rPr>
        <w:t xml:space="preserve">～</w:t>
      </w:r>
      <w:bookmarkEnd w:id="311"/>
      <w:r>
        <w:rPr>
          <w:rFonts w:hint="eastAsia" w:ascii="宋体" w:hAnsi="宋体" w:cs="宋体"/>
          <w:szCs w:val="21"/>
        </w:rPr>
        <w:t xml:space="preserve">30W，最大允许误差：±（3%+一个读数）；</w:t>
      </w:r>
      <w:r>
        <w:rPr>
          <w:rFonts w:hint="eastAsia" w:ascii="宋体" w:hAnsi="宋体" w:cs="宋体"/>
          <w:szCs w:val="21"/>
        </w:rPr>
      </w:r>
      <w:r/>
    </w:p>
    <w:p>
      <w:pPr>
        <w:pStyle w:val="1344"/>
        <w:ind w:firstLine="420"/>
        <w:jc w:val="left"/>
        <w:spacing w:line="480" w:lineRule="exact"/>
        <w:widowControl/>
        <w:rPr>
          <w:rFonts w:hint="eastAsia" w:ascii="宋体" w:hAnsi="宋体" w:cs="宋体"/>
          <w:szCs w:val="21"/>
        </w:rPr>
      </w:pPr>
      <w:r>
        <w:rPr>
          <w:rFonts w:hint="eastAsia" w:ascii="宋体" w:hAnsi="宋体" w:cs="宋体"/>
          <w:szCs w:val="21"/>
        </w:rPr>
        <w:t xml:space="preserve">2.分辨率±1 mW，最小可测量功率1mW，显示灵敏度0.001W，自动清零；</w:t>
      </w:r>
      <w:r>
        <w:rPr>
          <w:rFonts w:hint="eastAsia" w:ascii="宋体" w:hAnsi="宋体" w:cs="宋体"/>
          <w:szCs w:val="21"/>
        </w:rPr>
      </w:r>
      <w:r/>
    </w:p>
    <w:p>
      <w:pPr>
        <w:pStyle w:val="1344"/>
        <w:ind w:firstLine="420"/>
        <w:jc w:val="left"/>
        <w:spacing w:line="480" w:lineRule="exact"/>
        <w:widowControl/>
        <w:rPr>
          <w:rFonts w:hint="eastAsia" w:ascii="宋体" w:hAnsi="宋体" w:cs="宋体"/>
          <w:szCs w:val="21"/>
        </w:rPr>
      </w:pPr>
      <w:r>
        <w:rPr>
          <w:rFonts w:hint="eastAsia" w:ascii="宋体" w:hAnsi="宋体" w:cs="宋体"/>
          <w:szCs w:val="21"/>
        </w:rPr>
        <w:t xml:space="preserve">3.最大探头尺寸不小于8cm直径，探头操作频率：（0.5～10）MHz；</w:t>
      </w:r>
      <w:r>
        <w:rPr>
          <w:rFonts w:hint="eastAsia" w:ascii="宋体" w:hAnsi="宋体" w:cs="宋体"/>
          <w:szCs w:val="21"/>
        </w:rPr>
      </w:r>
      <w:r/>
    </w:p>
    <w:p>
      <w:pPr>
        <w:pStyle w:val="1344"/>
        <w:ind w:firstLine="420"/>
        <w:jc w:val="left"/>
        <w:spacing w:line="480" w:lineRule="exact"/>
        <w:widowControl/>
        <w:rPr>
          <w:rFonts w:hint="eastAsia" w:ascii="宋体" w:hAnsi="宋体" w:cs="宋体"/>
          <w:szCs w:val="21"/>
        </w:rPr>
      </w:pPr>
      <w:r>
        <w:rPr>
          <w:rFonts w:hint="eastAsia" w:ascii="宋体" w:hAnsi="宋体" w:cs="宋体"/>
          <w:szCs w:val="21"/>
        </w:rPr>
        <w:t xml:space="preserve">4.反射靶材质为高分子复合材料，单杆挂靶方式，双侧运输锁锁定；</w:t>
      </w:r>
      <w:r>
        <w:rPr>
          <w:rFonts w:hint="eastAsia" w:ascii="宋体" w:hAnsi="宋体" w:cs="宋体"/>
          <w:szCs w:val="21"/>
        </w:rPr>
      </w:r>
      <w:r/>
    </w:p>
    <w:p>
      <w:pPr>
        <w:pStyle w:val="1344"/>
        <w:ind w:firstLine="420"/>
        <w:jc w:val="left"/>
        <w:spacing w:line="480" w:lineRule="exact"/>
        <w:widowControl/>
        <w:rPr>
          <w:rFonts w:hint="eastAsia" w:ascii="宋体" w:hAnsi="宋体" w:cs="宋体"/>
          <w:szCs w:val="21"/>
        </w:rPr>
      </w:pPr>
      <w:r/>
      <w:bookmarkStart w:id="312" w:name="OLE_LINK11"/>
      <w:r>
        <w:rPr>
          <w:rFonts w:hint="eastAsia" w:ascii="宋体" w:hAnsi="宋体" w:cs="宋体"/>
          <w:szCs w:val="21"/>
        </w:rPr>
        <w:t xml:space="preserve">★5</w:t>
      </w:r>
      <w:bookmarkEnd w:id="312"/>
      <w:r>
        <w:rPr>
          <w:rFonts w:hint="eastAsia" w:ascii="宋体" w:hAnsi="宋体" w:cs="宋体"/>
          <w:szCs w:val="21"/>
        </w:rPr>
        <w:t xml:space="preserve">.具有无线控制程序拓展功能；</w:t>
      </w:r>
      <w:r>
        <w:rPr>
          <w:rFonts w:hint="eastAsia" w:ascii="宋体" w:hAnsi="宋体" w:cs="宋体"/>
          <w:szCs w:val="21"/>
        </w:rPr>
      </w:r>
      <w:r/>
    </w:p>
    <w:p>
      <w:pPr>
        <w:pStyle w:val="1344"/>
        <w:ind w:firstLine="420"/>
        <w:jc w:val="left"/>
        <w:spacing w:line="480" w:lineRule="exact"/>
        <w:widowControl/>
        <w:rPr>
          <w:rFonts w:hint="eastAsia" w:ascii="宋体" w:hAnsi="宋体" w:cs="宋体"/>
          <w:szCs w:val="21"/>
        </w:rPr>
      </w:pPr>
      <w:r>
        <w:rPr>
          <w:rFonts w:hint="eastAsia" w:ascii="宋体" w:hAnsi="宋体" w:cs="宋体"/>
          <w:szCs w:val="21"/>
        </w:rPr>
        <w:t xml:space="preserve">6.配套单杆挂靶、直径6mm的聚焦平面吸收靶，吸收系数大于99%。</w:t>
      </w:r>
      <w:r>
        <w:rPr>
          <w:rFonts w:hint="eastAsia" w:ascii="宋体" w:hAnsi="宋体" w:cs="宋体"/>
          <w:szCs w:val="21"/>
        </w:rPr>
      </w:r>
      <w:r/>
    </w:p>
    <w:p>
      <w:pPr>
        <w:pStyle w:val="1344"/>
        <w:spacing w:line="480" w:lineRule="exact"/>
        <w:tabs>
          <w:tab w:val="left" w:pos="4500" w:leader="none"/>
          <w:tab w:val="left" w:pos="4680" w:leader="none"/>
        </w:tabs>
        <w:rPr>
          <w:b/>
          <w:bCs/>
          <w:szCs w:val="21"/>
        </w:rPr>
      </w:pPr>
      <w:r>
        <w:rPr>
          <w:rFonts w:hint="eastAsia"/>
          <w:b/>
          <w:bCs/>
          <w:szCs w:val="21"/>
        </w:rPr>
        <w:t xml:space="preserve">（三）验收依据、方法及单位</w:t>
      </w:r>
      <w:r>
        <w:rPr>
          <w:b/>
          <w:bCs/>
          <w:szCs w:val="21"/>
        </w:rPr>
      </w:r>
      <w:r/>
    </w:p>
    <w:p>
      <w:pPr>
        <w:pStyle w:val="1344"/>
        <w:ind w:firstLine="420"/>
        <w:jc w:val="left"/>
        <w:spacing w:line="480" w:lineRule="exact"/>
        <w:widowControl/>
        <w:rPr>
          <w:rFonts w:hint="eastAsia" w:ascii="宋体" w:hAnsi="宋体" w:cs="宋体"/>
          <w:szCs w:val="21"/>
        </w:rPr>
      </w:pPr>
      <w:r>
        <w:rPr>
          <w:rFonts w:hint="eastAsia" w:ascii="宋体" w:hAnsi="宋体" w:cs="宋体"/>
          <w:szCs w:val="21"/>
        </w:rPr>
        <w:t xml:space="preserve">1.检测依据：JJG 448-2005瓦级超声功率计检定规程、JJG 665-2004毫瓦级超声功率计检定规程、本技术文件；</w:t>
      </w:r>
      <w:r>
        <w:rPr>
          <w:rFonts w:hint="eastAsia" w:ascii="宋体" w:hAnsi="宋体" w:cs="宋体"/>
          <w:szCs w:val="21"/>
        </w:rPr>
      </w:r>
      <w:r/>
    </w:p>
    <w:p>
      <w:pPr>
        <w:pStyle w:val="1344"/>
        <w:ind w:firstLine="420"/>
        <w:jc w:val="left"/>
        <w:spacing w:line="480" w:lineRule="exact"/>
        <w:widowControl/>
        <w:rPr>
          <w:rFonts w:hint="eastAsia" w:ascii="宋体" w:hAnsi="宋体" w:cs="宋体"/>
          <w:szCs w:val="21"/>
        </w:rPr>
      </w:pPr>
      <w:r>
        <w:rPr>
          <w:rFonts w:hint="eastAsia" w:ascii="宋体" w:hAnsi="宋体" w:cs="宋体"/>
          <w:szCs w:val="21"/>
        </w:rPr>
        <w:t xml:space="preserve">2.卖方负责将设备送检至中国计量科学研究院进行检定/校准，并出具检定/校准证书，检测费用由卖方承担。</w:t>
      </w:r>
      <w:r>
        <w:rPr>
          <w:rFonts w:hint="eastAsia" w:ascii="宋体" w:hAnsi="宋体" w:cs="宋体"/>
          <w:szCs w:val="21"/>
        </w:rPr>
      </w:r>
      <w:r/>
    </w:p>
    <w:p>
      <w:pPr>
        <w:pStyle w:val="1344"/>
        <w:ind w:firstLine="420"/>
        <w:jc w:val="left"/>
        <w:spacing w:line="480" w:lineRule="exact"/>
        <w:widowControl/>
        <w:rPr>
          <w:rFonts w:hint="eastAsia" w:ascii="宋体" w:hAnsi="宋体" w:cs="宋体"/>
          <w:szCs w:val="21"/>
        </w:rPr>
      </w:pPr>
      <w:r>
        <w:rPr>
          <w:rFonts w:hint="eastAsia" w:ascii="宋体" w:hAnsi="宋体" w:cs="宋体"/>
          <w:szCs w:val="21"/>
        </w:rPr>
        <w:t xml:space="preserve">3.江苏省计量科学研究院根据以上证书、用户手册和本技术文件对整套设备的技术指标和功能进行最终验收。</w:t>
      </w:r>
      <w:r>
        <w:rPr>
          <w:rFonts w:hint="eastAsia" w:ascii="宋体" w:hAnsi="宋体" w:cs="宋体"/>
          <w:szCs w:val="21"/>
        </w:rPr>
      </w:r>
      <w:r/>
    </w:p>
    <w:p>
      <w:pPr>
        <w:pStyle w:val="1344"/>
        <w:spacing w:line="480" w:lineRule="exact"/>
        <w:rPr>
          <w:rFonts w:ascii="宋体" w:hAnsi="宋体" w:cs="宋体"/>
          <w:b/>
          <w:bCs/>
          <w:szCs w:val="21"/>
        </w:rPr>
      </w:pPr>
      <w:r>
        <w:rPr>
          <w:rFonts w:hint="eastAsia" w:ascii="宋体" w:hAnsi="宋体" w:cs="宋体"/>
          <w:b/>
          <w:bCs/>
          <w:szCs w:val="21"/>
        </w:rPr>
        <w:t xml:space="preserve">（四）质保期</w:t>
      </w:r>
      <w:r>
        <w:rPr>
          <w:rFonts w:ascii="宋体" w:hAnsi="宋体" w:cs="宋体"/>
          <w:b/>
          <w:bCs/>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★1.超声功率计及其附件的质保期为验收合格之日起1年。</w:t>
      </w:r>
      <w:r>
        <w:rPr>
          <w:rFonts w:ascii="宋体" w:hAnsi="宋体" w:cs="宋体"/>
          <w:szCs w:val="21"/>
        </w:rPr>
      </w:r>
      <w:r/>
    </w:p>
    <w:p>
      <w:pPr>
        <w:pStyle w:val="1344"/>
        <w:ind w:firstLine="422"/>
        <w:jc w:val="center"/>
        <w:spacing w:line="480" w:lineRule="exact"/>
        <w:rPr>
          <w:rFonts w:ascii="宋体" w:hAnsi="宋体" w:cs="宋体"/>
          <w:b/>
          <w:bCs/>
          <w:szCs w:val="21"/>
        </w:rPr>
        <w:outlineLvl w:val="1"/>
      </w:pPr>
      <w:r/>
      <w:bookmarkStart w:id="313" w:name="_Toc31622"/>
      <w:r/>
      <w:bookmarkStart w:id="314" w:name="_Toc17776"/>
      <w:r>
        <w:rPr>
          <w:rFonts w:hint="eastAsia" w:ascii="宋体" w:hAnsi="宋体" w:cs="宋体"/>
          <w:b/>
          <w:szCs w:val="21"/>
        </w:rPr>
        <w:t xml:space="preserve">品目</w:t>
      </w:r>
      <w:r>
        <w:rPr>
          <w:rFonts w:hint="eastAsia" w:ascii="宋体" w:hAnsi="宋体" w:cs="宋体"/>
          <w:b/>
          <w:bCs/>
          <w:szCs w:val="21"/>
        </w:rPr>
        <w:t xml:space="preserve">3 心脑电图机检定仪</w:t>
      </w:r>
      <w:bookmarkEnd w:id="313"/>
      <w:r/>
      <w:bookmarkEnd w:id="314"/>
      <w:r>
        <w:rPr>
          <w:rFonts w:ascii="宋体" w:hAnsi="宋体" w:cs="宋体"/>
          <w:b/>
          <w:bCs/>
          <w:szCs w:val="21"/>
        </w:rPr>
      </w:r>
      <w:r/>
    </w:p>
    <w:p>
      <w:pPr>
        <w:pStyle w:val="1344"/>
        <w:spacing w:line="480" w:lineRule="exact"/>
        <w:tabs>
          <w:tab w:val="left" w:pos="4500" w:leader="none"/>
          <w:tab w:val="left" w:pos="4680" w:leader="none"/>
        </w:tabs>
        <w:rPr>
          <w:rFonts w:ascii="宋体" w:hAnsi="宋体" w:cs="宋体"/>
          <w:b/>
          <w:bCs/>
          <w:szCs w:val="21"/>
        </w:rPr>
      </w:pPr>
      <w:r>
        <w:rPr>
          <w:rFonts w:hint="eastAsia" w:ascii="宋体" w:hAnsi="宋体" w:cs="宋体"/>
          <w:b/>
          <w:bCs/>
          <w:szCs w:val="21"/>
        </w:rPr>
        <w:t xml:space="preserve">★（一）设备及明细配置清单</w:t>
      </w:r>
      <w:r>
        <w:rPr>
          <w:rFonts w:ascii="宋体" w:hAnsi="宋体" w:cs="宋体"/>
          <w:b/>
          <w:bCs/>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5"/>
        <w:gridCol w:w="3026"/>
        <w:gridCol w:w="1705"/>
        <w:gridCol w:w="3424"/>
      </w:tblGrid>
      <w:tr>
        <w:trPr>
          <w:trHeight w:val="389"/>
        </w:trPr>
        <w:tc>
          <w:tcPr>
            <w:tcW w:w="860" w:type="dxa"/>
            <w:vAlign w:val="center"/>
            <w:textDirection w:val="lrTb"/>
            <w:noWrap w:val="false"/>
          </w:tcPr>
          <w:p>
            <w:pPr>
              <w:pStyle w:val="1344"/>
              <w:ind w:right="141"/>
              <w:jc w:val="center"/>
              <w:spacing w:line="480" w:lineRule="exact"/>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535"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设备名称</w:t>
            </w:r>
            <w:r>
              <w:rPr>
                <w:rFonts w:ascii="宋体" w:hAnsi="宋体" w:cs="宋体"/>
                <w:szCs w:val="21"/>
              </w:rPr>
            </w:r>
            <w:r/>
          </w:p>
        </w:tc>
        <w:tc>
          <w:tcPr>
            <w:tcW w:w="865"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数 量</w:t>
            </w:r>
            <w:r>
              <w:rPr>
                <w:rFonts w:ascii="宋体" w:hAnsi="宋体" w:cs="宋体"/>
                <w:szCs w:val="21"/>
              </w:rPr>
            </w:r>
            <w:r/>
          </w:p>
        </w:tc>
        <w:tc>
          <w:tcPr>
            <w:tcW w:w="1737"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合同履行期限（交货期）</w:t>
            </w:r>
            <w:r>
              <w:rPr>
                <w:rFonts w:ascii="宋体" w:hAnsi="宋体" w:cs="宋体"/>
                <w:szCs w:val="21"/>
              </w:rPr>
            </w:r>
            <w:r/>
          </w:p>
        </w:tc>
      </w:tr>
      <w:tr>
        <w:trPr>
          <w:cantSplit/>
          <w:trHeight w:val="454"/>
        </w:trPr>
        <w:tc>
          <w:tcPr>
            <w:tcW w:w="860"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535"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心脑电图机检定仪</w:t>
            </w:r>
            <w:r>
              <w:rPr>
                <w:rFonts w:ascii="宋体" w:hAnsi="宋体" w:cs="宋体"/>
                <w:szCs w:val="21"/>
              </w:rPr>
            </w:r>
            <w:r/>
          </w:p>
        </w:tc>
        <w:tc>
          <w:tcPr>
            <w:tcW w:w="865" w:type="dxa"/>
            <w:vAlign w:val="center"/>
            <w:textDirection w:val="lrTb"/>
            <w:noWrap w:val="false"/>
          </w:tcPr>
          <w:p>
            <w:pPr>
              <w:pStyle w:val="1344"/>
              <w:jc w:val="center"/>
              <w:keepNext/>
              <w:spacing w:line="480" w:lineRule="exact"/>
              <w:rPr>
                <w:rFonts w:hint="eastAsia" w:ascii="宋体" w:hAnsi="宋体" w:cs="宋体"/>
                <w:szCs w:val="21"/>
              </w:rPr>
              <w:outlineLvl w:val="0"/>
            </w:pPr>
            <w:r/>
            <w:bookmarkStart w:id="315" w:name="_Toc1467"/>
            <w:r/>
            <w:bookmarkStart w:id="316" w:name="_Toc5721"/>
            <w:r>
              <w:rPr>
                <w:rFonts w:hint="eastAsia" w:ascii="宋体" w:hAnsi="宋体" w:cs="宋体"/>
                <w:szCs w:val="21"/>
              </w:rPr>
              <w:t xml:space="preserve">1台</w:t>
            </w:r>
            <w:bookmarkEnd w:id="315"/>
            <w:r/>
            <w:bookmarkEnd w:id="316"/>
            <w:r>
              <w:rPr>
                <w:rFonts w:hint="eastAsia" w:ascii="宋体" w:hAnsi="宋体" w:cs="宋体"/>
                <w:szCs w:val="21"/>
              </w:rPr>
            </w:r>
            <w:r/>
          </w:p>
        </w:tc>
        <w:tc>
          <w:tcPr>
            <w:tcW w:w="1737"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合同签订后</w:t>
            </w:r>
            <w:r>
              <w:rPr>
                <w:rFonts w:ascii="宋体" w:hAnsi="宋体" w:cs="宋体"/>
                <w:szCs w:val="21"/>
              </w:rPr>
              <w:t xml:space="preserve">6</w:t>
            </w:r>
            <w:r>
              <w:rPr>
                <w:rFonts w:hint="eastAsia" w:ascii="宋体" w:hAnsi="宋体" w:cs="宋体"/>
                <w:szCs w:val="21"/>
              </w:rPr>
              <w:t xml:space="preserve">个月</w:t>
            </w:r>
            <w:r>
              <w:rPr>
                <w:rFonts w:ascii="宋体" w:hAnsi="宋体" w:cs="宋体"/>
                <w:szCs w:val="21"/>
              </w:rPr>
            </w:r>
            <w:r/>
          </w:p>
        </w:tc>
      </w:tr>
    </w:tbl>
    <w:p>
      <w:pPr>
        <w:pStyle w:val="1344"/>
        <w:jc w:val="left"/>
        <w:spacing w:line="480" w:lineRule="exact"/>
        <w:rPr>
          <w:rFonts w:ascii="宋体" w:hAnsi="宋体" w:cs="宋体"/>
          <w:b/>
          <w:bCs/>
          <w:szCs w:val="21"/>
        </w:rPr>
      </w:pPr>
      <w:r>
        <w:rPr>
          <w:rFonts w:hint="eastAsia" w:ascii="宋体" w:hAnsi="宋体" w:cs="宋体"/>
          <w:b/>
          <w:bCs/>
          <w:szCs w:val="21"/>
        </w:rPr>
        <w:t xml:space="preserve">（二）技术指标及功能要求</w:t>
      </w:r>
      <w:r>
        <w:rPr>
          <w:rFonts w:ascii="宋体" w:hAnsi="宋体" w:cs="宋体"/>
          <w:b/>
          <w:bCs/>
          <w:szCs w:val="21"/>
        </w:rPr>
      </w:r>
      <w:r/>
    </w:p>
    <w:p>
      <w:pPr>
        <w:pStyle w:val="1344"/>
        <w:ind w:firstLine="420"/>
        <w:jc w:val="left"/>
        <w:spacing w:line="480" w:lineRule="exact"/>
        <w:rPr>
          <w:rFonts w:hint="eastAsia" w:ascii="宋体" w:hAnsi="宋体" w:cs="宋体"/>
          <w:szCs w:val="21"/>
        </w:rPr>
      </w:pPr>
      <w:r>
        <w:rPr>
          <w:rFonts w:hint="eastAsia" w:ascii="宋体" w:hAnsi="宋体" w:cs="宋体"/>
          <w:szCs w:val="21"/>
        </w:rPr>
        <w:t xml:space="preserve">1.电学信号</w:t>
      </w:r>
      <w:r>
        <w:rPr>
          <w:rFonts w:hint="eastAsia" w:ascii="宋体" w:hAnsi="宋体" w:cs="宋体"/>
          <w:szCs w:val="21"/>
        </w:rPr>
      </w:r>
      <w:r/>
    </w:p>
    <w:p>
      <w:pPr>
        <w:pStyle w:val="1344"/>
        <w:ind w:firstLine="420"/>
        <w:jc w:val="left"/>
        <w:spacing w:line="480" w:lineRule="exact"/>
        <w:rPr>
          <w:rFonts w:hint="eastAsia" w:ascii="宋体" w:hAnsi="宋体" w:cs="宋体"/>
          <w:szCs w:val="21"/>
        </w:rPr>
      </w:pPr>
      <w:r>
        <w:rPr>
          <w:rFonts w:hint="eastAsia" w:ascii="宋体" w:hAnsi="宋体" w:cs="宋体"/>
          <w:szCs w:val="21"/>
        </w:rPr>
        <w:t xml:space="preserve">★1.1 可产生方波信号、正弦波信号、ECG仿真信号、ECG仿真心率信号、窦性心律信号等。幅度（峰峰值）范围：50.00μV～30.0V；最大允许误差：±1%；频率范围（0.1～200）Hz，最大允许误差：±0.5%；</w:t>
      </w:r>
      <w:r>
        <w:rPr>
          <w:rFonts w:hint="eastAsia" w:ascii="宋体" w:hAnsi="宋体" w:cs="宋体"/>
          <w:szCs w:val="21"/>
        </w:rPr>
      </w:r>
      <w:r/>
    </w:p>
    <w:p>
      <w:pPr>
        <w:pStyle w:val="1344"/>
        <w:ind w:firstLine="420"/>
        <w:jc w:val="left"/>
        <w:spacing w:line="480" w:lineRule="exact"/>
        <w:rPr>
          <w:rFonts w:hint="eastAsia" w:ascii="宋体" w:hAnsi="宋体" w:cs="宋体"/>
          <w:szCs w:val="21"/>
        </w:rPr>
      </w:pPr>
      <w:r>
        <w:rPr>
          <w:rFonts w:hint="eastAsia" w:ascii="宋体" w:hAnsi="宋体" w:cs="宋体"/>
          <w:szCs w:val="21"/>
        </w:rPr>
        <w:t xml:space="preserve">1.2 方波信号：周期范围：2ms～100s，最大允许误差:±0.1% </w:t>
      </w:r>
      <w:r>
        <w:rPr>
          <w:rFonts w:hint="eastAsia" w:ascii="宋体" w:hAnsi="宋体" w:cs="宋体"/>
          <w:szCs w:val="21"/>
        </w:rPr>
      </w:r>
      <w:r/>
    </w:p>
    <w:p>
      <w:pPr>
        <w:pStyle w:val="1344"/>
        <w:ind w:firstLine="420"/>
        <w:jc w:val="left"/>
        <w:spacing w:line="480" w:lineRule="exact"/>
        <w:rPr>
          <w:rFonts w:hint="eastAsia" w:ascii="宋体" w:hAnsi="宋体" w:cs="宋体"/>
          <w:szCs w:val="21"/>
        </w:rPr>
      </w:pPr>
      <w:r>
        <w:rPr>
          <w:rFonts w:hint="eastAsia" w:ascii="宋体" w:hAnsi="宋体" w:cs="宋体"/>
          <w:szCs w:val="21"/>
        </w:rPr>
        <w:t xml:space="preserve">1.3 正弦波信号：频率范围：10mHz～500Hz；频率最大允许误差：±0.1%；失真度＜5%</w:t>
      </w:r>
      <w:r>
        <w:rPr>
          <w:rFonts w:hint="eastAsia" w:ascii="宋体" w:hAnsi="宋体" w:cs="宋体"/>
          <w:szCs w:val="21"/>
        </w:rPr>
      </w:r>
      <w:r/>
    </w:p>
    <w:p>
      <w:pPr>
        <w:pStyle w:val="1344"/>
        <w:ind w:firstLine="420"/>
        <w:jc w:val="left"/>
        <w:spacing w:line="480" w:lineRule="exact"/>
        <w:rPr>
          <w:rFonts w:hint="eastAsia" w:ascii="宋体" w:hAnsi="宋体" w:cs="宋体"/>
          <w:szCs w:val="21"/>
        </w:rPr>
      </w:pPr>
      <w:r>
        <w:rPr>
          <w:rFonts w:hint="eastAsia" w:ascii="宋体" w:hAnsi="宋体" w:cs="宋体"/>
          <w:szCs w:val="21"/>
        </w:rPr>
        <w:t xml:space="preserve">1.3 ECG仿真心率信号：可产生6种ECG心律测试信号，心率范围：（20～300）次/min；最大允许误差：±0.1%；</w:t>
      </w:r>
      <w:r>
        <w:rPr>
          <w:rFonts w:hint="eastAsia" w:ascii="宋体" w:hAnsi="宋体" w:cs="宋体"/>
          <w:szCs w:val="21"/>
        </w:rPr>
      </w:r>
      <w:r/>
    </w:p>
    <w:p>
      <w:pPr>
        <w:pStyle w:val="1344"/>
        <w:ind w:firstLine="420"/>
        <w:jc w:val="left"/>
        <w:spacing w:line="480" w:lineRule="exact"/>
        <w:rPr>
          <w:rFonts w:hint="eastAsia" w:ascii="宋体" w:hAnsi="宋体" w:cs="宋体"/>
          <w:szCs w:val="21"/>
        </w:rPr>
      </w:pPr>
      <w:r>
        <w:rPr>
          <w:rFonts w:hint="eastAsia" w:ascii="宋体" w:hAnsi="宋体" w:cs="宋体"/>
          <w:szCs w:val="21"/>
        </w:rPr>
        <w:t xml:space="preserve">1.5 窦性心律信号：心率范围：（10～300）次/min；最大允许误差：±0.1%；</w:t>
      </w:r>
      <w:r>
        <w:rPr>
          <w:rFonts w:hint="eastAsia" w:ascii="宋体" w:hAnsi="宋体" w:cs="宋体"/>
          <w:szCs w:val="21"/>
        </w:rPr>
      </w:r>
      <w:r/>
    </w:p>
    <w:p>
      <w:pPr>
        <w:pStyle w:val="1344"/>
        <w:ind w:firstLine="420"/>
        <w:jc w:val="left"/>
        <w:spacing w:line="480" w:lineRule="exact"/>
        <w:rPr>
          <w:rFonts w:hint="eastAsia" w:ascii="宋体" w:hAnsi="宋体" w:cs="宋体"/>
          <w:szCs w:val="21"/>
        </w:rPr>
      </w:pPr>
      <w:r>
        <w:rPr>
          <w:rFonts w:hint="eastAsia" w:ascii="宋体" w:hAnsi="宋体" w:cs="宋体"/>
          <w:szCs w:val="21"/>
        </w:rPr>
        <w:t xml:space="preserve">2.起搏脉冲检测信号：</w:t>
      </w:r>
      <w:r>
        <w:rPr>
          <w:rFonts w:hint="eastAsia" w:ascii="宋体" w:hAnsi="宋体" w:cs="宋体"/>
          <w:szCs w:val="21"/>
        </w:rPr>
      </w:r>
      <w:r/>
    </w:p>
    <w:p>
      <w:pPr>
        <w:pStyle w:val="1344"/>
        <w:ind w:firstLine="420"/>
        <w:jc w:val="left"/>
        <w:spacing w:line="480" w:lineRule="exact"/>
        <w:rPr>
          <w:rFonts w:hint="eastAsia" w:ascii="宋体" w:hAnsi="宋体" w:cs="宋体"/>
          <w:szCs w:val="21"/>
        </w:rPr>
      </w:pPr>
      <w:r>
        <w:rPr>
          <w:rFonts w:hint="eastAsia" w:ascii="宋体" w:hAnsi="宋体" w:cs="宋体"/>
          <w:szCs w:val="21"/>
        </w:rPr>
        <w:t xml:space="preserve">2.1方波脉冲信号：重复次数：100次/min，最大允许误差：±1%； </w:t>
      </w:r>
      <w:r>
        <w:rPr>
          <w:rFonts w:hint="eastAsia" w:ascii="宋体" w:hAnsi="宋体" w:cs="宋体"/>
          <w:szCs w:val="21"/>
        </w:rPr>
      </w:r>
      <w:r/>
    </w:p>
    <w:p>
      <w:pPr>
        <w:pStyle w:val="1344"/>
        <w:ind w:firstLine="420"/>
        <w:jc w:val="left"/>
        <w:spacing w:line="480" w:lineRule="exact"/>
        <w:rPr>
          <w:rFonts w:hint="eastAsia" w:ascii="宋体" w:hAnsi="宋体" w:cs="宋体"/>
          <w:szCs w:val="21"/>
        </w:rPr>
      </w:pPr>
      <w:r>
        <w:rPr>
          <w:rFonts w:hint="eastAsia" w:ascii="宋体" w:hAnsi="宋体" w:cs="宋体"/>
          <w:szCs w:val="21"/>
        </w:rPr>
        <w:t xml:space="preserve">脉冲宽度：0.1ms、1ms、2ms，最大允许误差：±1%；脉冲上升沿：&lt;50us；幅度：0.2mV～8V，最大允许误差：±1%。</w:t>
      </w:r>
      <w:r>
        <w:rPr>
          <w:rFonts w:hint="eastAsia" w:ascii="宋体" w:hAnsi="宋体" w:cs="宋体"/>
          <w:szCs w:val="21"/>
        </w:rPr>
      </w:r>
      <w:r/>
    </w:p>
    <w:p>
      <w:pPr>
        <w:pStyle w:val="1344"/>
        <w:ind w:firstLine="420"/>
        <w:jc w:val="left"/>
        <w:spacing w:line="480" w:lineRule="exact"/>
        <w:rPr>
          <w:rFonts w:hint="eastAsia" w:ascii="宋体" w:hAnsi="宋体" w:cs="宋体"/>
          <w:szCs w:val="21"/>
        </w:rPr>
      </w:pPr>
      <w:r>
        <w:rPr>
          <w:rFonts w:hint="eastAsia" w:ascii="宋体" w:hAnsi="宋体" w:cs="宋体"/>
          <w:szCs w:val="21"/>
        </w:rPr>
        <w:t xml:space="preserve">2.2 正弦波信号：幅度：8.00μV～30.00V；</w:t>
      </w:r>
      <w:r>
        <w:rPr>
          <w:rFonts w:hint="eastAsia" w:ascii="宋体" w:hAnsi="宋体" w:cs="宋体"/>
          <w:szCs w:val="21"/>
        </w:rPr>
      </w:r>
      <w:r/>
    </w:p>
    <w:p>
      <w:pPr>
        <w:pStyle w:val="1344"/>
        <w:ind w:firstLine="840"/>
        <w:jc w:val="left"/>
        <w:spacing w:line="480" w:lineRule="exact"/>
        <w:rPr>
          <w:rFonts w:hint="eastAsia" w:ascii="宋体" w:hAnsi="宋体" w:cs="宋体"/>
          <w:szCs w:val="21"/>
        </w:rPr>
      </w:pPr>
      <w:r>
        <w:rPr>
          <w:rFonts w:hint="eastAsia" w:ascii="宋体" w:hAnsi="宋体" w:cs="宋体"/>
          <w:szCs w:val="21"/>
        </w:rPr>
        <w:t xml:space="preserve">最大允许误差：80.0μV～30.00V，±0.5%；</w:t>
      </w:r>
      <w:r>
        <w:rPr>
          <w:rFonts w:hint="eastAsia" w:ascii="宋体" w:hAnsi="宋体" w:cs="宋体"/>
          <w:szCs w:val="21"/>
        </w:rPr>
      </w:r>
      <w:r/>
    </w:p>
    <w:p>
      <w:pPr>
        <w:pStyle w:val="1344"/>
        <w:ind w:firstLine="2318"/>
        <w:jc w:val="left"/>
        <w:spacing w:line="480" w:lineRule="exact"/>
        <w:rPr>
          <w:rFonts w:hint="eastAsia" w:ascii="宋体" w:hAnsi="宋体" w:cs="宋体"/>
          <w:szCs w:val="21"/>
        </w:rPr>
      </w:pPr>
      <w:r>
        <w:rPr>
          <w:rFonts w:hint="eastAsia" w:ascii="宋体" w:hAnsi="宋体" w:cs="宋体"/>
          <w:szCs w:val="21"/>
        </w:rPr>
        <w:t xml:space="preserve">50.0μV～80.0μV，±1%；</w:t>
      </w:r>
      <w:r>
        <w:rPr>
          <w:rFonts w:hint="eastAsia" w:ascii="宋体" w:hAnsi="宋体" w:cs="宋体"/>
          <w:szCs w:val="21"/>
        </w:rPr>
      </w:r>
      <w:r/>
    </w:p>
    <w:p>
      <w:pPr>
        <w:pStyle w:val="1344"/>
        <w:ind w:firstLine="2318"/>
        <w:jc w:val="left"/>
        <w:spacing w:line="480" w:lineRule="exact"/>
        <w:rPr>
          <w:rFonts w:hint="eastAsia" w:ascii="宋体" w:hAnsi="宋体" w:cs="宋体"/>
          <w:szCs w:val="21"/>
        </w:rPr>
      </w:pPr>
      <w:r>
        <w:rPr>
          <w:rFonts w:hint="eastAsia" w:ascii="宋体" w:hAnsi="宋体" w:cs="宋体"/>
          <w:szCs w:val="21"/>
        </w:rPr>
        <w:t xml:space="preserve">8.00μV～50.0μV，±5%；</w:t>
      </w:r>
      <w:r>
        <w:rPr>
          <w:rFonts w:hint="eastAsia" w:ascii="宋体" w:hAnsi="宋体" w:cs="宋体"/>
          <w:szCs w:val="21"/>
        </w:rPr>
      </w:r>
      <w:r/>
    </w:p>
    <w:p>
      <w:pPr>
        <w:pStyle w:val="1344"/>
        <w:ind w:firstLine="420"/>
        <w:jc w:val="left"/>
        <w:spacing w:line="480" w:lineRule="exact"/>
        <w:rPr>
          <w:rFonts w:hint="eastAsia" w:ascii="宋体" w:hAnsi="宋体" w:cs="宋体"/>
          <w:szCs w:val="21"/>
        </w:rPr>
      </w:pPr>
      <w:r>
        <w:rPr>
          <w:rFonts w:hint="eastAsia" w:ascii="宋体" w:hAnsi="宋体" w:cs="宋体"/>
          <w:szCs w:val="21"/>
        </w:rPr>
        <w:t xml:space="preserve">3.标准心率信号（2种极性，三角脉冲）</w:t>
      </w:r>
      <w:r>
        <w:rPr>
          <w:rFonts w:hint="eastAsia" w:ascii="宋体" w:hAnsi="宋体" w:cs="宋体"/>
          <w:szCs w:val="21"/>
        </w:rPr>
      </w:r>
      <w:r/>
    </w:p>
    <w:p>
      <w:pPr>
        <w:pStyle w:val="1344"/>
        <w:ind w:firstLine="420"/>
        <w:jc w:val="left"/>
        <w:spacing w:line="480" w:lineRule="exact"/>
        <w:rPr>
          <w:rFonts w:hint="eastAsia" w:ascii="宋体" w:hAnsi="宋体" w:cs="宋体"/>
          <w:szCs w:val="21"/>
        </w:rPr>
      </w:pPr>
      <w:r>
        <w:rPr>
          <w:rFonts w:hint="eastAsia" w:ascii="宋体" w:hAnsi="宋体" w:cs="宋体"/>
          <w:szCs w:val="21"/>
        </w:rPr>
        <w:t xml:space="preserve">心率范围：（10～500）次／min；心率最大允许误差：±0.1%</w:t>
      </w:r>
      <w:r>
        <w:rPr>
          <w:rFonts w:hint="eastAsia" w:ascii="宋体" w:hAnsi="宋体" w:cs="宋体"/>
          <w:szCs w:val="21"/>
        </w:rPr>
      </w:r>
      <w:r/>
    </w:p>
    <w:p>
      <w:pPr>
        <w:pStyle w:val="1344"/>
        <w:ind w:firstLine="420"/>
        <w:jc w:val="left"/>
        <w:spacing w:line="480" w:lineRule="exact"/>
        <w:rPr>
          <w:rFonts w:hint="eastAsia" w:ascii="宋体" w:hAnsi="宋体" w:cs="宋体"/>
          <w:szCs w:val="21"/>
        </w:rPr>
      </w:pPr>
      <w:r>
        <w:rPr>
          <w:rFonts w:hint="eastAsia" w:ascii="宋体" w:hAnsi="宋体" w:cs="宋体"/>
          <w:szCs w:val="21"/>
        </w:rPr>
        <w:t xml:space="preserve">幅度范围：4.00μV～15.0V；</w:t>
      </w:r>
      <w:r>
        <w:rPr>
          <w:rFonts w:hint="eastAsia" w:ascii="宋体" w:hAnsi="宋体" w:cs="宋体"/>
          <w:szCs w:val="21"/>
        </w:rPr>
      </w:r>
      <w:r/>
    </w:p>
    <w:p>
      <w:pPr>
        <w:pStyle w:val="1344"/>
        <w:ind w:firstLine="420"/>
        <w:jc w:val="left"/>
        <w:spacing w:line="480" w:lineRule="exact"/>
        <w:rPr>
          <w:rFonts w:hint="eastAsia" w:ascii="宋体" w:hAnsi="宋体" w:cs="宋体"/>
          <w:szCs w:val="21"/>
        </w:rPr>
      </w:pPr>
      <w:r>
        <w:rPr>
          <w:rFonts w:hint="eastAsia" w:ascii="宋体" w:hAnsi="宋体" w:cs="宋体"/>
          <w:szCs w:val="21"/>
        </w:rPr>
        <w:t xml:space="preserve">最大允许误差：40.0μV～15.0V，±1%；</w:t>
      </w:r>
      <w:r>
        <w:rPr>
          <w:rFonts w:hint="eastAsia" w:ascii="宋体" w:hAnsi="宋体" w:cs="宋体"/>
          <w:szCs w:val="21"/>
        </w:rPr>
      </w:r>
      <w:r/>
    </w:p>
    <w:p>
      <w:pPr>
        <w:pStyle w:val="1344"/>
        <w:ind w:firstLine="1898"/>
        <w:jc w:val="left"/>
        <w:spacing w:line="480" w:lineRule="exact"/>
        <w:rPr>
          <w:rFonts w:hint="eastAsia" w:ascii="宋体" w:hAnsi="宋体" w:cs="宋体"/>
          <w:szCs w:val="21"/>
        </w:rPr>
      </w:pPr>
      <w:r>
        <w:rPr>
          <w:rFonts w:hint="eastAsia" w:ascii="宋体" w:hAnsi="宋体" w:cs="宋体"/>
          <w:szCs w:val="21"/>
        </w:rPr>
        <w:t xml:space="preserve">25.0μV～40.0μV，±2%；</w:t>
      </w:r>
      <w:r>
        <w:rPr>
          <w:rFonts w:hint="eastAsia" w:ascii="宋体" w:hAnsi="宋体" w:cs="宋体"/>
          <w:szCs w:val="21"/>
        </w:rPr>
      </w:r>
      <w:r/>
    </w:p>
    <w:p>
      <w:pPr>
        <w:pStyle w:val="1344"/>
        <w:ind w:firstLine="1898"/>
        <w:jc w:val="left"/>
        <w:spacing w:line="480" w:lineRule="exact"/>
        <w:rPr>
          <w:rFonts w:hint="eastAsia" w:ascii="宋体" w:hAnsi="宋体" w:cs="宋体"/>
          <w:szCs w:val="21"/>
        </w:rPr>
      </w:pPr>
      <w:r>
        <w:rPr>
          <w:rFonts w:hint="eastAsia" w:ascii="宋体" w:hAnsi="宋体" w:cs="宋体"/>
          <w:szCs w:val="21"/>
        </w:rPr>
        <w:t xml:space="preserve">4.00μV～5.0μV，±5%；</w:t>
      </w:r>
      <w:r>
        <w:rPr>
          <w:rFonts w:hint="eastAsia" w:ascii="宋体" w:hAnsi="宋体" w:cs="宋体"/>
          <w:szCs w:val="21"/>
        </w:rPr>
      </w:r>
      <w:r/>
    </w:p>
    <w:p>
      <w:pPr>
        <w:pStyle w:val="1344"/>
        <w:ind w:firstLine="420"/>
        <w:jc w:val="left"/>
        <w:spacing w:line="480" w:lineRule="exact"/>
        <w:rPr>
          <w:rFonts w:hint="eastAsia" w:ascii="宋体" w:hAnsi="宋体" w:cs="宋体"/>
          <w:szCs w:val="21"/>
        </w:rPr>
      </w:pPr>
      <w:r>
        <w:rPr>
          <w:rFonts w:hint="eastAsia" w:ascii="宋体" w:hAnsi="宋体" w:cs="宋体"/>
          <w:szCs w:val="21"/>
        </w:rPr>
        <w:t xml:space="preserve">4.内置平衡衰减器：衰减比：1/1000；最大允许误差±0.3%</w:t>
      </w:r>
      <w:r>
        <w:rPr>
          <w:rFonts w:hint="eastAsia" w:ascii="宋体" w:hAnsi="宋体" w:cs="宋体"/>
          <w:szCs w:val="21"/>
        </w:rPr>
      </w:r>
      <w:r/>
    </w:p>
    <w:p>
      <w:pPr>
        <w:pStyle w:val="1344"/>
        <w:ind w:firstLine="420"/>
        <w:jc w:val="left"/>
        <w:spacing w:line="480" w:lineRule="exact"/>
        <w:rPr>
          <w:rFonts w:hint="eastAsia" w:ascii="宋体" w:hAnsi="宋体" w:cs="宋体"/>
          <w:szCs w:val="21"/>
        </w:rPr>
      </w:pPr>
      <w:r>
        <w:rPr>
          <w:rFonts w:hint="eastAsia" w:ascii="宋体" w:hAnsi="宋体" w:cs="宋体"/>
          <w:szCs w:val="21"/>
        </w:rPr>
        <w:t xml:space="preserve">5.共模抑制比检定装置：电压量程：9V～11V（有效值）；电压最大允许误差：±5%</w:t>
      </w:r>
      <w:r>
        <w:rPr>
          <w:rFonts w:hint="eastAsia" w:ascii="宋体" w:hAnsi="宋体" w:cs="宋体"/>
          <w:szCs w:val="21"/>
        </w:rPr>
      </w:r>
      <w:r/>
    </w:p>
    <w:p>
      <w:pPr>
        <w:pStyle w:val="1344"/>
        <w:ind w:firstLine="420"/>
        <w:jc w:val="left"/>
        <w:spacing w:line="480" w:lineRule="exact"/>
        <w:rPr>
          <w:rFonts w:hint="eastAsia" w:ascii="宋体" w:hAnsi="宋体" w:cs="宋体"/>
          <w:szCs w:val="21"/>
        </w:rPr>
      </w:pPr>
      <w:r>
        <w:rPr>
          <w:rFonts w:hint="eastAsia" w:ascii="宋体" w:hAnsi="宋体" w:cs="宋体"/>
          <w:szCs w:val="21"/>
        </w:rPr>
        <w:t xml:space="preserve">6.检定仪10个信号输出电极端子，必须能直接适配常见直径为2mm、3mm、4mm等规格的心电导联电极及按扣式导联电极，不必额外连接导线。</w:t>
      </w:r>
      <w:r>
        <w:rPr>
          <w:rFonts w:hint="eastAsia" w:ascii="宋体" w:hAnsi="宋体" w:cs="宋体"/>
          <w:szCs w:val="21"/>
        </w:rPr>
      </w:r>
      <w:r/>
    </w:p>
    <w:p>
      <w:pPr>
        <w:pStyle w:val="1344"/>
        <w:ind w:left="1" w:hanging="200"/>
        <w:jc w:val="left"/>
        <w:spacing w:line="480" w:lineRule="exact"/>
        <w:rPr>
          <w:rFonts w:ascii="宋体" w:hAnsi="宋体" w:cs="宋体"/>
          <w:b/>
          <w:bCs/>
          <w:szCs w:val="21"/>
        </w:rPr>
      </w:pPr>
      <w:r>
        <w:rPr>
          <w:rFonts w:hint="eastAsia" w:ascii="宋体" w:hAnsi="宋体" w:cs="宋体"/>
          <w:b/>
          <w:bCs/>
          <w:szCs w:val="21"/>
        </w:rPr>
        <w:t xml:space="preserve">（三）验收依据、方法及单位</w:t>
      </w:r>
      <w:r>
        <w:rPr>
          <w:rFonts w:ascii="宋体" w:hAnsi="宋体" w:cs="宋体"/>
          <w:b/>
          <w:bCs/>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1.验收依据：JJG 749-2007《心、脑电图机检定仪检定规程》、JJG 1016-2006《心电监护仪检定仪检定规程》、本技术文件。</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2.卖方负责将设备送检至省级及以上计量技术机构进行检定/校准，并出具检定/校准证书，检测费用由卖方承担。</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3.江苏省计量科学研究院根据以上证书、用户手册和本技术文件对整套设备的技术指标和功能进行最终验收。</w:t>
      </w:r>
      <w:r>
        <w:rPr>
          <w:rFonts w:ascii="宋体" w:hAnsi="宋体" w:cs="宋体"/>
          <w:szCs w:val="21"/>
        </w:rPr>
      </w:r>
      <w:r/>
    </w:p>
    <w:p>
      <w:pPr>
        <w:pStyle w:val="1344"/>
        <w:jc w:val="left"/>
        <w:spacing w:line="480" w:lineRule="exact"/>
        <w:rPr>
          <w:rFonts w:hint="eastAsia" w:ascii="宋体" w:hAnsi="宋体" w:cs="宋体"/>
          <w:b/>
          <w:bCs/>
          <w:szCs w:val="21"/>
        </w:rPr>
      </w:pPr>
      <w:r>
        <w:rPr>
          <w:rFonts w:hint="eastAsia" w:ascii="宋体" w:hAnsi="宋体" w:cs="宋体"/>
          <w:b/>
          <w:bCs/>
          <w:szCs w:val="21"/>
        </w:rPr>
        <w:t xml:space="preserve">（四）质保期</w:t>
      </w:r>
      <w:r>
        <w:rPr>
          <w:rFonts w:hint="eastAsia" w:ascii="宋体" w:hAnsi="宋体" w:cs="宋体"/>
          <w:b/>
          <w:bCs/>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★1.心脑电图机检定仪的质保期为验收合格之日起1年。</w:t>
      </w:r>
      <w:r>
        <w:rPr>
          <w:rFonts w:ascii="宋体" w:hAnsi="宋体" w:cs="宋体"/>
          <w:szCs w:val="21"/>
        </w:rPr>
      </w:r>
      <w:r/>
    </w:p>
    <w:p>
      <w:pPr>
        <w:pStyle w:val="1344"/>
        <w:jc w:val="center"/>
        <w:spacing w:line="480" w:lineRule="exact"/>
        <w:rPr>
          <w:rFonts w:ascii="宋体" w:hAnsi="宋体" w:cs="宋体"/>
          <w:b/>
          <w:bCs/>
          <w:szCs w:val="21"/>
        </w:rPr>
        <w:outlineLvl w:val="1"/>
      </w:pPr>
      <w:r/>
      <w:bookmarkStart w:id="317" w:name="_Toc12813"/>
      <w:r/>
      <w:bookmarkStart w:id="318" w:name="_Toc30536"/>
      <w:r>
        <w:rPr>
          <w:rFonts w:hint="eastAsia" w:ascii="宋体" w:hAnsi="宋体" w:cs="宋体"/>
          <w:b/>
          <w:szCs w:val="21"/>
        </w:rPr>
        <w:t xml:space="preserve">品目</w:t>
      </w:r>
      <w:r>
        <w:rPr>
          <w:rFonts w:hint="eastAsia" w:ascii="宋体" w:hAnsi="宋体" w:cs="宋体"/>
          <w:b/>
          <w:bCs/>
          <w:szCs w:val="21"/>
        </w:rPr>
        <w:t xml:space="preserve">4 呼吸机质量检测仪</w:t>
      </w:r>
      <w:bookmarkEnd w:id="317"/>
      <w:r/>
      <w:bookmarkEnd w:id="318"/>
      <w:r>
        <w:rPr>
          <w:rFonts w:ascii="宋体" w:hAnsi="宋体" w:cs="宋体"/>
          <w:b/>
          <w:bCs/>
          <w:szCs w:val="21"/>
        </w:rPr>
      </w:r>
      <w:r/>
    </w:p>
    <w:p>
      <w:pPr>
        <w:pStyle w:val="1344"/>
        <w:spacing w:line="480" w:lineRule="exact"/>
        <w:tabs>
          <w:tab w:val="left" w:pos="4500" w:leader="none"/>
          <w:tab w:val="left" w:pos="4680" w:leader="none"/>
        </w:tabs>
        <w:rPr>
          <w:rFonts w:ascii="宋体" w:hAnsi="宋体" w:cs="宋体"/>
          <w:b/>
          <w:bCs/>
          <w:szCs w:val="21"/>
        </w:rPr>
      </w:pPr>
      <w:r>
        <w:rPr>
          <w:rFonts w:hint="eastAsia" w:ascii="宋体" w:hAnsi="宋体" w:cs="宋体"/>
          <w:b/>
          <w:bCs/>
          <w:szCs w:val="21"/>
        </w:rPr>
        <w:t xml:space="preserve">★（一）设备及明细配置清单</w:t>
      </w:r>
      <w:r>
        <w:rPr>
          <w:rFonts w:ascii="宋体" w:hAnsi="宋体" w:cs="宋体"/>
          <w:b/>
          <w:bCs/>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11"/>
        <w:gridCol w:w="3357"/>
        <w:gridCol w:w="1761"/>
        <w:gridCol w:w="3121"/>
      </w:tblGrid>
      <w:tr>
        <w:trPr>
          <w:trHeight w:val="389"/>
        </w:trPr>
        <w:tc>
          <w:tcPr>
            <w:tcW w:w="818" w:type="dxa"/>
            <w:vAlign w:val="center"/>
            <w:textDirection w:val="lrTb"/>
            <w:noWrap w:val="false"/>
          </w:tcPr>
          <w:p>
            <w:pPr>
              <w:pStyle w:val="1344"/>
              <w:ind w:right="141"/>
              <w:jc w:val="center"/>
              <w:spacing w:line="480" w:lineRule="exact"/>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704"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设备名称</w:t>
            </w:r>
            <w:r>
              <w:rPr>
                <w:rFonts w:ascii="宋体" w:hAnsi="宋体" w:cs="宋体"/>
                <w:szCs w:val="21"/>
              </w:rPr>
            </w:r>
            <w:r/>
          </w:p>
        </w:tc>
        <w:tc>
          <w:tcPr>
            <w:tcW w:w="894"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数 量</w:t>
            </w:r>
            <w:r>
              <w:rPr>
                <w:rFonts w:ascii="宋体" w:hAnsi="宋体" w:cs="宋体"/>
                <w:szCs w:val="21"/>
              </w:rPr>
            </w:r>
            <w:r/>
          </w:p>
        </w:tc>
        <w:tc>
          <w:tcPr>
            <w:tcW w:w="1584"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合同履行期限（交货期）</w:t>
            </w:r>
            <w:r>
              <w:rPr>
                <w:rFonts w:ascii="宋体" w:hAnsi="宋体" w:cs="宋体"/>
                <w:szCs w:val="21"/>
              </w:rPr>
            </w:r>
            <w:r/>
          </w:p>
        </w:tc>
      </w:tr>
      <w:tr>
        <w:trPr>
          <w:cantSplit/>
          <w:trHeight w:val="534"/>
        </w:trPr>
        <w:tc>
          <w:tcPr>
            <w:tcW w:w="818"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704"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呼吸机质量检测仪</w:t>
            </w:r>
            <w:r>
              <w:rPr>
                <w:rFonts w:ascii="宋体" w:hAnsi="宋体" w:cs="宋体"/>
                <w:szCs w:val="21"/>
              </w:rPr>
            </w:r>
            <w:r/>
          </w:p>
        </w:tc>
        <w:tc>
          <w:tcPr>
            <w:tcW w:w="894" w:type="dxa"/>
            <w:vAlign w:val="center"/>
            <w:textDirection w:val="lrTb"/>
            <w:noWrap w:val="false"/>
          </w:tcPr>
          <w:p>
            <w:pPr>
              <w:pStyle w:val="1344"/>
              <w:jc w:val="center"/>
              <w:keepNext/>
              <w:spacing w:line="480" w:lineRule="exact"/>
              <w:rPr>
                <w:rFonts w:ascii="宋体" w:hAnsi="宋体" w:cs="宋体"/>
                <w:szCs w:val="21"/>
              </w:rPr>
              <w:outlineLvl w:val="0"/>
            </w:pPr>
            <w:r/>
            <w:bookmarkStart w:id="319" w:name="_Toc1861"/>
            <w:r/>
            <w:bookmarkStart w:id="320" w:name="_Toc345"/>
            <w:r>
              <w:rPr>
                <w:rFonts w:hint="eastAsia" w:ascii="宋体" w:hAnsi="宋体" w:cs="宋体"/>
                <w:szCs w:val="21"/>
              </w:rPr>
              <w:t xml:space="preserve">4台</w:t>
            </w:r>
            <w:bookmarkEnd w:id="319"/>
            <w:r/>
            <w:bookmarkEnd w:id="320"/>
            <w:r>
              <w:rPr>
                <w:rFonts w:ascii="宋体" w:hAnsi="宋体" w:cs="宋体"/>
                <w:szCs w:val="21"/>
              </w:rPr>
            </w:r>
            <w:r/>
          </w:p>
        </w:tc>
        <w:tc>
          <w:tcPr>
            <w:tcW w:w="1584"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合同签订后6个月</w:t>
            </w:r>
            <w:r>
              <w:rPr>
                <w:rFonts w:ascii="宋体" w:hAnsi="宋体" w:cs="宋体"/>
                <w:szCs w:val="21"/>
              </w:rPr>
            </w:r>
            <w:r/>
          </w:p>
        </w:tc>
      </w:tr>
    </w:tbl>
    <w:p>
      <w:pPr>
        <w:pStyle w:val="1344"/>
        <w:spacing w:line="480" w:lineRule="exact"/>
        <w:rPr>
          <w:rFonts w:hint="eastAsia" w:ascii="宋体" w:hAnsi="宋体" w:cs="宋体"/>
          <w:b/>
          <w:bCs/>
          <w:szCs w:val="21"/>
        </w:rPr>
      </w:pPr>
      <w:r>
        <w:rPr>
          <w:rFonts w:hint="eastAsia" w:ascii="宋体" w:hAnsi="宋体" w:cs="宋体"/>
          <w:b/>
          <w:bCs/>
          <w:szCs w:val="21"/>
        </w:rPr>
        <w:t xml:space="preserve">（二）技术指标及功能要求</w:t>
      </w:r>
      <w:r>
        <w:rPr>
          <w:rFonts w:hint="eastAsia" w:ascii="宋体" w:hAnsi="宋体" w:cs="宋体"/>
          <w:b/>
          <w:bCs/>
          <w:szCs w:val="21"/>
        </w:rPr>
      </w:r>
      <w:r/>
    </w:p>
    <w:p>
      <w:pPr>
        <w:pStyle w:val="1344"/>
        <w:ind w:firstLine="422"/>
        <w:spacing w:line="480" w:lineRule="exact"/>
        <w:rPr>
          <w:rFonts w:hint="eastAsia"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1.流量范围：(0.5～180)L/min，最大允许误差：±3%；</w:t>
      </w:r>
      <w:r>
        <w:rPr>
          <w:rFonts w:hint="eastAsia" w:ascii="宋体" w:hAnsi="宋体" w:cs="宋体"/>
          <w:szCs w:val="21"/>
        </w:rPr>
      </w:r>
      <w:r/>
    </w:p>
    <w:p>
      <w:pPr>
        <w:pStyle w:val="1344"/>
        <w:ind w:firstLine="420"/>
        <w:spacing w:line="480" w:lineRule="exact"/>
        <w:rPr>
          <w:rFonts w:hint="eastAsia" w:ascii="宋体" w:hAnsi="宋体" w:cs="宋体"/>
          <w:szCs w:val="21"/>
        </w:rPr>
      </w:pPr>
      <w:r>
        <w:rPr>
          <w:rFonts w:hint="eastAsia" w:ascii="宋体" w:hAnsi="宋体" w:cs="宋体"/>
          <w:szCs w:val="21"/>
        </w:rPr>
        <w:t xml:space="preserve">2.潮气量：（0～2000）mL，最大允许误差：±3.0%；</w:t>
      </w:r>
      <w:r>
        <w:rPr>
          <w:rFonts w:hint="eastAsia" w:ascii="宋体" w:hAnsi="宋体" w:cs="宋体"/>
          <w:szCs w:val="21"/>
        </w:rPr>
      </w:r>
      <w:r/>
    </w:p>
    <w:p>
      <w:pPr>
        <w:pStyle w:val="1344"/>
        <w:ind w:firstLine="420"/>
        <w:spacing w:line="480" w:lineRule="exact"/>
        <w:rPr>
          <w:rFonts w:hint="eastAsia" w:ascii="宋体" w:hAnsi="宋体" w:cs="宋体"/>
          <w:szCs w:val="21"/>
        </w:rPr>
      </w:pPr>
      <w:r>
        <w:rPr>
          <w:rFonts w:hint="eastAsia" w:ascii="宋体" w:hAnsi="宋体" w:cs="宋体"/>
          <w:szCs w:val="21"/>
        </w:rPr>
        <w:t xml:space="preserve">3.呼吸频率：（1～80）次/分，最大允许误差：±3%；</w:t>
      </w:r>
      <w:r>
        <w:rPr>
          <w:rFonts w:hint="eastAsia" w:ascii="宋体" w:hAnsi="宋体" w:cs="宋体"/>
          <w:szCs w:val="21"/>
        </w:rPr>
      </w:r>
      <w:r/>
    </w:p>
    <w:p>
      <w:pPr>
        <w:pStyle w:val="1344"/>
        <w:ind w:firstLine="420"/>
        <w:spacing w:line="480" w:lineRule="exact"/>
        <w:rPr>
          <w:rFonts w:hint="eastAsia" w:ascii="宋体" w:hAnsi="宋体" w:cs="宋体"/>
          <w:szCs w:val="21"/>
        </w:rPr>
      </w:pPr>
      <w:r>
        <w:rPr>
          <w:rFonts w:hint="eastAsia" w:ascii="宋体" w:hAnsi="宋体" w:cs="宋体"/>
          <w:szCs w:val="21"/>
        </w:rPr>
        <w:t xml:space="preserve">4.压力范围：(-2.5～12)kPa，最大允许误差：±0.1kPa；</w:t>
      </w:r>
      <w:r>
        <w:rPr>
          <w:rFonts w:hint="eastAsia" w:ascii="宋体" w:hAnsi="宋体" w:cs="宋体"/>
          <w:szCs w:val="21"/>
        </w:rPr>
      </w:r>
      <w:r/>
    </w:p>
    <w:p>
      <w:pPr>
        <w:pStyle w:val="1344"/>
        <w:ind w:firstLine="420"/>
        <w:spacing w:line="480" w:lineRule="exact"/>
        <w:rPr>
          <w:rFonts w:hint="eastAsia" w:ascii="宋体" w:hAnsi="宋体" w:cs="宋体"/>
          <w:szCs w:val="21"/>
        </w:rPr>
      </w:pPr>
      <w:r>
        <w:rPr>
          <w:rFonts w:hint="eastAsia" w:ascii="宋体" w:hAnsi="宋体" w:cs="宋体"/>
          <w:szCs w:val="21"/>
        </w:rPr>
        <w:t xml:space="preserve">5.氧浓度：21%～100%，最大允许误差：±2.0%(体积分数)</w:t>
      </w:r>
      <w:r>
        <w:rPr>
          <w:rFonts w:hint="eastAsia" w:ascii="宋体" w:hAnsi="宋体" w:cs="宋体"/>
          <w:szCs w:val="21"/>
        </w:rPr>
      </w:r>
      <w:r/>
    </w:p>
    <w:p>
      <w:pPr>
        <w:pStyle w:val="1344"/>
        <w:ind w:firstLine="420"/>
        <w:spacing w:line="480" w:lineRule="exact"/>
        <w:rPr>
          <w:rFonts w:hint="eastAsia" w:ascii="宋体" w:hAnsi="宋体" w:cs="宋体"/>
          <w:szCs w:val="21"/>
        </w:rPr>
      </w:pPr>
      <w:r>
        <w:rPr>
          <w:rFonts w:hint="eastAsia" w:ascii="宋体" w:hAnsi="宋体" w:cs="宋体"/>
          <w:szCs w:val="21"/>
        </w:rPr>
        <w:t xml:space="preserve">6.应能创建自定义测试配置文件，简化测试程序、缩短测试时间，支持数据保存并查看。</w:t>
      </w:r>
      <w:r>
        <w:rPr>
          <w:rFonts w:hint="eastAsia" w:ascii="宋体" w:hAnsi="宋体" w:cs="宋体"/>
          <w:szCs w:val="21"/>
        </w:rPr>
      </w:r>
      <w:r/>
    </w:p>
    <w:p>
      <w:pPr>
        <w:pStyle w:val="1344"/>
        <w:ind w:firstLine="422"/>
        <w:spacing w:line="480" w:lineRule="exact"/>
        <w:rPr>
          <w:rFonts w:hint="eastAsia"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7.具有交流/直流电源选项，不少于8小时电池续航时间，整机方便检测携带和存放。</w:t>
      </w:r>
      <w:r>
        <w:rPr>
          <w:rFonts w:hint="eastAsia" w:ascii="宋体" w:hAnsi="宋体" w:cs="宋体"/>
          <w:szCs w:val="21"/>
        </w:rPr>
      </w:r>
      <w:r/>
    </w:p>
    <w:p>
      <w:pPr>
        <w:pStyle w:val="1344"/>
        <w:ind w:firstLine="420"/>
        <w:spacing w:line="480" w:lineRule="exact"/>
        <w:rPr>
          <w:rFonts w:hint="eastAsia" w:ascii="宋体" w:hAnsi="宋体" w:cs="宋体"/>
          <w:szCs w:val="21"/>
        </w:rPr>
      </w:pPr>
      <w:r>
        <w:rPr>
          <w:rFonts w:hint="eastAsia" w:ascii="宋体" w:hAnsi="宋体" w:cs="宋体"/>
          <w:szCs w:val="21"/>
        </w:rPr>
        <w:t xml:space="preserve">8.符合JJF 1234-2018《呼吸机校准规范》、</w:t>
      </w:r>
      <w:r>
        <w:rPr>
          <w:rFonts w:hint="eastAsia" w:ascii="宋体" w:hAnsi="宋体" w:cs="宋体"/>
        </w:rPr>
        <w:fldChar w:fldCharType="begin"/>
      </w:r>
      <w:r>
        <w:rPr>
          <w:rFonts w:hint="eastAsia" w:ascii="宋体" w:hAnsi="宋体" w:cs="宋体"/>
        </w:rPr>
        <w:instrText xml:space="preserve"> HYPERLINK "https://jjg.spc.org.cn/resmea/standard/detail.html?standno=JJF+1998-2022&amp;pageindex=1&amp;rows=10" \t "_blank" </w:instrText>
      </w:r>
      <w:r>
        <w:rPr>
          <w:rFonts w:hint="eastAsia" w:ascii="宋体" w:hAnsi="宋体" w:cs="宋体"/>
        </w:rPr>
        <w:fldChar w:fldCharType="separate"/>
      </w:r>
      <w:r>
        <w:rPr>
          <w:rFonts w:hint="eastAsia" w:ascii="宋体" w:hAnsi="宋体" w:cs="宋体"/>
          <w:szCs w:val="21"/>
        </w:rPr>
        <w:t xml:space="preserve">JF 1998-2022</w:t>
      </w:r>
      <w:r>
        <w:rPr>
          <w:rFonts w:hint="eastAsia" w:ascii="宋体" w:hAnsi="宋体" w:cs="宋体"/>
          <w:szCs w:val="21"/>
        </w:rPr>
        <w:fldChar w:fldCharType="end"/>
      </w:r>
      <w:r>
        <w:rPr>
          <w:rFonts w:hint="eastAsia" w:ascii="宋体" w:hAnsi="宋体" w:cs="宋体"/>
          <w:szCs w:val="21"/>
        </w:rPr>
        <w:t xml:space="preserve"> 《</w:t>
      </w:r>
      <w:r>
        <w:rPr>
          <w:rFonts w:hint="eastAsia" w:ascii="宋体" w:hAnsi="宋体" w:cs="宋体"/>
        </w:rPr>
        <w:fldChar w:fldCharType="begin"/>
      </w:r>
      <w:r>
        <w:rPr>
          <w:rFonts w:hint="eastAsia" w:ascii="宋体" w:hAnsi="宋体" w:cs="宋体"/>
        </w:rPr>
        <w:instrText xml:space="preserve"> HYPERLINK "https://jjg.spc.org.cn/resmea/standard/detail.html?standno=JJF+1998-2022&amp;pageindex=1&amp;rows=10" \t "_blank" </w:instrText>
      </w:r>
      <w:r>
        <w:rPr>
          <w:rFonts w:hint="eastAsia" w:ascii="宋体" w:hAnsi="宋体" w:cs="宋体"/>
        </w:rPr>
        <w:fldChar w:fldCharType="separate"/>
      </w:r>
      <w:r>
        <w:rPr>
          <w:rFonts w:hint="eastAsia" w:ascii="宋体" w:hAnsi="宋体" w:cs="宋体"/>
          <w:szCs w:val="21"/>
        </w:rPr>
        <w:t xml:space="preserve">急救和转运呼吸机校准规范</w:t>
      </w:r>
      <w:r>
        <w:rPr>
          <w:rFonts w:hint="eastAsia" w:ascii="宋体" w:hAnsi="宋体" w:cs="宋体"/>
          <w:szCs w:val="21"/>
        </w:rPr>
        <w:fldChar w:fldCharType="end"/>
      </w:r>
      <w:r>
        <w:rPr>
          <w:rFonts w:hint="eastAsia" w:ascii="宋体" w:hAnsi="宋体" w:cs="宋体"/>
          <w:szCs w:val="21"/>
        </w:rPr>
        <w:t xml:space="preserve">》、</w:t>
      </w:r>
      <w:r>
        <w:rPr>
          <w:rFonts w:hint="eastAsia" w:ascii="宋体" w:hAnsi="宋体" w:cs="宋体"/>
        </w:rPr>
        <w:fldChar w:fldCharType="begin"/>
      </w:r>
      <w:r>
        <w:rPr>
          <w:rFonts w:hint="eastAsia" w:ascii="宋体" w:hAnsi="宋体" w:cs="宋体"/>
        </w:rPr>
        <w:instrText xml:space="preserve"> HYPERLINK "https://jjg.spc.org.cn/resmea/standard/detail.html?standno=JJF+1997-2022&amp;pageindex=1&amp;rows=10" \t "_blank" </w:instrText>
      </w:r>
      <w:r>
        <w:rPr>
          <w:rFonts w:hint="eastAsia" w:ascii="宋体" w:hAnsi="宋体" w:cs="宋体"/>
        </w:rPr>
        <w:fldChar w:fldCharType="separate"/>
      </w:r>
      <w:r>
        <w:rPr>
          <w:rFonts w:hint="eastAsia" w:ascii="宋体" w:hAnsi="宋体" w:cs="宋体"/>
          <w:szCs w:val="21"/>
        </w:rPr>
        <w:t xml:space="preserve">JJF 1997-2022</w:t>
      </w:r>
      <w:r>
        <w:rPr>
          <w:rFonts w:hint="eastAsia" w:ascii="宋体" w:hAnsi="宋体" w:cs="宋体"/>
          <w:szCs w:val="21"/>
        </w:rPr>
        <w:fldChar w:fldCharType="end"/>
      </w:r>
      <w:r>
        <w:rPr>
          <w:rFonts w:hint="eastAsia" w:ascii="宋体" w:hAnsi="宋体" w:cs="宋体"/>
          <w:szCs w:val="21"/>
        </w:rPr>
        <w:t xml:space="preserve">《</w:t>
      </w:r>
      <w:r>
        <w:rPr>
          <w:rFonts w:hint="eastAsia" w:ascii="宋体" w:hAnsi="宋体" w:cs="宋体"/>
        </w:rPr>
        <w:fldChar w:fldCharType="begin"/>
      </w:r>
      <w:r>
        <w:rPr>
          <w:rFonts w:hint="eastAsia" w:ascii="宋体" w:hAnsi="宋体" w:cs="宋体"/>
        </w:rPr>
        <w:instrText xml:space="preserve"> HYPERLINK "https://jjg.spc.org.cn/resmea/standard/detail.html?standno=JJF+1997-2022&amp;pageindex=1&amp;rows=10" \t "_blank" </w:instrText>
      </w:r>
      <w:r>
        <w:rPr>
          <w:rFonts w:hint="eastAsia" w:ascii="宋体" w:hAnsi="宋体" w:cs="宋体"/>
        </w:rPr>
        <w:fldChar w:fldCharType="separate"/>
      </w:r>
      <w:r>
        <w:rPr>
          <w:rFonts w:hint="eastAsia" w:ascii="宋体" w:hAnsi="宋体" w:cs="宋体"/>
          <w:szCs w:val="21"/>
        </w:rPr>
        <w:t xml:space="preserve">无创呼吸机校准规范</w:t>
      </w:r>
      <w:r>
        <w:rPr>
          <w:rFonts w:hint="eastAsia" w:ascii="宋体" w:hAnsi="宋体" w:cs="宋体"/>
          <w:szCs w:val="21"/>
        </w:rPr>
        <w:fldChar w:fldCharType="end"/>
      </w:r>
      <w:r>
        <w:rPr>
          <w:rFonts w:hint="eastAsia" w:ascii="宋体" w:hAnsi="宋体" w:cs="宋体"/>
          <w:szCs w:val="21"/>
        </w:rPr>
        <w:t xml:space="preserve">》要求开展呼吸机、转运转呼吸机、无创呼吸机的校准。</w:t>
      </w:r>
      <w:r>
        <w:rPr>
          <w:rFonts w:hint="eastAsia" w:ascii="宋体" w:hAnsi="宋体" w:cs="宋体"/>
          <w:szCs w:val="21"/>
        </w:rPr>
      </w:r>
      <w:r/>
    </w:p>
    <w:p>
      <w:pPr>
        <w:pStyle w:val="1344"/>
        <w:ind w:firstLine="420"/>
        <w:spacing w:line="480" w:lineRule="exact"/>
        <w:rPr>
          <w:rFonts w:hint="eastAsia" w:ascii="宋体" w:hAnsi="宋体" w:cs="宋体"/>
          <w:szCs w:val="21"/>
        </w:rPr>
      </w:pPr>
      <w:r>
        <w:rPr>
          <w:rFonts w:hint="eastAsia" w:ascii="宋体" w:hAnsi="宋体" w:cs="宋体"/>
          <w:szCs w:val="21"/>
        </w:rPr>
        <w:t xml:space="preserve">9.主机应能同时显示潮气量Vti，Vte、呼吸频率、气道峰压、Peep压力、氧气主要呼吸参数，可一次性查看多个测量值，并快速访问菜单选项。 </w:t>
      </w:r>
      <w:r>
        <w:rPr>
          <w:rFonts w:hint="eastAsia" w:ascii="宋体" w:hAnsi="宋体" w:cs="宋体"/>
          <w:szCs w:val="21"/>
        </w:rPr>
      </w:r>
      <w:r/>
    </w:p>
    <w:p>
      <w:pPr>
        <w:pStyle w:val="1344"/>
        <w:ind w:firstLine="422"/>
        <w:spacing w:line="480" w:lineRule="exact"/>
        <w:rPr>
          <w:rFonts w:hint="eastAsia"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10.主机预置麻醉机模块接口，可扩展麻醉模块。</w:t>
      </w:r>
      <w:r>
        <w:rPr>
          <w:rFonts w:hint="eastAsia" w:ascii="宋体" w:hAnsi="宋体" w:cs="宋体"/>
          <w:szCs w:val="21"/>
        </w:rPr>
      </w:r>
      <w:r/>
    </w:p>
    <w:p>
      <w:pPr>
        <w:pStyle w:val="1344"/>
        <w:ind w:firstLine="420"/>
        <w:spacing w:line="480" w:lineRule="exact"/>
        <w:rPr>
          <w:rFonts w:hint="eastAsia" w:ascii="宋体" w:hAnsi="宋体" w:cs="宋体"/>
          <w:szCs w:val="21"/>
        </w:rPr>
      </w:pPr>
      <w:r>
        <w:rPr>
          <w:rFonts w:hint="eastAsia" w:ascii="宋体" w:hAnsi="宋体" w:cs="宋体"/>
          <w:szCs w:val="21"/>
        </w:rPr>
        <w:t xml:space="preserve">11.至少包含以下兼容气体类型：空气、氮气、一氧化二氮 (N</w:t>
      </w:r>
      <w:r>
        <w:rPr>
          <w:rFonts w:hint="eastAsia" w:ascii="宋体" w:hAnsi="宋体" w:cs="宋体"/>
          <w:szCs w:val="21"/>
          <w:vertAlign w:val="subscript"/>
        </w:rPr>
        <w:t xml:space="preserve">2</w:t>
      </w:r>
      <w:r>
        <w:rPr>
          <w:rFonts w:hint="eastAsia" w:ascii="宋体" w:hAnsi="宋体" w:cs="宋体"/>
          <w:szCs w:val="21"/>
        </w:rPr>
        <w:t xml:space="preserve">O)、二氧化碳 (CO</w:t>
      </w:r>
      <w:r>
        <w:rPr>
          <w:rFonts w:hint="eastAsia" w:ascii="宋体" w:hAnsi="宋体" w:cs="宋体"/>
          <w:szCs w:val="21"/>
          <w:vertAlign w:val="subscript"/>
        </w:rPr>
        <w:t xml:space="preserve">2</w:t>
      </w:r>
      <w:r>
        <w:rPr>
          <w:rFonts w:hint="eastAsia" w:ascii="宋体" w:hAnsi="宋体" w:cs="宋体"/>
          <w:szCs w:val="21"/>
        </w:rPr>
        <w:t xml:space="preserve">)、氧气 (O</w:t>
      </w:r>
      <w:r>
        <w:rPr>
          <w:rFonts w:hint="eastAsia" w:ascii="宋体" w:hAnsi="宋体" w:cs="宋体"/>
          <w:szCs w:val="21"/>
          <w:vertAlign w:val="subscript"/>
        </w:rPr>
        <w:t xml:space="preserve">2</w:t>
      </w:r>
      <w:r>
        <w:rPr>
          <w:rFonts w:hint="eastAsia" w:ascii="宋体" w:hAnsi="宋体" w:cs="宋体"/>
          <w:szCs w:val="21"/>
        </w:rPr>
        <w:t xml:space="preserve">)、氩气、氦氧混合气、氧气/氮气、氧气/一氧化二氮、氧气/氦气。</w:t>
      </w:r>
      <w:r>
        <w:rPr>
          <w:rFonts w:hint="eastAsia" w:ascii="宋体" w:hAnsi="宋体" w:cs="宋体"/>
          <w:szCs w:val="21"/>
        </w:rPr>
      </w:r>
      <w:r/>
    </w:p>
    <w:p>
      <w:pPr>
        <w:pStyle w:val="1344"/>
        <w:ind w:firstLine="420"/>
        <w:spacing w:line="480" w:lineRule="exact"/>
        <w:rPr>
          <w:rFonts w:hint="eastAsia" w:ascii="宋体" w:hAnsi="宋体" w:cs="宋体"/>
          <w:szCs w:val="21"/>
        </w:rPr>
      </w:pPr>
      <w:r>
        <w:rPr>
          <w:rFonts w:hint="eastAsia" w:ascii="宋体" w:hAnsi="宋体" w:cs="宋体"/>
          <w:szCs w:val="21"/>
        </w:rPr>
        <w:t xml:space="preserve">12.气体校准模式：ATP、ATPD、ATPS、STP21、STP20、STPD0、STPD20、STP 或 STPD21、BTPS、BTPD。</w:t>
      </w:r>
      <w:r>
        <w:rPr>
          <w:rFonts w:hint="eastAsia" w:ascii="宋体" w:hAnsi="宋体" w:cs="宋体"/>
          <w:szCs w:val="21"/>
        </w:rPr>
      </w:r>
      <w:r/>
    </w:p>
    <w:p>
      <w:pPr>
        <w:pStyle w:val="1344"/>
        <w:ind w:firstLine="420"/>
        <w:spacing w:line="480" w:lineRule="exact"/>
        <w:rPr>
          <w:rFonts w:hint="eastAsia" w:ascii="宋体" w:hAnsi="宋体" w:cs="宋体"/>
          <w:szCs w:val="21"/>
        </w:rPr>
      </w:pPr>
      <w:r>
        <w:rPr>
          <w:rFonts w:hint="eastAsia" w:ascii="宋体" w:hAnsi="宋体" w:cs="宋体"/>
          <w:szCs w:val="21"/>
        </w:rPr>
        <w:t xml:space="preserve">13.每台呼吸机质量检测仪需配备以下配件：呼吸模拟肺、过滤器、呼吸管路及管路适配器，电源适配器，USB串行电缆线等。</w:t>
      </w:r>
      <w:r>
        <w:rPr>
          <w:rFonts w:hint="eastAsia" w:ascii="宋体" w:hAnsi="宋体" w:cs="宋体"/>
          <w:szCs w:val="21"/>
        </w:rPr>
      </w:r>
      <w:r/>
    </w:p>
    <w:p>
      <w:pPr>
        <w:pStyle w:val="1344"/>
        <w:spacing w:line="480" w:lineRule="exact"/>
        <w:rPr>
          <w:rFonts w:hint="eastAsia" w:ascii="宋体" w:hAnsi="宋体" w:cs="宋体"/>
          <w:b/>
          <w:bCs/>
          <w:szCs w:val="21"/>
        </w:rPr>
      </w:pPr>
      <w:r>
        <w:rPr>
          <w:rFonts w:hint="eastAsia" w:ascii="宋体" w:hAnsi="宋体" w:cs="宋体"/>
          <w:b/>
          <w:bCs/>
          <w:szCs w:val="21"/>
        </w:rPr>
        <w:t xml:space="preserve">（三）验收依据、方法及单位</w:t>
      </w:r>
      <w:r>
        <w:rPr>
          <w:rFonts w:hint="eastAsia" w:ascii="宋体" w:hAnsi="宋体" w:cs="宋体"/>
          <w:b/>
          <w:bCs/>
          <w:szCs w:val="21"/>
        </w:rPr>
      </w:r>
      <w:r/>
    </w:p>
    <w:p>
      <w:pPr>
        <w:pStyle w:val="1344"/>
        <w:ind w:firstLine="420"/>
        <w:spacing w:line="480" w:lineRule="exact"/>
        <w:rPr>
          <w:rFonts w:hint="eastAsia" w:ascii="宋体" w:hAnsi="宋体" w:cs="宋体"/>
          <w:szCs w:val="21"/>
        </w:rPr>
      </w:pPr>
      <w:r>
        <w:rPr>
          <w:rFonts w:hint="eastAsia" w:ascii="宋体" w:hAnsi="宋体" w:cs="宋体"/>
          <w:szCs w:val="21"/>
        </w:rPr>
        <w:t xml:space="preserve">1.验收依据：JJF1234-2018《呼吸机校准规范》、</w:t>
      </w:r>
      <w:r>
        <w:rPr>
          <w:rFonts w:hint="eastAsia" w:ascii="宋体" w:hAnsi="宋体" w:cs="宋体"/>
        </w:rPr>
        <w:fldChar w:fldCharType="begin"/>
      </w:r>
      <w:r>
        <w:rPr>
          <w:rFonts w:hint="eastAsia" w:ascii="宋体" w:hAnsi="宋体" w:cs="宋体"/>
        </w:rPr>
        <w:instrText xml:space="preserve"> HYPERLINK "https://jjg.spc.org.cn/resmea/standard/detail.html?standno=JJF+2148-2024&amp;pageindex=1&amp;rows=10" \t "_blank" </w:instrText>
      </w:r>
      <w:r>
        <w:rPr>
          <w:rFonts w:hint="eastAsia" w:ascii="宋体" w:hAnsi="宋体" w:cs="宋体"/>
        </w:rPr>
        <w:fldChar w:fldCharType="separate"/>
      </w:r>
      <w:r>
        <w:rPr>
          <w:rFonts w:hint="eastAsia" w:ascii="宋体" w:hAnsi="宋体" w:cs="宋体"/>
          <w:szCs w:val="21"/>
        </w:rPr>
        <w:t xml:space="preserve">JJF 2148-2024</w:t>
      </w:r>
      <w:r>
        <w:rPr>
          <w:rFonts w:hint="eastAsia" w:ascii="宋体" w:hAnsi="宋体" w:cs="宋体"/>
          <w:szCs w:val="21"/>
        </w:rPr>
        <w:fldChar w:fldCharType="end"/>
      </w:r>
      <w:r>
        <w:rPr>
          <w:rFonts w:hint="eastAsia" w:ascii="宋体" w:hAnsi="宋体" w:cs="宋体"/>
          <w:szCs w:val="21"/>
        </w:rPr>
        <w:t xml:space="preserve">《呼吸机测试仪校准规范》、本技术文件</w:t>
      </w:r>
      <w:r>
        <w:rPr>
          <w:rFonts w:hint="eastAsia" w:ascii="宋体" w:hAnsi="宋体" w:cs="宋体"/>
          <w:szCs w:val="21"/>
        </w:rPr>
      </w:r>
      <w:r/>
    </w:p>
    <w:p>
      <w:pPr>
        <w:pStyle w:val="1344"/>
        <w:ind w:firstLine="420"/>
        <w:spacing w:line="480" w:lineRule="exact"/>
        <w:rPr>
          <w:rFonts w:hint="eastAsia" w:ascii="宋体" w:hAnsi="宋体" w:cs="宋体"/>
          <w:szCs w:val="21"/>
        </w:rPr>
      </w:pPr>
      <w:r>
        <w:rPr>
          <w:rFonts w:hint="eastAsia" w:ascii="宋体" w:hAnsi="宋体" w:cs="宋体"/>
          <w:szCs w:val="21"/>
        </w:rPr>
        <w:t xml:space="preserve">2.卖方负责将设备送检至中国计量科学研究院进行检定/校准，并出具检定/校准证书，检测费用由卖方承担。</w:t>
      </w:r>
      <w:r>
        <w:rPr>
          <w:rFonts w:hint="eastAsia" w:ascii="宋体" w:hAnsi="宋体" w:cs="宋体"/>
          <w:szCs w:val="21"/>
        </w:rPr>
      </w:r>
      <w:r/>
    </w:p>
    <w:p>
      <w:pPr>
        <w:pStyle w:val="1344"/>
        <w:ind w:firstLine="420"/>
        <w:spacing w:line="480" w:lineRule="exact"/>
        <w:rPr>
          <w:rFonts w:hint="eastAsia" w:ascii="宋体" w:hAnsi="宋体" w:cs="宋体"/>
          <w:szCs w:val="21"/>
        </w:rPr>
      </w:pPr>
      <w:r>
        <w:rPr>
          <w:rFonts w:hint="eastAsia" w:ascii="宋体" w:hAnsi="宋体" w:cs="宋体"/>
          <w:szCs w:val="21"/>
        </w:rPr>
        <w:t xml:space="preserve">3.江苏省计量科学研究院根据以上证书、用户手册和本技术文件对整套设备的技术指标和功能进行最终验收。</w:t>
      </w:r>
      <w:r>
        <w:rPr>
          <w:rFonts w:hint="eastAsia" w:ascii="宋体" w:hAnsi="宋体" w:cs="宋体"/>
          <w:szCs w:val="21"/>
        </w:rPr>
      </w:r>
      <w:r/>
    </w:p>
    <w:p>
      <w:pPr>
        <w:pStyle w:val="1344"/>
        <w:spacing w:line="480" w:lineRule="exact"/>
        <w:rPr>
          <w:rFonts w:hint="eastAsia" w:ascii="宋体" w:hAnsi="宋体" w:cs="宋体"/>
          <w:b/>
          <w:bCs/>
          <w:szCs w:val="21"/>
        </w:rPr>
      </w:pPr>
      <w:r>
        <w:rPr>
          <w:rFonts w:hint="eastAsia" w:ascii="宋体" w:hAnsi="宋体" w:cs="宋体"/>
          <w:b/>
          <w:bCs/>
          <w:szCs w:val="21"/>
        </w:rPr>
        <w:t xml:space="preserve">（四）质保期</w:t>
      </w:r>
      <w:r>
        <w:rPr>
          <w:rFonts w:hint="eastAsia" w:ascii="宋体" w:hAnsi="宋体" w:cs="宋体"/>
          <w:b/>
          <w:bCs/>
          <w:szCs w:val="21"/>
        </w:rPr>
      </w:r>
      <w:r/>
    </w:p>
    <w:p>
      <w:pPr>
        <w:pStyle w:val="1344"/>
        <w:ind w:firstLine="420"/>
        <w:jc w:val="left"/>
        <w:spacing w:line="480" w:lineRule="exact"/>
        <w:rPr>
          <w:rFonts w:hint="eastAsia" w:ascii="宋体" w:hAnsi="宋体" w:cs="宋体"/>
          <w:szCs w:val="21"/>
        </w:rPr>
      </w:pPr>
      <w:r>
        <w:rPr>
          <w:rFonts w:hint="eastAsia" w:ascii="宋体" w:hAnsi="宋体" w:cs="宋体"/>
          <w:szCs w:val="21"/>
        </w:rPr>
        <w:t xml:space="preserve">★1.呼吸机质量检测仪的质保期为验收合格之日起1年。</w:t>
      </w:r>
      <w:r>
        <w:rPr>
          <w:rFonts w:hint="eastAsia" w:ascii="宋体" w:hAnsi="宋体" w:cs="宋体"/>
          <w:szCs w:val="21"/>
        </w:rPr>
      </w:r>
      <w:r/>
    </w:p>
    <w:p>
      <w:pPr>
        <w:pStyle w:val="1344"/>
        <w:jc w:val="center"/>
        <w:spacing w:line="480" w:lineRule="exact"/>
        <w:rPr>
          <w:rFonts w:ascii="宋体" w:hAnsi="宋体" w:cs="宋体"/>
          <w:b/>
          <w:bCs/>
          <w:szCs w:val="21"/>
        </w:rPr>
        <w:outlineLvl w:val="1"/>
      </w:pPr>
      <w:r/>
      <w:bookmarkStart w:id="321" w:name="_Toc30094"/>
      <w:r/>
      <w:bookmarkStart w:id="322" w:name="_Toc14187"/>
      <w:r>
        <w:rPr>
          <w:rFonts w:hint="eastAsia" w:ascii="宋体" w:hAnsi="宋体" w:cs="宋体"/>
          <w:b/>
          <w:szCs w:val="21"/>
        </w:rPr>
        <w:t xml:space="preserve">品目</w:t>
      </w:r>
      <w:r>
        <w:rPr>
          <w:rFonts w:hint="eastAsia" w:ascii="宋体" w:hAnsi="宋体" w:cs="宋体"/>
          <w:b/>
          <w:bCs/>
          <w:szCs w:val="21"/>
        </w:rPr>
        <w:t xml:space="preserve">5 无创血压模拟仪</w:t>
      </w:r>
      <w:bookmarkEnd w:id="321"/>
      <w:r/>
      <w:bookmarkEnd w:id="322"/>
      <w:r>
        <w:rPr>
          <w:rFonts w:ascii="宋体" w:hAnsi="宋体" w:cs="宋体"/>
          <w:b/>
          <w:bCs/>
          <w:szCs w:val="21"/>
        </w:rPr>
      </w:r>
      <w:r/>
    </w:p>
    <w:p>
      <w:pPr>
        <w:pStyle w:val="1344"/>
        <w:spacing w:line="480" w:lineRule="exact"/>
        <w:tabs>
          <w:tab w:val="left" w:pos="4500" w:leader="none"/>
          <w:tab w:val="left" w:pos="4680" w:leader="none"/>
        </w:tabs>
        <w:rPr>
          <w:rFonts w:ascii="宋体" w:hAnsi="宋体" w:cs="宋体"/>
          <w:b/>
          <w:bCs/>
          <w:szCs w:val="21"/>
        </w:rPr>
      </w:pPr>
      <w:r>
        <w:rPr>
          <w:rFonts w:hint="eastAsia" w:ascii="宋体" w:hAnsi="宋体" w:cs="宋体"/>
          <w:b/>
          <w:bCs/>
          <w:szCs w:val="21"/>
        </w:rPr>
        <w:t xml:space="preserve">★（一）设备及明细配置清单</w:t>
      </w:r>
      <w:r>
        <w:rPr>
          <w:rFonts w:ascii="宋体" w:hAnsi="宋体" w:cs="宋体"/>
          <w:b/>
          <w:bCs/>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3634"/>
        <w:gridCol w:w="1147"/>
        <w:gridCol w:w="3461"/>
      </w:tblGrid>
      <w:tr>
        <w:trPr>
          <w:trHeight w:val="389"/>
        </w:trPr>
        <w:tc>
          <w:tcPr>
            <w:tcW w:w="816" w:type="dxa"/>
            <w:vAlign w:val="center"/>
            <w:textDirection w:val="lrTb"/>
            <w:noWrap w:val="false"/>
          </w:tcPr>
          <w:p>
            <w:pPr>
              <w:pStyle w:val="1344"/>
              <w:ind w:right="141"/>
              <w:jc w:val="center"/>
              <w:spacing w:line="480" w:lineRule="exact"/>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844"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设备名称</w:t>
            </w:r>
            <w:r>
              <w:rPr>
                <w:rFonts w:ascii="宋体" w:hAnsi="宋体" w:cs="宋体"/>
                <w:szCs w:val="21"/>
              </w:rPr>
            </w:r>
            <w:r/>
          </w:p>
        </w:tc>
        <w:tc>
          <w:tcPr>
            <w:tcW w:w="582"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数 量</w:t>
            </w:r>
            <w:r>
              <w:rPr>
                <w:rFonts w:ascii="宋体" w:hAnsi="宋体" w:cs="宋体"/>
                <w:szCs w:val="21"/>
              </w:rPr>
            </w:r>
            <w:r/>
          </w:p>
        </w:tc>
        <w:tc>
          <w:tcPr>
            <w:tcW w:w="1756"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合同履行期限（交货期）</w:t>
            </w:r>
            <w:r>
              <w:rPr>
                <w:rFonts w:ascii="宋体" w:hAnsi="宋体" w:cs="宋体"/>
                <w:szCs w:val="21"/>
              </w:rPr>
            </w:r>
            <w:r/>
          </w:p>
        </w:tc>
      </w:tr>
      <w:tr>
        <w:trPr>
          <w:cantSplit/>
          <w:trHeight w:val="454"/>
        </w:trPr>
        <w:tc>
          <w:tcPr>
            <w:tcW w:w="816"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844"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无创血压模拟仪</w:t>
            </w:r>
            <w:r>
              <w:rPr>
                <w:rFonts w:ascii="宋体" w:hAnsi="宋体" w:cs="宋体"/>
                <w:szCs w:val="21"/>
              </w:rPr>
            </w:r>
            <w:r/>
          </w:p>
        </w:tc>
        <w:tc>
          <w:tcPr>
            <w:tcW w:w="582" w:type="dxa"/>
            <w:vAlign w:val="center"/>
            <w:textDirection w:val="lrTb"/>
            <w:noWrap w:val="false"/>
          </w:tcPr>
          <w:p>
            <w:pPr>
              <w:pStyle w:val="1344"/>
              <w:jc w:val="center"/>
              <w:keepNext/>
              <w:spacing w:line="480" w:lineRule="exact"/>
              <w:rPr>
                <w:rFonts w:ascii="宋体" w:hAnsi="宋体" w:cs="宋体"/>
                <w:szCs w:val="21"/>
              </w:rPr>
              <w:outlineLvl w:val="0"/>
            </w:pPr>
            <w:r/>
            <w:bookmarkStart w:id="323" w:name="_Toc11106"/>
            <w:r/>
            <w:bookmarkStart w:id="324" w:name="_Toc18373"/>
            <w:r>
              <w:rPr>
                <w:rFonts w:hint="eastAsia" w:ascii="宋体" w:hAnsi="宋体" w:cs="宋体"/>
                <w:szCs w:val="21"/>
              </w:rPr>
              <w:t xml:space="preserve">1</w:t>
            </w:r>
            <w:bookmarkEnd w:id="323"/>
            <w:r>
              <w:rPr>
                <w:rFonts w:hint="eastAsia" w:ascii="宋体" w:hAnsi="宋体" w:cs="宋体"/>
                <w:szCs w:val="21"/>
              </w:rPr>
              <w:t xml:space="preserve">台</w:t>
            </w:r>
            <w:bookmarkEnd w:id="324"/>
            <w:r>
              <w:rPr>
                <w:rFonts w:ascii="宋体" w:hAnsi="宋体" w:cs="宋体"/>
                <w:szCs w:val="21"/>
              </w:rPr>
            </w:r>
            <w:r/>
          </w:p>
        </w:tc>
        <w:tc>
          <w:tcPr>
            <w:tcW w:w="1756"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合同签订后</w:t>
            </w:r>
            <w:r>
              <w:rPr>
                <w:rFonts w:ascii="宋体" w:hAnsi="宋体" w:cs="宋体"/>
                <w:szCs w:val="21"/>
              </w:rPr>
              <w:t xml:space="preserve">6</w:t>
            </w:r>
            <w:r>
              <w:rPr>
                <w:rFonts w:hint="eastAsia" w:ascii="宋体" w:hAnsi="宋体" w:cs="宋体"/>
                <w:szCs w:val="21"/>
              </w:rPr>
              <w:t xml:space="preserve">个月</w:t>
            </w:r>
            <w:r>
              <w:rPr>
                <w:rFonts w:ascii="宋体" w:hAnsi="宋体" w:cs="宋体"/>
                <w:szCs w:val="21"/>
              </w:rPr>
            </w:r>
            <w:r/>
          </w:p>
        </w:tc>
      </w:tr>
    </w:tbl>
    <w:p>
      <w:pPr>
        <w:pStyle w:val="1344"/>
        <w:spacing w:line="480" w:lineRule="exact"/>
        <w:rPr>
          <w:rFonts w:ascii="宋体" w:hAnsi="宋体" w:cs="宋体"/>
          <w:b/>
          <w:bCs/>
          <w:szCs w:val="21"/>
        </w:rPr>
      </w:pPr>
      <w:r>
        <w:rPr>
          <w:rFonts w:hint="eastAsia" w:ascii="宋体" w:hAnsi="宋体" w:cs="宋体"/>
          <w:b/>
          <w:bCs/>
          <w:szCs w:val="21"/>
        </w:rPr>
        <w:t xml:space="preserve">（二）技术指标及功能要求</w:t>
      </w:r>
      <w:r>
        <w:rPr>
          <w:rFonts w:ascii="宋体" w:hAnsi="宋体" w:cs="宋体"/>
          <w:b/>
          <w:bCs/>
          <w:szCs w:val="21"/>
        </w:rPr>
      </w:r>
      <w:r/>
    </w:p>
    <w:p>
      <w:pPr>
        <w:pStyle w:val="1344"/>
        <w:ind w:firstLine="420"/>
        <w:spacing w:line="480" w:lineRule="exact"/>
        <w:rPr>
          <w:rFonts w:hint="eastAsia" w:ascii="宋体" w:hAnsi="宋体" w:cs="宋体"/>
          <w:szCs w:val="21"/>
        </w:rPr>
      </w:pPr>
      <w:r>
        <w:rPr>
          <w:rFonts w:hint="eastAsia" w:ascii="宋体" w:hAnsi="宋体" w:cs="宋体"/>
          <w:szCs w:val="21"/>
        </w:rPr>
        <w:t xml:space="preserve">★1.静态压力：测量范围（0.0～53.3）kPa，最大允许误差：±0.1kPa（±0.75mmHg）；</w:t>
      </w:r>
      <w:r>
        <w:rPr>
          <w:rFonts w:hint="eastAsia" w:ascii="宋体" w:hAnsi="宋体" w:cs="宋体"/>
          <w:szCs w:val="21"/>
        </w:rPr>
      </w:r>
      <w:r/>
    </w:p>
    <w:p>
      <w:pPr>
        <w:pStyle w:val="1344"/>
        <w:ind w:firstLine="420"/>
        <w:spacing w:line="480" w:lineRule="exact"/>
        <w:rPr>
          <w:rFonts w:hint="eastAsia" w:ascii="宋体" w:hAnsi="宋体" w:cs="宋体"/>
          <w:szCs w:val="21"/>
        </w:rPr>
      </w:pPr>
      <w:r>
        <w:rPr>
          <w:rFonts w:hint="eastAsia" w:ascii="宋体" w:hAnsi="宋体" w:cs="宋体"/>
          <w:szCs w:val="21"/>
        </w:rPr>
        <w:t xml:space="preserve">2.模拟血压范围：成人模式：收缩压：（6.7～34.0）kPa，舒张压：（4.0～26.0）kPa；新生儿模式：收缩压：（4.0～16.0）kPa，舒张压：（1.3～13.3）kPa；</w:t>
      </w:r>
      <w:r>
        <w:rPr>
          <w:rFonts w:hint="eastAsia" w:ascii="宋体" w:hAnsi="宋体" w:cs="宋体"/>
          <w:szCs w:val="21"/>
        </w:rPr>
      </w:r>
      <w:r/>
    </w:p>
    <w:p>
      <w:pPr>
        <w:pStyle w:val="1344"/>
        <w:ind w:firstLine="420"/>
        <w:spacing w:line="480" w:lineRule="exact"/>
        <w:rPr>
          <w:rFonts w:hint="eastAsia" w:ascii="宋体" w:hAnsi="宋体" w:cs="宋体"/>
          <w:szCs w:val="21"/>
        </w:rPr>
      </w:pPr>
      <w:r>
        <w:rPr>
          <w:rFonts w:hint="eastAsia" w:ascii="宋体" w:hAnsi="宋体" w:cs="宋体"/>
          <w:szCs w:val="21"/>
        </w:rPr>
        <w:t xml:space="preserve">3.血压示值重复性：不大于0.3kPa（模拟脉搏波幅值变动性不超过10%）；</w:t>
      </w:r>
      <w:r>
        <w:rPr>
          <w:rFonts w:hint="eastAsia" w:ascii="宋体" w:hAnsi="宋体" w:cs="宋体"/>
          <w:szCs w:val="21"/>
        </w:rPr>
      </w:r>
      <w:r/>
    </w:p>
    <w:p>
      <w:pPr>
        <w:pStyle w:val="1344"/>
        <w:ind w:firstLine="420"/>
        <w:spacing w:line="480" w:lineRule="exact"/>
        <w:rPr>
          <w:rFonts w:hint="eastAsia" w:ascii="宋体" w:hAnsi="宋体" w:cs="宋体"/>
          <w:szCs w:val="21"/>
        </w:rPr>
      </w:pPr>
      <w:r>
        <w:rPr>
          <w:rFonts w:hint="eastAsia" w:ascii="宋体" w:hAnsi="宋体" w:cs="宋体"/>
          <w:szCs w:val="21"/>
        </w:rPr>
        <w:t xml:space="preserve">4.脉率：测量范围：（30～200）次/min，最大允许误差：±（1%读数＋1次/min）；</w:t>
      </w:r>
      <w:r>
        <w:rPr>
          <w:rFonts w:hint="eastAsia" w:ascii="宋体" w:hAnsi="宋体" w:cs="宋体"/>
          <w:szCs w:val="21"/>
        </w:rPr>
      </w:r>
      <w:r/>
    </w:p>
    <w:p>
      <w:pPr>
        <w:pStyle w:val="1344"/>
        <w:ind w:firstLine="420"/>
        <w:spacing w:line="480" w:lineRule="exact"/>
        <w:rPr>
          <w:rFonts w:hint="eastAsia" w:ascii="宋体" w:hAnsi="宋体" w:cs="宋体"/>
          <w:szCs w:val="21"/>
        </w:rPr>
      </w:pPr>
      <w:r>
        <w:rPr>
          <w:rFonts w:hint="eastAsia" w:ascii="宋体" w:hAnsi="宋体" w:cs="宋体"/>
          <w:szCs w:val="21"/>
        </w:rPr>
        <w:t xml:space="preserve">5.气密性：不大于0.3kPa/min。</w:t>
      </w:r>
      <w:r>
        <w:rPr>
          <w:rFonts w:hint="eastAsia" w:ascii="宋体" w:hAnsi="宋体" w:cs="宋体"/>
          <w:szCs w:val="21"/>
        </w:rPr>
      </w:r>
      <w:r/>
    </w:p>
    <w:p>
      <w:pPr>
        <w:pStyle w:val="1344"/>
        <w:spacing w:line="480" w:lineRule="exact"/>
        <w:rPr>
          <w:rFonts w:hint="eastAsia" w:ascii="宋体" w:hAnsi="宋体" w:cs="宋体"/>
          <w:b/>
          <w:bCs/>
          <w:szCs w:val="21"/>
        </w:rPr>
      </w:pPr>
      <w:r>
        <w:rPr>
          <w:rFonts w:hint="eastAsia" w:ascii="宋体" w:hAnsi="宋体" w:cs="宋体"/>
          <w:b/>
          <w:bCs/>
          <w:szCs w:val="21"/>
        </w:rPr>
        <w:t xml:space="preserve">（三）验收依据、方法及单位</w:t>
      </w:r>
      <w:r>
        <w:rPr>
          <w:rFonts w:hint="eastAsia" w:ascii="宋体" w:hAnsi="宋体" w:cs="宋体"/>
          <w:b/>
          <w:bCs/>
          <w:szCs w:val="21"/>
        </w:rPr>
      </w:r>
      <w:r/>
    </w:p>
    <w:p>
      <w:pPr>
        <w:pStyle w:val="1344"/>
        <w:ind w:firstLine="420"/>
        <w:spacing w:line="480" w:lineRule="exact"/>
        <w:rPr>
          <w:rFonts w:hint="eastAsia" w:ascii="宋体" w:hAnsi="宋体" w:cs="宋体"/>
          <w:szCs w:val="21"/>
        </w:rPr>
      </w:pPr>
      <w:r>
        <w:rPr>
          <w:rFonts w:hint="eastAsia" w:ascii="宋体" w:hAnsi="宋体" w:cs="宋体"/>
          <w:szCs w:val="21"/>
        </w:rPr>
        <w:t xml:space="preserve">1.验收依据：JJG 1626—2017《血压模拟器校准规范》、厂家技术说明书、本技术文件。</w:t>
      </w:r>
      <w:r>
        <w:rPr>
          <w:rFonts w:hint="eastAsia" w:ascii="宋体" w:hAnsi="宋体" w:cs="宋体"/>
          <w:szCs w:val="21"/>
        </w:rPr>
      </w:r>
      <w:r/>
    </w:p>
    <w:p>
      <w:pPr>
        <w:pStyle w:val="1344"/>
        <w:ind w:firstLine="420"/>
        <w:jc w:val="left"/>
        <w:spacing w:line="480" w:lineRule="exact"/>
        <w:rPr>
          <w:rFonts w:hint="eastAsia" w:ascii="宋体" w:hAnsi="宋体" w:cs="宋体"/>
          <w:szCs w:val="21"/>
        </w:rPr>
      </w:pPr>
      <w:r>
        <w:rPr>
          <w:rFonts w:hint="eastAsia" w:ascii="宋体" w:hAnsi="宋体" w:cs="宋体"/>
          <w:szCs w:val="21"/>
        </w:rPr>
        <w:t xml:space="preserve">2.卖方负责将设备送检至省级及以上计量技术机构进行检定/校准，并出具检定/校准证书，检测费用由卖方承担。</w:t>
      </w:r>
      <w:r>
        <w:rPr>
          <w:rFonts w:hint="eastAsia" w:ascii="宋体" w:hAnsi="宋体" w:cs="宋体"/>
          <w:szCs w:val="21"/>
        </w:rPr>
      </w:r>
      <w:r/>
    </w:p>
    <w:p>
      <w:pPr>
        <w:pStyle w:val="1344"/>
        <w:ind w:firstLine="420"/>
        <w:spacing w:line="480" w:lineRule="exact"/>
        <w:rPr>
          <w:rFonts w:hint="eastAsia" w:ascii="宋体" w:hAnsi="宋体" w:cs="宋体"/>
          <w:szCs w:val="21"/>
        </w:rPr>
      </w:pPr>
      <w:r>
        <w:rPr>
          <w:rFonts w:hint="eastAsia" w:ascii="宋体" w:hAnsi="宋体" w:cs="宋体"/>
          <w:szCs w:val="21"/>
        </w:rPr>
        <w:t xml:space="preserve">3.江苏省计量科学研究院根据以上证书、用户手册和本技术文件对整套设备的技术指标和功能进行最终验收。</w:t>
      </w:r>
      <w:r>
        <w:rPr>
          <w:rFonts w:hint="eastAsia" w:ascii="宋体" w:hAnsi="宋体" w:cs="宋体"/>
          <w:szCs w:val="21"/>
        </w:rPr>
      </w:r>
      <w:r/>
    </w:p>
    <w:p>
      <w:pPr>
        <w:pStyle w:val="1344"/>
        <w:spacing w:line="480" w:lineRule="exact"/>
        <w:rPr>
          <w:rFonts w:hint="eastAsia" w:ascii="宋体" w:hAnsi="宋体" w:cs="宋体"/>
          <w:b/>
          <w:bCs/>
          <w:szCs w:val="21"/>
        </w:rPr>
      </w:pPr>
      <w:r>
        <w:rPr>
          <w:rFonts w:hint="eastAsia" w:ascii="宋体" w:hAnsi="宋体" w:cs="宋体"/>
          <w:b/>
          <w:bCs/>
          <w:szCs w:val="21"/>
        </w:rPr>
        <w:t xml:space="preserve">（四）质保期</w:t>
      </w:r>
      <w:r>
        <w:rPr>
          <w:rFonts w:hint="eastAsia" w:ascii="宋体" w:hAnsi="宋体" w:cs="宋体"/>
          <w:b/>
          <w:bCs/>
          <w:szCs w:val="21"/>
        </w:rPr>
      </w:r>
      <w:r/>
    </w:p>
    <w:p>
      <w:pPr>
        <w:pStyle w:val="1344"/>
        <w:ind w:firstLine="420"/>
        <w:spacing w:line="480" w:lineRule="exact"/>
        <w:rPr>
          <w:rFonts w:hint="eastAsia" w:ascii="宋体" w:hAnsi="宋体" w:cs="宋体"/>
          <w:szCs w:val="21"/>
        </w:rPr>
      </w:pPr>
      <w:r>
        <w:rPr>
          <w:rFonts w:hint="eastAsia" w:ascii="宋体" w:hAnsi="宋体" w:cs="宋体"/>
          <w:szCs w:val="21"/>
        </w:rPr>
        <w:t xml:space="preserve">★1.无创血压模拟仪的质保期为验收合格之日起2年。</w:t>
      </w:r>
      <w:r>
        <w:rPr>
          <w:rFonts w:hint="eastAsia" w:ascii="宋体" w:hAnsi="宋体" w:cs="宋体"/>
          <w:szCs w:val="21"/>
        </w:rPr>
      </w:r>
      <w:r/>
    </w:p>
    <w:p>
      <w:pPr>
        <w:pStyle w:val="1344"/>
        <w:jc w:val="center"/>
        <w:spacing w:line="480" w:lineRule="exact"/>
        <w:tabs>
          <w:tab w:val="left" w:pos="4500" w:leader="none"/>
          <w:tab w:val="left" w:pos="4680" w:leader="none"/>
        </w:tabs>
        <w:rPr>
          <w:rFonts w:ascii="宋体" w:hAnsi="宋体" w:cs="宋体"/>
          <w:b/>
          <w:bCs/>
          <w:szCs w:val="21"/>
        </w:rPr>
        <w:outlineLvl w:val="1"/>
      </w:pPr>
      <w:r/>
      <w:bookmarkStart w:id="325" w:name="_Toc25525"/>
      <w:r/>
      <w:bookmarkStart w:id="326" w:name="_Toc13703"/>
      <w:r>
        <w:rPr>
          <w:rFonts w:hint="eastAsia" w:ascii="宋体" w:hAnsi="宋体" w:cs="宋体"/>
          <w:b/>
          <w:szCs w:val="21"/>
        </w:rPr>
        <w:t xml:space="preserve">品目</w:t>
      </w:r>
      <w:r>
        <w:rPr>
          <w:rFonts w:hint="eastAsia" w:ascii="宋体" w:hAnsi="宋体" w:cs="宋体"/>
          <w:b/>
          <w:bCs/>
          <w:szCs w:val="21"/>
        </w:rPr>
        <w:t xml:space="preserve">6 影像测量仪（医用磁共振成像模体）</w:t>
      </w:r>
      <w:bookmarkEnd w:id="325"/>
      <w:r/>
      <w:bookmarkEnd w:id="326"/>
      <w:r>
        <w:rPr>
          <w:rFonts w:ascii="宋体" w:hAnsi="宋体" w:cs="宋体"/>
          <w:b/>
          <w:bCs/>
          <w:szCs w:val="21"/>
        </w:rPr>
      </w:r>
      <w:r/>
    </w:p>
    <w:p>
      <w:pPr>
        <w:pStyle w:val="1344"/>
        <w:spacing w:line="480" w:lineRule="exact"/>
        <w:tabs>
          <w:tab w:val="left" w:pos="4500" w:leader="none"/>
          <w:tab w:val="left" w:pos="4680" w:leader="none"/>
        </w:tabs>
        <w:rPr>
          <w:rFonts w:ascii="宋体" w:hAnsi="宋体" w:cs="宋体"/>
          <w:b/>
          <w:bCs/>
          <w:szCs w:val="21"/>
        </w:rPr>
      </w:pPr>
      <w:r>
        <w:rPr>
          <w:rFonts w:hint="eastAsia" w:ascii="宋体" w:hAnsi="宋体" w:cs="宋体"/>
          <w:b/>
          <w:bCs/>
          <w:szCs w:val="21"/>
        </w:rPr>
        <w:t xml:space="preserve">★（一）设备及明细配置清单</w:t>
      </w:r>
      <w:r>
        <w:rPr>
          <w:rFonts w:ascii="宋体" w:hAnsi="宋体" w:cs="宋体"/>
          <w:b/>
          <w:bCs/>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0"/>
        <w:gridCol w:w="4553"/>
        <w:gridCol w:w="1070"/>
        <w:gridCol w:w="3027"/>
      </w:tblGrid>
      <w:tr>
        <w:trPr>
          <w:trHeight w:val="389"/>
        </w:trPr>
        <w:tc>
          <w:tcPr>
            <w:tcW w:w="609" w:type="dxa"/>
            <w:vAlign w:val="center"/>
            <w:textDirection w:val="lrTb"/>
            <w:noWrap w:val="false"/>
          </w:tcPr>
          <w:p>
            <w:pPr>
              <w:pStyle w:val="1344"/>
              <w:jc w:val="center"/>
              <w:spacing w:line="480" w:lineRule="exact"/>
              <w:rPr>
                <w:rFonts w:ascii="宋体" w:hAnsi="宋体" w:cs="宋体"/>
              </w:rPr>
            </w:pPr>
            <w:r>
              <w:rPr>
                <w:rFonts w:hint="eastAsia" w:ascii="宋体" w:hAnsi="宋体" w:cs="宋体"/>
              </w:rPr>
              <w:t xml:space="preserve">序号</w:t>
            </w:r>
            <w:r>
              <w:rPr>
                <w:rFonts w:ascii="宋体" w:hAnsi="宋体" w:cs="宋体"/>
              </w:rPr>
            </w:r>
            <w:r/>
          </w:p>
        </w:tc>
        <w:tc>
          <w:tcPr>
            <w:tcW w:w="2310" w:type="dxa"/>
            <w:vAlign w:val="center"/>
            <w:textDirection w:val="lrTb"/>
            <w:noWrap w:val="false"/>
          </w:tcPr>
          <w:p>
            <w:pPr>
              <w:pStyle w:val="1344"/>
              <w:jc w:val="center"/>
              <w:spacing w:line="480" w:lineRule="exact"/>
              <w:rPr>
                <w:rFonts w:ascii="宋体" w:hAnsi="宋体" w:cs="宋体"/>
              </w:rPr>
            </w:pPr>
            <w:r>
              <w:rPr>
                <w:rFonts w:hint="eastAsia" w:ascii="宋体" w:hAnsi="宋体" w:cs="宋体"/>
              </w:rPr>
              <w:t xml:space="preserve">设备名称</w:t>
            </w:r>
            <w:r>
              <w:rPr>
                <w:rFonts w:ascii="宋体" w:hAnsi="宋体" w:cs="宋体"/>
              </w:rPr>
            </w:r>
            <w:r/>
          </w:p>
        </w:tc>
        <w:tc>
          <w:tcPr>
            <w:tcW w:w="543" w:type="dxa"/>
            <w:vAlign w:val="center"/>
            <w:textDirection w:val="lrTb"/>
            <w:noWrap w:val="false"/>
          </w:tcPr>
          <w:p>
            <w:pPr>
              <w:pStyle w:val="1344"/>
              <w:jc w:val="center"/>
              <w:spacing w:line="480" w:lineRule="exact"/>
              <w:rPr>
                <w:rFonts w:ascii="宋体" w:hAnsi="宋体" w:cs="宋体"/>
              </w:rPr>
            </w:pPr>
            <w:r>
              <w:rPr>
                <w:rFonts w:hint="eastAsia" w:ascii="宋体" w:hAnsi="宋体" w:cs="宋体"/>
              </w:rPr>
              <w:t xml:space="preserve">数 量</w:t>
            </w:r>
            <w:r>
              <w:rPr>
                <w:rFonts w:ascii="宋体" w:hAnsi="宋体" w:cs="宋体"/>
              </w:rPr>
            </w:r>
            <w:r/>
          </w:p>
        </w:tc>
        <w:tc>
          <w:tcPr>
            <w:tcW w:w="1536" w:type="dxa"/>
            <w:vAlign w:val="center"/>
            <w:textDirection w:val="lrTb"/>
            <w:noWrap w:val="false"/>
          </w:tcPr>
          <w:p>
            <w:pPr>
              <w:pStyle w:val="1344"/>
              <w:jc w:val="center"/>
              <w:spacing w:line="480" w:lineRule="exact"/>
              <w:rPr>
                <w:rFonts w:ascii="宋体" w:hAnsi="宋体" w:cs="宋体"/>
              </w:rPr>
            </w:pPr>
            <w:r>
              <w:rPr>
                <w:rFonts w:hint="eastAsia" w:ascii="宋体" w:hAnsi="宋体" w:cs="宋体"/>
              </w:rPr>
              <w:t xml:space="preserve">合同履行期限（交货期）</w:t>
            </w:r>
            <w:r>
              <w:rPr>
                <w:rFonts w:ascii="宋体" w:hAnsi="宋体" w:cs="宋体"/>
              </w:rPr>
            </w:r>
            <w:r/>
          </w:p>
        </w:tc>
      </w:tr>
      <w:tr>
        <w:trPr>
          <w:cantSplit/>
          <w:trHeight w:val="454"/>
        </w:trPr>
        <w:tc>
          <w:tcPr>
            <w:tcW w:w="609" w:type="dxa"/>
            <w:vAlign w:val="center"/>
            <w:textDirection w:val="lrTb"/>
            <w:noWrap w:val="false"/>
          </w:tcPr>
          <w:p>
            <w:pPr>
              <w:pStyle w:val="1344"/>
              <w:jc w:val="center"/>
              <w:spacing w:line="480" w:lineRule="exact"/>
              <w:rPr>
                <w:rFonts w:ascii="宋体" w:hAnsi="宋体" w:cs="宋体"/>
              </w:rPr>
            </w:pPr>
            <w:r>
              <w:rPr>
                <w:rFonts w:hint="eastAsia" w:ascii="宋体" w:hAnsi="宋体" w:cs="宋体"/>
              </w:rPr>
              <w:t xml:space="preserve">1</w:t>
            </w:r>
            <w:r>
              <w:rPr>
                <w:rFonts w:ascii="宋体" w:hAnsi="宋体" w:cs="宋体"/>
              </w:rPr>
            </w:r>
            <w:r/>
          </w:p>
        </w:tc>
        <w:tc>
          <w:tcPr>
            <w:tcW w:w="2310" w:type="dxa"/>
            <w:vAlign w:val="center"/>
            <w:textDirection w:val="lrTb"/>
            <w:noWrap w:val="false"/>
          </w:tcPr>
          <w:p>
            <w:pPr>
              <w:pStyle w:val="1344"/>
              <w:jc w:val="center"/>
              <w:spacing w:line="480" w:lineRule="exact"/>
              <w:rPr>
                <w:rFonts w:ascii="宋体" w:hAnsi="宋体" w:cs="宋体"/>
              </w:rPr>
            </w:pPr>
            <w:r>
              <w:rPr>
                <w:rFonts w:hint="eastAsia" w:ascii="宋体" w:hAnsi="宋体" w:cs="宋体"/>
              </w:rPr>
              <w:t xml:space="preserve">影像测量仪（医用磁共振成像模体）</w:t>
            </w:r>
            <w:r>
              <w:rPr>
                <w:rFonts w:ascii="宋体" w:hAnsi="宋体" w:cs="宋体"/>
              </w:rPr>
            </w:r>
            <w:r/>
          </w:p>
        </w:tc>
        <w:tc>
          <w:tcPr>
            <w:tcW w:w="543" w:type="dxa"/>
            <w:vAlign w:val="center"/>
            <w:textDirection w:val="lrTb"/>
            <w:noWrap w:val="false"/>
          </w:tcPr>
          <w:p>
            <w:pPr>
              <w:pStyle w:val="1344"/>
              <w:jc w:val="center"/>
              <w:spacing w:line="480" w:lineRule="exact"/>
              <w:rPr>
                <w:rFonts w:ascii="宋体" w:hAnsi="宋体" w:cs="宋体"/>
              </w:rPr>
            </w:pPr>
            <w:r>
              <w:rPr>
                <w:rFonts w:hint="eastAsia" w:ascii="宋体" w:hAnsi="宋体" w:cs="宋体"/>
              </w:rPr>
              <w:t xml:space="preserve">1台</w:t>
            </w:r>
            <w:r>
              <w:rPr>
                <w:rFonts w:ascii="宋体" w:hAnsi="宋体" w:cs="宋体"/>
              </w:rPr>
            </w:r>
            <w:r/>
          </w:p>
        </w:tc>
        <w:tc>
          <w:tcPr>
            <w:tcW w:w="1536" w:type="dxa"/>
            <w:vAlign w:val="center"/>
            <w:textDirection w:val="lrTb"/>
            <w:noWrap w:val="false"/>
          </w:tcPr>
          <w:p>
            <w:pPr>
              <w:pStyle w:val="1344"/>
              <w:jc w:val="center"/>
              <w:spacing w:line="480" w:lineRule="exact"/>
              <w:rPr>
                <w:rFonts w:ascii="宋体" w:hAnsi="宋体" w:cs="宋体"/>
              </w:rPr>
            </w:pPr>
            <w:r>
              <w:rPr>
                <w:rFonts w:hint="eastAsia" w:ascii="宋体" w:hAnsi="宋体" w:cs="宋体"/>
              </w:rPr>
              <w:t xml:space="preserve">合同签订后</w:t>
            </w:r>
            <w:r>
              <w:rPr>
                <w:rFonts w:ascii="宋体" w:hAnsi="宋体" w:cs="宋体"/>
              </w:rPr>
              <w:t xml:space="preserve">6</w:t>
            </w:r>
            <w:r>
              <w:rPr>
                <w:rFonts w:hint="eastAsia" w:ascii="宋体" w:hAnsi="宋体" w:cs="宋体"/>
              </w:rPr>
              <w:t xml:space="preserve">个月</w:t>
            </w:r>
            <w:r>
              <w:rPr>
                <w:rFonts w:ascii="宋体" w:hAnsi="宋体" w:cs="宋体"/>
              </w:rPr>
            </w:r>
            <w:r/>
          </w:p>
        </w:tc>
      </w:tr>
    </w:tbl>
    <w:p>
      <w:pPr>
        <w:pStyle w:val="1344"/>
        <w:spacing w:line="480" w:lineRule="exact"/>
        <w:rPr>
          <w:rFonts w:ascii="宋体" w:hAnsi="宋体" w:cs="宋体"/>
          <w:b/>
          <w:bCs/>
          <w:szCs w:val="21"/>
        </w:rPr>
      </w:pPr>
      <w:r>
        <w:rPr>
          <w:rFonts w:hint="eastAsia" w:ascii="宋体" w:hAnsi="宋体" w:cs="宋体"/>
          <w:b/>
          <w:bCs/>
          <w:szCs w:val="21"/>
        </w:rPr>
        <w:t xml:space="preserve">（二）技术指标及功能要求</w:t>
      </w:r>
      <w:r>
        <w:rPr>
          <w:rFonts w:ascii="宋体" w:hAnsi="宋体" w:cs="宋体"/>
          <w:b/>
          <w:bCs/>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★1.空间分辨力模块：范围（1～10）Lp/cm，最大允许误差：±0.1Lp/cm。 </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2.密度分辨力模块包含圆孔深度标称值0.5mm、直径4.0mm的圆孔，标称最小圆孔直径不大于5.0mm，标称最小的圆孔深度不大于0.6mm。</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3.几何畸变：范围：（0～120）mm，最大允许误差：±0.5 mm。</w:t>
      </w:r>
      <w:r>
        <w:rPr>
          <w:rFonts w:ascii="宋体" w:hAnsi="宋体" w:cs="宋体"/>
          <w:szCs w:val="21"/>
        </w:rPr>
      </w:r>
      <w:r/>
    </w:p>
    <w:p>
      <w:pPr>
        <w:pStyle w:val="1344"/>
        <w:spacing w:line="480" w:lineRule="exact"/>
        <w:rPr>
          <w:rFonts w:ascii="宋体" w:hAnsi="宋体" w:cs="宋体"/>
          <w:b/>
          <w:bCs/>
          <w:szCs w:val="21"/>
        </w:rPr>
      </w:pPr>
      <w:r>
        <w:rPr>
          <w:rFonts w:hint="eastAsia" w:ascii="宋体" w:hAnsi="宋体" w:cs="宋体"/>
          <w:b/>
          <w:bCs/>
          <w:szCs w:val="21"/>
        </w:rPr>
        <w:t xml:space="preserve">（三）验收依据、方法及单位</w:t>
      </w:r>
      <w:r>
        <w:rPr>
          <w:rFonts w:ascii="宋体" w:hAnsi="宋体" w:cs="宋体"/>
          <w:b/>
          <w:bCs/>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1.验收依据：JJF 2152-2024《医用磁共振成像模体校准规范》、本技术文件。</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2.卖方负责将设备送检至省级及以上计量技术机构进行检定/校准，并出具检定/校准证书，检测费用由卖方承担。</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3.江苏省计量科学研究院根据以上证书、用户手册和本技术文件对整套设备的技术指标和功能进行最终验收。</w:t>
      </w:r>
      <w:r>
        <w:rPr>
          <w:rFonts w:ascii="宋体" w:hAnsi="宋体" w:cs="宋体"/>
          <w:szCs w:val="21"/>
        </w:rPr>
      </w:r>
      <w:r/>
    </w:p>
    <w:p>
      <w:pPr>
        <w:pStyle w:val="1344"/>
        <w:spacing w:line="480" w:lineRule="exact"/>
        <w:rPr>
          <w:rFonts w:ascii="宋体" w:hAnsi="宋体" w:cs="宋体"/>
          <w:b/>
          <w:bCs/>
          <w:szCs w:val="21"/>
        </w:rPr>
      </w:pPr>
      <w:r>
        <w:rPr>
          <w:rFonts w:hint="eastAsia" w:ascii="宋体" w:hAnsi="宋体" w:cs="宋体"/>
          <w:b/>
          <w:bCs/>
          <w:szCs w:val="21"/>
        </w:rPr>
        <w:t xml:space="preserve">（四）质保期</w:t>
      </w:r>
      <w:r>
        <w:rPr>
          <w:rFonts w:ascii="宋体" w:hAnsi="宋体" w:cs="宋体"/>
          <w:b/>
          <w:bCs/>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★1.影像测量仪的质保期为验收合格之日起1年。</w:t>
      </w:r>
      <w:r>
        <w:rPr>
          <w:rFonts w:ascii="宋体" w:hAnsi="宋体" w:cs="宋体"/>
          <w:szCs w:val="21"/>
        </w:rPr>
      </w:r>
      <w:r/>
    </w:p>
    <w:p>
      <w:pPr>
        <w:pStyle w:val="1344"/>
        <w:jc w:val="center"/>
        <w:spacing w:line="480" w:lineRule="exact"/>
        <w:rPr>
          <w:rFonts w:ascii="宋体" w:hAnsi="宋体" w:cs="宋体"/>
          <w:b/>
          <w:bCs/>
          <w:szCs w:val="21"/>
        </w:rPr>
        <w:outlineLvl w:val="1"/>
      </w:pPr>
      <w:r/>
      <w:bookmarkStart w:id="327" w:name="_Toc19238"/>
      <w:r/>
      <w:bookmarkStart w:id="328" w:name="_Toc15073"/>
      <w:r>
        <w:rPr>
          <w:rFonts w:hint="eastAsia" w:ascii="宋体" w:hAnsi="宋体" w:cs="宋体"/>
          <w:b/>
          <w:szCs w:val="21"/>
        </w:rPr>
        <w:t xml:space="preserve">品目</w:t>
      </w:r>
      <w:r>
        <w:rPr>
          <w:rFonts w:hint="eastAsia" w:ascii="宋体" w:hAnsi="宋体" w:cs="宋体"/>
          <w:b/>
          <w:bCs/>
          <w:szCs w:val="21"/>
        </w:rPr>
        <w:t xml:space="preserve">7 生命体征模拟仪（除颤器分析仪）</w:t>
      </w:r>
      <w:bookmarkEnd w:id="327"/>
      <w:r/>
      <w:bookmarkEnd w:id="328"/>
      <w:r>
        <w:rPr>
          <w:rFonts w:ascii="宋体" w:hAnsi="宋体" w:cs="宋体"/>
          <w:b/>
          <w:bCs/>
          <w:szCs w:val="21"/>
        </w:rPr>
      </w:r>
      <w:r/>
    </w:p>
    <w:p>
      <w:pPr>
        <w:pStyle w:val="1344"/>
        <w:spacing w:line="480" w:lineRule="exact"/>
        <w:tabs>
          <w:tab w:val="left" w:pos="4500" w:leader="none"/>
          <w:tab w:val="left" w:pos="4680" w:leader="none"/>
        </w:tabs>
        <w:rPr>
          <w:rFonts w:ascii="宋体" w:hAnsi="宋体" w:cs="宋体"/>
          <w:b/>
          <w:bCs/>
          <w:szCs w:val="21"/>
        </w:rPr>
      </w:pPr>
      <w:r>
        <w:rPr>
          <w:rFonts w:hint="eastAsia" w:ascii="宋体" w:hAnsi="宋体" w:cs="宋体"/>
          <w:b/>
          <w:bCs/>
          <w:szCs w:val="21"/>
        </w:rPr>
        <w:t xml:space="preserve">★（一）设备及明细配置清单</w:t>
      </w:r>
      <w:r>
        <w:rPr>
          <w:rFonts w:ascii="宋体" w:hAnsi="宋体" w:cs="宋体"/>
          <w:b/>
          <w:bCs/>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0"/>
        <w:gridCol w:w="4162"/>
        <w:gridCol w:w="1344"/>
        <w:gridCol w:w="3244"/>
      </w:tblGrid>
      <w:tr>
        <w:trPr>
          <w:trHeight w:val="389"/>
        </w:trPr>
        <w:tc>
          <w:tcPr>
            <w:tcW w:w="558" w:type="dxa"/>
            <w:vAlign w:val="center"/>
            <w:textDirection w:val="lrTb"/>
            <w:noWrap w:val="false"/>
          </w:tcPr>
          <w:p>
            <w:pPr>
              <w:pStyle w:val="1344"/>
              <w:ind w:right="141"/>
              <w:jc w:val="center"/>
              <w:spacing w:line="480" w:lineRule="exact"/>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2112"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设备名称</w:t>
            </w:r>
            <w:r>
              <w:rPr>
                <w:rFonts w:ascii="宋体" w:hAnsi="宋体" w:cs="宋体"/>
                <w:szCs w:val="21"/>
              </w:rPr>
            </w:r>
            <w:r/>
          </w:p>
        </w:tc>
        <w:tc>
          <w:tcPr>
            <w:tcW w:w="682"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数 量</w:t>
            </w:r>
            <w:r>
              <w:rPr>
                <w:rFonts w:ascii="宋体" w:hAnsi="宋体" w:cs="宋体"/>
                <w:szCs w:val="21"/>
              </w:rPr>
            </w:r>
            <w:r/>
          </w:p>
        </w:tc>
        <w:tc>
          <w:tcPr>
            <w:tcW w:w="1646"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合同履行期限（交货期）</w:t>
            </w:r>
            <w:r>
              <w:rPr>
                <w:rFonts w:ascii="宋体" w:hAnsi="宋体" w:cs="宋体"/>
                <w:szCs w:val="21"/>
              </w:rPr>
            </w:r>
            <w:r/>
          </w:p>
        </w:tc>
      </w:tr>
      <w:tr>
        <w:trPr>
          <w:cantSplit/>
          <w:trHeight w:val="454"/>
        </w:trPr>
        <w:tc>
          <w:tcPr>
            <w:tcW w:w="558"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2112"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生命体征模拟仪（除颤器分析仪）</w:t>
            </w:r>
            <w:r>
              <w:rPr>
                <w:rFonts w:ascii="宋体" w:hAnsi="宋体" w:cs="宋体"/>
                <w:szCs w:val="21"/>
              </w:rPr>
            </w:r>
            <w:r/>
          </w:p>
        </w:tc>
        <w:tc>
          <w:tcPr>
            <w:tcW w:w="682" w:type="dxa"/>
            <w:vAlign w:val="center"/>
            <w:textDirection w:val="lrTb"/>
            <w:noWrap w:val="false"/>
          </w:tcPr>
          <w:p>
            <w:pPr>
              <w:pStyle w:val="1344"/>
              <w:jc w:val="center"/>
              <w:spacing w:line="480" w:lineRule="exact"/>
              <w:rPr>
                <w:rFonts w:hint="eastAsia" w:ascii="宋体" w:hAnsi="宋体" w:cs="宋体"/>
                <w:szCs w:val="21"/>
              </w:rPr>
              <w:outlineLvl w:val="0"/>
            </w:pPr>
            <w:r/>
            <w:bookmarkStart w:id="329" w:name="_Toc2386"/>
            <w:r/>
            <w:bookmarkStart w:id="330" w:name="_Toc16022"/>
            <w:r>
              <w:rPr>
                <w:rFonts w:hint="eastAsia" w:ascii="宋体" w:hAnsi="宋体" w:cs="宋体"/>
                <w:szCs w:val="21"/>
              </w:rPr>
              <w:t xml:space="preserve">1</w:t>
            </w:r>
            <w:bookmarkEnd w:id="329"/>
            <w:r>
              <w:rPr>
                <w:rFonts w:hint="eastAsia" w:ascii="宋体" w:hAnsi="宋体" w:cs="宋体"/>
                <w:szCs w:val="21"/>
              </w:rPr>
              <w:t xml:space="preserve">台</w:t>
            </w:r>
            <w:bookmarkEnd w:id="330"/>
            <w:r>
              <w:rPr>
                <w:rFonts w:hint="eastAsia" w:ascii="宋体" w:hAnsi="宋体" w:cs="宋体"/>
                <w:szCs w:val="21"/>
              </w:rPr>
            </w:r>
            <w:r/>
          </w:p>
        </w:tc>
        <w:tc>
          <w:tcPr>
            <w:tcW w:w="1646"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合同生效后 6个月</w:t>
            </w:r>
            <w:r>
              <w:rPr>
                <w:rFonts w:ascii="宋体" w:hAnsi="宋体" w:cs="宋体"/>
                <w:szCs w:val="21"/>
              </w:rPr>
            </w:r>
            <w:r/>
          </w:p>
        </w:tc>
      </w:tr>
    </w:tbl>
    <w:p>
      <w:pPr>
        <w:pStyle w:val="1344"/>
        <w:spacing w:line="480" w:lineRule="exact"/>
        <w:rPr>
          <w:rFonts w:ascii="宋体" w:hAnsi="宋体" w:cs="宋体"/>
          <w:b/>
          <w:bCs/>
          <w:szCs w:val="21"/>
        </w:rPr>
      </w:pPr>
      <w:r>
        <w:rPr>
          <w:rFonts w:hint="eastAsia" w:ascii="宋体" w:hAnsi="宋体" w:cs="宋体"/>
          <w:b/>
          <w:bCs/>
          <w:szCs w:val="21"/>
        </w:rPr>
        <w:t xml:space="preserve">（二）技术指标及功能要求</w:t>
      </w:r>
      <w:r>
        <w:rPr>
          <w:rFonts w:ascii="宋体" w:hAnsi="宋体" w:cs="宋体"/>
          <w:b/>
          <w:bCs/>
          <w:szCs w:val="21"/>
        </w:rPr>
      </w:r>
      <w:r/>
    </w:p>
    <w:p>
      <w:pPr>
        <w:pStyle w:val="1344"/>
        <w:ind w:firstLine="420"/>
        <w:spacing w:line="480" w:lineRule="exact"/>
        <w:rPr>
          <w:rFonts w:hint="eastAsia" w:ascii="宋体" w:hAnsi="宋体" w:cs="宋体"/>
          <w:szCs w:val="21"/>
        </w:rPr>
      </w:pPr>
      <w:r>
        <w:rPr>
          <w:rFonts w:hint="eastAsia" w:ascii="宋体" w:hAnsi="宋体" w:cs="宋体"/>
          <w:szCs w:val="21"/>
        </w:rPr>
        <w:t xml:space="preserve">★1.释放能量测量范围：（1～360）J，最大允许误差：±5%或±2 J（二者取较大值）；</w:t>
      </w:r>
      <w:r>
        <w:rPr>
          <w:rFonts w:hint="eastAsia" w:ascii="宋体" w:hAnsi="宋体" w:cs="宋体"/>
          <w:szCs w:val="21"/>
        </w:rPr>
      </w:r>
      <w:r/>
    </w:p>
    <w:p>
      <w:pPr>
        <w:pStyle w:val="1344"/>
        <w:ind w:firstLine="420"/>
        <w:spacing w:line="480" w:lineRule="exact"/>
        <w:rPr>
          <w:rFonts w:hint="eastAsia" w:ascii="宋体" w:hAnsi="宋体" w:cs="宋体"/>
          <w:szCs w:val="21"/>
        </w:rPr>
      </w:pPr>
      <w:r>
        <w:rPr>
          <w:rFonts w:hint="eastAsia" w:ascii="宋体" w:hAnsi="宋体" w:cs="宋体"/>
          <w:szCs w:val="21"/>
        </w:rPr>
        <w:t xml:space="preserve">★2.能输出标准心率信号或窦性心律信号，心率范围：30 次/分～240 次/分，最大允许误差：±1%读数或±1次/分（二者取较大值）；</w:t>
      </w:r>
      <w:r>
        <w:rPr>
          <w:rFonts w:hint="eastAsia" w:ascii="宋体" w:hAnsi="宋体" w:cs="宋体"/>
          <w:szCs w:val="21"/>
        </w:rPr>
      </w:r>
      <w:r/>
    </w:p>
    <w:p>
      <w:pPr>
        <w:pStyle w:val="1344"/>
        <w:ind w:firstLine="420"/>
        <w:spacing w:line="480" w:lineRule="exact"/>
        <w:rPr>
          <w:rFonts w:hint="eastAsia" w:ascii="宋体" w:hAnsi="宋体" w:cs="宋体"/>
          <w:szCs w:val="21"/>
        </w:rPr>
      </w:pPr>
      <w:r>
        <w:rPr>
          <w:rFonts w:hint="eastAsia" w:ascii="宋体" w:hAnsi="宋体" w:cs="宋体"/>
          <w:szCs w:val="21"/>
        </w:rPr>
        <w:t xml:space="preserve">3.能量输出测量除颤器波型：Lown波形、Edmark波形、梯形、直流双相和交流脉冲双相波形；内置有50 Ω阻性放电负载；可模拟输出各种心电仿真信号，至少包括：室颤心律、室性心动过速（VT）心律、室上性心动过速、房颤、房扑、具有心室期外收缩（PVC）特征的窦性心律、停搏和起搏器心律；能输出电压幅度为1 mV、频率为10 Hz正弦波信号和频率不超过4 Hz的方波脉冲信号；有高心电信号和放电脉冲波形输出接口；在输出含R波心电仿真信号或同步脉冲信号时，可测量同步除颤延迟时间，最大允许误差为±2 ms；</w:t>
      </w:r>
      <w:r>
        <w:rPr>
          <w:rFonts w:hint="eastAsia" w:ascii="宋体" w:hAnsi="宋体" w:cs="宋体"/>
          <w:szCs w:val="21"/>
        </w:rPr>
      </w:r>
      <w:r/>
    </w:p>
    <w:p>
      <w:pPr>
        <w:pStyle w:val="1344"/>
        <w:ind w:firstLine="420"/>
        <w:spacing w:line="480" w:lineRule="exact"/>
        <w:rPr>
          <w:rFonts w:hint="eastAsia" w:ascii="宋体" w:hAnsi="宋体" w:cs="宋体"/>
          <w:szCs w:val="21"/>
        </w:rPr>
      </w:pPr>
      <w:r>
        <w:rPr>
          <w:rFonts w:hint="eastAsia" w:ascii="宋体" w:hAnsi="宋体" w:cs="宋体"/>
          <w:szCs w:val="21"/>
        </w:rPr>
        <w:t xml:space="preserve">4.经皮起搏脉冲频率测量范围：（30～300）次/分，最大允许误差：测量值的±1%或±1次/分（二者取较大值）；</w:t>
      </w:r>
      <w:r>
        <w:rPr>
          <w:rFonts w:hint="eastAsia" w:ascii="宋体" w:hAnsi="宋体" w:cs="宋体"/>
          <w:szCs w:val="21"/>
        </w:rPr>
      </w:r>
      <w:r/>
    </w:p>
    <w:p>
      <w:pPr>
        <w:pStyle w:val="1344"/>
        <w:ind w:firstLine="420"/>
        <w:spacing w:line="480" w:lineRule="exact"/>
        <w:rPr>
          <w:rFonts w:hint="eastAsia" w:ascii="宋体" w:hAnsi="宋体" w:cs="宋体"/>
          <w:szCs w:val="21"/>
        </w:rPr>
      </w:pPr>
      <w:r>
        <w:rPr>
          <w:rFonts w:hint="eastAsia" w:ascii="宋体" w:hAnsi="宋体" w:cs="宋体"/>
          <w:szCs w:val="21"/>
        </w:rPr>
        <w:t xml:space="preserve">5.经皮起搏脉冲宽度测量范围：（10～80）ms，最大允许误差：测量值的±2%或±0.5 ms（二者取较大值）</w:t>
      </w:r>
      <w:r>
        <w:rPr>
          <w:rFonts w:hint="eastAsia" w:ascii="宋体" w:hAnsi="宋体" w:cs="宋体"/>
          <w:szCs w:val="21"/>
        </w:rPr>
      </w:r>
      <w:r/>
    </w:p>
    <w:p>
      <w:pPr>
        <w:pStyle w:val="1344"/>
        <w:ind w:firstLine="420"/>
        <w:spacing w:line="480" w:lineRule="exact"/>
        <w:rPr>
          <w:rFonts w:hint="eastAsia" w:ascii="宋体" w:hAnsi="宋体" w:cs="宋体"/>
          <w:szCs w:val="21"/>
        </w:rPr>
      </w:pPr>
      <w:r>
        <w:rPr>
          <w:rFonts w:hint="eastAsia" w:ascii="宋体" w:hAnsi="宋体" w:cs="宋体"/>
          <w:szCs w:val="21"/>
        </w:rPr>
        <w:t xml:space="preserve">6.经皮起搏电流幅度测量范围：（2～200）mA，最大允许误差：测量值的±2%或±2 mA（二者取较大值）；</w:t>
      </w:r>
      <w:r>
        <w:rPr>
          <w:rFonts w:hint="eastAsia" w:ascii="宋体" w:hAnsi="宋体" w:cs="宋体"/>
          <w:szCs w:val="21"/>
        </w:rPr>
      </w:r>
      <w:r/>
    </w:p>
    <w:p>
      <w:pPr>
        <w:pStyle w:val="1344"/>
        <w:ind w:firstLine="420"/>
        <w:spacing w:line="480" w:lineRule="exact"/>
        <w:rPr>
          <w:rFonts w:hint="eastAsia" w:ascii="宋体" w:hAnsi="宋体" w:cs="宋体"/>
          <w:szCs w:val="21"/>
        </w:rPr>
      </w:pPr>
      <w:r>
        <w:rPr>
          <w:rFonts w:hint="eastAsia" w:ascii="宋体" w:hAnsi="宋体" w:cs="宋体"/>
          <w:szCs w:val="21"/>
        </w:rPr>
        <w:t xml:space="preserve">7.ECG波形：正常窦性节律：30～180BPM；性能波：方波：2.0Hz；三角波：2.0Hz；正弦波：0.1～100Hz；脉冲：30BPM、60BPM；自动除颤器测试ECG波形：正常窦性150～300BPM；自动除颤器测试ECG波形：</w:t>
      </w:r>
      <w:r>
        <w:rPr>
          <w:rFonts w:hint="eastAsia" w:ascii="宋体" w:hAnsi="宋体" w:cs="宋体"/>
          <w:szCs w:val="21"/>
        </w:rPr>
      </w:r>
      <w:r/>
    </w:p>
    <w:p>
      <w:pPr>
        <w:pStyle w:val="1344"/>
        <w:ind w:firstLine="420"/>
        <w:spacing w:line="480" w:lineRule="exact"/>
        <w:rPr>
          <w:rFonts w:hint="eastAsia" w:ascii="宋体" w:hAnsi="宋体" w:cs="宋体"/>
          <w:szCs w:val="21"/>
        </w:rPr>
      </w:pPr>
      <w:r>
        <w:rPr>
          <w:rFonts w:hint="eastAsia" w:ascii="宋体" w:hAnsi="宋体" w:cs="宋体"/>
          <w:szCs w:val="21"/>
        </w:rPr>
        <w:t xml:space="preserve">8.主机和电击部分为一体化设置；</w:t>
      </w:r>
      <w:r>
        <w:rPr>
          <w:rFonts w:hint="eastAsia" w:ascii="宋体" w:hAnsi="宋体" w:cs="宋体"/>
          <w:szCs w:val="21"/>
        </w:rPr>
      </w:r>
      <w:r/>
    </w:p>
    <w:p>
      <w:pPr>
        <w:pStyle w:val="1344"/>
        <w:ind w:firstLine="420"/>
        <w:spacing w:line="480" w:lineRule="exact"/>
        <w:rPr>
          <w:rFonts w:hint="eastAsia" w:ascii="宋体" w:hAnsi="宋体" w:cs="宋体"/>
          <w:szCs w:val="21"/>
        </w:rPr>
      </w:pPr>
      <w:r>
        <w:rPr>
          <w:rFonts w:hint="eastAsia" w:ascii="宋体" w:hAnsi="宋体" w:cs="宋体"/>
          <w:szCs w:val="21"/>
        </w:rPr>
        <w:t xml:space="preserve">9.起搏功能配备通用算法及以下常见算法Medtronic/Physio Control LIFEPAK、Philips/Agilent/HP、ZOLL Medical、GE Responder（1500和1700）、MRL/Welch Allyn、Schiller Medical、MDE300（Medical Data Electronics）。</w:t>
      </w:r>
      <w:r>
        <w:rPr>
          <w:rFonts w:hint="eastAsia" w:ascii="宋体" w:hAnsi="宋体" w:cs="宋体"/>
          <w:szCs w:val="21"/>
        </w:rPr>
      </w:r>
      <w:r/>
    </w:p>
    <w:p>
      <w:pPr>
        <w:pStyle w:val="1344"/>
        <w:spacing w:line="480" w:lineRule="exact"/>
        <w:rPr>
          <w:rFonts w:hint="eastAsia" w:ascii="宋体" w:hAnsi="宋体" w:cs="宋体"/>
          <w:b/>
          <w:bCs/>
          <w:szCs w:val="21"/>
        </w:rPr>
      </w:pPr>
      <w:r>
        <w:rPr>
          <w:rFonts w:hint="eastAsia" w:ascii="宋体" w:hAnsi="宋体" w:cs="宋体"/>
          <w:b/>
          <w:bCs/>
          <w:szCs w:val="21"/>
        </w:rPr>
        <w:t xml:space="preserve">（三）验收依据、方法及单位</w:t>
      </w:r>
      <w:r>
        <w:rPr>
          <w:rFonts w:hint="eastAsia" w:ascii="宋体" w:hAnsi="宋体" w:cs="宋体"/>
          <w:b/>
          <w:bCs/>
          <w:szCs w:val="21"/>
        </w:rPr>
      </w:r>
      <w:r/>
    </w:p>
    <w:p>
      <w:pPr>
        <w:pStyle w:val="1344"/>
        <w:ind w:firstLine="420"/>
        <w:spacing w:line="480" w:lineRule="exact"/>
        <w:rPr>
          <w:rFonts w:hint="eastAsia" w:ascii="宋体" w:hAnsi="宋体" w:cs="宋体"/>
          <w:szCs w:val="21"/>
        </w:rPr>
      </w:pPr>
      <w:r>
        <w:rPr>
          <w:rFonts w:hint="eastAsia" w:ascii="宋体" w:hAnsi="宋体" w:cs="宋体"/>
          <w:szCs w:val="21"/>
        </w:rPr>
        <w:t xml:space="preserve">1.验收依据：JJF 1149-2014《心脏除颤器校准规范》、JJF 1860-2020《除颤器分析仪校准规范》、本技术文件。</w:t>
      </w:r>
      <w:r>
        <w:rPr>
          <w:rFonts w:hint="eastAsia" w:ascii="宋体" w:hAnsi="宋体" w:cs="宋体"/>
          <w:szCs w:val="21"/>
        </w:rPr>
      </w:r>
      <w:r/>
    </w:p>
    <w:p>
      <w:pPr>
        <w:pStyle w:val="1344"/>
        <w:ind w:firstLine="420"/>
        <w:jc w:val="left"/>
        <w:spacing w:line="480" w:lineRule="exact"/>
        <w:rPr>
          <w:rFonts w:hint="eastAsia" w:ascii="宋体" w:hAnsi="宋体" w:cs="宋体"/>
          <w:szCs w:val="21"/>
        </w:rPr>
      </w:pPr>
      <w:r>
        <w:rPr>
          <w:rFonts w:hint="eastAsia" w:ascii="宋体" w:hAnsi="宋体" w:cs="宋体"/>
          <w:szCs w:val="21"/>
        </w:rPr>
        <w:t xml:space="preserve">2.卖方负责将设备送检至省级及以上计量技术机构进行检定/校准，并出具检定/校准证书，检测费用由卖方承担。</w:t>
      </w:r>
      <w:r>
        <w:rPr>
          <w:rFonts w:hint="eastAsia" w:ascii="宋体" w:hAnsi="宋体" w:cs="宋体"/>
          <w:szCs w:val="21"/>
        </w:rPr>
      </w:r>
      <w:r/>
    </w:p>
    <w:p>
      <w:pPr>
        <w:pStyle w:val="1344"/>
        <w:ind w:firstLine="420"/>
        <w:spacing w:line="480" w:lineRule="exact"/>
        <w:rPr>
          <w:rFonts w:hint="eastAsia" w:ascii="宋体" w:hAnsi="宋体" w:cs="宋体"/>
          <w:szCs w:val="21"/>
        </w:rPr>
      </w:pPr>
      <w:r>
        <w:rPr>
          <w:rFonts w:hint="eastAsia" w:ascii="宋体" w:hAnsi="宋体" w:cs="宋体"/>
          <w:szCs w:val="21"/>
        </w:rPr>
        <w:t xml:space="preserve">3.江苏省计量科学研究院根据以上证书、用户手册和本技术文件对整套设备的技术指标和功能进行最终验收。</w:t>
      </w:r>
      <w:r>
        <w:rPr>
          <w:rFonts w:hint="eastAsia" w:ascii="宋体" w:hAnsi="宋体" w:cs="宋体"/>
          <w:szCs w:val="21"/>
        </w:rPr>
      </w:r>
      <w:r/>
    </w:p>
    <w:p>
      <w:pPr>
        <w:pStyle w:val="1344"/>
        <w:spacing w:line="480" w:lineRule="exact"/>
        <w:rPr>
          <w:rFonts w:ascii="宋体" w:hAnsi="宋体" w:cs="宋体"/>
          <w:b/>
          <w:bCs/>
          <w:szCs w:val="21"/>
        </w:rPr>
      </w:pPr>
      <w:r>
        <w:rPr>
          <w:rFonts w:hint="eastAsia" w:ascii="宋体" w:hAnsi="宋体" w:cs="宋体"/>
          <w:b/>
          <w:bCs/>
          <w:szCs w:val="21"/>
        </w:rPr>
        <w:t xml:space="preserve">（四）质保期</w:t>
      </w:r>
      <w:r>
        <w:rPr>
          <w:rFonts w:ascii="宋体" w:hAnsi="宋体" w:cs="宋体"/>
          <w:b/>
          <w:bCs/>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★1.生命体征模拟仪的质保期为验收合格之日起1年。</w:t>
      </w:r>
      <w:r>
        <w:rPr>
          <w:rFonts w:ascii="宋体" w:hAnsi="宋体" w:cs="宋体"/>
          <w:szCs w:val="21"/>
        </w:rPr>
      </w:r>
      <w:r/>
    </w:p>
    <w:p>
      <w:pPr>
        <w:pStyle w:val="1344"/>
        <w:jc w:val="center"/>
        <w:spacing w:line="360" w:lineRule="auto"/>
        <w:tabs>
          <w:tab w:val="left" w:pos="4500" w:leader="none"/>
          <w:tab w:val="left" w:pos="4680" w:leader="none"/>
        </w:tabs>
        <w:rPr>
          <w:rFonts w:hint="eastAsia" w:ascii="宋体" w:hAnsi="宋体" w:cs="宋体"/>
          <w:b/>
          <w:szCs w:val="21"/>
        </w:rPr>
        <w:outlineLvl w:val="1"/>
      </w:pPr>
      <w:r/>
      <w:bookmarkStart w:id="331" w:name="_Toc16420"/>
      <w:r/>
      <w:bookmarkStart w:id="332" w:name="_Toc14652"/>
      <w:r>
        <w:rPr>
          <w:rFonts w:hint="eastAsia" w:ascii="宋体" w:hAnsi="宋体" w:cs="宋体"/>
          <w:b/>
          <w:szCs w:val="21"/>
        </w:rPr>
        <w:t xml:space="preserve">分包4</w:t>
      </w:r>
      <w:bookmarkEnd w:id="331"/>
      <w:r/>
      <w:bookmarkEnd w:id="332"/>
      <w:r>
        <w:rPr>
          <w:rFonts w:hint="eastAsia" w:ascii="宋体" w:hAnsi="宋体" w:cs="宋体"/>
          <w:b/>
          <w:szCs w:val="21"/>
        </w:rPr>
      </w:r>
      <w:r/>
    </w:p>
    <w:p>
      <w:pPr>
        <w:pStyle w:val="1344"/>
        <w:jc w:val="center"/>
        <w:spacing w:line="360" w:lineRule="auto"/>
        <w:tabs>
          <w:tab w:val="left" w:pos="4500" w:leader="none"/>
          <w:tab w:val="left" w:pos="4680" w:leader="none"/>
        </w:tabs>
        <w:rPr>
          <w:rFonts w:ascii="宋体" w:hAnsi="宋体" w:cs="宋体"/>
          <w:b/>
          <w:bCs/>
          <w:szCs w:val="21"/>
        </w:rPr>
        <w:outlineLvl w:val="1"/>
      </w:pPr>
      <w:r/>
      <w:bookmarkStart w:id="333" w:name="_Toc15452"/>
      <w:r/>
      <w:bookmarkStart w:id="334" w:name="_Toc5040"/>
      <w:r>
        <w:rPr>
          <w:rFonts w:hint="eastAsia" w:ascii="宋体" w:hAnsi="宋体" w:cs="宋体"/>
          <w:b/>
          <w:szCs w:val="21"/>
        </w:rPr>
        <w:t xml:space="preserve">品目</w:t>
      </w:r>
      <w:r>
        <w:rPr>
          <w:rFonts w:hint="eastAsia" w:ascii="宋体" w:hAnsi="宋体" w:cs="宋体"/>
          <w:b/>
          <w:bCs/>
          <w:szCs w:val="21"/>
        </w:rPr>
        <w:t xml:space="preserve">1 钟罩式气体流量标准装置</w:t>
      </w:r>
      <w:bookmarkEnd w:id="333"/>
      <w:r/>
      <w:bookmarkEnd w:id="334"/>
      <w:r>
        <w:rPr>
          <w:rFonts w:ascii="宋体" w:hAnsi="宋体" w:cs="宋体"/>
          <w:b/>
          <w:bCs/>
          <w:szCs w:val="21"/>
        </w:rPr>
      </w:r>
      <w:r/>
    </w:p>
    <w:p>
      <w:pPr>
        <w:pStyle w:val="1344"/>
        <w:spacing w:line="480" w:lineRule="exact"/>
        <w:tabs>
          <w:tab w:val="left" w:pos="4500" w:leader="none"/>
          <w:tab w:val="left" w:pos="4680" w:leader="none"/>
        </w:tabs>
        <w:rPr>
          <w:rFonts w:ascii="宋体" w:hAnsi="宋体" w:cs="宋体"/>
          <w:b/>
          <w:bCs/>
          <w:szCs w:val="21"/>
        </w:rPr>
      </w:pPr>
      <w:r>
        <w:rPr>
          <w:rFonts w:hint="eastAsia" w:ascii="宋体" w:hAnsi="宋体" w:cs="宋体"/>
          <w:b/>
          <w:bCs/>
          <w:szCs w:val="21"/>
        </w:rPr>
        <w:t xml:space="preserve">★（一）设备及明细配置清单</w:t>
      </w:r>
      <w:r>
        <w:rPr>
          <w:rFonts w:ascii="宋体" w:hAnsi="宋体" w:cs="宋体"/>
          <w:b/>
          <w:bCs/>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46"/>
        <w:gridCol w:w="3023"/>
        <w:gridCol w:w="2215"/>
        <w:gridCol w:w="3266"/>
      </w:tblGrid>
      <w:tr>
        <w:trPr>
          <w:trHeight w:val="389"/>
        </w:trPr>
        <w:tc>
          <w:tcPr>
            <w:tcW w:w="683" w:type="dxa"/>
            <w:vAlign w:val="center"/>
            <w:textDirection w:val="lrTb"/>
            <w:noWrap w:val="false"/>
          </w:tcPr>
          <w:p>
            <w:pPr>
              <w:pStyle w:val="1344"/>
              <w:jc w:val="center"/>
              <w:spacing w:line="360" w:lineRule="auto"/>
              <w:rPr>
                <w:rFonts w:ascii="宋体" w:hAnsi="宋体" w:cs="宋体"/>
              </w:rPr>
            </w:pPr>
            <w:r>
              <w:rPr>
                <w:rFonts w:hint="eastAsia" w:ascii="宋体" w:hAnsi="宋体" w:cs="宋体"/>
              </w:rPr>
              <w:t xml:space="preserve">序号</w:t>
            </w:r>
            <w:r>
              <w:rPr>
                <w:rFonts w:ascii="宋体" w:hAnsi="宋体" w:cs="宋体"/>
              </w:rPr>
            </w:r>
            <w:r/>
          </w:p>
        </w:tc>
        <w:tc>
          <w:tcPr>
            <w:tcW w:w="1534" w:type="dxa"/>
            <w:vAlign w:val="center"/>
            <w:textDirection w:val="lrTb"/>
            <w:noWrap w:val="false"/>
          </w:tcPr>
          <w:p>
            <w:pPr>
              <w:pStyle w:val="1344"/>
              <w:jc w:val="center"/>
              <w:spacing w:line="360" w:lineRule="auto"/>
              <w:rPr>
                <w:rFonts w:ascii="宋体" w:hAnsi="宋体" w:cs="宋体"/>
              </w:rPr>
            </w:pPr>
            <w:r>
              <w:rPr>
                <w:rFonts w:hint="eastAsia" w:ascii="宋体" w:hAnsi="宋体" w:cs="宋体"/>
              </w:rPr>
              <w:t xml:space="preserve">设备名称</w:t>
            </w:r>
            <w:r>
              <w:rPr>
                <w:rFonts w:ascii="宋体" w:hAnsi="宋体" w:cs="宋体"/>
              </w:rPr>
            </w:r>
            <w:r/>
          </w:p>
        </w:tc>
        <w:tc>
          <w:tcPr>
            <w:tcW w:w="1124" w:type="dxa"/>
            <w:vAlign w:val="center"/>
            <w:textDirection w:val="lrTb"/>
            <w:noWrap w:val="false"/>
          </w:tcPr>
          <w:p>
            <w:pPr>
              <w:pStyle w:val="1344"/>
              <w:jc w:val="center"/>
              <w:spacing w:line="360" w:lineRule="auto"/>
              <w:rPr>
                <w:rFonts w:ascii="宋体" w:hAnsi="宋体" w:cs="宋体"/>
              </w:rPr>
            </w:pPr>
            <w:r>
              <w:rPr>
                <w:rFonts w:hint="eastAsia" w:ascii="宋体" w:hAnsi="宋体" w:cs="宋体"/>
              </w:rPr>
              <w:t xml:space="preserve">数 量</w:t>
            </w:r>
            <w:r>
              <w:rPr>
                <w:rFonts w:ascii="宋体" w:hAnsi="宋体" w:cs="宋体"/>
              </w:rPr>
            </w:r>
            <w:r/>
          </w:p>
        </w:tc>
        <w:tc>
          <w:tcPr>
            <w:tcW w:w="1657" w:type="dxa"/>
            <w:vAlign w:val="center"/>
            <w:textDirection w:val="lrTb"/>
            <w:noWrap w:val="false"/>
          </w:tcPr>
          <w:p>
            <w:pPr>
              <w:pStyle w:val="1344"/>
              <w:jc w:val="center"/>
              <w:spacing w:line="360" w:lineRule="auto"/>
              <w:rPr>
                <w:rFonts w:ascii="宋体" w:hAnsi="宋体" w:cs="宋体"/>
              </w:rPr>
            </w:pPr>
            <w:r>
              <w:rPr>
                <w:rFonts w:hint="eastAsia" w:ascii="宋体" w:hAnsi="宋体" w:cs="宋体"/>
              </w:rPr>
              <w:t xml:space="preserve">合同履行期限（交货期）</w:t>
            </w:r>
            <w:r>
              <w:rPr>
                <w:rFonts w:ascii="宋体" w:hAnsi="宋体" w:cs="宋体"/>
              </w:rPr>
            </w:r>
            <w:r/>
          </w:p>
        </w:tc>
      </w:tr>
      <w:tr>
        <w:trPr>
          <w:cantSplit/>
          <w:trHeight w:val="454"/>
        </w:trPr>
        <w:tc>
          <w:tcPr>
            <w:tcW w:w="683" w:type="dxa"/>
            <w:vAlign w:val="center"/>
            <w:textDirection w:val="lrTb"/>
            <w:noWrap w:val="false"/>
          </w:tcPr>
          <w:p>
            <w:pPr>
              <w:pStyle w:val="1344"/>
              <w:jc w:val="center"/>
              <w:spacing w:line="360" w:lineRule="auto"/>
              <w:rPr>
                <w:rFonts w:ascii="宋体" w:hAnsi="宋体" w:cs="宋体"/>
              </w:rPr>
            </w:pPr>
            <w:r>
              <w:rPr>
                <w:rFonts w:hint="eastAsia" w:ascii="宋体" w:hAnsi="宋体" w:cs="宋体"/>
              </w:rPr>
              <w:t xml:space="preserve">1</w:t>
            </w:r>
            <w:r>
              <w:rPr>
                <w:rFonts w:ascii="宋体" w:hAnsi="宋体" w:cs="宋体"/>
              </w:rPr>
            </w:r>
            <w:r/>
          </w:p>
        </w:tc>
        <w:tc>
          <w:tcPr>
            <w:tcW w:w="1534" w:type="dxa"/>
            <w:vAlign w:val="center"/>
            <w:textDirection w:val="lrTb"/>
            <w:noWrap w:val="false"/>
          </w:tcPr>
          <w:p>
            <w:pPr>
              <w:pStyle w:val="1344"/>
              <w:jc w:val="center"/>
              <w:spacing w:line="360" w:lineRule="auto"/>
              <w:rPr>
                <w:rFonts w:ascii="宋体" w:hAnsi="宋体" w:cs="宋体"/>
              </w:rPr>
            </w:pPr>
            <w:r>
              <w:rPr>
                <w:rFonts w:hint="eastAsia" w:ascii="宋体" w:hAnsi="宋体" w:cs="宋体"/>
              </w:rPr>
              <w:t xml:space="preserve">钟罩式气体流量标准装置</w:t>
            </w:r>
            <w:r>
              <w:rPr>
                <w:rFonts w:ascii="宋体" w:hAnsi="宋体" w:cs="宋体"/>
              </w:rPr>
            </w:r>
            <w:r/>
          </w:p>
        </w:tc>
        <w:tc>
          <w:tcPr>
            <w:tcW w:w="1124" w:type="dxa"/>
            <w:vAlign w:val="center"/>
            <w:textDirection w:val="lrTb"/>
            <w:noWrap w:val="false"/>
          </w:tcPr>
          <w:p>
            <w:pPr>
              <w:pStyle w:val="1344"/>
              <w:jc w:val="center"/>
              <w:spacing w:line="360" w:lineRule="auto"/>
              <w:rPr>
                <w:rFonts w:hint="eastAsia" w:ascii="宋体" w:hAnsi="宋体" w:cs="宋体"/>
              </w:rPr>
            </w:pPr>
            <w:r>
              <w:rPr>
                <w:rFonts w:hint="eastAsia" w:ascii="宋体" w:hAnsi="宋体" w:cs="宋体"/>
              </w:rPr>
              <w:t xml:space="preserve">1套</w:t>
            </w:r>
            <w:r>
              <w:rPr>
                <w:rFonts w:hint="eastAsia" w:ascii="宋体" w:hAnsi="宋体" w:cs="宋体"/>
              </w:rPr>
            </w:r>
            <w:r/>
          </w:p>
        </w:tc>
        <w:tc>
          <w:tcPr>
            <w:tcW w:w="1657" w:type="dxa"/>
            <w:vAlign w:val="center"/>
            <w:textDirection w:val="lrTb"/>
            <w:noWrap w:val="false"/>
          </w:tcPr>
          <w:p>
            <w:pPr>
              <w:pStyle w:val="1344"/>
              <w:jc w:val="center"/>
              <w:spacing w:line="360" w:lineRule="auto"/>
              <w:rPr>
                <w:rFonts w:ascii="宋体" w:hAnsi="宋体" w:cs="宋体"/>
              </w:rPr>
            </w:pPr>
            <w:r>
              <w:rPr>
                <w:rFonts w:hint="eastAsia" w:ascii="宋体" w:hAnsi="宋体" w:cs="宋体"/>
              </w:rPr>
              <w:t xml:space="preserve">合同签订后</w:t>
            </w:r>
            <w:r>
              <w:rPr>
                <w:rFonts w:ascii="宋体" w:hAnsi="宋体" w:cs="宋体"/>
              </w:rPr>
              <w:t xml:space="preserve">7</w:t>
            </w:r>
            <w:r>
              <w:rPr>
                <w:rFonts w:hint="eastAsia" w:ascii="宋体" w:hAnsi="宋体" w:cs="宋体"/>
              </w:rPr>
              <w:t xml:space="preserve">个月</w:t>
            </w:r>
            <w:r>
              <w:rPr>
                <w:rFonts w:ascii="宋体" w:hAnsi="宋体" w:cs="宋体"/>
              </w:rPr>
            </w:r>
            <w:r/>
          </w:p>
        </w:tc>
      </w:tr>
    </w:tbl>
    <w:p>
      <w:pPr>
        <w:pStyle w:val="1344"/>
        <w:spacing w:line="480" w:lineRule="exact"/>
        <w:rPr>
          <w:rFonts w:ascii="宋体" w:hAnsi="宋体" w:cs="宋体"/>
          <w:b/>
          <w:bCs/>
          <w:szCs w:val="21"/>
        </w:rPr>
      </w:pPr>
      <w:r>
        <w:rPr>
          <w:rFonts w:hint="eastAsia" w:ascii="宋体" w:hAnsi="宋体" w:cs="宋体"/>
          <w:b/>
          <w:bCs/>
          <w:szCs w:val="21"/>
        </w:rPr>
        <w:t xml:space="preserve">（二）技术指标及功能要求</w:t>
      </w:r>
      <w:r>
        <w:rPr>
          <w:rFonts w:ascii="宋体" w:hAnsi="宋体" w:cs="宋体"/>
          <w:b/>
          <w:bCs/>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★1．钟罩式气体流量标准装置总体技术指标：容积：500 L；流量范围：(0.2～30) m</w:t>
      </w:r>
      <w:r>
        <w:rPr>
          <w:rFonts w:ascii="宋体" w:hAnsi="宋体" w:cs="宋体"/>
          <w:szCs w:val="21"/>
          <w:vertAlign w:val="superscript"/>
        </w:rPr>
        <w:t xml:space="preserve">3</w:t>
      </w:r>
      <w:r>
        <w:rPr>
          <w:rFonts w:hint="eastAsia" w:ascii="宋体" w:hAnsi="宋体" w:cs="宋体"/>
          <w:szCs w:val="21"/>
        </w:rPr>
        <w:t xml:space="preserve">/h；压力波动：≤20 Pa；扩展不确定度：</w:t>
      </w:r>
      <w:r>
        <w:rPr>
          <w:rFonts w:hint="eastAsia" w:ascii="宋体" w:hAnsi="宋体" w:cs="宋体"/>
          <w:i/>
          <w:szCs w:val="21"/>
        </w:rPr>
        <w:t xml:space="preserve">U</w:t>
      </w:r>
      <w:r>
        <w:rPr>
          <w:rFonts w:hint="eastAsia" w:ascii="宋体" w:hAnsi="宋体" w:cs="宋体"/>
          <w:szCs w:val="21"/>
          <w:vertAlign w:val="subscript"/>
        </w:rPr>
        <w:t xml:space="preserve">rel</w:t>
      </w:r>
      <w:r>
        <w:rPr>
          <w:rFonts w:hint="eastAsia" w:ascii="宋体" w:hAnsi="宋体" w:cs="宋体"/>
          <w:szCs w:val="21"/>
        </w:rPr>
        <w:t xml:space="preserve">≤0.2%(</w:t>
      </w:r>
      <w:r>
        <w:rPr>
          <w:rFonts w:hint="eastAsia" w:ascii="宋体" w:hAnsi="宋体" w:cs="宋体"/>
          <w:i/>
          <w:szCs w:val="21"/>
        </w:rPr>
        <w:t xml:space="preserve">k</w:t>
      </w:r>
      <w:r>
        <w:rPr>
          <w:rFonts w:hint="eastAsia" w:ascii="宋体" w:hAnsi="宋体" w:cs="宋体"/>
          <w:szCs w:val="21"/>
        </w:rPr>
        <w:t xml:space="preserve">=2)；准确度等级0.2级。</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2. 钟罩式气体流量标准装置高度≤4.2 m；工作压力：≥1 kPa；</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3.钟罩装置需配备液位补偿装置、压力调节装置、光栅尺、标尺。密封液：白油。</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4.钟罩罩体及液槽材质：不锈钢，</w:t>
      </w:r>
      <w:r>
        <w:rPr>
          <w:rFonts w:hint="eastAsia"/>
        </w:rPr>
        <w:t xml:space="preserve">钟罩铭牌或标识上应</w:t>
      </w:r>
      <w:r>
        <w:rPr>
          <w:rFonts w:hint="eastAsia" w:ascii="宋体" w:hAnsi="宋体" w:cs="宋体"/>
          <w:szCs w:val="21"/>
        </w:rPr>
        <w:t xml:space="preserve">明确标识不锈钢材料牌号或提供其他不锈钢牌号证明。</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5.罩体圆度需满足JJG 165-2024《钟罩式气体流量标准装置检定规程》附录C中的要求。</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6.钟罩装置需配备计时器，计时器分辨力优于0.01 s。</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7.水平台位：测量口径DN6～DN50的水平台及管路1套，包含配套阀门组满足气体流量计的快速连接检测，配备信号采集装置。</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8.垂直台位：测量口径DN15～DN50的垂直台及管路1套，包含配套阀门组满足气体流量计的快速连接检测。</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9.漩涡气泵：功率250 W，电压AC220 V，频率50 Hz。</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10.配置用于测量钟罩压力及被检表前压力的压力传感器2只，量程：(80～110) kPa,准确度等级：0.075级（MPE：≤±0.075%）。</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11.配置用于测量温度的温度传感器4只，量程：（0～50） ℃，分度值：≤0.1 ℃，扩展不确定度：</w:t>
      </w:r>
      <w:r>
        <w:rPr>
          <w:rFonts w:hint="eastAsia" w:ascii="宋体" w:hAnsi="宋体" w:cs="宋体"/>
          <w:i/>
          <w:szCs w:val="21"/>
        </w:rPr>
        <w:t xml:space="preserve">U</w:t>
      </w:r>
      <w:r>
        <w:rPr>
          <w:rFonts w:hint="eastAsia" w:ascii="宋体" w:hAnsi="宋体" w:cs="宋体"/>
          <w:szCs w:val="21"/>
          <w:vertAlign w:val="subscript"/>
        </w:rPr>
        <w:t xml:space="preserve">rel</w:t>
      </w:r>
      <w:r>
        <w:rPr>
          <w:rFonts w:hint="eastAsia" w:ascii="宋体" w:hAnsi="宋体" w:cs="宋体"/>
          <w:szCs w:val="21"/>
        </w:rPr>
        <w:t xml:space="preserve">≤0.1 ℃(</w:t>
      </w:r>
      <w:r>
        <w:rPr>
          <w:rFonts w:hint="eastAsia" w:ascii="宋体" w:hAnsi="宋体" w:cs="宋体"/>
          <w:i/>
          <w:szCs w:val="21"/>
        </w:rPr>
        <w:t xml:space="preserve">k</w:t>
      </w:r>
      <w:r>
        <w:rPr>
          <w:rFonts w:hint="eastAsia" w:ascii="宋体" w:hAnsi="宋体" w:cs="宋体"/>
          <w:szCs w:val="21"/>
        </w:rPr>
        <w:t xml:space="preserve">=2)。</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12．配备用于直径测量的π尺1套，满足以下技术指标：</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100 mm≤ D</w:t>
      </w:r>
      <w:r>
        <w:rPr>
          <w:szCs w:val="21"/>
        </w:rPr>
        <w:t xml:space="preserve"> &lt;</w:t>
      </w:r>
      <w:r>
        <w:rPr>
          <w:rFonts w:hint="eastAsia" w:ascii="宋体" w:hAnsi="宋体" w:cs="宋体"/>
          <w:szCs w:val="21"/>
        </w:rPr>
        <w:t xml:space="preserve">500 mm，MPE: ±0.05 mm，分度值≤0.01 </w:t>
      </w:r>
      <w:r>
        <w:rPr>
          <w:rFonts w:hint="eastAsia" w:ascii="宋体" w:hAnsi="宋体" w:cs="宋体"/>
          <w:szCs w:val="21"/>
          <w:lang w:val="en-GB"/>
        </w:rPr>
        <w:t xml:space="preserve">mm</w:t>
      </w:r>
      <w:r>
        <w:rPr>
          <w:rFonts w:hint="eastAsia" w:ascii="宋体" w:hAnsi="宋体" w:cs="宋体"/>
          <w:szCs w:val="21"/>
        </w:rPr>
        <w:t xml:space="preserve">；</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500 mm≤ D</w:t>
      </w:r>
      <w:r>
        <w:rPr>
          <w:rFonts w:hint="eastAsia"/>
          <w:szCs w:val="21"/>
        </w:rPr>
        <w:t xml:space="preserve"> &lt;</w:t>
      </w:r>
      <w:r>
        <w:rPr>
          <w:rFonts w:hint="eastAsia" w:ascii="宋体" w:hAnsi="宋体" w:cs="宋体"/>
          <w:szCs w:val="21"/>
        </w:rPr>
        <w:t xml:space="preserve">1100 mm，MPE: ±0.06 mm，分度值≤0.02 </w:t>
      </w:r>
      <w:r>
        <w:rPr>
          <w:rFonts w:hint="eastAsia" w:ascii="宋体" w:hAnsi="宋体" w:cs="宋体"/>
          <w:szCs w:val="21"/>
          <w:lang w:val="en-GB"/>
        </w:rPr>
        <w:t xml:space="preserve">mm</w:t>
      </w:r>
      <w:r>
        <w:rPr>
          <w:rFonts w:hint="eastAsia" w:ascii="宋体" w:hAnsi="宋体" w:cs="宋体"/>
          <w:szCs w:val="21"/>
        </w:rPr>
        <w:t xml:space="preserve">；</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1100 mm≤ D </w:t>
      </w:r>
      <w:r>
        <w:rPr>
          <w:rFonts w:hint="eastAsia"/>
          <w:szCs w:val="21"/>
        </w:rPr>
        <w:t xml:space="preserve">&lt;</w:t>
      </w:r>
      <w:r>
        <w:rPr>
          <w:rFonts w:hint="eastAsia" w:ascii="宋体" w:hAnsi="宋体" w:cs="宋体"/>
          <w:szCs w:val="21"/>
        </w:rPr>
        <w:t xml:space="preserve">2100 mm，MPE: ±0.08 mm，分度值≤0.02 </w:t>
      </w:r>
      <w:r>
        <w:rPr>
          <w:rFonts w:hint="eastAsia" w:ascii="宋体" w:hAnsi="宋体" w:cs="宋体"/>
          <w:szCs w:val="21"/>
          <w:lang w:val="en-GB"/>
        </w:rPr>
        <w:t xml:space="preserve">mm</w:t>
      </w:r>
      <w:r>
        <w:rPr>
          <w:rFonts w:hint="eastAsia" w:ascii="宋体" w:hAnsi="宋体" w:cs="宋体"/>
          <w:szCs w:val="21"/>
        </w:rPr>
        <w:t xml:space="preserve">；</w:t>
      </w:r>
      <w:r>
        <w:rPr>
          <w:rFonts w:ascii="宋体" w:hAnsi="宋体" w:cs="宋体"/>
          <w:szCs w:val="21"/>
        </w:rPr>
      </w:r>
      <w:r/>
    </w:p>
    <w:p>
      <w:pPr>
        <w:pStyle w:val="1344"/>
        <w:ind w:firstLine="420"/>
        <w:spacing w:line="480" w:lineRule="exact"/>
        <w:rPr>
          <w:rFonts w:ascii="宋体" w:hAnsi="宋体" w:cs="宋体"/>
          <w:szCs w:val="21"/>
          <w:lang w:val="en-GB"/>
        </w:rPr>
      </w:pPr>
      <w:r>
        <w:rPr>
          <w:rFonts w:hint="eastAsia" w:ascii="宋体" w:hAnsi="宋体" w:cs="宋体"/>
          <w:szCs w:val="21"/>
        </w:rPr>
        <w:t xml:space="preserve">2100 mm≤ D ≤3000 mm，MPE: ±0.10 mm，分度值≤0.02 </w:t>
      </w:r>
      <w:r>
        <w:rPr>
          <w:rFonts w:hint="eastAsia" w:ascii="宋体" w:hAnsi="宋体" w:cs="宋体"/>
          <w:szCs w:val="21"/>
          <w:lang w:val="en-GB"/>
        </w:rPr>
        <w:t xml:space="preserve">mm</w:t>
      </w:r>
      <w:r>
        <w:rPr>
          <w:rFonts w:hint="eastAsia" w:ascii="宋体" w:hAnsi="宋体" w:cs="宋体"/>
          <w:szCs w:val="21"/>
        </w:rPr>
        <w:t xml:space="preserve">。</w:t>
      </w:r>
      <w:r>
        <w:rPr>
          <w:rFonts w:ascii="宋体" w:hAnsi="宋体" w:cs="宋体"/>
          <w:szCs w:val="21"/>
          <w:lang w:val="en-GB"/>
        </w:rPr>
      </w:r>
      <w:r/>
    </w:p>
    <w:p>
      <w:pPr>
        <w:pStyle w:val="1344"/>
        <w:ind w:firstLine="420"/>
        <w:spacing w:line="480" w:lineRule="exact"/>
        <w:rPr>
          <w:rFonts w:ascii="宋体" w:hAnsi="宋体" w:cs="宋体"/>
          <w:szCs w:val="21"/>
        </w:rPr>
      </w:pPr>
      <w:r>
        <w:rPr>
          <w:rFonts w:hint="eastAsia" w:ascii="宋体" w:hAnsi="宋体" w:cs="宋体"/>
          <w:szCs w:val="21"/>
        </w:rPr>
        <w:t xml:space="preserve">13．工控机及满足自动检测的控制软件：硬盘容量不小于1 TB，显示器不小于24 寸，配备数据输出设备。整套系统应能实现全自动检测。试验数据和分析数据结果可以和Excel软件直接动态连接，可以方便的快速完成试验报告，具有数据存盘、证书打印、分析统计等功能。</w:t>
      </w:r>
      <w:r>
        <w:rPr>
          <w:rFonts w:ascii="宋体" w:hAnsi="宋体" w:cs="宋体"/>
          <w:szCs w:val="21"/>
        </w:rPr>
      </w:r>
      <w:r/>
    </w:p>
    <w:p>
      <w:pPr>
        <w:pStyle w:val="1344"/>
        <w:spacing w:line="480" w:lineRule="exact"/>
        <w:rPr>
          <w:rFonts w:ascii="宋体" w:hAnsi="宋体" w:cs="宋体"/>
          <w:b/>
          <w:bCs/>
          <w:szCs w:val="21"/>
        </w:rPr>
      </w:pPr>
      <w:r>
        <w:rPr>
          <w:rFonts w:hint="eastAsia" w:ascii="宋体" w:hAnsi="宋体" w:cs="宋体"/>
          <w:b/>
          <w:bCs/>
          <w:szCs w:val="21"/>
        </w:rPr>
        <w:t xml:space="preserve">（三）验收依据、方法及单位</w:t>
      </w:r>
      <w:r>
        <w:rPr>
          <w:rFonts w:ascii="宋体" w:hAnsi="宋体" w:cs="宋体"/>
          <w:b/>
          <w:bCs/>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1.验收依据：</w:t>
      </w:r>
      <w:r>
        <w:rPr>
          <w:rFonts w:ascii="宋体" w:hAnsi="宋体" w:cs="宋体"/>
          <w:szCs w:val="21"/>
        </w:rPr>
      </w:r>
      <w:r/>
    </w:p>
    <w:p>
      <w:pPr>
        <w:pStyle w:val="1344"/>
        <w:ind w:firstLine="638"/>
        <w:spacing w:line="480" w:lineRule="exact"/>
        <w:rPr>
          <w:rFonts w:ascii="宋体" w:hAnsi="宋体" w:cs="宋体"/>
          <w:szCs w:val="21"/>
        </w:rPr>
      </w:pPr>
      <w:r>
        <w:rPr>
          <w:rFonts w:hint="eastAsia" w:ascii="宋体" w:hAnsi="宋体" w:cs="宋体"/>
          <w:szCs w:val="21"/>
        </w:rPr>
        <w:t xml:space="preserve">压力传感器：JJG 882-2019《压力变送器检定规程》；</w:t>
      </w:r>
      <w:r>
        <w:rPr>
          <w:rFonts w:ascii="宋体" w:hAnsi="宋体" w:cs="宋体"/>
          <w:szCs w:val="21"/>
        </w:rPr>
      </w:r>
      <w:r/>
    </w:p>
    <w:p>
      <w:pPr>
        <w:pStyle w:val="1344"/>
        <w:ind w:firstLine="638"/>
        <w:spacing w:line="480" w:lineRule="exact"/>
        <w:rPr>
          <w:rFonts w:ascii="宋体" w:hAnsi="宋体" w:cs="宋体"/>
          <w:szCs w:val="21"/>
        </w:rPr>
      </w:pPr>
      <w:r>
        <w:rPr>
          <w:rFonts w:hint="eastAsia" w:ascii="宋体" w:hAnsi="宋体" w:cs="宋体"/>
          <w:szCs w:val="21"/>
        </w:rPr>
        <w:t xml:space="preserve">铂电阻传感器：JJG 229-2010《工业铂、铜热电阻检定规程》；</w:t>
      </w:r>
      <w:r>
        <w:rPr>
          <w:rFonts w:ascii="宋体" w:hAnsi="宋体" w:cs="宋体"/>
          <w:szCs w:val="21"/>
        </w:rPr>
      </w:r>
      <w:r/>
    </w:p>
    <w:p>
      <w:pPr>
        <w:pStyle w:val="1344"/>
        <w:ind w:firstLine="638"/>
        <w:spacing w:line="480" w:lineRule="exact"/>
        <w:rPr>
          <w:rFonts w:ascii="宋体" w:hAnsi="宋体" w:cs="宋体"/>
          <w:szCs w:val="21"/>
        </w:rPr>
      </w:pPr>
      <w:r>
        <w:rPr>
          <w:rFonts w:hint="eastAsia" w:ascii="宋体" w:hAnsi="宋体" w:cs="宋体"/>
          <w:szCs w:val="21"/>
        </w:rPr>
        <w:t xml:space="preserve">π尺：JJF </w:t>
      </w:r>
      <w:bookmarkStart w:id="335" w:name="OLE_LINK5"/>
      <w:r>
        <w:rPr>
          <w:rFonts w:hint="eastAsia" w:ascii="宋体" w:hAnsi="宋体" w:cs="宋体"/>
          <w:szCs w:val="21"/>
        </w:rPr>
        <w:t xml:space="preserve">1423-2013</w:t>
      </w:r>
      <w:bookmarkEnd w:id="335"/>
      <w:r>
        <w:rPr>
          <w:rFonts w:hint="eastAsia" w:ascii="宋体" w:hAnsi="宋体" w:cs="宋体"/>
          <w:szCs w:val="21"/>
        </w:rPr>
        <w:t xml:space="preserve">《π尺校准规范》；</w:t>
      </w:r>
      <w:r>
        <w:rPr>
          <w:rFonts w:ascii="宋体" w:hAnsi="宋体" w:cs="宋体"/>
          <w:szCs w:val="21"/>
        </w:rPr>
      </w:r>
      <w:r/>
    </w:p>
    <w:p>
      <w:pPr>
        <w:pStyle w:val="1344"/>
        <w:ind w:firstLine="638"/>
        <w:spacing w:line="480" w:lineRule="exact"/>
        <w:rPr>
          <w:rFonts w:ascii="宋体" w:hAnsi="宋体" w:cs="宋体"/>
          <w:szCs w:val="21"/>
        </w:rPr>
      </w:pPr>
      <w:r>
        <w:rPr>
          <w:rFonts w:hint="eastAsia" w:ascii="宋体" w:hAnsi="宋体" w:cs="宋体"/>
          <w:szCs w:val="21"/>
        </w:rPr>
        <w:t xml:space="preserve">钟罩式气体流量标准装置：JJG 165-2024《钟罩式气体流量标准装置检定规程》、仪器设备说明书、本技术文件。</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2．卖方负责将以上设备送检至省级及以上计量技术机构并出具检定和校准证书（验收依据为检定规程的需出具检定证书），检测费用由卖方承担。</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3．江苏省计量科学研究院依据上述证书和本技术文件对该设备的技术指标和功能进行最终验收。</w:t>
      </w:r>
      <w:r>
        <w:rPr>
          <w:rFonts w:ascii="宋体" w:hAnsi="宋体" w:cs="宋体"/>
          <w:szCs w:val="21"/>
        </w:rPr>
      </w:r>
      <w:r/>
    </w:p>
    <w:p>
      <w:pPr>
        <w:pStyle w:val="1344"/>
        <w:spacing w:line="480" w:lineRule="exact"/>
        <w:rPr>
          <w:rFonts w:hint="eastAsia" w:ascii="宋体" w:hAnsi="宋体" w:cs="宋体"/>
          <w:b/>
          <w:bCs/>
          <w:szCs w:val="21"/>
        </w:rPr>
      </w:pPr>
      <w:r>
        <w:rPr>
          <w:rFonts w:hint="eastAsia" w:ascii="宋体" w:hAnsi="宋体" w:cs="宋体"/>
          <w:b/>
          <w:bCs/>
          <w:szCs w:val="21"/>
        </w:rPr>
        <w:t xml:space="preserve">（四）质保期</w:t>
      </w:r>
      <w:r>
        <w:rPr>
          <w:rFonts w:hint="eastAsia" w:ascii="宋体" w:hAnsi="宋体" w:cs="宋体"/>
          <w:b/>
          <w:bCs/>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★1.钟罩式气体流量标准装置的质保期为最终验收合格之日起2年。</w:t>
      </w:r>
      <w:r>
        <w:rPr>
          <w:rFonts w:ascii="宋体" w:hAnsi="宋体" w:cs="宋体"/>
          <w:szCs w:val="21"/>
        </w:rPr>
      </w:r>
      <w:r/>
    </w:p>
    <w:p>
      <w:pPr>
        <w:pStyle w:val="1344"/>
        <w:jc w:val="center"/>
        <w:spacing w:line="360" w:lineRule="auto"/>
        <w:tabs>
          <w:tab w:val="left" w:pos="4500" w:leader="none"/>
          <w:tab w:val="left" w:pos="4680" w:leader="none"/>
        </w:tabs>
        <w:rPr>
          <w:rFonts w:hint="eastAsia" w:ascii="宋体" w:hAnsi="宋体" w:cs="宋体"/>
          <w:b/>
          <w:szCs w:val="21"/>
        </w:rPr>
        <w:outlineLvl w:val="1"/>
      </w:pPr>
      <w:r/>
      <w:bookmarkStart w:id="336" w:name="_Toc21008"/>
      <w:r/>
      <w:bookmarkStart w:id="337" w:name="_Toc18325"/>
      <w:r>
        <w:rPr>
          <w:rFonts w:hint="eastAsia" w:ascii="宋体" w:hAnsi="宋体" w:cs="宋体"/>
          <w:b/>
          <w:szCs w:val="21"/>
        </w:rPr>
        <w:t xml:space="preserve">分包5</w:t>
      </w:r>
      <w:bookmarkEnd w:id="336"/>
      <w:r/>
      <w:bookmarkEnd w:id="337"/>
      <w:r>
        <w:rPr>
          <w:rFonts w:hint="eastAsia" w:ascii="宋体" w:hAnsi="宋体" w:cs="宋体"/>
          <w:b/>
          <w:szCs w:val="21"/>
        </w:rPr>
      </w:r>
      <w:r/>
    </w:p>
    <w:p>
      <w:pPr>
        <w:pStyle w:val="1344"/>
        <w:jc w:val="center"/>
        <w:spacing w:line="480" w:lineRule="exact"/>
        <w:tabs>
          <w:tab w:val="left" w:pos="4500" w:leader="none"/>
          <w:tab w:val="left" w:pos="4680" w:leader="none"/>
        </w:tabs>
        <w:rPr>
          <w:rFonts w:ascii="宋体" w:hAnsi="宋体" w:cs="宋体"/>
          <w:b/>
          <w:bCs/>
          <w:szCs w:val="21"/>
        </w:rPr>
        <w:outlineLvl w:val="1"/>
      </w:pPr>
      <w:r/>
      <w:bookmarkStart w:id="338" w:name="_Toc26347"/>
      <w:r/>
      <w:bookmarkStart w:id="339" w:name="_Toc16505"/>
      <w:r>
        <w:rPr>
          <w:rFonts w:hint="eastAsia" w:ascii="宋体" w:hAnsi="宋体" w:cs="宋体"/>
          <w:b/>
          <w:szCs w:val="21"/>
        </w:rPr>
        <w:t xml:space="preserve">品目</w:t>
      </w:r>
      <w:r>
        <w:rPr>
          <w:rFonts w:hint="eastAsia" w:ascii="宋体" w:hAnsi="宋体" w:cs="宋体"/>
          <w:b/>
          <w:bCs/>
          <w:szCs w:val="21"/>
        </w:rPr>
        <w:t xml:space="preserve">1 电压比例标准</w:t>
      </w:r>
      <w:bookmarkEnd w:id="338"/>
      <w:r/>
      <w:bookmarkEnd w:id="339"/>
      <w:r>
        <w:rPr>
          <w:rFonts w:ascii="宋体" w:hAnsi="宋体" w:cs="宋体"/>
          <w:b/>
          <w:bCs/>
          <w:szCs w:val="21"/>
        </w:rPr>
      </w:r>
      <w:r/>
    </w:p>
    <w:p>
      <w:pPr>
        <w:pStyle w:val="1344"/>
        <w:spacing w:line="480" w:lineRule="exact"/>
        <w:tabs>
          <w:tab w:val="left" w:pos="4500" w:leader="none"/>
          <w:tab w:val="left" w:pos="4680" w:leader="none"/>
        </w:tabs>
        <w:rPr>
          <w:rFonts w:ascii="宋体" w:hAnsi="宋体" w:cs="宋体"/>
          <w:b/>
          <w:bCs/>
          <w:szCs w:val="21"/>
        </w:rPr>
      </w:pPr>
      <w:r>
        <w:rPr>
          <w:rFonts w:hint="eastAsia" w:ascii="宋体" w:hAnsi="宋体" w:cs="宋体"/>
          <w:b/>
          <w:bCs/>
          <w:szCs w:val="21"/>
        </w:rPr>
        <w:t xml:space="preserve">★（一）设备及明细配置清单</w:t>
      </w:r>
      <w:r>
        <w:rPr>
          <w:rFonts w:ascii="宋体" w:hAnsi="宋体" w:cs="宋体"/>
          <w:b/>
          <w:bCs/>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12"/>
        <w:gridCol w:w="3097"/>
        <w:gridCol w:w="2071"/>
        <w:gridCol w:w="3070"/>
      </w:tblGrid>
      <w:tr>
        <w:trPr>
          <w:trHeight w:val="389"/>
        </w:trPr>
        <w:tc>
          <w:tcPr>
            <w:tcW w:w="818"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572"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设备名称</w:t>
            </w:r>
            <w:r>
              <w:rPr>
                <w:rFonts w:ascii="宋体" w:hAnsi="宋体" w:cs="宋体"/>
                <w:szCs w:val="21"/>
              </w:rPr>
            </w:r>
            <w:r/>
          </w:p>
        </w:tc>
        <w:tc>
          <w:tcPr>
            <w:tcW w:w="1051"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数 量</w:t>
            </w:r>
            <w:r>
              <w:rPr>
                <w:rFonts w:ascii="宋体" w:hAnsi="宋体" w:cs="宋体"/>
                <w:szCs w:val="21"/>
              </w:rPr>
            </w:r>
            <w:r/>
          </w:p>
        </w:tc>
        <w:tc>
          <w:tcPr>
            <w:tcW w:w="1558"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合同履行期限（交货期）</w:t>
            </w:r>
            <w:r>
              <w:rPr>
                <w:rFonts w:ascii="宋体" w:hAnsi="宋体" w:cs="宋体"/>
                <w:szCs w:val="21"/>
              </w:rPr>
            </w:r>
            <w:r/>
          </w:p>
        </w:tc>
      </w:tr>
      <w:tr>
        <w:trPr>
          <w:trHeight w:val="454"/>
        </w:trPr>
        <w:tc>
          <w:tcPr>
            <w:tcW w:w="818"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572"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电压比例标准</w:t>
            </w:r>
            <w:r>
              <w:rPr>
                <w:rFonts w:ascii="宋体" w:hAnsi="宋体" w:cs="宋体"/>
                <w:szCs w:val="21"/>
              </w:rPr>
            </w:r>
            <w:r/>
          </w:p>
        </w:tc>
        <w:tc>
          <w:tcPr>
            <w:tcW w:w="1051"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1台</w:t>
            </w:r>
            <w:r>
              <w:rPr>
                <w:rFonts w:ascii="宋体" w:hAnsi="宋体" w:cs="宋体"/>
                <w:szCs w:val="21"/>
              </w:rPr>
            </w:r>
            <w:r/>
          </w:p>
        </w:tc>
        <w:tc>
          <w:tcPr>
            <w:tcW w:w="1558"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rPr>
              <w:t xml:space="preserve">合同签订后</w:t>
            </w:r>
            <w:r>
              <w:rPr>
                <w:rFonts w:ascii="宋体" w:hAnsi="宋体" w:cs="宋体"/>
              </w:rPr>
              <w:t xml:space="preserve">6</w:t>
            </w:r>
            <w:r>
              <w:rPr>
                <w:rFonts w:hint="eastAsia" w:ascii="宋体" w:hAnsi="宋体" w:cs="宋体"/>
              </w:rPr>
              <w:t xml:space="preserve">个月</w:t>
            </w:r>
            <w:r>
              <w:rPr>
                <w:rFonts w:ascii="宋体" w:hAnsi="宋体" w:cs="宋体"/>
                <w:szCs w:val="21"/>
              </w:rPr>
            </w:r>
            <w:r/>
          </w:p>
        </w:tc>
      </w:tr>
    </w:tbl>
    <w:p>
      <w:pPr>
        <w:pStyle w:val="1344"/>
        <w:spacing w:line="480" w:lineRule="exact"/>
        <w:rPr>
          <w:rFonts w:ascii="宋体" w:hAnsi="宋体" w:cs="宋体"/>
          <w:b/>
          <w:bCs/>
          <w:szCs w:val="21"/>
        </w:rPr>
      </w:pPr>
      <w:r>
        <w:rPr>
          <w:rFonts w:hint="eastAsia" w:ascii="宋体" w:hAnsi="宋体" w:cs="宋体"/>
          <w:b/>
          <w:bCs/>
          <w:szCs w:val="21"/>
        </w:rPr>
        <w:t xml:space="preserve">（二）技术指标及功能要求</w:t>
      </w:r>
      <w:r>
        <w:rPr>
          <w:rFonts w:ascii="宋体" w:hAnsi="宋体" w:cs="宋体"/>
          <w:b/>
          <w:bCs/>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1.交、直流电压范围测量（0.1～20）kV</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2.交、直流电压最大允许误差±0.2% </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3.交、直流电流测量范围（0.001～400）mA</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4.交、直流电流最大允许误差±0.5%</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5.电压保持时间测量范围（1～999.99）s</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6.电压保持时间最大允许误差±0.5%</w:t>
      </w:r>
      <w:r>
        <w:rPr>
          <w:rFonts w:ascii="宋体" w:hAnsi="宋体" w:cs="宋体"/>
          <w:szCs w:val="21"/>
        </w:rPr>
      </w:r>
      <w:r/>
    </w:p>
    <w:p>
      <w:pPr>
        <w:pStyle w:val="1344"/>
        <w:spacing w:line="480" w:lineRule="exact"/>
        <w:rPr>
          <w:rFonts w:ascii="宋体" w:hAnsi="宋体" w:cs="宋体"/>
          <w:b/>
          <w:bCs/>
          <w:szCs w:val="21"/>
        </w:rPr>
      </w:pPr>
      <w:r>
        <w:rPr>
          <w:rFonts w:hint="eastAsia" w:ascii="宋体" w:hAnsi="宋体" w:cs="宋体"/>
          <w:b/>
          <w:bCs/>
          <w:szCs w:val="21"/>
        </w:rPr>
        <w:t xml:space="preserve">（三）验收依据、方法及单位</w:t>
      </w:r>
      <w:r>
        <w:rPr>
          <w:rFonts w:ascii="宋体" w:hAnsi="宋体" w:cs="宋体"/>
          <w:b/>
          <w:bCs/>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1.验收依据：DL/T  973-2005 《数字高压表检定规程》，JJF 1587-2016 《数字多用表校准规范》，JJF 2195-2025 《秒表校准规范》。</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2.卖方负责将设备送检至省级及以上计量技术机构进行检定/校准，并出具检定/校准证书，检测费用由卖方承担。</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3.江苏省计量科学研究院根据以上证书、用户手册和本技术文件对整套设备的技术指标和功能进行最终验收。</w:t>
      </w:r>
      <w:r>
        <w:rPr>
          <w:rFonts w:ascii="宋体" w:hAnsi="宋体" w:cs="宋体"/>
          <w:szCs w:val="21"/>
        </w:rPr>
      </w:r>
      <w:r/>
    </w:p>
    <w:p>
      <w:pPr>
        <w:pStyle w:val="1344"/>
        <w:spacing w:line="480" w:lineRule="exact"/>
        <w:rPr>
          <w:rFonts w:hint="eastAsia" w:ascii="宋体" w:hAnsi="宋体" w:cs="宋体"/>
          <w:szCs w:val="21"/>
        </w:rPr>
      </w:pPr>
      <w:r>
        <w:rPr>
          <w:rFonts w:hint="eastAsia" w:ascii="宋体" w:hAnsi="宋体" w:cs="宋体"/>
          <w:b/>
          <w:bCs/>
          <w:szCs w:val="21"/>
        </w:rPr>
        <w:t xml:space="preserve">（四）质保期</w:t>
      </w:r>
      <w:r>
        <w:rPr>
          <w:rFonts w:hint="eastAsia"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★1.电压比例标准的质保期为最终验收合格之日起1年。</w:t>
      </w:r>
      <w:r>
        <w:rPr>
          <w:rFonts w:ascii="宋体" w:hAnsi="宋体" w:cs="宋体"/>
          <w:szCs w:val="21"/>
        </w:rPr>
      </w:r>
      <w:r/>
    </w:p>
    <w:p>
      <w:pPr>
        <w:pStyle w:val="1344"/>
        <w:jc w:val="center"/>
        <w:spacing w:line="480" w:lineRule="exact"/>
        <w:tabs>
          <w:tab w:val="left" w:pos="4500" w:leader="none"/>
          <w:tab w:val="left" w:pos="4680" w:leader="none"/>
        </w:tabs>
        <w:rPr>
          <w:rFonts w:ascii="宋体" w:hAnsi="宋体" w:cs="宋体"/>
          <w:b/>
          <w:bCs/>
          <w:szCs w:val="21"/>
        </w:rPr>
        <w:outlineLvl w:val="1"/>
      </w:pPr>
      <w:r/>
      <w:bookmarkStart w:id="340" w:name="_Toc19674"/>
      <w:r/>
      <w:bookmarkStart w:id="341" w:name="_Toc30613"/>
      <w:r>
        <w:rPr>
          <w:rFonts w:hint="eastAsia" w:ascii="宋体" w:hAnsi="宋体" w:cs="宋体"/>
          <w:b/>
          <w:szCs w:val="21"/>
        </w:rPr>
        <w:t xml:space="preserve">品目</w:t>
      </w:r>
      <w:r>
        <w:rPr>
          <w:rFonts w:hint="eastAsia" w:ascii="宋体" w:hAnsi="宋体" w:cs="宋体"/>
          <w:b/>
          <w:bCs/>
          <w:szCs w:val="21"/>
        </w:rPr>
        <w:t xml:space="preserve">2 数字式高阻检定仪</w:t>
      </w:r>
      <w:bookmarkEnd w:id="340"/>
      <w:r/>
      <w:bookmarkEnd w:id="341"/>
      <w:r>
        <w:rPr>
          <w:rFonts w:ascii="宋体" w:hAnsi="宋体" w:cs="宋体"/>
          <w:b/>
          <w:bCs/>
          <w:szCs w:val="21"/>
        </w:rPr>
      </w:r>
      <w:r/>
    </w:p>
    <w:p>
      <w:pPr>
        <w:pStyle w:val="1344"/>
        <w:spacing w:line="480" w:lineRule="exact"/>
        <w:tabs>
          <w:tab w:val="left" w:pos="4500" w:leader="none"/>
          <w:tab w:val="left" w:pos="4680" w:leader="none"/>
        </w:tabs>
        <w:rPr>
          <w:rFonts w:ascii="宋体" w:hAnsi="宋体" w:cs="宋体"/>
          <w:b/>
          <w:bCs/>
          <w:szCs w:val="21"/>
        </w:rPr>
      </w:pPr>
      <w:r>
        <w:rPr>
          <w:rFonts w:hint="eastAsia" w:ascii="宋体" w:hAnsi="宋体" w:cs="宋体"/>
          <w:b/>
          <w:bCs/>
          <w:szCs w:val="21"/>
        </w:rPr>
        <w:t xml:space="preserve">★（一）设备及明细配置清单</w:t>
      </w:r>
      <w:r>
        <w:rPr>
          <w:rFonts w:ascii="宋体" w:hAnsi="宋体" w:cs="宋体"/>
          <w:b/>
          <w:bCs/>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11"/>
        <w:gridCol w:w="3522"/>
        <w:gridCol w:w="1376"/>
        <w:gridCol w:w="3341"/>
      </w:tblGrid>
      <w:tr>
        <w:trPr>
          <w:trHeight w:val="389"/>
        </w:trPr>
        <w:tc>
          <w:tcPr>
            <w:tcW w:w="818" w:type="dxa"/>
            <w:vAlign w:val="center"/>
            <w:textDirection w:val="lrTb"/>
            <w:noWrap w:val="false"/>
          </w:tcPr>
          <w:p>
            <w:pPr>
              <w:pStyle w:val="1344"/>
              <w:ind w:right="141"/>
              <w:jc w:val="center"/>
              <w:spacing w:line="480" w:lineRule="exact"/>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787"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设备名称</w:t>
            </w:r>
            <w:r>
              <w:rPr>
                <w:rFonts w:ascii="宋体" w:hAnsi="宋体" w:cs="宋体"/>
                <w:szCs w:val="21"/>
              </w:rPr>
            </w:r>
            <w:r/>
          </w:p>
        </w:tc>
        <w:tc>
          <w:tcPr>
            <w:tcW w:w="698"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数 量</w:t>
            </w:r>
            <w:r>
              <w:rPr>
                <w:rFonts w:ascii="宋体" w:hAnsi="宋体" w:cs="宋体"/>
                <w:szCs w:val="21"/>
              </w:rPr>
            </w:r>
            <w:r/>
          </w:p>
        </w:tc>
        <w:tc>
          <w:tcPr>
            <w:tcW w:w="1695"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合同履行期限（交货期）</w:t>
            </w:r>
            <w:r>
              <w:rPr>
                <w:rFonts w:ascii="宋体" w:hAnsi="宋体" w:cs="宋体"/>
                <w:szCs w:val="21"/>
              </w:rPr>
            </w:r>
            <w:r/>
          </w:p>
        </w:tc>
      </w:tr>
      <w:tr>
        <w:trPr>
          <w:cantSplit/>
          <w:trHeight w:val="454"/>
        </w:trPr>
        <w:tc>
          <w:tcPr>
            <w:tcW w:w="818"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787"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数字式高阻检定仪</w:t>
            </w:r>
            <w:r>
              <w:rPr>
                <w:rFonts w:ascii="宋体" w:hAnsi="宋体" w:cs="宋体"/>
                <w:szCs w:val="21"/>
              </w:rPr>
            </w:r>
            <w:r/>
          </w:p>
        </w:tc>
        <w:tc>
          <w:tcPr>
            <w:tcW w:w="698" w:type="dxa"/>
            <w:vAlign w:val="center"/>
            <w:textDirection w:val="lrTb"/>
            <w:noWrap w:val="false"/>
          </w:tcPr>
          <w:p>
            <w:pPr>
              <w:pStyle w:val="1344"/>
              <w:jc w:val="center"/>
              <w:keepNext/>
              <w:spacing w:line="480" w:lineRule="exact"/>
              <w:rPr>
                <w:rFonts w:ascii="宋体" w:hAnsi="宋体" w:cs="宋体"/>
                <w:szCs w:val="21"/>
              </w:rPr>
              <w:outlineLvl w:val="0"/>
            </w:pPr>
            <w:r/>
            <w:bookmarkStart w:id="342" w:name="_Toc22682"/>
            <w:r/>
            <w:bookmarkStart w:id="343" w:name="_Toc12347"/>
            <w:r>
              <w:rPr>
                <w:rFonts w:hint="eastAsia" w:ascii="宋体" w:hAnsi="宋体" w:cs="宋体"/>
                <w:szCs w:val="21"/>
              </w:rPr>
              <w:t xml:space="preserve">1</w:t>
            </w:r>
            <w:bookmarkEnd w:id="342"/>
            <w:r>
              <w:rPr>
                <w:rFonts w:hint="eastAsia" w:ascii="宋体" w:hAnsi="宋体" w:cs="宋体"/>
                <w:szCs w:val="21"/>
              </w:rPr>
              <w:t xml:space="preserve">台</w:t>
            </w:r>
            <w:bookmarkEnd w:id="343"/>
            <w:r>
              <w:rPr>
                <w:rFonts w:ascii="宋体" w:hAnsi="宋体" w:cs="宋体"/>
                <w:szCs w:val="21"/>
              </w:rPr>
            </w:r>
            <w:r/>
          </w:p>
        </w:tc>
        <w:tc>
          <w:tcPr>
            <w:tcW w:w="1695"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rPr>
              <w:t xml:space="preserve">合同签订后</w:t>
            </w:r>
            <w:r>
              <w:rPr>
                <w:rFonts w:ascii="宋体" w:hAnsi="宋体" w:cs="宋体"/>
              </w:rPr>
              <w:t xml:space="preserve">6</w:t>
            </w:r>
            <w:r>
              <w:rPr>
                <w:rFonts w:hint="eastAsia" w:ascii="宋体" w:hAnsi="宋体" w:cs="宋体"/>
              </w:rPr>
              <w:t xml:space="preserve">个月</w:t>
            </w:r>
            <w:r>
              <w:rPr>
                <w:rFonts w:ascii="宋体" w:hAnsi="宋体" w:cs="宋体"/>
                <w:szCs w:val="21"/>
              </w:rPr>
            </w:r>
            <w:r/>
          </w:p>
        </w:tc>
      </w:tr>
    </w:tbl>
    <w:p>
      <w:pPr>
        <w:pStyle w:val="1344"/>
        <w:spacing w:line="480" w:lineRule="exact"/>
        <w:tabs>
          <w:tab w:val="left" w:pos="4500" w:leader="none"/>
          <w:tab w:val="left" w:pos="4680" w:leader="none"/>
        </w:tabs>
        <w:rPr>
          <w:rFonts w:ascii="宋体" w:hAnsi="宋体" w:cs="宋体"/>
          <w:b/>
          <w:bCs/>
          <w:szCs w:val="21"/>
        </w:rPr>
      </w:pPr>
      <w:r>
        <w:rPr>
          <w:rFonts w:hint="eastAsia" w:ascii="宋体" w:hAnsi="宋体" w:cs="宋体"/>
          <w:b/>
          <w:bCs/>
          <w:szCs w:val="21"/>
        </w:rPr>
        <w:t xml:space="preserve">（二）技术指标及功能要求</w:t>
      </w:r>
      <w:r>
        <w:rPr>
          <w:rFonts w:ascii="宋体" w:hAnsi="宋体" w:cs="宋体"/>
          <w:b/>
          <w:bCs/>
          <w:szCs w:val="21"/>
        </w:rPr>
      </w:r>
      <w:r/>
    </w:p>
    <w:p>
      <w:pPr>
        <w:pStyle w:val="1344"/>
        <w:ind w:firstLine="420"/>
        <w:jc w:val="left"/>
        <w:spacing w:line="480" w:lineRule="exact"/>
        <w:widowControl/>
        <w:rPr>
          <w:rFonts w:ascii="宋体" w:hAnsi="宋体" w:cs="宋体"/>
          <w:szCs w:val="21"/>
        </w:rPr>
      </w:pPr>
      <w:r>
        <w:rPr>
          <w:rFonts w:hint="eastAsia" w:ascii="宋体" w:hAnsi="宋体" w:cs="宋体"/>
          <w:szCs w:val="21"/>
        </w:rPr>
        <w:t xml:space="preserve">1.电阻：可调电阻部分：100Ω～10MΩ，MPE: ±0.1%</w:t>
      </w:r>
      <w:r>
        <w:rPr>
          <w:rFonts w:ascii="宋体" w:hAnsi="宋体" w:cs="宋体"/>
          <w:szCs w:val="21"/>
        </w:rPr>
      </w:r>
      <w:r/>
    </w:p>
    <w:p>
      <w:pPr>
        <w:pStyle w:val="1344"/>
        <w:ind w:firstLine="420"/>
        <w:jc w:val="left"/>
        <w:spacing w:line="480" w:lineRule="exact"/>
        <w:widowControl/>
        <w:rPr>
          <w:rFonts w:ascii="宋体" w:hAnsi="宋体" w:cs="宋体"/>
          <w:szCs w:val="21"/>
        </w:rPr>
      </w:pPr>
      <w:r>
        <w:rPr>
          <w:rFonts w:hint="eastAsia" w:ascii="宋体" w:hAnsi="宋体" w:cs="宋体"/>
          <w:szCs w:val="21"/>
        </w:rPr>
        <w:t xml:space="preserve">                      &gt;10MΩ～100MΩ，MPE: ±0.5%</w:t>
      </w:r>
      <w:r>
        <w:rPr>
          <w:rFonts w:ascii="宋体" w:hAnsi="宋体" w:cs="宋体"/>
          <w:szCs w:val="21"/>
        </w:rPr>
      </w:r>
      <w:r/>
    </w:p>
    <w:p>
      <w:pPr>
        <w:pStyle w:val="1344"/>
        <w:ind w:firstLine="2738"/>
        <w:jc w:val="left"/>
        <w:spacing w:line="480" w:lineRule="exact"/>
        <w:widowControl/>
        <w:rPr>
          <w:rFonts w:ascii="宋体" w:hAnsi="宋体" w:cs="宋体"/>
          <w:szCs w:val="21"/>
        </w:rPr>
      </w:pPr>
      <w:r>
        <w:rPr>
          <w:rFonts w:hint="eastAsia" w:ascii="宋体" w:hAnsi="宋体" w:cs="宋体"/>
          <w:szCs w:val="21"/>
        </w:rPr>
        <w:t xml:space="preserve">&gt;100MΩ～10GΩ，MPE: ±1%</w:t>
      </w:r>
      <w:r>
        <w:rPr>
          <w:rFonts w:ascii="宋体" w:hAnsi="宋体" w:cs="宋体"/>
          <w:szCs w:val="21"/>
        </w:rPr>
      </w:r>
      <w:r/>
    </w:p>
    <w:p>
      <w:pPr>
        <w:pStyle w:val="1344"/>
        <w:ind w:firstLine="2738"/>
        <w:jc w:val="left"/>
        <w:spacing w:line="480" w:lineRule="exact"/>
        <w:widowControl/>
        <w:rPr>
          <w:rFonts w:ascii="宋体" w:hAnsi="宋体" w:cs="宋体"/>
          <w:szCs w:val="21"/>
        </w:rPr>
      </w:pPr>
      <w:r>
        <w:rPr>
          <w:rFonts w:hint="eastAsia" w:ascii="宋体" w:hAnsi="宋体" w:cs="宋体"/>
          <w:szCs w:val="21"/>
        </w:rPr>
        <w:t xml:space="preserve">&gt;10GΩ～100GΩ，MPE: ±2%</w:t>
      </w:r>
      <w:r>
        <w:rPr>
          <w:rFonts w:ascii="宋体" w:hAnsi="宋体" w:cs="宋体"/>
          <w:szCs w:val="21"/>
        </w:rPr>
      </w:r>
      <w:r/>
    </w:p>
    <w:p>
      <w:pPr>
        <w:pStyle w:val="1344"/>
        <w:ind w:firstLine="420"/>
        <w:jc w:val="left"/>
        <w:spacing w:line="480" w:lineRule="exact"/>
        <w:widowControl/>
        <w:rPr>
          <w:rFonts w:ascii="宋体" w:hAnsi="宋体" w:cs="宋体"/>
          <w:szCs w:val="21"/>
        </w:rPr>
      </w:pPr>
      <w:r>
        <w:rPr>
          <w:rFonts w:hint="eastAsia" w:ascii="宋体" w:hAnsi="宋体" w:cs="宋体"/>
          <w:szCs w:val="21"/>
        </w:rPr>
        <w:t xml:space="preserve">2.电阻：固定电阻部分：100GΩ、400 GΩ、900 GΩ、1900 GΩ，MPE: ±2%</w:t>
      </w:r>
      <w:r>
        <w:rPr>
          <w:rFonts w:ascii="宋体" w:hAnsi="宋体" w:cs="宋体"/>
          <w:szCs w:val="21"/>
        </w:rPr>
      </w:r>
      <w:r/>
    </w:p>
    <w:p>
      <w:pPr>
        <w:pStyle w:val="1344"/>
        <w:ind w:firstLine="420"/>
        <w:jc w:val="left"/>
        <w:spacing w:line="480" w:lineRule="exact"/>
        <w:widowControl/>
        <w:rPr>
          <w:rFonts w:ascii="宋体" w:hAnsi="宋体" w:cs="宋体"/>
          <w:szCs w:val="21"/>
        </w:rPr>
      </w:pPr>
      <w:r>
        <w:rPr>
          <w:rFonts w:hint="eastAsia" w:ascii="宋体" w:hAnsi="宋体" w:cs="宋体"/>
          <w:szCs w:val="21"/>
        </w:rPr>
        <w:t xml:space="preserve">3.电压测量范围：（0.5～5）kV，</w:t>
      </w:r>
      <w:bookmarkStart w:id="344" w:name="OLE_LINK4"/>
      <w:r>
        <w:rPr>
          <w:rFonts w:hint="eastAsia" w:ascii="宋体" w:hAnsi="宋体" w:cs="宋体"/>
          <w:szCs w:val="21"/>
        </w:rPr>
        <w:t xml:space="preserve">MPE:±</w:t>
      </w:r>
      <w:bookmarkEnd w:id="344"/>
      <w:r>
        <w:rPr>
          <w:rFonts w:hint="eastAsia" w:ascii="宋体" w:hAnsi="宋体" w:cs="宋体"/>
          <w:szCs w:val="21"/>
        </w:rPr>
        <w:t xml:space="preserve">1%</w:t>
      </w:r>
      <w:r>
        <w:rPr>
          <w:rFonts w:ascii="宋体" w:hAnsi="宋体" w:cs="宋体"/>
          <w:szCs w:val="21"/>
        </w:rPr>
      </w:r>
      <w:r/>
    </w:p>
    <w:p>
      <w:pPr>
        <w:pStyle w:val="1344"/>
        <w:spacing w:line="480" w:lineRule="exact"/>
        <w:tabs>
          <w:tab w:val="left" w:pos="4500" w:leader="none"/>
          <w:tab w:val="left" w:pos="4680" w:leader="none"/>
        </w:tabs>
        <w:rPr>
          <w:rFonts w:ascii="宋体" w:hAnsi="宋体" w:cs="宋体"/>
          <w:b/>
          <w:bCs/>
          <w:szCs w:val="21"/>
        </w:rPr>
      </w:pPr>
      <w:r>
        <w:rPr>
          <w:rFonts w:hint="eastAsia" w:ascii="宋体" w:hAnsi="宋体" w:cs="宋体"/>
          <w:b/>
          <w:bCs/>
          <w:szCs w:val="21"/>
        </w:rPr>
        <w:t xml:space="preserve">（三）验收依据、方法及单位</w:t>
      </w:r>
      <w:r>
        <w:rPr>
          <w:rFonts w:ascii="宋体" w:hAnsi="宋体" w:cs="宋体"/>
          <w:b/>
          <w:bCs/>
          <w:szCs w:val="21"/>
        </w:rPr>
      </w:r>
      <w:r/>
    </w:p>
    <w:p>
      <w:pPr>
        <w:pStyle w:val="1344"/>
        <w:ind w:firstLine="420"/>
        <w:jc w:val="left"/>
        <w:spacing w:line="480" w:lineRule="exact"/>
        <w:widowControl/>
        <w:rPr>
          <w:rFonts w:ascii="宋体" w:hAnsi="宋体" w:cs="宋体"/>
          <w:szCs w:val="21"/>
        </w:rPr>
      </w:pPr>
      <w:r>
        <w:rPr>
          <w:rFonts w:hint="eastAsia" w:ascii="宋体" w:hAnsi="宋体" w:cs="宋体"/>
          <w:szCs w:val="21"/>
        </w:rPr>
        <w:t xml:space="preserve">1.验收依据：JJG 1072-2011《直流高压高值电阻器检定规程》，DL/T 973-2005《数字高压表检定规程》。</w:t>
      </w:r>
      <w:r>
        <w:rPr>
          <w:rFonts w:ascii="宋体" w:hAnsi="宋体" w:cs="宋体"/>
          <w:szCs w:val="21"/>
        </w:rPr>
      </w:r>
      <w:r/>
    </w:p>
    <w:p>
      <w:pPr>
        <w:pStyle w:val="1344"/>
        <w:ind w:firstLine="420"/>
        <w:jc w:val="left"/>
        <w:spacing w:line="480" w:lineRule="exact"/>
        <w:widowControl/>
        <w:rPr>
          <w:rFonts w:hint="eastAsia" w:ascii="宋体" w:hAnsi="宋体" w:cs="宋体"/>
          <w:szCs w:val="21"/>
        </w:rPr>
      </w:pPr>
      <w:r>
        <w:rPr>
          <w:rFonts w:hint="eastAsia" w:ascii="宋体" w:hAnsi="宋体" w:cs="宋体"/>
          <w:szCs w:val="21"/>
        </w:rPr>
        <w:t xml:space="preserve">2.卖方负责将设备送检至省级及以上计量技术机构进行检定/校准，并出具检定/校准证书，检测费用由卖方承担。</w:t>
      </w:r>
      <w:r>
        <w:rPr>
          <w:rFonts w:hint="eastAsia" w:ascii="宋体" w:hAnsi="宋体" w:cs="宋体"/>
          <w:szCs w:val="21"/>
        </w:rPr>
      </w:r>
      <w:r/>
    </w:p>
    <w:p>
      <w:pPr>
        <w:pStyle w:val="1344"/>
        <w:ind w:firstLine="420"/>
        <w:jc w:val="left"/>
        <w:spacing w:line="480" w:lineRule="exact"/>
        <w:widowControl/>
        <w:rPr>
          <w:rFonts w:ascii="宋体" w:hAnsi="宋体" w:cs="宋体"/>
          <w:szCs w:val="21"/>
        </w:rPr>
      </w:pPr>
      <w:r>
        <w:rPr>
          <w:rFonts w:hint="eastAsia" w:ascii="宋体" w:hAnsi="宋体" w:cs="宋体"/>
          <w:szCs w:val="21"/>
        </w:rPr>
        <w:t xml:space="preserve">3.江苏省计量科学研究院根据以上证书、用户手册和本技术文件对整套设备的技术指标和功能进行最终验收。</w:t>
      </w:r>
      <w:r>
        <w:rPr>
          <w:rFonts w:ascii="宋体" w:hAnsi="宋体" w:cs="宋体"/>
          <w:szCs w:val="21"/>
        </w:rPr>
      </w:r>
      <w:r/>
    </w:p>
    <w:p>
      <w:pPr>
        <w:pStyle w:val="1344"/>
        <w:spacing w:line="480" w:lineRule="exact"/>
        <w:tabs>
          <w:tab w:val="left" w:pos="4500" w:leader="none"/>
          <w:tab w:val="left" w:pos="4680" w:leader="none"/>
        </w:tabs>
        <w:rPr>
          <w:rFonts w:hint="eastAsia" w:ascii="宋体" w:hAnsi="宋体" w:cs="宋体"/>
          <w:b/>
          <w:bCs/>
          <w:szCs w:val="21"/>
        </w:rPr>
      </w:pPr>
      <w:r>
        <w:rPr>
          <w:rFonts w:hint="eastAsia" w:ascii="宋体" w:hAnsi="宋体" w:cs="宋体"/>
          <w:b/>
          <w:bCs/>
          <w:szCs w:val="21"/>
        </w:rPr>
        <w:t xml:space="preserve">（四）质保期</w:t>
      </w:r>
      <w:r>
        <w:rPr>
          <w:rFonts w:hint="eastAsia" w:ascii="宋体" w:hAnsi="宋体" w:cs="宋体"/>
          <w:b/>
          <w:bCs/>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★1.数字式高阻检定仪的质保期为最终验收合格之日起1年。</w:t>
      </w:r>
      <w:r>
        <w:rPr>
          <w:rFonts w:ascii="宋体" w:hAnsi="宋体" w:cs="宋体"/>
          <w:szCs w:val="21"/>
        </w:rPr>
      </w:r>
      <w:r/>
    </w:p>
    <w:p>
      <w:pPr>
        <w:pStyle w:val="1344"/>
        <w:ind w:firstLine="422"/>
        <w:jc w:val="center"/>
        <w:spacing w:line="480" w:lineRule="exact"/>
        <w:rPr>
          <w:rFonts w:ascii="宋体" w:hAnsi="宋体" w:cs="宋体"/>
          <w:b/>
          <w:bCs/>
          <w:szCs w:val="21"/>
        </w:rPr>
        <w:outlineLvl w:val="1"/>
      </w:pPr>
      <w:r/>
      <w:bookmarkStart w:id="345" w:name="_Toc8044"/>
      <w:r/>
      <w:bookmarkStart w:id="346" w:name="_Toc32383"/>
      <w:r>
        <w:rPr>
          <w:rFonts w:hint="eastAsia" w:ascii="宋体" w:hAnsi="宋体" w:cs="宋体"/>
          <w:b/>
          <w:szCs w:val="21"/>
        </w:rPr>
        <w:t xml:space="preserve">品目</w:t>
      </w:r>
      <w:r>
        <w:rPr>
          <w:rFonts w:hint="eastAsia" w:ascii="宋体" w:hAnsi="宋体" w:cs="宋体"/>
          <w:b/>
          <w:bCs/>
          <w:szCs w:val="21"/>
        </w:rPr>
        <w:t xml:space="preserve">3 </w:t>
      </w:r>
      <w:bookmarkEnd w:id="345"/>
      <w:r>
        <w:rPr>
          <w:rFonts w:hint="eastAsia" w:ascii="宋体" w:hAnsi="宋体" w:cs="宋体"/>
          <w:b/>
          <w:bCs/>
          <w:szCs w:val="21"/>
        </w:rPr>
        <w:t xml:space="preserve">0.02级三相电能表检定装置</w:t>
      </w:r>
      <w:bookmarkEnd w:id="346"/>
      <w:r>
        <w:rPr>
          <w:rFonts w:ascii="宋体" w:hAnsi="宋体" w:cs="宋体"/>
          <w:b/>
          <w:bCs/>
          <w:szCs w:val="21"/>
        </w:rPr>
      </w:r>
      <w:r/>
    </w:p>
    <w:p>
      <w:pPr>
        <w:pStyle w:val="1344"/>
        <w:spacing w:line="480" w:lineRule="exact"/>
        <w:tabs>
          <w:tab w:val="left" w:pos="4500" w:leader="none"/>
          <w:tab w:val="left" w:pos="4680" w:leader="none"/>
        </w:tabs>
        <w:rPr>
          <w:rFonts w:ascii="宋体" w:hAnsi="宋体" w:cs="宋体"/>
          <w:b/>
          <w:bCs/>
          <w:szCs w:val="21"/>
        </w:rPr>
      </w:pPr>
      <w:r>
        <w:rPr>
          <w:rFonts w:hint="eastAsia" w:ascii="宋体" w:hAnsi="宋体" w:cs="宋体"/>
          <w:b/>
          <w:bCs/>
          <w:szCs w:val="21"/>
        </w:rPr>
        <w:t xml:space="preserve">★（一）设备及明细配置清单</w:t>
      </w:r>
      <w:r>
        <w:rPr>
          <w:rFonts w:ascii="宋体" w:hAnsi="宋体" w:cs="宋体"/>
          <w:b/>
          <w:bCs/>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2"/>
        <w:gridCol w:w="4882"/>
        <w:gridCol w:w="1181"/>
        <w:gridCol w:w="2755"/>
      </w:tblGrid>
      <w:tr>
        <w:trPr>
          <w:trHeight w:val="389"/>
        </w:trPr>
        <w:tc>
          <w:tcPr>
            <w:tcW w:w="524" w:type="dxa"/>
            <w:vAlign w:val="center"/>
            <w:textDirection w:val="lrTb"/>
            <w:noWrap w:val="false"/>
          </w:tcPr>
          <w:p>
            <w:pPr>
              <w:pStyle w:val="1344"/>
              <w:ind w:right="141"/>
              <w:jc w:val="center"/>
              <w:spacing w:line="480" w:lineRule="exact"/>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2477"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设备名称</w:t>
            </w:r>
            <w:r>
              <w:rPr>
                <w:rFonts w:ascii="宋体" w:hAnsi="宋体" w:cs="宋体"/>
                <w:szCs w:val="21"/>
              </w:rPr>
            </w:r>
            <w:r/>
          </w:p>
        </w:tc>
        <w:tc>
          <w:tcPr>
            <w:tcW w:w="599"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数 量</w:t>
            </w:r>
            <w:r>
              <w:rPr>
                <w:rFonts w:ascii="宋体" w:hAnsi="宋体" w:cs="宋体"/>
                <w:szCs w:val="21"/>
              </w:rPr>
            </w:r>
            <w:r/>
          </w:p>
        </w:tc>
        <w:tc>
          <w:tcPr>
            <w:tcW w:w="1398"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合同履行期限（交货期）</w:t>
            </w:r>
            <w:r>
              <w:rPr>
                <w:rFonts w:ascii="宋体" w:hAnsi="宋体" w:cs="宋体"/>
                <w:szCs w:val="21"/>
              </w:rPr>
            </w:r>
            <w:r/>
          </w:p>
        </w:tc>
      </w:tr>
      <w:tr>
        <w:trPr>
          <w:cantSplit/>
          <w:trHeight w:val="454"/>
        </w:trPr>
        <w:tc>
          <w:tcPr>
            <w:tcW w:w="524"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2477"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0</w:t>
            </w:r>
            <w:r>
              <w:rPr>
                <w:rFonts w:ascii="宋体" w:hAnsi="宋体" w:cs="宋体"/>
                <w:szCs w:val="21"/>
              </w:rPr>
              <w:t xml:space="preserve">.02</w:t>
            </w:r>
            <w:r>
              <w:rPr>
                <w:rFonts w:hint="eastAsia" w:ascii="宋体" w:hAnsi="宋体" w:cs="宋体"/>
                <w:szCs w:val="21"/>
              </w:rPr>
              <w:t xml:space="preserve">级三相电能表检定装置，不得低于以下配置：</w:t>
            </w:r>
            <w:r>
              <w:rPr>
                <w:rFonts w:ascii="宋体" w:hAnsi="宋体" w:cs="宋体"/>
                <w:szCs w:val="21"/>
              </w:rPr>
            </w:r>
            <w:r/>
          </w:p>
        </w:tc>
        <w:tc>
          <w:tcPr>
            <w:tcW w:w="599" w:type="dxa"/>
            <w:vAlign w:val="center"/>
            <w:textDirection w:val="lrTb"/>
            <w:noWrap w:val="false"/>
          </w:tcPr>
          <w:p>
            <w:pPr>
              <w:pStyle w:val="1344"/>
              <w:jc w:val="center"/>
              <w:keepNext/>
              <w:spacing w:line="480" w:lineRule="exact"/>
              <w:rPr>
                <w:rFonts w:ascii="宋体" w:hAnsi="宋体" w:cs="宋体"/>
                <w:szCs w:val="21"/>
              </w:rPr>
              <w:outlineLvl w:val="0"/>
            </w:pPr>
            <w:r/>
            <w:bookmarkStart w:id="347" w:name="_Toc22150"/>
            <w:r/>
            <w:bookmarkStart w:id="348" w:name="_Toc17067"/>
            <w:r>
              <w:rPr>
                <w:rFonts w:hint="eastAsia" w:ascii="宋体" w:hAnsi="宋体" w:cs="宋体"/>
                <w:szCs w:val="21"/>
              </w:rPr>
              <w:t xml:space="preserve">1套</w:t>
            </w:r>
            <w:bookmarkEnd w:id="347"/>
            <w:r/>
            <w:bookmarkEnd w:id="348"/>
            <w:r>
              <w:rPr>
                <w:rFonts w:ascii="宋体" w:hAnsi="宋体" w:cs="宋体"/>
                <w:szCs w:val="21"/>
              </w:rPr>
            </w:r>
            <w:r/>
          </w:p>
        </w:tc>
        <w:tc>
          <w:tcPr>
            <w:tcW w:w="1398" w:type="dxa"/>
            <w:vAlign w:val="center"/>
            <w:vMerge w:val="restart"/>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签订合同后6个月</w:t>
            </w:r>
            <w:r>
              <w:rPr>
                <w:rFonts w:ascii="宋体" w:hAnsi="宋体" w:cs="宋体"/>
                <w:szCs w:val="21"/>
              </w:rPr>
            </w:r>
            <w:r/>
          </w:p>
        </w:tc>
      </w:tr>
      <w:tr>
        <w:trPr>
          <w:cantSplit/>
          <w:trHeight w:val="454"/>
        </w:trPr>
        <w:tc>
          <w:tcPr>
            <w:tcW w:w="524"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1.1</w:t>
            </w:r>
            <w:r>
              <w:rPr>
                <w:rFonts w:ascii="宋体" w:hAnsi="宋体" w:cs="宋体"/>
                <w:szCs w:val="21"/>
              </w:rPr>
            </w:r>
            <w:r/>
          </w:p>
        </w:tc>
        <w:tc>
          <w:tcPr>
            <w:tcW w:w="2477"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三相标准功率源</w:t>
            </w:r>
            <w:r>
              <w:rPr>
                <w:rFonts w:ascii="宋体" w:hAnsi="宋体" w:cs="宋体"/>
                <w:szCs w:val="21"/>
              </w:rPr>
            </w:r>
            <w:r/>
          </w:p>
        </w:tc>
        <w:tc>
          <w:tcPr>
            <w:tcW w:w="599"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1台</w:t>
            </w:r>
            <w:r>
              <w:rPr>
                <w:rFonts w:ascii="宋体" w:hAnsi="宋体" w:cs="宋体"/>
                <w:szCs w:val="21"/>
              </w:rPr>
            </w:r>
            <w:r/>
          </w:p>
        </w:tc>
        <w:tc>
          <w:tcPr>
            <w:tcW w:w="1398" w:type="dxa"/>
            <w:vAlign w:val="center"/>
            <w:vMerge w:val="continue"/>
            <w:textDirection w:val="lrTb"/>
            <w:noWrap w:val="false"/>
          </w:tcPr>
          <w:p>
            <w:pPr>
              <w:pStyle w:val="1344"/>
              <w:jc w:val="center"/>
              <w:spacing w:line="480" w:lineRule="exact"/>
              <w:rPr>
                <w:rFonts w:ascii="宋体" w:hAnsi="宋体" w:cs="宋体"/>
                <w:szCs w:val="21"/>
              </w:rPr>
            </w:pPr>
            <w:r>
              <w:rPr>
                <w:rFonts w:ascii="宋体" w:hAnsi="宋体" w:cs="宋体"/>
                <w:szCs w:val="21"/>
              </w:rPr>
            </w:r>
            <w:r/>
          </w:p>
        </w:tc>
      </w:tr>
      <w:tr>
        <w:trPr>
          <w:cantSplit/>
          <w:trHeight w:val="454"/>
        </w:trPr>
        <w:tc>
          <w:tcPr>
            <w:tcW w:w="524"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W w:w="2477"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三相标准电能表</w:t>
            </w:r>
            <w:r>
              <w:rPr>
                <w:rFonts w:ascii="宋体" w:hAnsi="宋体" w:cs="宋体"/>
                <w:szCs w:val="21"/>
              </w:rPr>
            </w:r>
            <w:r/>
          </w:p>
        </w:tc>
        <w:tc>
          <w:tcPr>
            <w:tcW w:w="599"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1台</w:t>
            </w:r>
            <w:r>
              <w:rPr>
                <w:rFonts w:ascii="宋体" w:hAnsi="宋体" w:cs="宋体"/>
                <w:szCs w:val="21"/>
              </w:rPr>
            </w:r>
            <w:r/>
          </w:p>
        </w:tc>
        <w:tc>
          <w:tcPr>
            <w:tcW w:w="1398" w:type="dxa"/>
            <w:vAlign w:val="center"/>
            <w:vMerge w:val="continue"/>
            <w:textDirection w:val="lrTb"/>
            <w:noWrap w:val="false"/>
          </w:tcPr>
          <w:p>
            <w:pPr>
              <w:pStyle w:val="1344"/>
              <w:jc w:val="center"/>
              <w:spacing w:line="480" w:lineRule="exact"/>
              <w:rPr>
                <w:rFonts w:ascii="宋体" w:hAnsi="宋体" w:cs="宋体"/>
                <w:szCs w:val="21"/>
              </w:rPr>
            </w:pPr>
            <w:r>
              <w:rPr>
                <w:rFonts w:ascii="宋体" w:hAnsi="宋体" w:cs="宋体"/>
                <w:szCs w:val="21"/>
              </w:rPr>
            </w:r>
            <w:r/>
          </w:p>
        </w:tc>
      </w:tr>
      <w:tr>
        <w:trPr>
          <w:cantSplit/>
          <w:trHeight w:val="454"/>
        </w:trPr>
        <w:tc>
          <w:tcPr>
            <w:tcW w:w="524"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1.3</w:t>
            </w:r>
            <w:r>
              <w:rPr>
                <w:rFonts w:ascii="宋体" w:hAnsi="宋体" w:cs="宋体"/>
                <w:szCs w:val="21"/>
              </w:rPr>
            </w:r>
            <w:r/>
          </w:p>
        </w:tc>
        <w:tc>
          <w:tcPr>
            <w:tcW w:w="2477"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时钟测试仪</w:t>
            </w:r>
            <w:r>
              <w:rPr>
                <w:rFonts w:ascii="宋体" w:hAnsi="宋体" w:cs="宋体"/>
                <w:szCs w:val="21"/>
              </w:rPr>
            </w:r>
            <w:r/>
          </w:p>
        </w:tc>
        <w:tc>
          <w:tcPr>
            <w:tcW w:w="599"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1台</w:t>
            </w:r>
            <w:r>
              <w:rPr>
                <w:rFonts w:ascii="宋体" w:hAnsi="宋体" w:cs="宋体"/>
                <w:szCs w:val="21"/>
              </w:rPr>
            </w:r>
            <w:r/>
          </w:p>
        </w:tc>
        <w:tc>
          <w:tcPr>
            <w:tcW w:w="1398" w:type="dxa"/>
            <w:vAlign w:val="center"/>
            <w:vMerge w:val="continue"/>
            <w:textDirection w:val="lrTb"/>
            <w:noWrap w:val="false"/>
          </w:tcPr>
          <w:p>
            <w:pPr>
              <w:pStyle w:val="1344"/>
              <w:jc w:val="center"/>
              <w:spacing w:line="480" w:lineRule="exact"/>
              <w:rPr>
                <w:rFonts w:ascii="宋体" w:hAnsi="宋体" w:cs="宋体"/>
                <w:szCs w:val="21"/>
              </w:rPr>
            </w:pPr>
            <w:r>
              <w:rPr>
                <w:rFonts w:ascii="宋体" w:hAnsi="宋体" w:cs="宋体"/>
                <w:szCs w:val="21"/>
              </w:rPr>
            </w:r>
            <w:r/>
          </w:p>
        </w:tc>
      </w:tr>
      <w:tr>
        <w:trPr>
          <w:cantSplit/>
          <w:trHeight w:val="454"/>
        </w:trPr>
        <w:tc>
          <w:tcPr>
            <w:tcW w:w="524"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1.4</w:t>
            </w:r>
            <w:r>
              <w:rPr>
                <w:rFonts w:ascii="宋体" w:hAnsi="宋体" w:cs="宋体"/>
                <w:szCs w:val="21"/>
              </w:rPr>
            </w:r>
            <w:r/>
          </w:p>
        </w:tc>
        <w:tc>
          <w:tcPr>
            <w:tcW w:w="2477"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实现自动检测必备的测试软件和控制机</w:t>
            </w:r>
            <w:r>
              <w:rPr>
                <w:rFonts w:ascii="宋体" w:hAnsi="宋体" w:cs="宋体"/>
                <w:szCs w:val="21"/>
              </w:rPr>
            </w:r>
            <w:r/>
          </w:p>
        </w:tc>
        <w:tc>
          <w:tcPr>
            <w:tcW w:w="599"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1套</w:t>
            </w:r>
            <w:r>
              <w:rPr>
                <w:rFonts w:ascii="宋体" w:hAnsi="宋体" w:cs="宋体"/>
                <w:szCs w:val="21"/>
              </w:rPr>
            </w:r>
            <w:r/>
          </w:p>
        </w:tc>
        <w:tc>
          <w:tcPr>
            <w:tcW w:w="1398" w:type="dxa"/>
            <w:vAlign w:val="center"/>
            <w:vMerge w:val="continue"/>
            <w:textDirection w:val="lrTb"/>
            <w:noWrap w:val="false"/>
          </w:tcPr>
          <w:p>
            <w:pPr>
              <w:pStyle w:val="1344"/>
              <w:jc w:val="center"/>
              <w:spacing w:line="480" w:lineRule="exact"/>
              <w:rPr>
                <w:rFonts w:ascii="宋体" w:hAnsi="宋体" w:cs="宋体"/>
                <w:szCs w:val="21"/>
              </w:rPr>
            </w:pPr>
            <w:r>
              <w:rPr>
                <w:rFonts w:ascii="宋体" w:hAnsi="宋体" w:cs="宋体"/>
                <w:szCs w:val="21"/>
              </w:rPr>
            </w:r>
            <w:r/>
          </w:p>
        </w:tc>
      </w:tr>
    </w:tbl>
    <w:p>
      <w:pPr>
        <w:pStyle w:val="1344"/>
        <w:jc w:val="left"/>
        <w:spacing w:line="480" w:lineRule="exact"/>
        <w:rPr>
          <w:rFonts w:ascii="宋体" w:hAnsi="宋体" w:cs="宋体"/>
          <w:b/>
          <w:bCs/>
          <w:szCs w:val="21"/>
        </w:rPr>
      </w:pPr>
      <w:r>
        <w:rPr>
          <w:rFonts w:hint="eastAsia" w:ascii="宋体" w:hAnsi="宋体" w:cs="宋体"/>
          <w:b/>
          <w:bCs/>
          <w:szCs w:val="21"/>
        </w:rPr>
        <w:t xml:space="preserve">（二）技术指标及功能要求</w:t>
      </w:r>
      <w:r>
        <w:rPr>
          <w:rFonts w:ascii="宋体" w:hAnsi="宋体" w:cs="宋体"/>
          <w:b/>
          <w:bCs/>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1.三相标准功率源</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★1.1 测量范围：交流电压：3×（57.7～380）V；交流电流：3×（0.3mA～150A）。</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★1.2 电能准确度等级：0.02级；谐波电能准确度等级：0.2级。</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★1.3 交流功率稳定度：≤0.01%/120s。</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1.4 调节范围：各档量程在0～120％内连续可调，调节细度优于0.01％。</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1.5 最大输出容量：每相不小于40VA /表位。</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1.6 谐波输出：装置能够输出2～50次谐波电压、谐波电流，可任意9种谐波叠加；可输出各种奇次谐波（45°、90°、135°、270°相位触发波形）、脉冲串（间谐波）触发波形、方顶波、尖顶波等波形和正反交替波波形,满足JJG 1106-2015《工作用静止式谐波有功电能表》中的要求。</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1.7 能同时检定8块三相电能表和2块单相电能表，能直接压接被检电能表，并根据JJG 596-2026《安装式交流电能表检定规程》中规定的检定项目实现全自动检定，具备数据存储和调用功能，生成符合要求的电子原始记录。</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1.8 每个表位具备光脉冲、电脉冲及蓝牙通讯接口，实现电能误差自动计算。</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2.三相标准电能表</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★2.1测量范围：交流电压：3×（57.7～380）V；交流电流：3×（0.3mA～200A）。</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★2.2 电能准确度等级：0.02级；谐波电能准确度等级：0.2级。</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★3.时钟测试仪：时间偏差：±1s；相对频率偏差：±1×10</w:t>
      </w:r>
      <w:r>
        <w:rPr>
          <w:rFonts w:ascii="宋体" w:hAnsi="宋体" w:cs="宋体"/>
          <w:szCs w:val="21"/>
          <w:vertAlign w:val="superscript"/>
        </w:rPr>
        <w:t xml:space="preserve">-7</w:t>
      </w:r>
      <w:r>
        <w:rPr>
          <w:rFonts w:hint="eastAsia" w:ascii="宋体" w:hAnsi="宋体" w:cs="宋体"/>
          <w:szCs w:val="21"/>
        </w:rPr>
        <w:t xml:space="preserve">。</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4.实现自动检测必备的测试软件和控制机</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4.1 应能实现全自动检定JJG 596-2026中规定的潜动、起动、固有误差、仪表常数、时间示值误差、电能示值误差、需量误差、剩余电能量递减准确度检定项目。</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4.2 应能显示和保存重要检测过程量和检测结果，通过内置的规范要求数据集，研判检测结果的规范性。具备测试数据分析、超差提醒、记录的生成与导出等功能。</w:t>
      </w:r>
      <w:r>
        <w:rPr>
          <w:rFonts w:ascii="宋体" w:hAnsi="宋体" w:cs="宋体"/>
          <w:szCs w:val="21"/>
        </w:rPr>
      </w:r>
      <w:r/>
    </w:p>
    <w:p>
      <w:pPr>
        <w:pStyle w:val="1344"/>
        <w:ind w:firstLine="420"/>
        <w:jc w:val="left"/>
        <w:spacing w:line="480" w:lineRule="exact"/>
        <w:rPr>
          <w:rFonts w:hint="eastAsia" w:ascii="宋体" w:hAnsi="宋体" w:cs="宋体"/>
          <w:szCs w:val="21"/>
        </w:rPr>
      </w:pPr>
      <w:r>
        <w:rPr>
          <w:rFonts w:hint="eastAsia" w:ascii="宋体" w:hAnsi="宋体" w:cs="宋体"/>
          <w:szCs w:val="21"/>
        </w:rPr>
        <w:t xml:space="preserve">4.3 控制机不低于以下配置：处理器：物理核心≥16 核，线程≥24 线程，基础主频≥2.1GHz，≥32GB DDR5 4800MHz 内存，≥1TB NVMe M.2 高速固态硬盘存储容量。</w:t>
      </w:r>
      <w:r>
        <w:rPr>
          <w:rFonts w:hint="eastAsia" w:ascii="宋体" w:hAnsi="宋体" w:cs="宋体"/>
          <w:szCs w:val="21"/>
        </w:rPr>
      </w:r>
      <w:r/>
    </w:p>
    <w:p>
      <w:pPr>
        <w:pStyle w:val="1344"/>
        <w:ind w:left="1" w:hanging="200"/>
        <w:jc w:val="left"/>
        <w:spacing w:line="480" w:lineRule="exact"/>
        <w:rPr>
          <w:rFonts w:ascii="宋体" w:hAnsi="宋体" w:cs="宋体"/>
          <w:b/>
          <w:bCs/>
          <w:szCs w:val="21"/>
        </w:rPr>
      </w:pPr>
      <w:r>
        <w:rPr>
          <w:rFonts w:hint="eastAsia" w:ascii="宋体" w:hAnsi="宋体" w:cs="宋体"/>
          <w:b/>
          <w:bCs/>
          <w:szCs w:val="21"/>
        </w:rPr>
        <w:t xml:space="preserve">（三）验收依据、方法及单位</w:t>
      </w:r>
      <w:r>
        <w:rPr>
          <w:rFonts w:ascii="宋体" w:hAnsi="宋体" w:cs="宋体"/>
          <w:b/>
          <w:bCs/>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1.验收依据：JJG 597-2025《交流电能表检定装置检定规程》、JJG 1085-2013《标准电能表检定规程》、JJG 1106-2015《工作用静止式谐波有功电能表检定规程》、制造厂商提供的用户手册中的技术要求、本技术文件。</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2.卖方负责将设备送检至上海市计量测试技术研究院有限公司进行检定/校准，并出具检定/校准证书。检测费用由卖方承担。</w:t>
      </w:r>
      <w:r>
        <w:rPr>
          <w:rFonts w:ascii="宋体" w:hAnsi="宋体" w:cs="宋体"/>
          <w:szCs w:val="21"/>
        </w:rPr>
      </w:r>
      <w:r/>
    </w:p>
    <w:p>
      <w:pPr>
        <w:pStyle w:val="1344"/>
        <w:jc w:val="left"/>
        <w:spacing w:line="480" w:lineRule="exact"/>
        <w:rPr>
          <w:rFonts w:ascii="宋体" w:hAnsi="宋体" w:cs="宋体"/>
          <w:szCs w:val="21"/>
        </w:rPr>
      </w:pPr>
      <w:r>
        <w:rPr>
          <w:rFonts w:hint="eastAsia" w:ascii="宋体" w:hAnsi="宋体" w:cs="宋体"/>
          <w:szCs w:val="21"/>
        </w:rPr>
        <w:t xml:space="preserve">    3.江苏省计量科学研究院根据以上证书、用户手册和本技术文件对整套设备的技术指标和功能进行最终验收。</w:t>
      </w:r>
      <w:r>
        <w:rPr>
          <w:rFonts w:ascii="宋体" w:hAnsi="宋体" w:cs="宋体"/>
          <w:szCs w:val="21"/>
        </w:rPr>
      </w:r>
      <w:r/>
    </w:p>
    <w:p>
      <w:pPr>
        <w:pStyle w:val="1344"/>
        <w:jc w:val="left"/>
        <w:spacing w:line="480" w:lineRule="exact"/>
        <w:rPr>
          <w:rFonts w:hint="eastAsia" w:ascii="宋体" w:hAnsi="宋体" w:cs="宋体"/>
          <w:b/>
          <w:bCs/>
          <w:szCs w:val="21"/>
        </w:rPr>
      </w:pPr>
      <w:r>
        <w:rPr>
          <w:rFonts w:hint="eastAsia" w:ascii="宋体" w:hAnsi="宋体" w:cs="宋体"/>
          <w:b/>
          <w:bCs/>
          <w:szCs w:val="21"/>
        </w:rPr>
        <w:t xml:space="preserve">（四）质保期</w:t>
      </w:r>
      <w:r>
        <w:rPr>
          <w:rFonts w:hint="eastAsia" w:ascii="宋体" w:hAnsi="宋体" w:cs="宋体"/>
          <w:b/>
          <w:bCs/>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★1. 0</w:t>
      </w:r>
      <w:r>
        <w:rPr>
          <w:rFonts w:ascii="宋体" w:hAnsi="宋体" w:cs="宋体"/>
          <w:szCs w:val="21"/>
        </w:rPr>
        <w:t xml:space="preserve">.02</w:t>
      </w:r>
      <w:r>
        <w:rPr>
          <w:rFonts w:hint="eastAsia" w:ascii="宋体" w:hAnsi="宋体" w:cs="宋体"/>
          <w:szCs w:val="21"/>
        </w:rPr>
        <w:t xml:space="preserve">级三相电能表检定装置的整机质保期为验收合格之日起2年。</w:t>
      </w:r>
      <w:r>
        <w:rPr>
          <w:rFonts w:ascii="宋体" w:hAnsi="宋体" w:cs="宋体"/>
          <w:szCs w:val="21"/>
        </w:rPr>
      </w:r>
      <w:r/>
    </w:p>
    <w:p>
      <w:pPr>
        <w:pStyle w:val="1344"/>
        <w:jc w:val="center"/>
        <w:spacing w:line="360" w:lineRule="auto"/>
        <w:tabs>
          <w:tab w:val="left" w:pos="4500" w:leader="none"/>
          <w:tab w:val="left" w:pos="4680" w:leader="none"/>
        </w:tabs>
        <w:rPr>
          <w:rFonts w:hint="eastAsia" w:ascii="宋体" w:hAnsi="宋体" w:cs="宋体"/>
          <w:b/>
          <w:szCs w:val="21"/>
        </w:rPr>
        <w:outlineLvl w:val="1"/>
      </w:pPr>
      <w:r/>
      <w:bookmarkStart w:id="349" w:name="_Toc24754"/>
      <w:r/>
      <w:bookmarkStart w:id="350" w:name="_Toc29437"/>
      <w:r>
        <w:rPr>
          <w:rFonts w:hint="eastAsia" w:ascii="宋体" w:hAnsi="宋体" w:cs="宋体"/>
          <w:b/>
          <w:szCs w:val="21"/>
        </w:rPr>
        <w:t xml:space="preserve">分包6</w:t>
      </w:r>
      <w:bookmarkEnd w:id="349"/>
      <w:r/>
      <w:bookmarkEnd w:id="350"/>
      <w:r>
        <w:rPr>
          <w:rFonts w:hint="eastAsia" w:ascii="宋体" w:hAnsi="宋体" w:cs="宋体"/>
          <w:b/>
          <w:szCs w:val="21"/>
        </w:rPr>
      </w:r>
      <w:r/>
    </w:p>
    <w:p>
      <w:pPr>
        <w:pStyle w:val="1344"/>
        <w:jc w:val="center"/>
        <w:spacing w:line="360" w:lineRule="auto"/>
        <w:tabs>
          <w:tab w:val="left" w:pos="4500" w:leader="none"/>
          <w:tab w:val="left" w:pos="4680" w:leader="none"/>
        </w:tabs>
        <w:rPr>
          <w:rFonts w:ascii="宋体" w:hAnsi="宋体" w:cs="宋体"/>
          <w:b/>
          <w:bCs/>
          <w:szCs w:val="21"/>
        </w:rPr>
        <w:outlineLvl w:val="1"/>
      </w:pPr>
      <w:r/>
      <w:bookmarkStart w:id="351" w:name="_Toc27385"/>
      <w:r/>
      <w:bookmarkStart w:id="352" w:name="_Toc8365"/>
      <w:r>
        <w:rPr>
          <w:rFonts w:hint="eastAsia" w:ascii="宋体" w:hAnsi="宋体" w:cs="宋体"/>
          <w:b/>
          <w:szCs w:val="21"/>
        </w:rPr>
        <w:t xml:space="preserve">品目</w:t>
      </w:r>
      <w:r>
        <w:rPr>
          <w:rFonts w:hint="eastAsia" w:ascii="宋体" w:hAnsi="宋体" w:cs="宋体"/>
          <w:b/>
          <w:bCs/>
          <w:szCs w:val="21"/>
        </w:rPr>
        <w:t xml:space="preserve">1 数字多用表</w:t>
      </w:r>
      <w:bookmarkEnd w:id="351"/>
      <w:r/>
      <w:bookmarkEnd w:id="352"/>
      <w:r>
        <w:rPr>
          <w:rFonts w:ascii="宋体" w:hAnsi="宋体" w:cs="宋体"/>
          <w:b/>
          <w:bCs/>
          <w:szCs w:val="21"/>
        </w:rPr>
      </w:r>
      <w:r/>
    </w:p>
    <w:p>
      <w:pPr>
        <w:pStyle w:val="1344"/>
        <w:spacing w:line="480" w:lineRule="exact"/>
        <w:tabs>
          <w:tab w:val="left" w:pos="4500" w:leader="none"/>
          <w:tab w:val="left" w:pos="4680" w:leader="none"/>
        </w:tabs>
        <w:rPr>
          <w:rFonts w:ascii="宋体" w:hAnsi="宋体" w:cs="宋体"/>
          <w:b/>
          <w:bCs/>
          <w:szCs w:val="21"/>
        </w:rPr>
      </w:pPr>
      <w:r>
        <w:rPr>
          <w:rFonts w:hint="eastAsia" w:ascii="宋体" w:hAnsi="宋体" w:cs="宋体"/>
          <w:b/>
          <w:bCs/>
          <w:szCs w:val="21"/>
        </w:rPr>
        <w:t xml:space="preserve">★（一）设备及明细配置清单</w:t>
      </w:r>
      <w:r>
        <w:rPr>
          <w:rFonts w:ascii="宋体" w:hAnsi="宋体" w:cs="宋体"/>
          <w:b/>
          <w:bCs/>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46"/>
        <w:gridCol w:w="3023"/>
        <w:gridCol w:w="2215"/>
        <w:gridCol w:w="3266"/>
      </w:tblGrid>
      <w:tr>
        <w:trPr>
          <w:trHeight w:val="389"/>
        </w:trPr>
        <w:tc>
          <w:tcPr>
            <w:tcW w:w="683" w:type="dxa"/>
            <w:vAlign w:val="center"/>
            <w:textDirection w:val="lrTb"/>
            <w:noWrap w:val="false"/>
          </w:tcPr>
          <w:p>
            <w:pPr>
              <w:pStyle w:val="1344"/>
              <w:jc w:val="center"/>
              <w:spacing w:line="360" w:lineRule="auto"/>
              <w:rPr>
                <w:rFonts w:ascii="宋体" w:hAnsi="宋体" w:cs="宋体"/>
              </w:rPr>
            </w:pPr>
            <w:r>
              <w:rPr>
                <w:rFonts w:hint="eastAsia" w:ascii="宋体" w:hAnsi="宋体" w:cs="宋体"/>
              </w:rPr>
              <w:t xml:space="preserve">序号</w:t>
            </w:r>
            <w:r>
              <w:rPr>
                <w:rFonts w:ascii="宋体" w:hAnsi="宋体" w:cs="宋体"/>
              </w:rPr>
            </w:r>
            <w:r/>
          </w:p>
        </w:tc>
        <w:tc>
          <w:tcPr>
            <w:tcW w:w="1534" w:type="dxa"/>
            <w:vAlign w:val="center"/>
            <w:textDirection w:val="lrTb"/>
            <w:noWrap w:val="false"/>
          </w:tcPr>
          <w:p>
            <w:pPr>
              <w:pStyle w:val="1344"/>
              <w:jc w:val="center"/>
              <w:spacing w:line="360" w:lineRule="auto"/>
              <w:rPr>
                <w:rFonts w:ascii="宋体" w:hAnsi="宋体" w:cs="宋体"/>
              </w:rPr>
            </w:pPr>
            <w:r>
              <w:rPr>
                <w:rFonts w:hint="eastAsia" w:ascii="宋体" w:hAnsi="宋体" w:cs="宋体"/>
              </w:rPr>
              <w:t xml:space="preserve">设备名称</w:t>
            </w:r>
            <w:r>
              <w:rPr>
                <w:rFonts w:ascii="宋体" w:hAnsi="宋体" w:cs="宋体"/>
              </w:rPr>
            </w:r>
            <w:r/>
          </w:p>
        </w:tc>
        <w:tc>
          <w:tcPr>
            <w:tcW w:w="1124" w:type="dxa"/>
            <w:vAlign w:val="center"/>
            <w:textDirection w:val="lrTb"/>
            <w:noWrap w:val="false"/>
          </w:tcPr>
          <w:p>
            <w:pPr>
              <w:pStyle w:val="1344"/>
              <w:jc w:val="center"/>
              <w:spacing w:line="360" w:lineRule="auto"/>
              <w:rPr>
                <w:rFonts w:ascii="宋体" w:hAnsi="宋体" w:cs="宋体"/>
              </w:rPr>
            </w:pPr>
            <w:r>
              <w:rPr>
                <w:rFonts w:hint="eastAsia" w:ascii="宋体" w:hAnsi="宋体" w:cs="宋体"/>
              </w:rPr>
              <w:t xml:space="preserve">数 量</w:t>
            </w:r>
            <w:r>
              <w:rPr>
                <w:rFonts w:ascii="宋体" w:hAnsi="宋体" w:cs="宋体"/>
              </w:rPr>
            </w:r>
            <w:r/>
          </w:p>
        </w:tc>
        <w:tc>
          <w:tcPr>
            <w:tcW w:w="1657" w:type="dxa"/>
            <w:vAlign w:val="center"/>
            <w:textDirection w:val="lrTb"/>
            <w:noWrap w:val="false"/>
          </w:tcPr>
          <w:p>
            <w:pPr>
              <w:pStyle w:val="1344"/>
              <w:jc w:val="center"/>
              <w:spacing w:line="360" w:lineRule="auto"/>
              <w:rPr>
                <w:rFonts w:ascii="宋体" w:hAnsi="宋体" w:cs="宋体"/>
              </w:rPr>
            </w:pPr>
            <w:r>
              <w:rPr>
                <w:rFonts w:hint="eastAsia" w:ascii="宋体" w:hAnsi="宋体" w:cs="宋体"/>
              </w:rPr>
              <w:t xml:space="preserve">合同履行期限（交货期）</w:t>
            </w:r>
            <w:r>
              <w:rPr>
                <w:rFonts w:ascii="宋体" w:hAnsi="宋体" w:cs="宋体"/>
              </w:rPr>
            </w:r>
            <w:r/>
          </w:p>
        </w:tc>
      </w:tr>
      <w:tr>
        <w:trPr>
          <w:cantSplit/>
          <w:trHeight w:val="454"/>
        </w:trPr>
        <w:tc>
          <w:tcPr>
            <w:tcW w:w="683" w:type="dxa"/>
            <w:vAlign w:val="center"/>
            <w:textDirection w:val="lrTb"/>
            <w:noWrap w:val="false"/>
          </w:tcPr>
          <w:p>
            <w:pPr>
              <w:pStyle w:val="1344"/>
              <w:jc w:val="center"/>
              <w:spacing w:line="360" w:lineRule="auto"/>
              <w:rPr>
                <w:rFonts w:ascii="宋体" w:hAnsi="宋体" w:cs="宋体"/>
              </w:rPr>
            </w:pPr>
            <w:r>
              <w:rPr>
                <w:rFonts w:hint="eastAsia" w:ascii="宋体" w:hAnsi="宋体" w:cs="宋体"/>
              </w:rPr>
              <w:t xml:space="preserve">1</w:t>
            </w:r>
            <w:r>
              <w:rPr>
                <w:rFonts w:ascii="宋体" w:hAnsi="宋体" w:cs="宋体"/>
              </w:rPr>
            </w:r>
            <w:r/>
          </w:p>
        </w:tc>
        <w:tc>
          <w:tcPr>
            <w:tcW w:w="1534" w:type="dxa"/>
            <w:vAlign w:val="center"/>
            <w:textDirection w:val="lrTb"/>
            <w:noWrap w:val="false"/>
          </w:tcPr>
          <w:p>
            <w:pPr>
              <w:pStyle w:val="1344"/>
              <w:jc w:val="center"/>
              <w:spacing w:line="360" w:lineRule="auto"/>
              <w:rPr>
                <w:rFonts w:ascii="宋体" w:hAnsi="宋体" w:cs="宋体"/>
              </w:rPr>
            </w:pPr>
            <w:r>
              <w:rPr>
                <w:rFonts w:hint="eastAsia" w:ascii="宋体" w:hAnsi="宋体" w:cs="宋体"/>
              </w:rPr>
              <w:t xml:space="preserve">数字多用表</w:t>
            </w:r>
            <w:r>
              <w:rPr>
                <w:rFonts w:ascii="宋体" w:hAnsi="宋体" w:cs="宋体"/>
              </w:rPr>
            </w:r>
            <w:r/>
          </w:p>
        </w:tc>
        <w:tc>
          <w:tcPr>
            <w:tcW w:w="1124" w:type="dxa"/>
            <w:vAlign w:val="center"/>
            <w:textDirection w:val="lrTb"/>
            <w:noWrap w:val="false"/>
          </w:tcPr>
          <w:p>
            <w:pPr>
              <w:pStyle w:val="1344"/>
              <w:jc w:val="center"/>
              <w:spacing w:line="360" w:lineRule="auto"/>
              <w:rPr>
                <w:rFonts w:hint="eastAsia" w:ascii="宋体" w:hAnsi="宋体" w:cs="宋体"/>
              </w:rPr>
            </w:pPr>
            <w:r>
              <w:rPr>
                <w:rFonts w:hint="eastAsia" w:ascii="宋体" w:hAnsi="宋体" w:cs="宋体"/>
              </w:rPr>
              <w:t xml:space="preserve">1台</w:t>
            </w:r>
            <w:r>
              <w:rPr>
                <w:rFonts w:hint="eastAsia" w:ascii="宋体" w:hAnsi="宋体" w:cs="宋体"/>
              </w:rPr>
            </w:r>
            <w:r/>
          </w:p>
        </w:tc>
        <w:tc>
          <w:tcPr>
            <w:tcW w:w="1657" w:type="dxa"/>
            <w:vAlign w:val="center"/>
            <w:textDirection w:val="lrTb"/>
            <w:noWrap w:val="false"/>
          </w:tcPr>
          <w:p>
            <w:pPr>
              <w:pStyle w:val="1344"/>
              <w:jc w:val="center"/>
              <w:spacing w:line="360" w:lineRule="auto"/>
              <w:rPr>
                <w:rFonts w:ascii="宋体" w:hAnsi="宋体" w:cs="宋体"/>
              </w:rPr>
            </w:pPr>
            <w:r>
              <w:rPr>
                <w:rFonts w:hint="eastAsia" w:ascii="宋体" w:hAnsi="宋体" w:cs="宋体"/>
              </w:rPr>
              <w:t xml:space="preserve">合同签订后9个月</w:t>
            </w:r>
            <w:r>
              <w:rPr>
                <w:rFonts w:ascii="宋体" w:hAnsi="宋体" w:cs="宋体"/>
              </w:rPr>
            </w:r>
            <w:r/>
          </w:p>
        </w:tc>
      </w:tr>
    </w:tbl>
    <w:p>
      <w:pPr>
        <w:pStyle w:val="1344"/>
        <w:spacing w:line="480" w:lineRule="exact"/>
        <w:rPr>
          <w:rFonts w:ascii="宋体" w:hAnsi="宋体" w:cs="宋体"/>
          <w:b/>
          <w:bCs/>
          <w:szCs w:val="21"/>
        </w:rPr>
      </w:pPr>
      <w:r>
        <w:rPr>
          <w:rFonts w:hint="eastAsia" w:ascii="宋体" w:hAnsi="宋体" w:cs="宋体"/>
          <w:b/>
          <w:bCs/>
          <w:szCs w:val="21"/>
        </w:rPr>
        <w:t xml:space="preserve">（二）技术指标及功能要求</w:t>
      </w:r>
      <w:r>
        <w:rPr>
          <w:rFonts w:ascii="宋体" w:hAnsi="宋体" w:cs="宋体"/>
          <w:b/>
          <w:bCs/>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★1.测量范围： </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DCV：10mV～1000V；DCI：100μA～30A；ACV：10mV～1000V（50Hz～1MHz）；ACI：100μA～30A（40Hz～10kHz）；R：1Ω～10GΩ。</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★2.最大允许误差：</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DCV：±（2.7×10</w:t>
      </w:r>
      <w:r>
        <w:rPr>
          <w:rFonts w:hint="eastAsia" w:ascii="宋体" w:hAnsi="宋体" w:cs="宋体"/>
          <w:szCs w:val="21"/>
          <w:vertAlign w:val="superscript"/>
        </w:rPr>
        <w:t xml:space="preserve">-6</w:t>
      </w:r>
      <w:r>
        <w:rPr>
          <w:rFonts w:hint="eastAsia" w:ascii="宋体" w:hAnsi="宋体" w:cs="宋体"/>
          <w:szCs w:val="21"/>
        </w:rPr>
        <w:t xml:space="preserve">读数＋0.1×10</w:t>
      </w:r>
      <w:r>
        <w:rPr>
          <w:rFonts w:hint="eastAsia" w:ascii="宋体" w:hAnsi="宋体" w:cs="宋体"/>
          <w:szCs w:val="21"/>
          <w:vertAlign w:val="superscript"/>
        </w:rPr>
        <w:t xml:space="preserve">-6</w:t>
      </w:r>
      <w:r>
        <w:rPr>
          <w:rFonts w:hint="eastAsia" w:ascii="宋体" w:hAnsi="宋体" w:cs="宋体"/>
          <w:szCs w:val="21"/>
        </w:rPr>
        <w:t xml:space="preserve">量程）～ ±（5.1×10</w:t>
      </w:r>
      <w:r>
        <w:rPr>
          <w:rFonts w:hint="eastAsia" w:ascii="宋体" w:hAnsi="宋体" w:cs="宋体"/>
          <w:szCs w:val="21"/>
          <w:vertAlign w:val="superscript"/>
        </w:rPr>
        <w:t xml:space="preserve">-6</w:t>
      </w:r>
      <w:r>
        <w:rPr>
          <w:rFonts w:hint="eastAsia" w:ascii="宋体" w:hAnsi="宋体" w:cs="宋体"/>
          <w:szCs w:val="21"/>
        </w:rPr>
        <w:t xml:space="preserve">读数＋2.0×10</w:t>
      </w:r>
      <w:r>
        <w:rPr>
          <w:rFonts w:hint="eastAsia" w:ascii="宋体" w:hAnsi="宋体" w:cs="宋体"/>
          <w:szCs w:val="21"/>
          <w:vertAlign w:val="superscript"/>
        </w:rPr>
        <w:t xml:space="preserve">-6</w:t>
      </w:r>
      <w:r>
        <w:rPr>
          <w:rFonts w:hint="eastAsia" w:ascii="宋体" w:hAnsi="宋体" w:cs="宋体"/>
          <w:szCs w:val="21"/>
        </w:rPr>
        <w:t xml:space="preserve">量程）；</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DCI：±（6.5×10</w:t>
      </w:r>
      <w:r>
        <w:rPr>
          <w:rFonts w:hint="eastAsia" w:ascii="宋体" w:hAnsi="宋体" w:cs="宋体"/>
          <w:szCs w:val="21"/>
          <w:vertAlign w:val="superscript"/>
        </w:rPr>
        <w:t xml:space="preserve">-6</w:t>
      </w:r>
      <w:r>
        <w:rPr>
          <w:rFonts w:hint="eastAsia" w:ascii="宋体" w:hAnsi="宋体" w:cs="宋体"/>
          <w:szCs w:val="21"/>
        </w:rPr>
        <w:t xml:space="preserve">读数＋4×10</w:t>
      </w:r>
      <w:r>
        <w:rPr>
          <w:rFonts w:hint="eastAsia" w:ascii="宋体" w:hAnsi="宋体" w:cs="宋体"/>
          <w:szCs w:val="21"/>
          <w:vertAlign w:val="superscript"/>
        </w:rPr>
        <w:t xml:space="preserve">-6</w:t>
      </w:r>
      <w:r>
        <w:rPr>
          <w:rFonts w:hint="eastAsia" w:ascii="宋体" w:hAnsi="宋体" w:cs="宋体"/>
          <w:szCs w:val="21"/>
        </w:rPr>
        <w:t xml:space="preserve">量程）～ ±（4.9×10</w:t>
      </w:r>
      <w:r>
        <w:rPr>
          <w:rFonts w:hint="eastAsia" w:ascii="宋体" w:hAnsi="宋体" w:cs="宋体"/>
          <w:szCs w:val="21"/>
          <w:vertAlign w:val="superscript"/>
        </w:rPr>
        <w:t xml:space="preserve">-4</w:t>
      </w:r>
      <w:r>
        <w:rPr>
          <w:rFonts w:hint="eastAsia" w:ascii="宋体" w:hAnsi="宋体" w:cs="宋体"/>
          <w:szCs w:val="21"/>
        </w:rPr>
        <w:t xml:space="preserve">读数＋1.5×10</w:t>
      </w:r>
      <w:r>
        <w:rPr>
          <w:rFonts w:hint="eastAsia" w:ascii="宋体" w:hAnsi="宋体" w:cs="宋体"/>
          <w:szCs w:val="21"/>
          <w:vertAlign w:val="superscript"/>
        </w:rPr>
        <w:t xml:space="preserve">-4</w:t>
      </w:r>
      <w:r>
        <w:rPr>
          <w:rFonts w:hint="eastAsia" w:ascii="宋体" w:hAnsi="宋体" w:cs="宋体"/>
          <w:szCs w:val="21"/>
        </w:rPr>
        <w:t xml:space="preserve">量程）；</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ACV：±（6.0×10</w:t>
      </w:r>
      <w:r>
        <w:rPr>
          <w:rFonts w:hint="eastAsia" w:ascii="宋体" w:hAnsi="宋体" w:cs="宋体"/>
          <w:szCs w:val="21"/>
          <w:vertAlign w:val="superscript"/>
        </w:rPr>
        <w:t xml:space="preserve">-5</w:t>
      </w:r>
      <w:r>
        <w:rPr>
          <w:rFonts w:hint="eastAsia" w:ascii="宋体" w:hAnsi="宋体" w:cs="宋体"/>
          <w:szCs w:val="21"/>
        </w:rPr>
        <w:t xml:space="preserve">读数＋5×10</w:t>
      </w:r>
      <w:r>
        <w:rPr>
          <w:rFonts w:hint="eastAsia" w:ascii="宋体" w:hAnsi="宋体" w:cs="宋体"/>
          <w:szCs w:val="21"/>
          <w:vertAlign w:val="superscript"/>
        </w:rPr>
        <w:t xml:space="preserve">-6</w:t>
      </w:r>
      <w:r>
        <w:rPr>
          <w:rFonts w:hint="eastAsia" w:ascii="宋体" w:hAnsi="宋体" w:cs="宋体"/>
          <w:szCs w:val="21"/>
        </w:rPr>
        <w:t xml:space="preserve">量程）～ ±（2.0×10</w:t>
      </w:r>
      <w:r>
        <w:rPr>
          <w:rFonts w:hint="eastAsia" w:ascii="宋体" w:hAnsi="宋体" w:cs="宋体"/>
          <w:szCs w:val="21"/>
          <w:vertAlign w:val="superscript"/>
        </w:rPr>
        <w:t xml:space="preserve">-2</w:t>
      </w:r>
      <w:r>
        <w:rPr>
          <w:rFonts w:hint="eastAsia" w:ascii="宋体" w:hAnsi="宋体" w:cs="宋体"/>
          <w:szCs w:val="21"/>
        </w:rPr>
        <w:t xml:space="preserve">读数＋0.5×10</w:t>
      </w:r>
      <w:r>
        <w:rPr>
          <w:rFonts w:hint="eastAsia" w:ascii="宋体" w:hAnsi="宋体" w:cs="宋体"/>
          <w:szCs w:val="21"/>
          <w:vertAlign w:val="superscript"/>
        </w:rPr>
        <w:t xml:space="preserve">-2</w:t>
      </w:r>
      <w:r>
        <w:rPr>
          <w:rFonts w:hint="eastAsia" w:ascii="宋体" w:hAnsi="宋体" w:cs="宋体"/>
          <w:szCs w:val="21"/>
        </w:rPr>
        <w:t xml:space="preserve">量程）； </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ACI：±（2.5×10</w:t>
      </w:r>
      <w:r>
        <w:rPr>
          <w:rFonts w:hint="eastAsia" w:ascii="宋体" w:hAnsi="宋体" w:cs="宋体"/>
          <w:szCs w:val="21"/>
          <w:vertAlign w:val="superscript"/>
        </w:rPr>
        <w:t xml:space="preserve">-4</w:t>
      </w:r>
      <w:r>
        <w:rPr>
          <w:rFonts w:hint="eastAsia" w:ascii="宋体" w:hAnsi="宋体" w:cs="宋体"/>
          <w:szCs w:val="21"/>
        </w:rPr>
        <w:t xml:space="preserve">读数+5.0×10</w:t>
      </w:r>
      <w:r>
        <w:rPr>
          <w:rFonts w:hint="eastAsia" w:ascii="宋体" w:hAnsi="宋体" w:cs="宋体"/>
          <w:szCs w:val="21"/>
          <w:vertAlign w:val="superscript"/>
        </w:rPr>
        <w:t xml:space="preserve">-5</w:t>
      </w:r>
      <w:r>
        <w:rPr>
          <w:rFonts w:hint="eastAsia" w:ascii="宋体" w:hAnsi="宋体" w:cs="宋体"/>
          <w:szCs w:val="21"/>
        </w:rPr>
        <w:t xml:space="preserve">量程）～ ±（1.2×10</w:t>
      </w:r>
      <w:r>
        <w:rPr>
          <w:rFonts w:hint="eastAsia" w:ascii="宋体" w:hAnsi="宋体" w:cs="宋体"/>
          <w:szCs w:val="21"/>
          <w:vertAlign w:val="superscript"/>
        </w:rPr>
        <w:t xml:space="preserve">-3</w:t>
      </w:r>
      <w:r>
        <w:rPr>
          <w:rFonts w:hint="eastAsia" w:ascii="宋体" w:hAnsi="宋体" w:cs="宋体"/>
          <w:szCs w:val="21"/>
        </w:rPr>
        <w:t xml:space="preserve">读数+4.0×10</w:t>
      </w:r>
      <w:r>
        <w:rPr>
          <w:rFonts w:hint="eastAsia" w:ascii="宋体" w:hAnsi="宋体" w:cs="宋体"/>
          <w:szCs w:val="21"/>
          <w:vertAlign w:val="superscript"/>
        </w:rPr>
        <w:t xml:space="preserve">-4</w:t>
      </w:r>
      <w:r>
        <w:rPr>
          <w:rFonts w:hint="eastAsia" w:ascii="宋体" w:hAnsi="宋体" w:cs="宋体"/>
          <w:szCs w:val="21"/>
        </w:rPr>
        <w:t xml:space="preserve">量程）； </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R：±（7.0×10</w:t>
      </w:r>
      <w:r>
        <w:rPr>
          <w:rFonts w:hint="eastAsia" w:ascii="宋体" w:hAnsi="宋体" w:cs="宋体"/>
          <w:szCs w:val="21"/>
          <w:vertAlign w:val="superscript"/>
        </w:rPr>
        <w:t xml:space="preserve">-6</w:t>
      </w:r>
      <w:r>
        <w:rPr>
          <w:rFonts w:hint="eastAsia" w:ascii="宋体" w:hAnsi="宋体" w:cs="宋体"/>
          <w:szCs w:val="21"/>
        </w:rPr>
        <w:t xml:space="preserve">读数+5.0×10</w:t>
      </w:r>
      <w:r>
        <w:rPr>
          <w:rFonts w:hint="eastAsia" w:ascii="宋体" w:hAnsi="宋体" w:cs="宋体"/>
          <w:szCs w:val="21"/>
          <w:vertAlign w:val="superscript"/>
        </w:rPr>
        <w:t xml:space="preserve">-7</w:t>
      </w:r>
      <w:r>
        <w:rPr>
          <w:rFonts w:hint="eastAsia" w:ascii="宋体" w:hAnsi="宋体" w:cs="宋体"/>
          <w:szCs w:val="21"/>
        </w:rPr>
        <w:t xml:space="preserve">量程）～±（5.3×10</w:t>
      </w:r>
      <w:r>
        <w:rPr>
          <w:rFonts w:hint="eastAsia" w:ascii="宋体" w:hAnsi="宋体" w:cs="宋体"/>
          <w:szCs w:val="21"/>
          <w:vertAlign w:val="superscript"/>
        </w:rPr>
        <w:t xml:space="preserve">-4</w:t>
      </w:r>
      <w:r>
        <w:rPr>
          <w:rFonts w:hint="eastAsia" w:ascii="宋体" w:hAnsi="宋体" w:cs="宋体"/>
          <w:szCs w:val="21"/>
        </w:rPr>
        <w:t xml:space="preserve">读数+1.0×10</w:t>
      </w:r>
      <w:r>
        <w:rPr>
          <w:rFonts w:hint="eastAsia" w:ascii="宋体" w:hAnsi="宋体" w:cs="宋体"/>
          <w:szCs w:val="21"/>
          <w:vertAlign w:val="superscript"/>
        </w:rPr>
        <w:t xml:space="preserve">-3</w:t>
      </w:r>
      <w:r>
        <w:rPr>
          <w:rFonts w:hint="eastAsia" w:ascii="宋体" w:hAnsi="宋体" w:cs="宋体"/>
          <w:szCs w:val="21"/>
        </w:rPr>
        <w:t xml:space="preserve">量程）。</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3.至少8位半数字显示，大尺寸液晶触摸屏，显示直观，操作便捷。</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4.应能够自动切换量程和手动切换量程两种模式；能直接测量交直流电压、交直流电流、电阻、频率等。</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5.应能实现自动检测，配置USB、以太网、CAN等通讯接口，提供通讯协议便于组建自动化测试系统。控制系统不低于以下配置：四核，16G内存，512G存储容量。</w:t>
      </w:r>
      <w:r>
        <w:rPr>
          <w:rFonts w:ascii="宋体" w:hAnsi="宋体" w:cs="宋体"/>
          <w:szCs w:val="21"/>
        </w:rPr>
      </w:r>
      <w:r/>
    </w:p>
    <w:p>
      <w:pPr>
        <w:pStyle w:val="1344"/>
        <w:spacing w:line="480" w:lineRule="exact"/>
        <w:rPr>
          <w:rFonts w:ascii="宋体" w:hAnsi="宋体" w:cs="宋体"/>
          <w:b/>
          <w:bCs/>
          <w:szCs w:val="21"/>
        </w:rPr>
      </w:pPr>
      <w:r>
        <w:rPr>
          <w:rFonts w:hint="eastAsia" w:ascii="宋体" w:hAnsi="宋体" w:cs="宋体"/>
          <w:b/>
          <w:bCs/>
          <w:szCs w:val="21"/>
        </w:rPr>
        <w:t xml:space="preserve">（三）验收依据、方法及单位</w:t>
      </w:r>
      <w:r>
        <w:rPr>
          <w:rFonts w:ascii="宋体" w:hAnsi="宋体" w:cs="宋体"/>
          <w:b/>
          <w:bCs/>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1.验收依据：JJF 1587-2016《数字多用表校准规范》、厂家用户手册中的技术要求、本技术文件。</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2.卖方负责将设备送检至中国计量科学研究院进行检定/校准，并出具检定/校准证书，检测费用由卖方承担。</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3.江苏省计量科学研究院根据以上证书、用户手册和本技术文件对整套设备的技术指标和功能进行最终验收。</w:t>
      </w:r>
      <w:r>
        <w:rPr>
          <w:rFonts w:ascii="宋体" w:hAnsi="宋体" w:cs="宋体"/>
          <w:szCs w:val="21"/>
        </w:rPr>
      </w:r>
      <w:r/>
    </w:p>
    <w:p>
      <w:pPr>
        <w:pStyle w:val="1344"/>
        <w:spacing w:line="480" w:lineRule="exact"/>
        <w:rPr>
          <w:rFonts w:hint="eastAsia" w:ascii="宋体" w:hAnsi="宋体" w:cs="宋体"/>
          <w:b/>
          <w:bCs/>
          <w:szCs w:val="21"/>
        </w:rPr>
      </w:pPr>
      <w:r>
        <w:rPr>
          <w:rFonts w:hint="eastAsia" w:ascii="宋体" w:hAnsi="宋体" w:cs="宋体"/>
          <w:b/>
          <w:bCs/>
          <w:szCs w:val="21"/>
        </w:rPr>
        <w:t xml:space="preserve">（四）质保期</w:t>
      </w:r>
      <w:r>
        <w:rPr>
          <w:rFonts w:hint="eastAsia" w:ascii="宋体" w:hAnsi="宋体" w:cs="宋体"/>
          <w:b/>
          <w:bCs/>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★1.数字多用表的质保期为验收合格之日起2年。</w:t>
      </w:r>
      <w:r>
        <w:rPr>
          <w:rFonts w:ascii="宋体" w:hAnsi="宋体" w:cs="宋体"/>
          <w:szCs w:val="21"/>
        </w:rPr>
      </w:r>
      <w:r/>
    </w:p>
    <w:p>
      <w:pPr>
        <w:pStyle w:val="1344"/>
        <w:jc w:val="center"/>
        <w:spacing w:line="360" w:lineRule="auto"/>
        <w:tabs>
          <w:tab w:val="left" w:pos="4500" w:leader="none"/>
          <w:tab w:val="left" w:pos="4680" w:leader="none"/>
        </w:tabs>
        <w:rPr>
          <w:rFonts w:ascii="宋体" w:hAnsi="宋体" w:cs="宋体"/>
          <w:b/>
          <w:bCs/>
          <w:szCs w:val="21"/>
        </w:rPr>
        <w:outlineLvl w:val="1"/>
      </w:pPr>
      <w:r/>
      <w:bookmarkStart w:id="353" w:name="_Toc8913"/>
      <w:r/>
      <w:bookmarkStart w:id="354" w:name="_Toc17787"/>
      <w:r>
        <w:rPr>
          <w:rFonts w:hint="eastAsia" w:ascii="宋体" w:hAnsi="宋体" w:cs="宋体"/>
          <w:b/>
          <w:szCs w:val="21"/>
        </w:rPr>
        <w:t xml:space="preserve">品目</w:t>
      </w:r>
      <w:r>
        <w:rPr>
          <w:rFonts w:hint="eastAsia" w:ascii="宋体" w:hAnsi="宋体" w:cs="宋体"/>
          <w:b/>
          <w:bCs/>
          <w:szCs w:val="21"/>
        </w:rPr>
        <w:t xml:space="preserve">2 数字式高阻检定仪</w:t>
      </w:r>
      <w:bookmarkEnd w:id="353"/>
      <w:r/>
      <w:bookmarkEnd w:id="354"/>
      <w:r>
        <w:rPr>
          <w:rFonts w:ascii="宋体" w:hAnsi="宋体" w:cs="宋体"/>
          <w:b/>
          <w:bCs/>
          <w:szCs w:val="21"/>
        </w:rPr>
      </w:r>
      <w:r/>
    </w:p>
    <w:p>
      <w:pPr>
        <w:pStyle w:val="1344"/>
        <w:spacing w:line="480" w:lineRule="exact"/>
        <w:tabs>
          <w:tab w:val="left" w:pos="4500" w:leader="none"/>
          <w:tab w:val="left" w:pos="4680" w:leader="none"/>
        </w:tabs>
        <w:rPr>
          <w:rFonts w:ascii="宋体" w:hAnsi="宋体" w:cs="宋体"/>
          <w:b/>
          <w:bCs/>
          <w:szCs w:val="21"/>
        </w:rPr>
      </w:pPr>
      <w:r>
        <w:rPr>
          <w:rFonts w:hint="eastAsia" w:ascii="宋体" w:hAnsi="宋体" w:cs="宋体"/>
          <w:b/>
          <w:bCs/>
          <w:szCs w:val="21"/>
        </w:rPr>
        <w:t xml:space="preserve">★（一）设备及明细配置清单</w:t>
      </w:r>
      <w:r>
        <w:rPr>
          <w:rFonts w:ascii="宋体" w:hAnsi="宋体" w:cs="宋体"/>
          <w:b/>
          <w:bCs/>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45"/>
        <w:gridCol w:w="2868"/>
        <w:gridCol w:w="1734"/>
        <w:gridCol w:w="3603"/>
      </w:tblGrid>
      <w:tr>
        <w:trPr>
          <w:trHeight w:val="445"/>
        </w:trPr>
        <w:tc>
          <w:tcPr>
            <w:tcW w:w="835" w:type="dxa"/>
            <w:vAlign w:val="center"/>
            <w:textDirection w:val="lrTb"/>
            <w:noWrap w:val="false"/>
          </w:tcPr>
          <w:p>
            <w:pPr>
              <w:pStyle w:val="1344"/>
              <w:jc w:val="center"/>
              <w:rPr>
                <w:rFonts w:ascii="宋体" w:hAnsi="宋体" w:cs="宋体"/>
              </w:rPr>
            </w:pPr>
            <w:r>
              <w:rPr>
                <w:rFonts w:hint="eastAsia" w:ascii="宋体" w:hAnsi="宋体" w:cs="宋体"/>
              </w:rPr>
              <w:t xml:space="preserve">序号</w:t>
            </w:r>
            <w:r>
              <w:rPr>
                <w:rFonts w:ascii="宋体" w:hAnsi="宋体" w:cs="宋体"/>
              </w:rPr>
            </w:r>
            <w:r/>
          </w:p>
        </w:tc>
        <w:tc>
          <w:tcPr>
            <w:tcW w:w="1455" w:type="dxa"/>
            <w:vAlign w:val="center"/>
            <w:textDirection w:val="lrTb"/>
            <w:noWrap w:val="false"/>
          </w:tcPr>
          <w:p>
            <w:pPr>
              <w:pStyle w:val="1344"/>
              <w:jc w:val="center"/>
              <w:rPr>
                <w:rFonts w:ascii="宋体" w:hAnsi="宋体" w:cs="宋体"/>
              </w:rPr>
            </w:pPr>
            <w:r>
              <w:rPr>
                <w:rFonts w:hint="eastAsia" w:ascii="宋体" w:hAnsi="宋体" w:cs="宋体"/>
              </w:rPr>
              <w:t xml:space="preserve">设备名称</w:t>
            </w:r>
            <w:r>
              <w:rPr>
                <w:rFonts w:ascii="宋体" w:hAnsi="宋体" w:cs="宋体"/>
              </w:rPr>
            </w:r>
            <w:r/>
          </w:p>
        </w:tc>
        <w:tc>
          <w:tcPr>
            <w:tcW w:w="880" w:type="dxa"/>
            <w:vAlign w:val="center"/>
            <w:textDirection w:val="lrTb"/>
            <w:noWrap w:val="false"/>
          </w:tcPr>
          <w:p>
            <w:pPr>
              <w:pStyle w:val="1344"/>
              <w:jc w:val="center"/>
              <w:rPr>
                <w:rFonts w:ascii="宋体" w:hAnsi="宋体" w:cs="宋体"/>
              </w:rPr>
            </w:pPr>
            <w:r>
              <w:rPr>
                <w:rFonts w:hint="eastAsia" w:ascii="宋体" w:hAnsi="宋体" w:cs="宋体"/>
              </w:rPr>
              <w:t xml:space="preserve">数 量</w:t>
            </w:r>
            <w:r>
              <w:rPr>
                <w:rFonts w:ascii="宋体" w:hAnsi="宋体" w:cs="宋体"/>
              </w:rPr>
            </w:r>
            <w:r/>
          </w:p>
        </w:tc>
        <w:tc>
          <w:tcPr>
            <w:tcW w:w="1828" w:type="dxa"/>
            <w:vAlign w:val="center"/>
            <w:textDirection w:val="lrTb"/>
            <w:noWrap w:val="false"/>
          </w:tcPr>
          <w:p>
            <w:pPr>
              <w:pStyle w:val="1344"/>
              <w:jc w:val="center"/>
              <w:rPr>
                <w:rFonts w:ascii="宋体" w:hAnsi="宋体" w:cs="宋体"/>
              </w:rPr>
            </w:pPr>
            <w:r>
              <w:rPr>
                <w:rFonts w:hint="eastAsia" w:ascii="宋体" w:hAnsi="宋体" w:cs="宋体"/>
              </w:rPr>
              <w:t xml:space="preserve">合同履行期限（交货期）</w:t>
            </w:r>
            <w:r>
              <w:rPr>
                <w:rFonts w:ascii="宋体" w:hAnsi="宋体" w:cs="宋体"/>
              </w:rPr>
            </w:r>
            <w:r/>
          </w:p>
        </w:tc>
      </w:tr>
      <w:tr>
        <w:trPr>
          <w:cantSplit/>
          <w:trHeight w:val="555"/>
        </w:trPr>
        <w:tc>
          <w:tcPr>
            <w:tcW w:w="835" w:type="dxa"/>
            <w:vAlign w:val="center"/>
            <w:textDirection w:val="lrTb"/>
            <w:noWrap w:val="false"/>
          </w:tcPr>
          <w:p>
            <w:pPr>
              <w:pStyle w:val="1344"/>
              <w:jc w:val="center"/>
              <w:rPr>
                <w:rFonts w:ascii="宋体" w:hAnsi="宋体" w:cs="宋体"/>
              </w:rPr>
            </w:pPr>
            <w:r>
              <w:rPr>
                <w:rFonts w:hint="eastAsia" w:ascii="宋体" w:hAnsi="宋体" w:cs="宋体"/>
              </w:rPr>
              <w:t xml:space="preserve">1</w:t>
            </w:r>
            <w:r>
              <w:rPr>
                <w:rFonts w:ascii="宋体" w:hAnsi="宋体" w:cs="宋体"/>
              </w:rPr>
            </w:r>
            <w:r/>
          </w:p>
        </w:tc>
        <w:tc>
          <w:tcPr>
            <w:tcW w:w="1455" w:type="dxa"/>
            <w:vAlign w:val="center"/>
            <w:textDirection w:val="lrTb"/>
            <w:noWrap w:val="false"/>
          </w:tcPr>
          <w:p>
            <w:pPr>
              <w:pStyle w:val="1344"/>
              <w:jc w:val="center"/>
              <w:rPr>
                <w:rFonts w:ascii="宋体" w:hAnsi="宋体" w:cs="宋体"/>
              </w:rPr>
            </w:pPr>
            <w:r>
              <w:rPr>
                <w:rFonts w:hint="eastAsia" w:ascii="宋体" w:hAnsi="宋体" w:cs="宋体"/>
              </w:rPr>
              <w:t xml:space="preserve">数字式高阻检定仪</w:t>
            </w:r>
            <w:r>
              <w:rPr>
                <w:rFonts w:ascii="宋体" w:hAnsi="宋体" w:cs="宋体"/>
              </w:rPr>
            </w:r>
            <w:r/>
          </w:p>
        </w:tc>
        <w:tc>
          <w:tcPr>
            <w:tcW w:w="880" w:type="dxa"/>
            <w:vAlign w:val="center"/>
            <w:textDirection w:val="lrTb"/>
            <w:noWrap w:val="false"/>
          </w:tcPr>
          <w:p>
            <w:pPr>
              <w:pStyle w:val="1344"/>
              <w:jc w:val="center"/>
              <w:rPr>
                <w:rFonts w:ascii="宋体" w:hAnsi="宋体" w:cs="宋体"/>
              </w:rPr>
            </w:pPr>
            <w:r>
              <w:rPr>
                <w:rFonts w:hint="eastAsia" w:ascii="宋体" w:hAnsi="宋体" w:cs="宋体"/>
              </w:rPr>
              <w:t xml:space="preserve">1台</w:t>
            </w:r>
            <w:r>
              <w:rPr>
                <w:rFonts w:ascii="宋体" w:hAnsi="宋体" w:cs="宋体"/>
              </w:rPr>
            </w:r>
            <w:r/>
          </w:p>
        </w:tc>
        <w:tc>
          <w:tcPr>
            <w:tcW w:w="1828" w:type="dxa"/>
            <w:vAlign w:val="center"/>
            <w:textDirection w:val="lrTb"/>
            <w:noWrap w:val="false"/>
          </w:tcPr>
          <w:p>
            <w:pPr>
              <w:pStyle w:val="1344"/>
              <w:jc w:val="center"/>
              <w:rPr>
                <w:rFonts w:ascii="宋体" w:hAnsi="宋体" w:cs="宋体"/>
              </w:rPr>
            </w:pPr>
            <w:r>
              <w:rPr>
                <w:rFonts w:hint="eastAsia" w:ascii="宋体" w:hAnsi="宋体" w:cs="宋体"/>
              </w:rPr>
              <w:t xml:space="preserve">合同签订后</w:t>
            </w:r>
            <w:r>
              <w:rPr>
                <w:rFonts w:ascii="宋体" w:hAnsi="宋体" w:cs="宋体"/>
              </w:rPr>
              <w:t xml:space="preserve">9</w:t>
            </w:r>
            <w:r>
              <w:rPr>
                <w:rFonts w:hint="eastAsia" w:ascii="宋体" w:hAnsi="宋体" w:cs="宋体"/>
              </w:rPr>
              <w:t xml:space="preserve">个月</w:t>
            </w:r>
            <w:r>
              <w:rPr>
                <w:rFonts w:ascii="宋体" w:hAnsi="宋体" w:cs="宋体"/>
              </w:rPr>
            </w:r>
            <w:r/>
          </w:p>
        </w:tc>
      </w:tr>
    </w:tbl>
    <w:p>
      <w:pPr>
        <w:pStyle w:val="1344"/>
        <w:spacing w:line="480" w:lineRule="exact"/>
        <w:rPr>
          <w:rFonts w:ascii="宋体" w:hAnsi="宋体" w:cs="宋体"/>
          <w:b/>
          <w:bCs/>
          <w:szCs w:val="21"/>
        </w:rPr>
      </w:pPr>
      <w:r>
        <w:rPr>
          <w:rFonts w:hint="eastAsia" w:ascii="宋体" w:hAnsi="宋体" w:cs="宋体"/>
          <w:b/>
          <w:bCs/>
          <w:szCs w:val="21"/>
        </w:rPr>
        <w:t xml:space="preserve">（二）技术指标及功能要求</w:t>
      </w:r>
      <w:r>
        <w:rPr>
          <w:rFonts w:ascii="宋体" w:hAnsi="宋体" w:cs="宋体"/>
          <w:b/>
          <w:bCs/>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★1.电阻：测量范围：100Ω～10TΩ，最大允许误差：±0.02% 。</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★2.电压：测量范围：（10～10000）V，最大允许误差：±0.02% 。</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3.应能实现全自动化检测，包括测试参数配置、数据采集、结果分析及异常判定。</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4.可自动生成符合检定规程的检校记录和报告。</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5.需配置USB、以太网、CAN等通讯接口，提供通讯协议便于组建自动化测试系统。</w:t>
      </w:r>
      <w:r>
        <w:rPr>
          <w:rFonts w:ascii="宋体" w:hAnsi="宋体" w:cs="宋体"/>
          <w:szCs w:val="21"/>
        </w:rPr>
      </w:r>
      <w:r/>
    </w:p>
    <w:p>
      <w:pPr>
        <w:pStyle w:val="1344"/>
        <w:spacing w:line="480" w:lineRule="exact"/>
        <w:rPr>
          <w:rFonts w:ascii="宋体" w:hAnsi="宋体" w:cs="宋体"/>
          <w:b/>
          <w:bCs/>
          <w:szCs w:val="21"/>
        </w:rPr>
      </w:pPr>
      <w:r>
        <w:rPr>
          <w:rFonts w:hint="eastAsia" w:ascii="宋体" w:hAnsi="宋体" w:cs="宋体"/>
          <w:b/>
          <w:bCs/>
          <w:szCs w:val="21"/>
        </w:rPr>
        <w:t xml:space="preserve">（三）验收依据、方法及单位</w:t>
      </w:r>
      <w:r>
        <w:rPr>
          <w:rFonts w:ascii="宋体" w:hAnsi="宋体" w:cs="宋体"/>
          <w:b/>
          <w:bCs/>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1.验收依据：JJG 1072-2011 《直流高压高值电阻器检定规程》、JJF 1597-2016 《直流稳定电源校准规范》、仪器用户说明书、本技术文件。</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2.卖方负责将设备送检至省级及以上计量技术机构进行检定/校准，并出具检定/校准证书，检测费用由卖方承担。</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3.江苏省计量科学研究院根据以上证书、用户手册和本技术文件对整套设备的技术指标和功能进行最终验收。</w:t>
      </w:r>
      <w:r>
        <w:rPr>
          <w:rFonts w:ascii="宋体" w:hAnsi="宋体" w:cs="宋体"/>
          <w:szCs w:val="21"/>
        </w:rPr>
      </w:r>
      <w:r/>
    </w:p>
    <w:p>
      <w:pPr>
        <w:pStyle w:val="1344"/>
        <w:spacing w:line="480" w:lineRule="exact"/>
        <w:rPr>
          <w:rFonts w:hint="eastAsia" w:ascii="宋体" w:hAnsi="宋体" w:cs="宋体"/>
          <w:b/>
          <w:bCs/>
          <w:szCs w:val="21"/>
        </w:rPr>
      </w:pPr>
      <w:r>
        <w:rPr>
          <w:rFonts w:hint="eastAsia" w:ascii="宋体" w:hAnsi="宋体" w:cs="宋体"/>
          <w:b/>
          <w:bCs/>
          <w:szCs w:val="21"/>
        </w:rPr>
        <w:t xml:space="preserve">（四）质保期</w:t>
      </w:r>
      <w:r>
        <w:rPr>
          <w:rFonts w:hint="eastAsia" w:ascii="宋体" w:hAnsi="宋体" w:cs="宋体"/>
          <w:b/>
          <w:bCs/>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★1.数字式高阻检定仪的质保期为验收合格之日起3年。</w:t>
      </w:r>
      <w:r>
        <w:rPr>
          <w:rFonts w:ascii="宋体" w:hAnsi="宋体" w:cs="宋体"/>
          <w:szCs w:val="21"/>
        </w:rPr>
      </w:r>
      <w:r/>
    </w:p>
    <w:p>
      <w:pPr>
        <w:pStyle w:val="1344"/>
        <w:jc w:val="center"/>
        <w:spacing w:line="360" w:lineRule="auto"/>
        <w:tabs>
          <w:tab w:val="left" w:pos="4500" w:leader="none"/>
          <w:tab w:val="left" w:pos="4680" w:leader="none"/>
        </w:tabs>
        <w:rPr>
          <w:rFonts w:hint="eastAsia" w:ascii="宋体" w:hAnsi="宋体" w:cs="宋体"/>
          <w:b/>
          <w:szCs w:val="21"/>
        </w:rPr>
        <w:outlineLvl w:val="1"/>
      </w:pPr>
      <w:r/>
      <w:bookmarkStart w:id="355" w:name="_Toc17428"/>
      <w:r/>
      <w:bookmarkStart w:id="356" w:name="_Toc20480"/>
      <w:r>
        <w:rPr>
          <w:rFonts w:hint="eastAsia" w:ascii="宋体" w:hAnsi="宋体" w:cs="宋体"/>
          <w:b/>
          <w:szCs w:val="21"/>
        </w:rPr>
        <w:t xml:space="preserve">分包7</w:t>
      </w:r>
      <w:bookmarkEnd w:id="355"/>
      <w:r/>
      <w:bookmarkEnd w:id="356"/>
      <w:r>
        <w:rPr>
          <w:rFonts w:hint="eastAsia" w:ascii="宋体" w:hAnsi="宋体" w:cs="宋体"/>
          <w:b/>
          <w:szCs w:val="21"/>
        </w:rPr>
      </w:r>
      <w:r/>
    </w:p>
    <w:p>
      <w:pPr>
        <w:pStyle w:val="1344"/>
        <w:jc w:val="center"/>
        <w:spacing w:line="360" w:lineRule="auto"/>
        <w:tabs>
          <w:tab w:val="left" w:pos="4500" w:leader="none"/>
          <w:tab w:val="left" w:pos="4680" w:leader="none"/>
        </w:tabs>
        <w:rPr>
          <w:rFonts w:ascii="宋体" w:hAnsi="宋体" w:cs="宋体"/>
          <w:b/>
          <w:bCs/>
          <w:szCs w:val="21"/>
        </w:rPr>
        <w:outlineLvl w:val="1"/>
      </w:pPr>
      <w:r/>
      <w:bookmarkStart w:id="357" w:name="_Toc4114"/>
      <w:r/>
      <w:bookmarkStart w:id="358" w:name="_Toc19802"/>
      <w:r>
        <w:rPr>
          <w:rFonts w:hint="eastAsia" w:ascii="宋体" w:hAnsi="宋体" w:cs="宋体"/>
          <w:b/>
          <w:szCs w:val="21"/>
        </w:rPr>
        <w:t xml:space="preserve">品目</w:t>
      </w:r>
      <w:r>
        <w:rPr>
          <w:rFonts w:hint="eastAsia" w:ascii="宋体" w:hAnsi="宋体" w:cs="宋体"/>
          <w:b/>
          <w:bCs/>
          <w:szCs w:val="21"/>
        </w:rPr>
        <w:t xml:space="preserve">1 标准振动台</w:t>
      </w:r>
      <w:bookmarkEnd w:id="357"/>
      <w:r/>
      <w:bookmarkEnd w:id="358"/>
      <w:r>
        <w:rPr>
          <w:rFonts w:ascii="宋体" w:hAnsi="宋体" w:cs="宋体"/>
          <w:b/>
          <w:bCs/>
          <w:szCs w:val="21"/>
        </w:rPr>
      </w:r>
      <w:r/>
    </w:p>
    <w:p>
      <w:pPr>
        <w:pStyle w:val="1344"/>
        <w:spacing w:line="480" w:lineRule="exact"/>
        <w:tabs>
          <w:tab w:val="left" w:pos="4500" w:leader="none"/>
          <w:tab w:val="left" w:pos="4680" w:leader="none"/>
        </w:tabs>
        <w:rPr>
          <w:rFonts w:ascii="宋体" w:hAnsi="宋体" w:cs="宋体"/>
          <w:b/>
          <w:bCs/>
          <w:szCs w:val="21"/>
        </w:rPr>
      </w:pPr>
      <w:r>
        <w:rPr>
          <w:rFonts w:hint="eastAsia" w:ascii="宋体" w:hAnsi="宋体" w:cs="宋体"/>
          <w:b/>
          <w:bCs/>
          <w:szCs w:val="21"/>
        </w:rPr>
        <w:t xml:space="preserve">★（一）设备及明细配置清单</w:t>
      </w:r>
      <w:r>
        <w:rPr>
          <w:rFonts w:ascii="宋体" w:hAnsi="宋体" w:cs="宋体"/>
          <w:b/>
          <w:bCs/>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32"/>
        <w:gridCol w:w="4043"/>
        <w:gridCol w:w="1734"/>
        <w:gridCol w:w="2841"/>
      </w:tblGrid>
      <w:tr>
        <w:trPr>
          <w:trHeight w:val="389"/>
        </w:trPr>
        <w:tc>
          <w:tcPr>
            <w:tcW w:w="625" w:type="dxa"/>
            <w:vAlign w:val="center"/>
            <w:textDirection w:val="lrTb"/>
            <w:noWrap w:val="false"/>
          </w:tcPr>
          <w:p>
            <w:pPr>
              <w:pStyle w:val="1344"/>
              <w:ind w:right="141"/>
              <w:jc w:val="center"/>
              <w:spacing w:line="360" w:lineRule="auto"/>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2052"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设备名称</w:t>
            </w:r>
            <w:r>
              <w:rPr>
                <w:rFonts w:ascii="宋体" w:hAnsi="宋体" w:cs="宋体"/>
                <w:szCs w:val="21"/>
              </w:rPr>
            </w:r>
            <w:r/>
          </w:p>
        </w:tc>
        <w:tc>
          <w:tcPr>
            <w:tcW w:w="880"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数 量</w:t>
            </w:r>
            <w:r>
              <w:rPr>
                <w:rFonts w:ascii="宋体" w:hAnsi="宋体" w:cs="宋体"/>
                <w:szCs w:val="21"/>
              </w:rPr>
            </w:r>
            <w:r/>
          </w:p>
        </w:tc>
        <w:tc>
          <w:tcPr>
            <w:tcW w:w="1442"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合同履行期限（交货期）</w:t>
            </w:r>
            <w:r>
              <w:rPr>
                <w:rFonts w:ascii="宋体" w:hAnsi="宋体" w:cs="宋体"/>
                <w:szCs w:val="21"/>
              </w:rPr>
            </w:r>
            <w:r/>
          </w:p>
        </w:tc>
      </w:tr>
      <w:tr>
        <w:trPr>
          <w:cantSplit/>
          <w:trHeight w:val="454"/>
        </w:trPr>
        <w:tc>
          <w:tcPr>
            <w:tcW w:w="625"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2052"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标准振动台，不得低于以下配置：</w:t>
            </w:r>
            <w:r>
              <w:rPr>
                <w:rFonts w:ascii="宋体" w:hAnsi="宋体" w:cs="宋体"/>
                <w:szCs w:val="21"/>
              </w:rPr>
            </w:r>
            <w:r/>
          </w:p>
        </w:tc>
        <w:tc>
          <w:tcPr>
            <w:tcW w:w="880" w:type="dxa"/>
            <w:vAlign w:val="center"/>
            <w:textDirection w:val="lrTb"/>
            <w:noWrap w:val="false"/>
          </w:tcPr>
          <w:p>
            <w:pPr>
              <w:pStyle w:val="1344"/>
              <w:jc w:val="center"/>
              <w:keepNext/>
              <w:spacing w:line="360" w:lineRule="auto"/>
              <w:rPr>
                <w:rFonts w:ascii="宋体" w:hAnsi="宋体" w:cs="宋体"/>
                <w:szCs w:val="21"/>
              </w:rPr>
              <w:outlineLvl w:val="0"/>
            </w:pPr>
            <w:r/>
            <w:bookmarkStart w:id="359" w:name="_Toc4522"/>
            <w:r/>
            <w:bookmarkStart w:id="360" w:name="_Toc21515"/>
            <w:r>
              <w:rPr>
                <w:rFonts w:hint="eastAsia" w:ascii="宋体" w:hAnsi="宋体" w:cs="宋体"/>
                <w:szCs w:val="21"/>
              </w:rPr>
              <w:t xml:space="preserve">1套</w:t>
            </w:r>
            <w:bookmarkEnd w:id="359"/>
            <w:r/>
            <w:bookmarkEnd w:id="360"/>
            <w:r>
              <w:rPr>
                <w:rFonts w:ascii="宋体" w:hAnsi="宋体" w:cs="宋体"/>
                <w:szCs w:val="21"/>
              </w:rPr>
            </w:r>
            <w:r/>
          </w:p>
        </w:tc>
        <w:tc>
          <w:tcPr>
            <w:tcW w:w="1442" w:type="dxa"/>
            <w:vAlign w:val="center"/>
            <w:vMerge w:val="restart"/>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合同签订后</w:t>
            </w:r>
            <w:r>
              <w:rPr>
                <w:rFonts w:ascii="宋体" w:hAnsi="宋体" w:cs="宋体"/>
                <w:szCs w:val="21"/>
              </w:rPr>
              <w:t xml:space="preserve">6</w:t>
            </w:r>
            <w:r>
              <w:rPr>
                <w:rFonts w:hint="eastAsia" w:ascii="宋体" w:hAnsi="宋体" w:cs="宋体"/>
                <w:szCs w:val="21"/>
              </w:rPr>
              <w:t xml:space="preserve">个月</w:t>
            </w:r>
            <w:r>
              <w:rPr>
                <w:rFonts w:ascii="宋体" w:hAnsi="宋体" w:cs="宋体"/>
                <w:szCs w:val="21"/>
              </w:rPr>
            </w:r>
            <w:r/>
          </w:p>
        </w:tc>
      </w:tr>
      <w:tr>
        <w:trPr>
          <w:cantSplit/>
          <w:trHeight w:val="454"/>
        </w:trPr>
        <w:tc>
          <w:tcPr>
            <w:tcW w:w="625"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1.1</w:t>
            </w:r>
            <w:r>
              <w:rPr>
                <w:rFonts w:ascii="宋体" w:hAnsi="宋体" w:cs="宋体"/>
                <w:szCs w:val="21"/>
              </w:rPr>
            </w:r>
            <w:r/>
          </w:p>
        </w:tc>
        <w:tc>
          <w:tcPr>
            <w:tcW w:w="2052"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多通道程控标定仪</w:t>
            </w:r>
            <w:r>
              <w:rPr>
                <w:rFonts w:ascii="宋体" w:hAnsi="宋体" w:cs="宋体"/>
                <w:szCs w:val="21"/>
              </w:rPr>
            </w:r>
            <w:r/>
          </w:p>
        </w:tc>
        <w:tc>
          <w:tcPr>
            <w:tcW w:w="880" w:type="dxa"/>
            <w:vAlign w:val="center"/>
            <w:textDirection w:val="lrTb"/>
            <w:noWrap w:val="false"/>
          </w:tcPr>
          <w:p>
            <w:pPr>
              <w:pStyle w:val="1344"/>
              <w:jc w:val="center"/>
              <w:keepNext/>
              <w:spacing w:line="360" w:lineRule="auto"/>
              <w:rPr>
                <w:rFonts w:ascii="宋体" w:hAnsi="宋体" w:cs="宋体"/>
                <w:szCs w:val="21"/>
              </w:rPr>
              <w:outlineLvl w:val="0"/>
            </w:pPr>
            <w:r/>
            <w:bookmarkStart w:id="361" w:name="_Toc25958"/>
            <w:r/>
            <w:bookmarkStart w:id="362" w:name="_Toc23389"/>
            <w:r>
              <w:rPr>
                <w:rFonts w:hint="eastAsia" w:ascii="宋体" w:hAnsi="宋体" w:cs="宋体"/>
                <w:szCs w:val="21"/>
              </w:rPr>
              <w:t xml:space="preserve">1台</w:t>
            </w:r>
            <w:bookmarkEnd w:id="361"/>
            <w:r/>
            <w:bookmarkEnd w:id="362"/>
            <w:r>
              <w:rPr>
                <w:rFonts w:ascii="宋体" w:hAnsi="宋体" w:cs="宋体"/>
                <w:szCs w:val="21"/>
              </w:rPr>
            </w:r>
            <w:r/>
          </w:p>
        </w:tc>
        <w:tc>
          <w:tcPr>
            <w:tcW w:w="1442" w:type="dxa"/>
            <w:vAlign w:val="center"/>
            <w:vMerge w:val="continue"/>
            <w:textDirection w:val="lrTb"/>
            <w:noWrap w:val="false"/>
          </w:tcPr>
          <w:p>
            <w:pPr>
              <w:pStyle w:val="1344"/>
              <w:jc w:val="center"/>
              <w:spacing w:line="360" w:lineRule="auto"/>
              <w:rPr>
                <w:rFonts w:ascii="宋体" w:hAnsi="宋体" w:cs="宋体"/>
                <w:szCs w:val="21"/>
              </w:rPr>
            </w:pPr>
            <w:r>
              <w:rPr>
                <w:rFonts w:ascii="宋体" w:hAnsi="宋体" w:cs="宋体"/>
                <w:szCs w:val="21"/>
              </w:rPr>
            </w:r>
            <w:r/>
          </w:p>
        </w:tc>
      </w:tr>
      <w:tr>
        <w:trPr>
          <w:cantSplit/>
          <w:trHeight w:val="454"/>
        </w:trPr>
        <w:tc>
          <w:tcPr>
            <w:tcW w:w="625"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W w:w="2052"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两通道程控标定仪</w:t>
            </w:r>
            <w:r>
              <w:rPr>
                <w:rFonts w:ascii="宋体" w:hAnsi="宋体" w:cs="宋体"/>
                <w:szCs w:val="21"/>
              </w:rPr>
            </w:r>
            <w:r/>
          </w:p>
        </w:tc>
        <w:tc>
          <w:tcPr>
            <w:tcW w:w="880"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1台</w:t>
            </w:r>
            <w:r>
              <w:rPr>
                <w:rFonts w:ascii="宋体" w:hAnsi="宋体" w:cs="宋体"/>
                <w:szCs w:val="21"/>
              </w:rPr>
            </w:r>
            <w:r/>
          </w:p>
        </w:tc>
        <w:tc>
          <w:tcPr>
            <w:tcW w:w="1442" w:type="dxa"/>
            <w:vAlign w:val="center"/>
            <w:vMerge w:val="continue"/>
            <w:textDirection w:val="lrTb"/>
            <w:noWrap w:val="false"/>
          </w:tcPr>
          <w:p>
            <w:pPr>
              <w:pStyle w:val="1344"/>
              <w:jc w:val="center"/>
              <w:spacing w:line="360" w:lineRule="auto"/>
              <w:rPr>
                <w:rFonts w:ascii="宋体" w:hAnsi="宋体" w:cs="宋体"/>
                <w:szCs w:val="21"/>
              </w:rPr>
            </w:pPr>
            <w:r>
              <w:rPr>
                <w:rFonts w:ascii="宋体" w:hAnsi="宋体" w:cs="宋体"/>
                <w:szCs w:val="21"/>
              </w:rPr>
            </w:r>
            <w:r/>
          </w:p>
        </w:tc>
      </w:tr>
      <w:tr>
        <w:trPr>
          <w:cantSplit/>
          <w:trHeight w:val="454"/>
        </w:trPr>
        <w:tc>
          <w:tcPr>
            <w:tcW w:w="625"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1.3</w:t>
            </w:r>
            <w:r>
              <w:rPr>
                <w:rFonts w:ascii="宋体" w:hAnsi="宋体" w:cs="宋体"/>
                <w:szCs w:val="21"/>
              </w:rPr>
            </w:r>
            <w:r/>
          </w:p>
        </w:tc>
        <w:tc>
          <w:tcPr>
            <w:tcW w:w="2052"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振动台</w:t>
            </w:r>
            <w:r>
              <w:rPr>
                <w:rFonts w:ascii="宋体" w:hAnsi="宋体" w:cs="宋体"/>
                <w:szCs w:val="21"/>
              </w:rPr>
            </w:r>
            <w:r/>
          </w:p>
        </w:tc>
        <w:tc>
          <w:tcPr>
            <w:tcW w:w="880"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2台</w:t>
            </w:r>
            <w:r>
              <w:rPr>
                <w:rFonts w:ascii="宋体" w:hAnsi="宋体" w:cs="宋体"/>
                <w:szCs w:val="21"/>
              </w:rPr>
            </w:r>
            <w:r/>
          </w:p>
        </w:tc>
        <w:tc>
          <w:tcPr>
            <w:tcW w:w="1442" w:type="dxa"/>
            <w:vAlign w:val="center"/>
            <w:vMerge w:val="continue"/>
            <w:textDirection w:val="lrTb"/>
            <w:noWrap w:val="false"/>
          </w:tcPr>
          <w:p>
            <w:pPr>
              <w:pStyle w:val="1344"/>
              <w:jc w:val="center"/>
              <w:spacing w:line="360" w:lineRule="auto"/>
              <w:rPr>
                <w:rFonts w:ascii="宋体" w:hAnsi="宋体" w:cs="宋体"/>
                <w:szCs w:val="21"/>
              </w:rPr>
            </w:pPr>
            <w:r>
              <w:rPr>
                <w:rFonts w:ascii="宋体" w:hAnsi="宋体" w:cs="宋体"/>
                <w:szCs w:val="21"/>
              </w:rPr>
            </w:r>
            <w:r/>
          </w:p>
        </w:tc>
      </w:tr>
      <w:tr>
        <w:trPr>
          <w:cantSplit/>
          <w:trHeight w:val="454"/>
        </w:trPr>
        <w:tc>
          <w:tcPr>
            <w:tcW w:w="625"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1.4</w:t>
            </w:r>
            <w:r>
              <w:rPr>
                <w:rFonts w:ascii="宋体" w:hAnsi="宋体" w:cs="宋体"/>
                <w:szCs w:val="21"/>
              </w:rPr>
            </w:r>
            <w:r/>
          </w:p>
        </w:tc>
        <w:tc>
          <w:tcPr>
            <w:tcW w:w="2052"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调理放大器</w:t>
            </w:r>
            <w:r>
              <w:rPr>
                <w:rFonts w:ascii="宋体" w:hAnsi="宋体" w:cs="宋体"/>
                <w:szCs w:val="21"/>
              </w:rPr>
            </w:r>
            <w:r/>
          </w:p>
        </w:tc>
        <w:tc>
          <w:tcPr>
            <w:tcW w:w="880"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1台</w:t>
            </w:r>
            <w:r>
              <w:rPr>
                <w:rFonts w:ascii="宋体" w:hAnsi="宋体" w:cs="宋体"/>
                <w:szCs w:val="21"/>
              </w:rPr>
            </w:r>
            <w:r/>
          </w:p>
        </w:tc>
        <w:tc>
          <w:tcPr>
            <w:tcW w:w="1442" w:type="dxa"/>
            <w:vAlign w:val="center"/>
            <w:vMerge w:val="continue"/>
            <w:textDirection w:val="lrTb"/>
            <w:noWrap w:val="false"/>
          </w:tcPr>
          <w:p>
            <w:pPr>
              <w:pStyle w:val="1344"/>
              <w:jc w:val="center"/>
              <w:spacing w:line="360" w:lineRule="auto"/>
              <w:rPr>
                <w:rFonts w:ascii="宋体" w:hAnsi="宋体" w:cs="宋体"/>
                <w:szCs w:val="21"/>
              </w:rPr>
            </w:pPr>
            <w:r>
              <w:rPr>
                <w:rFonts w:ascii="宋体" w:hAnsi="宋体" w:cs="宋体"/>
                <w:szCs w:val="21"/>
              </w:rPr>
            </w:r>
            <w:r/>
          </w:p>
        </w:tc>
      </w:tr>
      <w:tr>
        <w:trPr>
          <w:cantSplit/>
          <w:trHeight w:val="424"/>
        </w:trPr>
        <w:tc>
          <w:tcPr>
            <w:tcW w:w="625"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1.5</w:t>
            </w:r>
            <w:r>
              <w:rPr>
                <w:rFonts w:ascii="宋体" w:hAnsi="宋体" w:cs="宋体"/>
                <w:szCs w:val="21"/>
              </w:rPr>
            </w:r>
            <w:r/>
          </w:p>
        </w:tc>
        <w:tc>
          <w:tcPr>
            <w:tcW w:w="2052"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标准加速度传感器</w:t>
            </w:r>
            <w:r>
              <w:rPr>
                <w:rFonts w:ascii="宋体" w:hAnsi="宋体" w:cs="宋体"/>
                <w:szCs w:val="21"/>
              </w:rPr>
            </w:r>
            <w:r/>
          </w:p>
        </w:tc>
        <w:tc>
          <w:tcPr>
            <w:tcW w:w="880"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1套</w:t>
            </w:r>
            <w:r>
              <w:rPr>
                <w:rFonts w:ascii="宋体" w:hAnsi="宋体" w:cs="宋体"/>
                <w:szCs w:val="21"/>
              </w:rPr>
            </w:r>
            <w:r/>
          </w:p>
        </w:tc>
        <w:tc>
          <w:tcPr>
            <w:tcW w:w="1442" w:type="dxa"/>
            <w:vAlign w:val="center"/>
            <w:vMerge w:val="continue"/>
            <w:textDirection w:val="lrTb"/>
            <w:noWrap w:val="false"/>
          </w:tcPr>
          <w:p>
            <w:pPr>
              <w:pStyle w:val="1344"/>
              <w:jc w:val="center"/>
              <w:spacing w:line="360" w:lineRule="auto"/>
              <w:rPr>
                <w:rFonts w:ascii="宋体" w:hAnsi="宋体" w:cs="宋体"/>
                <w:szCs w:val="21"/>
              </w:rPr>
            </w:pPr>
            <w:r>
              <w:rPr>
                <w:rFonts w:ascii="宋体" w:hAnsi="宋体" w:cs="宋体"/>
                <w:szCs w:val="21"/>
              </w:rPr>
            </w:r>
            <w:r/>
          </w:p>
        </w:tc>
      </w:tr>
      <w:tr>
        <w:trPr>
          <w:cantSplit/>
          <w:trHeight w:val="454"/>
        </w:trPr>
        <w:tc>
          <w:tcPr>
            <w:tcW w:w="625"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1.6</w:t>
            </w:r>
            <w:r>
              <w:rPr>
                <w:rFonts w:ascii="宋体" w:hAnsi="宋体" w:cs="宋体"/>
                <w:szCs w:val="21"/>
              </w:rPr>
            </w:r>
            <w:r/>
          </w:p>
        </w:tc>
        <w:tc>
          <w:tcPr>
            <w:tcW w:w="2052"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传感器适配器</w:t>
            </w:r>
            <w:r>
              <w:rPr>
                <w:rFonts w:ascii="宋体" w:hAnsi="宋体" w:cs="宋体"/>
                <w:szCs w:val="21"/>
              </w:rPr>
            </w:r>
            <w:r/>
          </w:p>
        </w:tc>
        <w:tc>
          <w:tcPr>
            <w:tcW w:w="880"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1套</w:t>
            </w:r>
            <w:r>
              <w:rPr>
                <w:rFonts w:ascii="宋体" w:hAnsi="宋体" w:cs="宋体"/>
                <w:szCs w:val="21"/>
              </w:rPr>
            </w:r>
            <w:r/>
          </w:p>
        </w:tc>
        <w:tc>
          <w:tcPr>
            <w:tcW w:w="1442" w:type="dxa"/>
            <w:vAlign w:val="center"/>
            <w:vMerge w:val="continue"/>
            <w:textDirection w:val="lrTb"/>
            <w:noWrap w:val="false"/>
          </w:tcPr>
          <w:p>
            <w:pPr>
              <w:pStyle w:val="1344"/>
              <w:jc w:val="center"/>
              <w:spacing w:line="360" w:lineRule="auto"/>
              <w:rPr>
                <w:rFonts w:ascii="宋体" w:hAnsi="宋体" w:cs="宋体"/>
                <w:szCs w:val="21"/>
              </w:rPr>
            </w:pPr>
            <w:r>
              <w:rPr>
                <w:rFonts w:ascii="宋体" w:hAnsi="宋体" w:cs="宋体"/>
                <w:szCs w:val="21"/>
              </w:rPr>
            </w:r>
            <w:r/>
          </w:p>
        </w:tc>
      </w:tr>
      <w:tr>
        <w:trPr>
          <w:cantSplit/>
          <w:trHeight w:val="454"/>
        </w:trPr>
        <w:tc>
          <w:tcPr>
            <w:tcW w:w="625"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1.7</w:t>
            </w:r>
            <w:r>
              <w:rPr>
                <w:rFonts w:ascii="宋体" w:hAnsi="宋体" w:cs="宋体"/>
                <w:szCs w:val="21"/>
              </w:rPr>
            </w:r>
            <w:r/>
          </w:p>
        </w:tc>
        <w:tc>
          <w:tcPr>
            <w:tcW w:w="2052"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桥式放大器</w:t>
            </w:r>
            <w:r>
              <w:rPr>
                <w:rFonts w:ascii="宋体" w:hAnsi="宋体" w:cs="宋体"/>
                <w:szCs w:val="21"/>
              </w:rPr>
            </w:r>
            <w:r/>
          </w:p>
        </w:tc>
        <w:tc>
          <w:tcPr>
            <w:tcW w:w="880"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1套</w:t>
            </w:r>
            <w:r>
              <w:rPr>
                <w:rFonts w:ascii="宋体" w:hAnsi="宋体" w:cs="宋体"/>
                <w:szCs w:val="21"/>
              </w:rPr>
            </w:r>
            <w:r/>
          </w:p>
        </w:tc>
        <w:tc>
          <w:tcPr>
            <w:tcW w:w="1442" w:type="dxa"/>
            <w:vAlign w:val="center"/>
            <w:vMerge w:val="continue"/>
            <w:textDirection w:val="lrTb"/>
            <w:noWrap w:val="false"/>
          </w:tcPr>
          <w:p>
            <w:pPr>
              <w:pStyle w:val="1344"/>
              <w:jc w:val="center"/>
              <w:spacing w:line="360" w:lineRule="auto"/>
              <w:rPr>
                <w:rFonts w:ascii="宋体" w:hAnsi="宋体" w:cs="宋体"/>
                <w:szCs w:val="21"/>
              </w:rPr>
            </w:pPr>
            <w:r>
              <w:rPr>
                <w:rFonts w:ascii="宋体" w:hAnsi="宋体" w:cs="宋体"/>
                <w:szCs w:val="21"/>
              </w:rPr>
            </w:r>
            <w:r/>
          </w:p>
        </w:tc>
      </w:tr>
      <w:tr>
        <w:trPr>
          <w:cantSplit/>
          <w:trHeight w:val="454"/>
        </w:trPr>
        <w:tc>
          <w:tcPr>
            <w:tcW w:w="625"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1.8</w:t>
            </w:r>
            <w:r>
              <w:rPr>
                <w:rFonts w:ascii="宋体" w:hAnsi="宋体" w:cs="宋体"/>
                <w:szCs w:val="21"/>
              </w:rPr>
            </w:r>
            <w:r/>
          </w:p>
        </w:tc>
        <w:tc>
          <w:tcPr>
            <w:tcW w:w="2052"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控制机</w:t>
            </w:r>
            <w:r>
              <w:rPr>
                <w:rFonts w:ascii="宋体" w:hAnsi="宋体" w:cs="宋体"/>
                <w:szCs w:val="21"/>
              </w:rPr>
            </w:r>
            <w:r/>
          </w:p>
        </w:tc>
        <w:tc>
          <w:tcPr>
            <w:tcW w:w="880"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2套</w:t>
            </w:r>
            <w:r>
              <w:rPr>
                <w:rFonts w:ascii="宋体" w:hAnsi="宋体" w:cs="宋体"/>
                <w:szCs w:val="21"/>
              </w:rPr>
            </w:r>
            <w:r/>
          </w:p>
        </w:tc>
        <w:tc>
          <w:tcPr>
            <w:tcW w:w="1442" w:type="dxa"/>
            <w:vAlign w:val="center"/>
            <w:vMerge w:val="continue"/>
            <w:textDirection w:val="lrTb"/>
            <w:noWrap w:val="false"/>
          </w:tcPr>
          <w:p>
            <w:pPr>
              <w:pStyle w:val="1344"/>
              <w:jc w:val="center"/>
              <w:spacing w:line="360" w:lineRule="auto"/>
              <w:rPr>
                <w:rFonts w:ascii="宋体" w:hAnsi="宋体" w:cs="宋体"/>
                <w:szCs w:val="21"/>
              </w:rPr>
            </w:pPr>
            <w:r>
              <w:rPr>
                <w:rFonts w:ascii="宋体" w:hAnsi="宋体" w:cs="宋体"/>
                <w:szCs w:val="21"/>
              </w:rPr>
            </w:r>
            <w:r/>
          </w:p>
        </w:tc>
      </w:tr>
      <w:tr>
        <w:trPr>
          <w:cantSplit/>
          <w:trHeight w:val="454"/>
        </w:trPr>
        <w:tc>
          <w:tcPr>
            <w:tcW w:w="625"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1.9</w:t>
            </w:r>
            <w:r>
              <w:rPr>
                <w:rFonts w:ascii="宋体" w:hAnsi="宋体" w:cs="宋体"/>
                <w:szCs w:val="21"/>
              </w:rPr>
            </w:r>
            <w:r/>
          </w:p>
        </w:tc>
        <w:tc>
          <w:tcPr>
            <w:tcW w:w="2052" w:type="dxa"/>
            <w:vAlign w:val="center"/>
            <w:textDirection w:val="lrTb"/>
            <w:noWrap w:val="false"/>
          </w:tcPr>
          <w:p>
            <w:pPr>
              <w:pStyle w:val="1344"/>
              <w:jc w:val="center"/>
              <w:spacing w:line="360" w:lineRule="auto"/>
              <w:rPr>
                <w:rFonts w:ascii="宋体" w:hAnsi="宋体" w:cs="宋体"/>
                <w:color w:val="ff0000"/>
                <w:szCs w:val="21"/>
              </w:rPr>
            </w:pPr>
            <w:r>
              <w:rPr>
                <w:rFonts w:hint="eastAsia" w:ascii="宋体" w:hAnsi="宋体" w:cs="宋体"/>
                <w:szCs w:val="21"/>
              </w:rPr>
              <w:t xml:space="preserve">附件</w:t>
            </w:r>
            <w:r>
              <w:rPr>
                <w:rFonts w:ascii="宋体" w:hAnsi="宋体" w:cs="宋体"/>
                <w:color w:val="ff0000"/>
                <w:szCs w:val="21"/>
              </w:rPr>
            </w:r>
            <w:r/>
          </w:p>
        </w:tc>
        <w:tc>
          <w:tcPr>
            <w:tcW w:w="880" w:type="dxa"/>
            <w:vAlign w:val="center"/>
            <w:textDirection w:val="lrTb"/>
            <w:noWrap w:val="false"/>
          </w:tcPr>
          <w:p>
            <w:pPr>
              <w:pStyle w:val="1344"/>
              <w:jc w:val="center"/>
              <w:spacing w:line="360" w:lineRule="auto"/>
              <w:rPr>
                <w:rFonts w:ascii="宋体" w:hAnsi="宋体" w:cs="宋体"/>
                <w:color w:val="ff0000"/>
                <w:szCs w:val="21"/>
              </w:rPr>
            </w:pPr>
            <w:r>
              <w:rPr>
                <w:rFonts w:hint="eastAsia" w:ascii="宋体" w:hAnsi="宋体" w:cs="宋体"/>
                <w:szCs w:val="21"/>
              </w:rPr>
              <w:t xml:space="preserve">1套</w:t>
            </w:r>
            <w:r>
              <w:rPr>
                <w:rFonts w:ascii="宋体" w:hAnsi="宋体" w:cs="宋体"/>
                <w:color w:val="ff0000"/>
                <w:szCs w:val="21"/>
              </w:rPr>
            </w:r>
            <w:r/>
          </w:p>
        </w:tc>
        <w:tc>
          <w:tcPr>
            <w:tcW w:w="1442" w:type="dxa"/>
            <w:vAlign w:val="center"/>
            <w:vMerge w:val="continue"/>
            <w:textDirection w:val="lrTb"/>
            <w:noWrap w:val="false"/>
          </w:tcPr>
          <w:p>
            <w:pPr>
              <w:pStyle w:val="1344"/>
              <w:jc w:val="center"/>
              <w:spacing w:line="360" w:lineRule="auto"/>
              <w:rPr>
                <w:rFonts w:ascii="宋体" w:hAnsi="宋体" w:cs="宋体"/>
                <w:szCs w:val="21"/>
              </w:rPr>
            </w:pPr>
            <w:r>
              <w:rPr>
                <w:rFonts w:ascii="宋体" w:hAnsi="宋体" w:cs="宋体"/>
                <w:szCs w:val="21"/>
              </w:rPr>
            </w:r>
            <w:r/>
          </w:p>
        </w:tc>
      </w:tr>
    </w:tbl>
    <w:p>
      <w:pPr>
        <w:pStyle w:val="1344"/>
        <w:spacing w:line="480" w:lineRule="exact"/>
        <w:rPr>
          <w:rFonts w:ascii="宋体" w:hAnsi="宋体" w:cs="宋体"/>
          <w:b/>
          <w:bCs/>
          <w:szCs w:val="21"/>
        </w:rPr>
      </w:pPr>
      <w:r>
        <w:rPr>
          <w:rFonts w:hint="eastAsia" w:ascii="宋体" w:hAnsi="宋体" w:cs="宋体"/>
          <w:b/>
          <w:bCs/>
          <w:szCs w:val="21"/>
        </w:rPr>
        <w:t xml:space="preserve">（二）技术指标及功能要求</w:t>
      </w:r>
      <w:r>
        <w:rPr>
          <w:rFonts w:ascii="宋体" w:hAnsi="宋体" w:cs="宋体"/>
          <w:b/>
          <w:bCs/>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1.标准振动台系统整体性能要求：</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1.1振动台面加速度信噪比：≥50dB；</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1.2标准振动台频率示值误差：优于±0.05%； </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★1.3标准振动台稳定性：频率最大变化：≤0.1%，加速度幅值最大变化：≤0.3%；</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★1.4振动台面加速度谐波失真度：≤5%（f＞20Hz),≤10%（f≤20Hz）；</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1.5振动台面横向振动比：≤10%（f≤1000Hz),≤30%（f＞1000Hz）；</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1.6标准振动台工作频率范围内，其控制系统电压测量误差优于 ：±0.5%（f＜20Hz），±0.2%（20Hz≤f≤10kHz)；</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1.7标准振动台工作频率范围内，其控制系统通道间的电压比测量误差优于 ：±0.5%（f＜20Hz），±0.2%（20Hz≤f≤10kHz)；</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1.8标准振动台工作频率范围内，其控制系统通道间的相位差测量误差优于： ±0.5°(f＜20Hz)，±0.2°(20Hz≤f≤5kHz)； </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★1.9正弦推力：3000N。</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2.多通道程控标定仪</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2.1满足JJG834-2006《动态信号分析仪检定规程》要求；</w:t>
      </w:r>
      <w:r>
        <w:rPr>
          <w:rFonts w:ascii="宋体" w:hAnsi="宋体" w:cs="宋体"/>
          <w:szCs w:val="21"/>
        </w:rPr>
      </w:r>
      <w:r/>
    </w:p>
    <w:p>
      <w:pPr>
        <w:pStyle w:val="1344"/>
        <w:ind w:firstLine="420"/>
        <w:spacing w:line="480" w:lineRule="exact"/>
        <w:rPr>
          <w:rFonts w:ascii="宋体" w:hAnsi="宋体" w:cs="宋体"/>
          <w:szCs w:val="21"/>
        </w:rPr>
      </w:pPr>
      <w:r>
        <w:rPr>
          <w:rFonts w:hint="eastAsia" w:ascii="Calibri" w:hAnsi="Calibri"/>
          <w:szCs w:val="24"/>
        </w:rPr>
        <w:t xml:space="preserve">▲</w:t>
      </w:r>
      <w:r>
        <w:rPr>
          <w:rFonts w:hint="eastAsia" w:ascii="宋体" w:hAnsi="宋体" w:cs="宋体"/>
          <w:szCs w:val="21"/>
        </w:rPr>
        <w:t xml:space="preserve">2.2至少8个高精度模拟电压输入通道，24位ADC，内置IEPE恒流源；1个模拟电压输出通道，24位DAC；</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2.3动态范围：≥80dB；</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3.两通道程控标定仪</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3.1满足JJG834-2006《动态信号分析仪检定规程》要求；</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3.2  2个高精度模拟电压输入通道，24位ADC，内置IEPE恒流源；1个模拟电压输出通道，24位DAC；</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3.3动态范围：≥80dB；</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4.振动台</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4.1垂直方向振动台工作频率范围（5～5000）Hz，工作加速度范围(10～980)m/s</w:t>
      </w:r>
      <w:r>
        <w:rPr>
          <w:rFonts w:ascii="宋体" w:hAnsi="宋体" w:cs="宋体"/>
          <w:szCs w:val="21"/>
          <w:vertAlign w:val="superscript"/>
        </w:rPr>
        <w:t xml:space="preserve">2</w:t>
      </w:r>
      <w:r>
        <w:rPr>
          <w:rFonts w:hint="eastAsia" w:ascii="宋体" w:hAnsi="宋体" w:cs="宋体"/>
          <w:szCs w:val="21"/>
        </w:rPr>
        <w:t xml:space="preserve">，含隔离模块，隔绝干扰，附加台面要求：直径400mm，镁合金材质。</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4.2水平方向振动台工作频率范围（5～2000）Hz；工作加速度范围(10～980)m/s</w:t>
      </w:r>
      <w:r>
        <w:rPr>
          <w:rFonts w:ascii="宋体" w:hAnsi="宋体" w:cs="宋体"/>
          <w:szCs w:val="21"/>
          <w:vertAlign w:val="superscript"/>
        </w:rPr>
        <w:t xml:space="preserve">2</w:t>
      </w:r>
      <w:r>
        <w:rPr>
          <w:rFonts w:hint="eastAsia" w:ascii="宋体" w:hAnsi="宋体" w:cs="宋体"/>
          <w:szCs w:val="21"/>
        </w:rPr>
        <w:t xml:space="preserve">，含隔离模块，隔绝干扰，附加台面要求：400mm*400mm，镁合金材质。</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5.调理放大器</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5.1满足JJG 338-2013《电荷放大器检定规程》二级B类的要求</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5.2支持电荷传感器、IEPE传感器及电压输出型传感器信号调理；支持通道双积分；增益档误差：≤1.0%；归一化误差：≤0.2%；线性误差≤0.1%；</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5.3支持触屏式操作，功能显示直观，不小于5英寸 LCD 液晶屏显示，背光可控，亮度可调。</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★6.标准加速度计：频率范围（5～5000）Hz，频率响应优于±2%，幅值线性度优于±1%，参考灵敏度幅值的年稳定度优于0.5%，含5米以上低噪声电缆。</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7.传感器适配器：通道数：单机4通道，电压输入范围：±10VPEAK，耦合方式：(4～20)mA、(1～5)V等。</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8.桥式放大器</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8.1适用于压阻式传感器、MEMS电容式传感器、桥式传感器、电阻应变计等的信号调理。</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8.2桥路类型：六线制全桥、三线制半桥、三线制 1/4 桥可调。</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8.3桥路电阻：半桥和全桥支持任意规格电阻，1/4 桥支持 120Ω和350Ω两种规格电阻可调。</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8.4供桥电压：2.5VDC、5 VDC、10 VDC 可调，增益档：10倍、100倍、1000倍可调。</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8.5应变示值误差：±(0.5%读数±3με)，非线性误差(FS)：±0.1%，稳定度：零点漂移(2h)±3με，示值稳定性±0.1%。</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9.其它附件： </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9.1标准传感器背靠背安装支架及螺钉1套，与标准传感器适配；</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9.2动应变校准支架1套，专用于动应变传感器的校准，适配各种高应变应力环的校准。</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9.3工作加速度计2套，频率范围(5～5000)Hz，频率响应优于±5%，幅值线性度优于±3%，含5米以上低噪声电缆。</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10.功能要求</w:t>
      </w:r>
      <w:r>
        <w:rPr>
          <w:rFonts w:ascii="宋体" w:hAnsi="宋体" w:cs="宋体"/>
          <w:szCs w:val="21"/>
        </w:rPr>
      </w:r>
      <w:r/>
    </w:p>
    <w:p>
      <w:pPr>
        <w:pStyle w:val="1344"/>
        <w:ind w:firstLine="420"/>
        <w:spacing w:line="480" w:lineRule="exact"/>
        <w:rPr>
          <w:rFonts w:ascii="宋体" w:hAnsi="宋体" w:cs="宋体"/>
          <w:szCs w:val="21"/>
        </w:rPr>
      </w:pPr>
      <w:r>
        <w:rPr>
          <w:rFonts w:hint="eastAsia" w:ascii="Calibri" w:hAnsi="Calibri"/>
          <w:szCs w:val="24"/>
        </w:rPr>
        <w:t xml:space="preserve">▲</w:t>
      </w:r>
      <w:r>
        <w:rPr>
          <w:rFonts w:hint="eastAsia" w:ascii="宋体" w:hAnsi="宋体" w:cs="宋体"/>
          <w:szCs w:val="21"/>
        </w:rPr>
        <w:t xml:space="preserve">10.1能够对加速度传感器、速度传感器、位移传感器、测振仪等装置进行自动检定/校准并生成检定/校准报告，相关检定/校准规程规范如下：</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JJG 233-2008《压电加速度计检定规程》；</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JJG 134-2023《磁电式速度传感器检定规程》；</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JJG 644-2003《振动位移传感器检定规程》；</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JJG 676-2019《测振仪检定规程》；</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10.2支持电压式、电荷式、IEPE式等振动传感器的自动检定/校准；</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10.3具备主动前馈谐波抑制功能，能有效降低振动台输出加速度谐波失真度；</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10.4具备二次小波积分算法功能，能够精确校准速度、位移传感器；</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10.5具备正弦逐点比较法校准功能，同时配置正弦扫频法、随机激励法等校准方法；</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10.6具备“替代法”检定/校准功能，能够保护标准加速度计，延长其使用寿命；</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10.7系统能够自动完成对振动台的振动控制，用户可以自主设置校准过程；自动完成高精度振动信号产生、信号采集、测试数据分析、实时监测对比、自我诊断，直至校准结果显示和校准报告生成； </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10.8可以个性化定制证书，包括证书封面、校准数据、曲线和文档格式等；</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10.9控制机应能够流畅运行自动校准测试软件，不低于以下配置：处理器基础频率4.0GHz，16G内存，512G存储容量。</w:t>
      </w:r>
      <w:r>
        <w:rPr>
          <w:rFonts w:ascii="宋体" w:hAnsi="宋体" w:cs="宋体"/>
          <w:szCs w:val="21"/>
        </w:rPr>
      </w:r>
      <w:r/>
    </w:p>
    <w:p>
      <w:pPr>
        <w:pStyle w:val="1344"/>
        <w:spacing w:line="480" w:lineRule="exact"/>
        <w:rPr>
          <w:rFonts w:ascii="宋体" w:hAnsi="宋体" w:cs="宋体"/>
          <w:b/>
          <w:bCs/>
          <w:szCs w:val="21"/>
        </w:rPr>
      </w:pPr>
      <w:r>
        <w:rPr>
          <w:rFonts w:hint="eastAsia" w:ascii="宋体" w:hAnsi="宋体" w:cs="宋体"/>
          <w:b/>
          <w:bCs/>
          <w:szCs w:val="21"/>
        </w:rPr>
        <w:t xml:space="preserve">（三）验收依据、方法及单位</w:t>
      </w:r>
      <w:r>
        <w:rPr>
          <w:rFonts w:ascii="宋体" w:hAnsi="宋体" w:cs="宋体"/>
          <w:b/>
          <w:bCs/>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1.标准振动台（除正弦推力）依据JJG 298-2015《标准振动台检定规程》，正弦推力参数依据JJG 948-2018《电动振动试验系统检定规程》中6.3.17条款、加速度传感器依据JJG 233-2008《压电加速度计检定规程》、程控标定仪依据JJG834-2006《动态信号分析仪检定规程》、制造厂商提供的用户手册、本技术文件。</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2.卖方负责将设备送检至中国计量科学研究院进行检定/校准，并出具检定/校准证书，检测费用由卖方承担。</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3.江苏省计量科学研究院根据以上证书、用户手册和本技术文件对整套设备的技术指标和功能进行最终验收。</w:t>
      </w:r>
      <w:r>
        <w:rPr>
          <w:rFonts w:ascii="宋体" w:hAnsi="宋体" w:cs="宋体"/>
          <w:szCs w:val="21"/>
        </w:rPr>
      </w:r>
      <w:r/>
    </w:p>
    <w:p>
      <w:pPr>
        <w:pStyle w:val="1344"/>
        <w:spacing w:line="480" w:lineRule="exact"/>
        <w:rPr>
          <w:rFonts w:hint="eastAsia" w:ascii="宋体" w:hAnsi="宋体" w:cs="宋体"/>
          <w:b/>
          <w:bCs/>
          <w:szCs w:val="21"/>
        </w:rPr>
      </w:pPr>
      <w:r>
        <w:rPr>
          <w:rFonts w:hint="eastAsia" w:ascii="宋体" w:hAnsi="宋体" w:cs="宋体"/>
          <w:b/>
          <w:bCs/>
          <w:szCs w:val="21"/>
        </w:rPr>
        <w:t xml:space="preserve">（四）质保期</w:t>
      </w:r>
      <w:r>
        <w:rPr>
          <w:rFonts w:hint="eastAsia" w:ascii="宋体" w:hAnsi="宋体" w:cs="宋体"/>
          <w:b/>
          <w:bCs/>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★1.标准振动台的整机质保期为验收合格之日起2年。</w:t>
      </w:r>
      <w:r>
        <w:rPr>
          <w:rFonts w:ascii="宋体" w:hAnsi="宋体" w:cs="宋体"/>
          <w:szCs w:val="21"/>
        </w:rPr>
      </w:r>
      <w:r/>
    </w:p>
    <w:p>
      <w:pPr>
        <w:pStyle w:val="1344"/>
        <w:jc w:val="center"/>
        <w:spacing w:line="360" w:lineRule="auto"/>
        <w:tabs>
          <w:tab w:val="left" w:pos="4500" w:leader="none"/>
          <w:tab w:val="left" w:pos="4680" w:leader="none"/>
        </w:tabs>
        <w:rPr>
          <w:rFonts w:hint="eastAsia" w:ascii="宋体" w:hAnsi="宋体" w:cs="宋体"/>
          <w:b/>
          <w:szCs w:val="21"/>
        </w:rPr>
        <w:outlineLvl w:val="1"/>
      </w:pPr>
      <w:r/>
      <w:bookmarkStart w:id="363" w:name="_Toc10858"/>
      <w:r/>
      <w:bookmarkStart w:id="364" w:name="_Toc18134"/>
      <w:r>
        <w:rPr>
          <w:rFonts w:hint="eastAsia" w:ascii="宋体" w:hAnsi="宋体" w:cs="宋体"/>
          <w:b/>
          <w:szCs w:val="21"/>
        </w:rPr>
        <w:t xml:space="preserve">分包8</w:t>
      </w:r>
      <w:bookmarkEnd w:id="363"/>
      <w:r/>
      <w:bookmarkEnd w:id="364"/>
      <w:r>
        <w:rPr>
          <w:rFonts w:hint="eastAsia" w:ascii="宋体" w:hAnsi="宋体" w:cs="宋体"/>
          <w:b/>
          <w:szCs w:val="21"/>
        </w:rPr>
      </w:r>
      <w:r/>
    </w:p>
    <w:p>
      <w:pPr>
        <w:pStyle w:val="1344"/>
        <w:jc w:val="center"/>
        <w:spacing w:line="360" w:lineRule="auto"/>
        <w:tabs>
          <w:tab w:val="left" w:pos="4500" w:leader="none"/>
          <w:tab w:val="left" w:pos="4680" w:leader="none"/>
        </w:tabs>
        <w:rPr>
          <w:rFonts w:ascii="宋体" w:hAnsi="宋体" w:cs="宋体"/>
          <w:b/>
          <w:bCs/>
          <w:szCs w:val="21"/>
        </w:rPr>
        <w:outlineLvl w:val="1"/>
      </w:pPr>
      <w:r/>
      <w:bookmarkStart w:id="365" w:name="_Toc10408"/>
      <w:r/>
      <w:bookmarkStart w:id="366" w:name="_Toc6665"/>
      <w:r>
        <w:rPr>
          <w:rFonts w:hint="eastAsia" w:ascii="宋体" w:hAnsi="宋体" w:cs="宋体"/>
          <w:b/>
          <w:szCs w:val="21"/>
        </w:rPr>
        <w:t xml:space="preserve">品目</w:t>
      </w:r>
      <w:r>
        <w:rPr>
          <w:rFonts w:hint="eastAsia" w:ascii="宋体" w:hAnsi="宋体" w:cs="宋体"/>
          <w:b/>
          <w:bCs/>
          <w:szCs w:val="21"/>
        </w:rPr>
        <w:t xml:space="preserve">1 声校准器</w:t>
      </w:r>
      <w:bookmarkEnd w:id="365"/>
      <w:r/>
      <w:bookmarkEnd w:id="366"/>
      <w:r>
        <w:rPr>
          <w:rFonts w:ascii="宋体" w:hAnsi="宋体" w:cs="宋体"/>
          <w:b/>
          <w:bCs/>
          <w:szCs w:val="21"/>
        </w:rPr>
      </w:r>
      <w:r/>
    </w:p>
    <w:p>
      <w:pPr>
        <w:pStyle w:val="1344"/>
        <w:spacing w:line="480" w:lineRule="exact"/>
        <w:tabs>
          <w:tab w:val="left" w:pos="4500" w:leader="none"/>
          <w:tab w:val="left" w:pos="4680" w:leader="none"/>
        </w:tabs>
        <w:rPr>
          <w:rFonts w:ascii="宋体" w:hAnsi="宋体" w:cs="宋体"/>
          <w:b/>
          <w:bCs/>
          <w:szCs w:val="21"/>
        </w:rPr>
      </w:pPr>
      <w:r>
        <w:rPr>
          <w:rFonts w:hint="eastAsia" w:ascii="宋体" w:hAnsi="宋体" w:cs="宋体"/>
          <w:b/>
          <w:bCs/>
          <w:szCs w:val="21"/>
        </w:rPr>
        <w:t xml:space="preserve">★（一）设备及明细配置清单</w:t>
      </w:r>
      <w:r>
        <w:rPr>
          <w:rFonts w:ascii="宋体" w:hAnsi="宋体" w:cs="宋体"/>
          <w:b/>
          <w:bCs/>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11"/>
        <w:gridCol w:w="3425"/>
        <w:gridCol w:w="1539"/>
        <w:gridCol w:w="3275"/>
      </w:tblGrid>
      <w:tr>
        <w:trPr>
          <w:trHeight w:val="389"/>
        </w:trPr>
        <w:tc>
          <w:tcPr>
            <w:tcW w:w="818" w:type="dxa"/>
            <w:vAlign w:val="center"/>
            <w:textDirection w:val="lrTb"/>
            <w:noWrap w:val="false"/>
          </w:tcPr>
          <w:p>
            <w:pPr>
              <w:pStyle w:val="1344"/>
              <w:ind w:right="141"/>
              <w:jc w:val="center"/>
              <w:spacing w:line="360" w:lineRule="auto"/>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738"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设备名称</w:t>
            </w:r>
            <w:r>
              <w:rPr>
                <w:rFonts w:ascii="宋体" w:hAnsi="宋体" w:cs="宋体"/>
                <w:szCs w:val="21"/>
              </w:rPr>
            </w:r>
            <w:r/>
          </w:p>
        </w:tc>
        <w:tc>
          <w:tcPr>
            <w:tcW w:w="781"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数 量</w:t>
            </w:r>
            <w:r>
              <w:rPr>
                <w:rFonts w:ascii="宋体" w:hAnsi="宋体" w:cs="宋体"/>
                <w:szCs w:val="21"/>
              </w:rPr>
            </w:r>
            <w:r/>
          </w:p>
        </w:tc>
        <w:tc>
          <w:tcPr>
            <w:tcW w:w="1662"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合同履行期限（交货期）</w:t>
            </w:r>
            <w:r>
              <w:rPr>
                <w:rFonts w:ascii="宋体" w:hAnsi="宋体" w:cs="宋体"/>
                <w:szCs w:val="21"/>
              </w:rPr>
            </w:r>
            <w:r/>
          </w:p>
        </w:tc>
      </w:tr>
      <w:tr>
        <w:trPr>
          <w:cantSplit/>
          <w:trHeight w:val="459"/>
        </w:trPr>
        <w:tc>
          <w:tcPr>
            <w:tcW w:w="818"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738"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声校准器</w:t>
            </w:r>
            <w:r>
              <w:rPr>
                <w:rFonts w:ascii="宋体" w:hAnsi="宋体" w:cs="宋体"/>
                <w:szCs w:val="21"/>
              </w:rPr>
            </w:r>
            <w:r/>
          </w:p>
        </w:tc>
        <w:tc>
          <w:tcPr>
            <w:tcW w:w="781"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1台</w:t>
            </w:r>
            <w:r>
              <w:rPr>
                <w:rFonts w:hint="eastAsia" w:ascii="宋体" w:hAnsi="宋体" w:cs="宋体"/>
                <w:szCs w:val="21"/>
              </w:rPr>
            </w:r>
            <w:r/>
          </w:p>
        </w:tc>
        <w:tc>
          <w:tcPr>
            <w:tcW w:w="1662"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合同签订后</w:t>
            </w:r>
            <w:r>
              <w:rPr>
                <w:rFonts w:ascii="宋体" w:hAnsi="宋体" w:cs="宋体"/>
                <w:szCs w:val="21"/>
              </w:rPr>
              <w:t xml:space="preserve">6</w:t>
            </w:r>
            <w:r>
              <w:rPr>
                <w:rFonts w:hint="eastAsia" w:ascii="宋体" w:hAnsi="宋体" w:cs="宋体"/>
                <w:szCs w:val="21"/>
              </w:rPr>
              <w:t xml:space="preserve">个月</w:t>
            </w:r>
            <w:r>
              <w:rPr>
                <w:rFonts w:ascii="宋体" w:hAnsi="宋体" w:cs="宋体"/>
                <w:szCs w:val="21"/>
              </w:rPr>
            </w:r>
            <w:r/>
          </w:p>
        </w:tc>
      </w:tr>
    </w:tbl>
    <w:p>
      <w:pPr>
        <w:pStyle w:val="1344"/>
        <w:spacing w:line="480" w:lineRule="exact"/>
        <w:rPr>
          <w:rFonts w:ascii="宋体" w:hAnsi="宋体" w:cs="宋体"/>
          <w:b/>
          <w:bCs/>
          <w:szCs w:val="21"/>
        </w:rPr>
      </w:pPr>
      <w:r>
        <w:rPr>
          <w:rFonts w:hint="eastAsia" w:ascii="宋体" w:hAnsi="宋体" w:cs="宋体"/>
          <w:b/>
          <w:bCs/>
          <w:szCs w:val="21"/>
        </w:rPr>
        <w:t xml:space="preserve">（二）技术指标及功能要求</w:t>
      </w:r>
      <w:r>
        <w:rPr>
          <w:rFonts w:ascii="宋体" w:hAnsi="宋体" w:cs="宋体"/>
          <w:b/>
          <w:bCs/>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1.应至少包含250Hz，124dB点；</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★2.接受限：声压级：0.10dB；频率：0.7%；总失真+噪声：2.0%。（以上要求为160Hz～1250Hz点内满足。）</w:t>
      </w:r>
      <w:r>
        <w:rPr>
          <w:rFonts w:ascii="宋体" w:hAnsi="宋体" w:cs="宋体"/>
          <w:szCs w:val="21"/>
        </w:rPr>
      </w:r>
      <w:r/>
    </w:p>
    <w:p>
      <w:pPr>
        <w:pStyle w:val="1344"/>
        <w:spacing w:line="480" w:lineRule="exact"/>
        <w:rPr>
          <w:rFonts w:ascii="宋体" w:hAnsi="宋体" w:cs="宋体"/>
          <w:b/>
          <w:bCs/>
          <w:szCs w:val="21"/>
        </w:rPr>
      </w:pPr>
      <w:r>
        <w:rPr>
          <w:rFonts w:hint="eastAsia" w:ascii="宋体" w:hAnsi="宋体" w:cs="宋体"/>
          <w:b/>
          <w:bCs/>
          <w:szCs w:val="21"/>
        </w:rPr>
        <w:t xml:space="preserve">（三）验收依据、方法及单位</w:t>
      </w:r>
      <w:r>
        <w:rPr>
          <w:rFonts w:ascii="宋体" w:hAnsi="宋体" w:cs="宋体"/>
          <w:b/>
          <w:bCs/>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1.验收依据：JJG 176-2022《声校准器检定规程》、制造厂商提供的用户手册中的技术要求、本技术文件。</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2.卖方负责将设备送检至中国计量科学研究院进行检定，并出具检定证书，检定费用由卖方承担。</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3.江苏省计量科学研究院根据以上证书、用户手册和本技术文件对整套设备的技术指标和功能进行最终验收。</w:t>
      </w:r>
      <w:r>
        <w:rPr>
          <w:rFonts w:ascii="宋体" w:hAnsi="宋体" w:cs="宋体"/>
          <w:szCs w:val="21"/>
        </w:rPr>
      </w:r>
      <w:r/>
    </w:p>
    <w:p>
      <w:pPr>
        <w:pStyle w:val="1344"/>
        <w:spacing w:line="480" w:lineRule="exact"/>
        <w:rPr>
          <w:rFonts w:hint="eastAsia" w:ascii="宋体" w:hAnsi="宋体" w:cs="宋体"/>
          <w:b/>
          <w:bCs/>
          <w:szCs w:val="21"/>
        </w:rPr>
      </w:pPr>
      <w:r>
        <w:rPr>
          <w:rFonts w:hint="eastAsia" w:ascii="宋体" w:hAnsi="宋体" w:cs="宋体"/>
          <w:b/>
          <w:bCs/>
          <w:szCs w:val="21"/>
        </w:rPr>
        <w:t xml:space="preserve">（四）质保期</w:t>
      </w:r>
      <w:r>
        <w:rPr>
          <w:rFonts w:hint="eastAsia" w:ascii="宋体" w:hAnsi="宋体" w:cs="宋体"/>
          <w:b/>
          <w:bCs/>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★1.声校准器的质保期为验收合格之日起3年。</w:t>
      </w:r>
      <w:r>
        <w:rPr>
          <w:rFonts w:ascii="宋体" w:hAnsi="宋体" w:cs="宋体"/>
          <w:szCs w:val="21"/>
        </w:rPr>
      </w:r>
      <w:r/>
    </w:p>
    <w:p>
      <w:pPr>
        <w:pStyle w:val="1344"/>
        <w:jc w:val="center"/>
        <w:spacing w:line="360" w:lineRule="auto"/>
        <w:tabs>
          <w:tab w:val="left" w:pos="4500" w:leader="none"/>
          <w:tab w:val="left" w:pos="4680" w:leader="none"/>
        </w:tabs>
        <w:rPr>
          <w:rFonts w:ascii="宋体" w:hAnsi="宋体" w:cs="宋体"/>
          <w:b/>
          <w:bCs/>
          <w:szCs w:val="21"/>
        </w:rPr>
        <w:outlineLvl w:val="1"/>
      </w:pPr>
      <w:r/>
      <w:bookmarkStart w:id="367" w:name="_Toc20890"/>
      <w:r/>
      <w:bookmarkStart w:id="368" w:name="_Toc23665"/>
      <w:r>
        <w:rPr>
          <w:rFonts w:hint="eastAsia" w:ascii="宋体" w:hAnsi="宋体" w:cs="宋体"/>
          <w:b/>
          <w:szCs w:val="21"/>
        </w:rPr>
        <w:t xml:space="preserve">品目</w:t>
      </w:r>
      <w:r>
        <w:rPr>
          <w:rFonts w:hint="eastAsia" w:ascii="宋体" w:hAnsi="宋体" w:cs="宋体"/>
          <w:b/>
          <w:bCs/>
          <w:szCs w:val="21"/>
        </w:rPr>
        <w:t xml:space="preserve">2 声校准器</w:t>
      </w:r>
      <w:bookmarkEnd w:id="367"/>
      <w:r/>
      <w:bookmarkEnd w:id="368"/>
      <w:r>
        <w:rPr>
          <w:rFonts w:ascii="宋体" w:hAnsi="宋体" w:cs="宋体"/>
          <w:b/>
          <w:bCs/>
          <w:szCs w:val="21"/>
        </w:rPr>
      </w:r>
      <w:r/>
    </w:p>
    <w:p>
      <w:pPr>
        <w:pStyle w:val="1344"/>
        <w:spacing w:line="480" w:lineRule="exact"/>
        <w:tabs>
          <w:tab w:val="left" w:pos="4500" w:leader="none"/>
          <w:tab w:val="left" w:pos="4680" w:leader="none"/>
        </w:tabs>
        <w:rPr>
          <w:rFonts w:ascii="宋体" w:hAnsi="宋体" w:cs="宋体"/>
          <w:b/>
          <w:bCs/>
          <w:szCs w:val="21"/>
        </w:rPr>
      </w:pPr>
      <w:r>
        <w:rPr>
          <w:rFonts w:hint="eastAsia" w:ascii="宋体" w:hAnsi="宋体" w:cs="宋体"/>
          <w:b/>
          <w:bCs/>
          <w:szCs w:val="21"/>
        </w:rPr>
        <w:t xml:space="preserve">★（一）设备及明细配置清单</w:t>
      </w:r>
      <w:r>
        <w:rPr>
          <w:rFonts w:ascii="宋体" w:hAnsi="宋体" w:cs="宋体"/>
          <w:b/>
          <w:bCs/>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12"/>
        <w:gridCol w:w="3237"/>
        <w:gridCol w:w="1507"/>
        <w:gridCol w:w="3494"/>
      </w:tblGrid>
      <w:tr>
        <w:trPr>
          <w:trHeight w:val="389"/>
        </w:trPr>
        <w:tc>
          <w:tcPr>
            <w:tcW w:w="818" w:type="dxa"/>
            <w:vAlign w:val="center"/>
            <w:textDirection w:val="lrTb"/>
            <w:noWrap w:val="false"/>
          </w:tcPr>
          <w:p>
            <w:pPr>
              <w:pStyle w:val="1344"/>
              <w:ind w:right="141"/>
              <w:jc w:val="center"/>
              <w:spacing w:line="360" w:lineRule="auto"/>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643"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设备名称</w:t>
            </w:r>
            <w:r>
              <w:rPr>
                <w:rFonts w:ascii="宋体" w:hAnsi="宋体" w:cs="宋体"/>
                <w:szCs w:val="21"/>
              </w:rPr>
            </w:r>
            <w:r/>
          </w:p>
        </w:tc>
        <w:tc>
          <w:tcPr>
            <w:tcW w:w="765"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数 量</w:t>
            </w:r>
            <w:r>
              <w:rPr>
                <w:rFonts w:ascii="宋体" w:hAnsi="宋体" w:cs="宋体"/>
                <w:szCs w:val="21"/>
              </w:rPr>
            </w:r>
            <w:r/>
          </w:p>
        </w:tc>
        <w:tc>
          <w:tcPr>
            <w:tcW w:w="1773"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合同履行期限（交货期）</w:t>
            </w:r>
            <w:r>
              <w:rPr>
                <w:rFonts w:ascii="宋体" w:hAnsi="宋体" w:cs="宋体"/>
                <w:szCs w:val="21"/>
              </w:rPr>
            </w:r>
            <w:r/>
          </w:p>
        </w:tc>
      </w:tr>
      <w:tr>
        <w:trPr>
          <w:cantSplit/>
          <w:trHeight w:val="454"/>
        </w:trPr>
        <w:tc>
          <w:tcPr>
            <w:tcW w:w="818"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643"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声校准器</w:t>
            </w:r>
            <w:r>
              <w:rPr>
                <w:rFonts w:ascii="宋体" w:hAnsi="宋体" w:cs="宋体"/>
                <w:szCs w:val="21"/>
              </w:rPr>
            </w:r>
            <w:r/>
          </w:p>
        </w:tc>
        <w:tc>
          <w:tcPr>
            <w:tcW w:w="765" w:type="dxa"/>
            <w:vAlign w:val="center"/>
            <w:textDirection w:val="lrTb"/>
            <w:noWrap w:val="false"/>
          </w:tcPr>
          <w:p>
            <w:pPr>
              <w:pStyle w:val="1344"/>
              <w:jc w:val="center"/>
              <w:spacing w:line="360" w:lineRule="auto"/>
              <w:rPr>
                <w:rFonts w:hint="eastAsia" w:ascii="宋体" w:hAnsi="宋体" w:cs="宋体"/>
                <w:szCs w:val="21"/>
              </w:rPr>
            </w:pPr>
            <w:r>
              <w:rPr>
                <w:rFonts w:hint="eastAsia" w:ascii="宋体" w:hAnsi="宋体" w:cs="宋体"/>
                <w:szCs w:val="21"/>
              </w:rPr>
              <w:t xml:space="preserve">1台</w:t>
            </w:r>
            <w:r>
              <w:rPr>
                <w:rFonts w:hint="eastAsia" w:ascii="宋体" w:hAnsi="宋体" w:cs="宋体"/>
                <w:szCs w:val="21"/>
              </w:rPr>
            </w:r>
            <w:r/>
          </w:p>
        </w:tc>
        <w:tc>
          <w:tcPr>
            <w:tcW w:w="1773"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合同签订后6个月</w:t>
            </w:r>
            <w:r>
              <w:rPr>
                <w:rFonts w:ascii="宋体" w:hAnsi="宋体" w:cs="宋体"/>
                <w:szCs w:val="21"/>
              </w:rPr>
            </w:r>
            <w:r/>
          </w:p>
        </w:tc>
      </w:tr>
    </w:tbl>
    <w:p>
      <w:pPr>
        <w:pStyle w:val="1344"/>
        <w:spacing w:line="360" w:lineRule="auto"/>
        <w:tabs>
          <w:tab w:val="left" w:pos="4500" w:leader="none"/>
          <w:tab w:val="left" w:pos="4680" w:leader="none"/>
        </w:tabs>
        <w:rPr>
          <w:rFonts w:ascii="宋体" w:hAnsi="宋体" w:cs="宋体"/>
          <w:b/>
          <w:bCs/>
          <w:szCs w:val="21"/>
        </w:rPr>
      </w:pPr>
      <w:r>
        <w:rPr>
          <w:rFonts w:hint="eastAsia" w:ascii="宋体" w:hAnsi="宋体" w:cs="宋体"/>
          <w:b/>
          <w:bCs/>
          <w:szCs w:val="21"/>
        </w:rPr>
        <w:t xml:space="preserve">（二）技术指标及功能要求</w:t>
      </w:r>
      <w:r>
        <w:rPr>
          <w:rFonts w:ascii="宋体" w:hAnsi="宋体" w:cs="宋体"/>
          <w:b/>
          <w:bCs/>
          <w:szCs w:val="21"/>
        </w:rPr>
      </w:r>
      <w:r/>
    </w:p>
    <w:p>
      <w:pPr>
        <w:pStyle w:val="1344"/>
        <w:ind w:firstLine="422"/>
        <w:jc w:val="left"/>
        <w:spacing w:line="360" w:lineRule="auto"/>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1.频率范围优于20Hz～16kHz，声压级应包含94dB，频率点应包含相应频带内的所有1/3倍频程点。</w:t>
      </w:r>
      <w:r>
        <w:rPr>
          <w:rFonts w:ascii="宋体" w:hAnsi="宋体" w:cs="宋体"/>
          <w:szCs w:val="21"/>
        </w:rPr>
      </w:r>
      <w:r/>
    </w:p>
    <w:p>
      <w:pPr>
        <w:pStyle w:val="1344"/>
        <w:ind w:firstLine="420"/>
        <w:jc w:val="left"/>
        <w:spacing w:line="360" w:lineRule="auto"/>
        <w:widowControl/>
        <w:rPr>
          <w:rFonts w:ascii="宋体" w:hAnsi="宋体" w:cs="宋体"/>
          <w:szCs w:val="21"/>
        </w:rPr>
      </w:pPr>
      <w:r>
        <w:rPr>
          <w:rFonts w:hint="eastAsia" w:ascii="宋体" w:hAnsi="宋体" w:cs="宋体"/>
          <w:szCs w:val="21"/>
        </w:rPr>
        <w:t xml:space="preserve">2.包含声学检定/校准所需要的单个猝发音和重复猝发音电信号输出，对自由场、压力场、扩散场等不同类型的传声器有合理的修正补偿机制。</w:t>
      </w:r>
      <w:r>
        <w:rPr>
          <w:rFonts w:ascii="宋体" w:hAnsi="宋体" w:cs="宋体"/>
          <w:szCs w:val="21"/>
        </w:rPr>
      </w:r>
      <w:r/>
    </w:p>
    <w:p>
      <w:pPr>
        <w:pStyle w:val="1344"/>
        <w:ind w:firstLine="420"/>
        <w:jc w:val="left"/>
        <w:spacing w:line="360" w:lineRule="auto"/>
        <w:widowControl/>
        <w:rPr>
          <w:rFonts w:ascii="宋体" w:hAnsi="宋体" w:cs="宋体"/>
          <w:szCs w:val="21"/>
        </w:rPr>
      </w:pPr>
      <w:r>
        <w:rPr>
          <w:rFonts w:hint="eastAsia" w:ascii="宋体" w:hAnsi="宋体" w:cs="宋体"/>
          <w:szCs w:val="21"/>
        </w:rPr>
        <w:t xml:space="preserve">★3.接受限如下表：</w:t>
      </w:r>
      <w:r>
        <w:rPr>
          <w:rFonts w:ascii="宋体" w:hAnsi="宋体" w:cs="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32"/>
        <w:gridCol w:w="2132"/>
        <w:gridCol w:w="2132"/>
        <w:gridCol w:w="2132"/>
      </w:tblGrid>
      <w:tr>
        <w:trPr>
          <w:trHeight w:val="329" w:hRule="exact"/>
        </w:trPr>
        <w:tc>
          <w:tcPr>
            <w:tcW w:w="2132" w:type="dxa"/>
            <w:vAlign w:val="center"/>
            <w:vMerge w:val="restart"/>
            <w:textDirection w:val="lrTb"/>
            <w:noWrap w:val="false"/>
          </w:tcPr>
          <w:p>
            <w:pPr>
              <w:pStyle w:val="1344"/>
              <w:jc w:val="center"/>
              <w:rPr>
                <w:rFonts w:ascii="宋体" w:hAnsi="宋体" w:cs="宋体"/>
                <w:szCs w:val="21"/>
              </w:rPr>
            </w:pPr>
            <w:r>
              <w:rPr>
                <w:rFonts w:hint="eastAsia" w:ascii="宋体" w:hAnsi="宋体" w:cs="宋体"/>
                <w:szCs w:val="21"/>
              </w:rPr>
              <w:t xml:space="preserve">标称频率/Hz</w:t>
            </w:r>
            <w:r>
              <w:rPr>
                <w:rFonts w:ascii="宋体" w:hAnsi="宋体" w:cs="宋体"/>
                <w:szCs w:val="21"/>
              </w:rPr>
            </w:r>
            <w:r/>
          </w:p>
        </w:tc>
        <w:tc>
          <w:tcPr>
            <w:gridSpan w:val="3"/>
            <w:tcW w:w="6396" w:type="dxa"/>
            <w:vAlign w:val="center"/>
            <w:textDirection w:val="lrTb"/>
            <w:noWrap w:val="false"/>
          </w:tcPr>
          <w:p>
            <w:pPr>
              <w:pStyle w:val="1344"/>
              <w:jc w:val="center"/>
              <w:rPr>
                <w:rFonts w:ascii="宋体" w:hAnsi="宋体" w:cs="宋体"/>
                <w:szCs w:val="21"/>
              </w:rPr>
            </w:pPr>
            <w:r>
              <w:rPr>
                <w:rFonts w:hint="eastAsia" w:ascii="宋体" w:hAnsi="宋体" w:cs="宋体"/>
                <w:szCs w:val="21"/>
              </w:rPr>
              <w:t xml:space="preserve">接受限</w:t>
            </w:r>
            <w:r>
              <w:rPr>
                <w:rFonts w:ascii="宋体" w:hAnsi="宋体" w:cs="宋体"/>
                <w:szCs w:val="21"/>
              </w:rPr>
            </w:r>
            <w:r/>
          </w:p>
        </w:tc>
      </w:tr>
      <w:tr>
        <w:trPr>
          <w:trHeight w:val="420" w:hRule="exact"/>
        </w:trPr>
        <w:tc>
          <w:tcPr>
            <w:tcW w:w="2132" w:type="dxa"/>
            <w:vAlign w:val="center"/>
            <w:vMerge w:val="continue"/>
            <w:textDirection w:val="lrTb"/>
            <w:noWrap w:val="false"/>
          </w:tcPr>
          <w:p>
            <w:pPr>
              <w:pStyle w:val="1344"/>
              <w:jc w:val="center"/>
              <w:rPr>
                <w:rFonts w:ascii="宋体" w:hAnsi="宋体" w:cs="宋体"/>
                <w:szCs w:val="21"/>
              </w:rPr>
            </w:pPr>
            <w:r>
              <w:rPr>
                <w:rFonts w:ascii="宋体" w:hAnsi="宋体" w:cs="宋体"/>
                <w:szCs w:val="21"/>
              </w:rPr>
            </w:r>
            <w:r/>
          </w:p>
        </w:tc>
        <w:tc>
          <w:tcPr>
            <w:tcW w:w="2132" w:type="dxa"/>
            <w:vAlign w:val="center"/>
            <w:textDirection w:val="lrTb"/>
            <w:noWrap w:val="false"/>
          </w:tcPr>
          <w:p>
            <w:pPr>
              <w:pStyle w:val="1344"/>
              <w:jc w:val="center"/>
              <w:rPr>
                <w:rFonts w:ascii="宋体" w:hAnsi="宋体" w:cs="宋体"/>
                <w:szCs w:val="21"/>
              </w:rPr>
            </w:pPr>
            <w:r>
              <w:rPr>
                <w:rFonts w:hint="eastAsia" w:ascii="宋体" w:hAnsi="宋体" w:cs="宋体"/>
                <w:szCs w:val="21"/>
              </w:rPr>
              <w:t xml:space="preserve">声压级/dB</w:t>
            </w:r>
            <w:r>
              <w:rPr>
                <w:rFonts w:ascii="宋体" w:hAnsi="宋体" w:cs="宋体"/>
                <w:szCs w:val="21"/>
              </w:rPr>
            </w:r>
            <w:r/>
          </w:p>
        </w:tc>
        <w:tc>
          <w:tcPr>
            <w:tcW w:w="2132" w:type="dxa"/>
            <w:vAlign w:val="center"/>
            <w:textDirection w:val="lrTb"/>
            <w:noWrap w:val="false"/>
          </w:tcPr>
          <w:p>
            <w:pPr>
              <w:pStyle w:val="1344"/>
              <w:jc w:val="center"/>
              <w:rPr>
                <w:rFonts w:ascii="宋体" w:hAnsi="宋体" w:cs="宋体"/>
                <w:szCs w:val="21"/>
              </w:rPr>
            </w:pPr>
            <w:r>
              <w:rPr>
                <w:rFonts w:hint="eastAsia" w:ascii="宋体" w:hAnsi="宋体" w:cs="宋体"/>
                <w:szCs w:val="21"/>
              </w:rPr>
              <w:t xml:space="preserve">频率/%</w:t>
            </w:r>
            <w:r>
              <w:rPr>
                <w:rFonts w:ascii="宋体" w:hAnsi="宋体" w:cs="宋体"/>
                <w:szCs w:val="21"/>
              </w:rPr>
            </w:r>
            <w:r/>
          </w:p>
        </w:tc>
        <w:tc>
          <w:tcPr>
            <w:tcW w:w="2132" w:type="dxa"/>
            <w:vAlign w:val="center"/>
            <w:textDirection w:val="lrTb"/>
            <w:noWrap w:val="false"/>
          </w:tcPr>
          <w:p>
            <w:pPr>
              <w:pStyle w:val="1344"/>
              <w:jc w:val="center"/>
              <w:rPr>
                <w:rFonts w:ascii="宋体" w:hAnsi="宋体" w:cs="宋体"/>
                <w:szCs w:val="21"/>
              </w:rPr>
            </w:pPr>
            <w:r>
              <w:rPr>
                <w:rFonts w:hint="eastAsia" w:ascii="宋体" w:hAnsi="宋体" w:cs="宋体"/>
                <w:szCs w:val="21"/>
              </w:rPr>
              <w:t xml:space="preserve">总失真+噪声/%</w:t>
            </w:r>
            <w:r>
              <w:rPr>
                <w:rFonts w:ascii="宋体" w:hAnsi="宋体" w:cs="宋体"/>
                <w:szCs w:val="21"/>
              </w:rPr>
            </w:r>
            <w:r/>
          </w:p>
        </w:tc>
      </w:tr>
      <w:tr>
        <w:trPr>
          <w:trHeight w:val="426" w:hRule="exact"/>
        </w:trPr>
        <w:tc>
          <w:tcPr>
            <w:tcW w:w="2132" w:type="dxa"/>
            <w:vAlign w:val="center"/>
            <w:textDirection w:val="lrTb"/>
            <w:noWrap w:val="false"/>
          </w:tcPr>
          <w:p>
            <w:pPr>
              <w:pStyle w:val="1344"/>
              <w:jc w:val="center"/>
              <w:rPr>
                <w:rFonts w:ascii="宋体" w:hAnsi="宋体" w:cs="宋体"/>
                <w:szCs w:val="21"/>
              </w:rPr>
            </w:pPr>
            <w:r>
              <w:rPr>
                <w:rFonts w:hint="eastAsia" w:ascii="宋体" w:hAnsi="宋体" w:cs="宋体"/>
                <w:szCs w:val="21"/>
              </w:rPr>
              <w:t xml:space="preserve">31.5～160</w:t>
            </w:r>
            <w:r>
              <w:rPr>
                <w:rFonts w:ascii="宋体" w:hAnsi="宋体" w:cs="宋体"/>
                <w:szCs w:val="21"/>
              </w:rPr>
            </w:r>
            <w:r/>
          </w:p>
        </w:tc>
        <w:tc>
          <w:tcPr>
            <w:tcW w:w="2132" w:type="dxa"/>
            <w:vAlign w:val="center"/>
            <w:textDirection w:val="lrTb"/>
            <w:noWrap w:val="false"/>
          </w:tcPr>
          <w:p>
            <w:pPr>
              <w:pStyle w:val="1344"/>
              <w:jc w:val="center"/>
              <w:rPr>
                <w:rFonts w:ascii="宋体" w:hAnsi="宋体" w:cs="宋体"/>
                <w:szCs w:val="21"/>
              </w:rPr>
            </w:pPr>
            <w:r>
              <w:rPr>
                <w:rFonts w:hint="eastAsia" w:ascii="宋体" w:hAnsi="宋体" w:cs="宋体"/>
                <w:szCs w:val="21"/>
              </w:rPr>
              <w:t xml:space="preserve">0.30</w:t>
            </w:r>
            <w:r>
              <w:rPr>
                <w:rFonts w:ascii="宋体" w:hAnsi="宋体" w:cs="宋体"/>
                <w:szCs w:val="21"/>
              </w:rPr>
            </w:r>
            <w:r/>
          </w:p>
        </w:tc>
        <w:tc>
          <w:tcPr>
            <w:tcW w:w="2132" w:type="dxa"/>
            <w:vAlign w:val="center"/>
            <w:vMerge w:val="restart"/>
            <w:textDirection w:val="lrTb"/>
            <w:noWrap w:val="false"/>
          </w:tcPr>
          <w:p>
            <w:pPr>
              <w:pStyle w:val="1344"/>
              <w:jc w:val="center"/>
              <w:rPr>
                <w:rFonts w:ascii="宋体" w:hAnsi="宋体" w:cs="宋体"/>
                <w:szCs w:val="21"/>
              </w:rPr>
            </w:pPr>
            <w:r>
              <w:rPr>
                <w:rFonts w:hint="eastAsia" w:ascii="宋体" w:hAnsi="宋体" w:cs="宋体"/>
                <w:szCs w:val="21"/>
              </w:rPr>
              <w:t xml:space="preserve">0.7</w:t>
            </w:r>
            <w:r>
              <w:rPr>
                <w:rFonts w:ascii="宋体" w:hAnsi="宋体" w:cs="宋体"/>
                <w:szCs w:val="21"/>
              </w:rPr>
            </w:r>
            <w:r/>
          </w:p>
        </w:tc>
        <w:tc>
          <w:tcPr>
            <w:tcW w:w="2132" w:type="dxa"/>
            <w:vAlign w:val="center"/>
            <w:textDirection w:val="lrTb"/>
            <w:noWrap w:val="false"/>
          </w:tcPr>
          <w:p>
            <w:pPr>
              <w:pStyle w:val="1344"/>
              <w:jc w:val="center"/>
              <w:rPr>
                <w:rFonts w:ascii="宋体" w:hAnsi="宋体" w:cs="宋体"/>
                <w:szCs w:val="21"/>
              </w:rPr>
            </w:pPr>
            <w:r>
              <w:rPr>
                <w:rFonts w:hint="eastAsia" w:ascii="宋体" w:hAnsi="宋体" w:cs="宋体"/>
                <w:szCs w:val="21"/>
              </w:rPr>
              <w:t xml:space="preserve">3.0</w:t>
            </w:r>
            <w:r>
              <w:rPr>
                <w:rFonts w:ascii="宋体" w:hAnsi="宋体" w:cs="宋体"/>
                <w:szCs w:val="21"/>
              </w:rPr>
            </w:r>
            <w:r/>
          </w:p>
        </w:tc>
      </w:tr>
      <w:tr>
        <w:trPr>
          <w:trHeight w:val="431" w:hRule="exact"/>
        </w:trPr>
        <w:tc>
          <w:tcPr>
            <w:tcW w:w="2132" w:type="dxa"/>
            <w:vAlign w:val="center"/>
            <w:textDirection w:val="lrTb"/>
            <w:noWrap w:val="false"/>
          </w:tcPr>
          <w:p>
            <w:pPr>
              <w:pStyle w:val="1344"/>
              <w:jc w:val="center"/>
              <w:rPr>
                <w:rFonts w:ascii="宋体" w:hAnsi="宋体" w:cs="宋体"/>
                <w:szCs w:val="21"/>
              </w:rPr>
            </w:pPr>
            <w:r>
              <w:rPr>
                <w:rFonts w:hint="eastAsia" w:ascii="宋体" w:hAnsi="宋体" w:cs="宋体"/>
                <w:szCs w:val="21"/>
              </w:rPr>
              <w:t xml:space="preserve">160～1250</w:t>
            </w:r>
            <w:r>
              <w:rPr>
                <w:rFonts w:ascii="宋体" w:hAnsi="宋体" w:cs="宋体"/>
                <w:szCs w:val="21"/>
              </w:rPr>
            </w:r>
            <w:r/>
          </w:p>
        </w:tc>
        <w:tc>
          <w:tcPr>
            <w:tcW w:w="2132" w:type="dxa"/>
            <w:vAlign w:val="center"/>
            <w:textDirection w:val="lrTb"/>
            <w:noWrap w:val="false"/>
          </w:tcPr>
          <w:p>
            <w:pPr>
              <w:pStyle w:val="1344"/>
              <w:jc w:val="center"/>
              <w:rPr>
                <w:rFonts w:ascii="宋体" w:hAnsi="宋体" w:cs="宋体"/>
                <w:szCs w:val="21"/>
              </w:rPr>
            </w:pPr>
            <w:r>
              <w:rPr>
                <w:rFonts w:hint="eastAsia" w:ascii="宋体" w:hAnsi="宋体" w:cs="宋体"/>
                <w:szCs w:val="21"/>
              </w:rPr>
              <w:t xml:space="preserve">0.25</w:t>
            </w:r>
            <w:r>
              <w:rPr>
                <w:rFonts w:ascii="宋体" w:hAnsi="宋体" w:cs="宋体"/>
                <w:szCs w:val="21"/>
              </w:rPr>
            </w:r>
            <w:r/>
          </w:p>
        </w:tc>
        <w:tc>
          <w:tcPr>
            <w:tcW w:w="2132" w:type="dxa"/>
            <w:vAlign w:val="center"/>
            <w:vMerge w:val="continue"/>
            <w:textDirection w:val="lrTb"/>
            <w:noWrap w:val="false"/>
          </w:tcPr>
          <w:p>
            <w:pPr>
              <w:pStyle w:val="1344"/>
              <w:jc w:val="center"/>
              <w:rPr>
                <w:rFonts w:ascii="宋体" w:hAnsi="宋体" w:cs="宋体"/>
                <w:szCs w:val="21"/>
              </w:rPr>
            </w:pPr>
            <w:r>
              <w:rPr>
                <w:rFonts w:ascii="宋体" w:hAnsi="宋体" w:cs="宋体"/>
                <w:szCs w:val="21"/>
              </w:rPr>
            </w:r>
            <w:r/>
          </w:p>
        </w:tc>
        <w:tc>
          <w:tcPr>
            <w:tcW w:w="2132" w:type="dxa"/>
            <w:vAlign w:val="center"/>
            <w:textDirection w:val="lrTb"/>
            <w:noWrap w:val="false"/>
          </w:tcPr>
          <w:p>
            <w:pPr>
              <w:pStyle w:val="1344"/>
              <w:jc w:val="center"/>
              <w:rPr>
                <w:rFonts w:ascii="宋体" w:hAnsi="宋体" w:cs="宋体"/>
                <w:szCs w:val="21"/>
              </w:rPr>
            </w:pPr>
            <w:r>
              <w:rPr>
                <w:rFonts w:hint="eastAsia" w:ascii="宋体" w:hAnsi="宋体" w:cs="宋体"/>
                <w:szCs w:val="21"/>
              </w:rPr>
              <w:t xml:space="preserve">2.5</w:t>
            </w:r>
            <w:r>
              <w:rPr>
                <w:rFonts w:ascii="宋体" w:hAnsi="宋体" w:cs="宋体"/>
                <w:szCs w:val="21"/>
              </w:rPr>
            </w:r>
            <w:r/>
          </w:p>
        </w:tc>
      </w:tr>
      <w:tr>
        <w:trPr>
          <w:trHeight w:val="423" w:hRule="exact"/>
        </w:trPr>
        <w:tc>
          <w:tcPr>
            <w:tcW w:w="2132" w:type="dxa"/>
            <w:vAlign w:val="center"/>
            <w:textDirection w:val="lrTb"/>
            <w:noWrap w:val="false"/>
          </w:tcPr>
          <w:p>
            <w:pPr>
              <w:pStyle w:val="1344"/>
              <w:jc w:val="center"/>
              <w:rPr>
                <w:rFonts w:ascii="宋体" w:hAnsi="宋体" w:cs="宋体"/>
                <w:szCs w:val="21"/>
              </w:rPr>
            </w:pPr>
            <w:r>
              <w:rPr>
                <w:rFonts w:hint="eastAsia" w:ascii="宋体" w:hAnsi="宋体" w:cs="宋体"/>
                <w:szCs w:val="21"/>
              </w:rPr>
              <w:t xml:space="preserve">＞1250～4000</w:t>
            </w:r>
            <w:r>
              <w:rPr>
                <w:rFonts w:ascii="宋体" w:hAnsi="宋体" w:cs="宋体"/>
                <w:szCs w:val="21"/>
              </w:rPr>
            </w:r>
            <w:r/>
          </w:p>
        </w:tc>
        <w:tc>
          <w:tcPr>
            <w:tcW w:w="2132" w:type="dxa"/>
            <w:vAlign w:val="center"/>
            <w:textDirection w:val="lrTb"/>
            <w:noWrap w:val="false"/>
          </w:tcPr>
          <w:p>
            <w:pPr>
              <w:pStyle w:val="1344"/>
              <w:jc w:val="center"/>
              <w:rPr>
                <w:rFonts w:ascii="宋体" w:hAnsi="宋体" w:cs="宋体"/>
                <w:szCs w:val="21"/>
              </w:rPr>
            </w:pPr>
            <w:r>
              <w:rPr>
                <w:rFonts w:hint="eastAsia" w:ascii="宋体" w:hAnsi="宋体" w:cs="宋体"/>
                <w:szCs w:val="21"/>
              </w:rPr>
              <w:t xml:space="preserve">0.35</w:t>
            </w:r>
            <w:r>
              <w:rPr>
                <w:rFonts w:ascii="宋体" w:hAnsi="宋体" w:cs="宋体"/>
                <w:szCs w:val="21"/>
              </w:rPr>
            </w:r>
            <w:r/>
          </w:p>
        </w:tc>
        <w:tc>
          <w:tcPr>
            <w:tcW w:w="2132" w:type="dxa"/>
            <w:vAlign w:val="center"/>
            <w:vMerge w:val="continue"/>
            <w:textDirection w:val="lrTb"/>
            <w:noWrap w:val="false"/>
          </w:tcPr>
          <w:p>
            <w:pPr>
              <w:pStyle w:val="1344"/>
              <w:jc w:val="center"/>
              <w:rPr>
                <w:rFonts w:ascii="宋体" w:hAnsi="宋体" w:cs="宋体"/>
                <w:szCs w:val="21"/>
              </w:rPr>
            </w:pPr>
            <w:r>
              <w:rPr>
                <w:rFonts w:ascii="宋体" w:hAnsi="宋体" w:cs="宋体"/>
                <w:szCs w:val="21"/>
              </w:rPr>
            </w:r>
            <w:r/>
          </w:p>
        </w:tc>
        <w:tc>
          <w:tcPr>
            <w:tcW w:w="2132" w:type="dxa"/>
            <w:vAlign w:val="center"/>
            <w:vMerge w:val="restart"/>
            <w:textDirection w:val="lrTb"/>
            <w:noWrap w:val="false"/>
          </w:tcPr>
          <w:p>
            <w:pPr>
              <w:pStyle w:val="1344"/>
              <w:jc w:val="center"/>
              <w:rPr>
                <w:rFonts w:ascii="宋体" w:hAnsi="宋体" w:cs="宋体"/>
                <w:szCs w:val="21"/>
              </w:rPr>
            </w:pPr>
            <w:r>
              <w:rPr>
                <w:rFonts w:hint="eastAsia" w:ascii="宋体" w:hAnsi="宋体" w:cs="宋体"/>
                <w:szCs w:val="21"/>
              </w:rPr>
              <w:t xml:space="preserve">3.0</w:t>
            </w:r>
            <w:r>
              <w:rPr>
                <w:rFonts w:ascii="宋体" w:hAnsi="宋体" w:cs="宋体"/>
                <w:szCs w:val="21"/>
              </w:rPr>
            </w:r>
            <w:r/>
          </w:p>
        </w:tc>
      </w:tr>
      <w:tr>
        <w:trPr>
          <w:trHeight w:val="430" w:hRule="exact"/>
        </w:trPr>
        <w:tc>
          <w:tcPr>
            <w:tcW w:w="2132" w:type="dxa"/>
            <w:vAlign w:val="center"/>
            <w:textDirection w:val="lrTb"/>
            <w:noWrap w:val="false"/>
          </w:tcPr>
          <w:p>
            <w:pPr>
              <w:pStyle w:val="1344"/>
              <w:jc w:val="center"/>
              <w:rPr>
                <w:rFonts w:ascii="宋体" w:hAnsi="宋体" w:cs="宋体"/>
                <w:szCs w:val="21"/>
              </w:rPr>
            </w:pPr>
            <w:r>
              <w:rPr>
                <w:rFonts w:hint="eastAsia" w:ascii="宋体" w:hAnsi="宋体" w:cs="宋体"/>
                <w:szCs w:val="21"/>
              </w:rPr>
              <w:t xml:space="preserve">＞4000～8000</w:t>
            </w:r>
            <w:r>
              <w:rPr>
                <w:rFonts w:ascii="宋体" w:hAnsi="宋体" w:cs="宋体"/>
                <w:szCs w:val="21"/>
              </w:rPr>
            </w:r>
            <w:r/>
          </w:p>
        </w:tc>
        <w:tc>
          <w:tcPr>
            <w:tcW w:w="2132" w:type="dxa"/>
            <w:vAlign w:val="center"/>
            <w:textDirection w:val="lrTb"/>
            <w:noWrap w:val="false"/>
          </w:tcPr>
          <w:p>
            <w:pPr>
              <w:pStyle w:val="1344"/>
              <w:jc w:val="center"/>
              <w:rPr>
                <w:rFonts w:ascii="宋体" w:hAnsi="宋体" w:cs="宋体"/>
                <w:szCs w:val="21"/>
              </w:rPr>
            </w:pPr>
            <w:r>
              <w:rPr>
                <w:rFonts w:hint="eastAsia" w:ascii="宋体" w:hAnsi="宋体" w:cs="宋体"/>
                <w:szCs w:val="21"/>
              </w:rPr>
              <w:t xml:space="preserve">0.45</w:t>
            </w:r>
            <w:r>
              <w:rPr>
                <w:rFonts w:ascii="宋体" w:hAnsi="宋体" w:cs="宋体"/>
                <w:szCs w:val="21"/>
              </w:rPr>
            </w:r>
            <w:r/>
          </w:p>
        </w:tc>
        <w:tc>
          <w:tcPr>
            <w:tcW w:w="2132" w:type="dxa"/>
            <w:vAlign w:val="center"/>
            <w:vMerge w:val="continue"/>
            <w:textDirection w:val="lrTb"/>
            <w:noWrap w:val="false"/>
          </w:tcPr>
          <w:p>
            <w:pPr>
              <w:pStyle w:val="1344"/>
              <w:rPr>
                <w:rFonts w:ascii="宋体" w:hAnsi="宋体" w:cs="宋体"/>
                <w:szCs w:val="21"/>
              </w:rPr>
            </w:pPr>
            <w:r>
              <w:rPr>
                <w:rFonts w:ascii="宋体" w:hAnsi="宋体" w:cs="宋体"/>
                <w:szCs w:val="21"/>
              </w:rPr>
            </w:r>
            <w:r/>
          </w:p>
        </w:tc>
        <w:tc>
          <w:tcPr>
            <w:tcW w:w="2132" w:type="dxa"/>
            <w:vAlign w:val="center"/>
            <w:vMerge w:val="continue"/>
            <w:textDirection w:val="lrTb"/>
            <w:noWrap w:val="false"/>
          </w:tcPr>
          <w:p>
            <w:pPr>
              <w:pStyle w:val="1344"/>
              <w:rPr>
                <w:rFonts w:ascii="宋体" w:hAnsi="宋体" w:cs="宋体"/>
                <w:szCs w:val="21"/>
              </w:rPr>
            </w:pPr>
            <w:r>
              <w:rPr>
                <w:rFonts w:ascii="宋体" w:hAnsi="宋体" w:cs="宋体"/>
                <w:szCs w:val="21"/>
              </w:rPr>
            </w:r>
            <w:r/>
          </w:p>
        </w:tc>
      </w:tr>
      <w:tr>
        <w:trPr>
          <w:trHeight w:val="422" w:hRule="exact"/>
        </w:trPr>
        <w:tc>
          <w:tcPr>
            <w:tcW w:w="2132" w:type="dxa"/>
            <w:vAlign w:val="center"/>
            <w:textDirection w:val="lrTb"/>
            <w:noWrap w:val="false"/>
          </w:tcPr>
          <w:p>
            <w:pPr>
              <w:pStyle w:val="1344"/>
              <w:jc w:val="center"/>
              <w:rPr>
                <w:rFonts w:ascii="宋体" w:hAnsi="宋体" w:cs="宋体"/>
                <w:szCs w:val="21"/>
              </w:rPr>
            </w:pPr>
            <w:r>
              <w:rPr>
                <w:rFonts w:hint="eastAsia" w:ascii="宋体" w:hAnsi="宋体" w:cs="宋体"/>
                <w:szCs w:val="21"/>
              </w:rPr>
              <w:t xml:space="preserve">＞8000～16000</w:t>
            </w:r>
            <w:r>
              <w:rPr>
                <w:rFonts w:ascii="宋体" w:hAnsi="宋体" w:cs="宋体"/>
                <w:szCs w:val="21"/>
              </w:rPr>
            </w:r>
            <w:r/>
          </w:p>
        </w:tc>
        <w:tc>
          <w:tcPr>
            <w:tcW w:w="2132" w:type="dxa"/>
            <w:vAlign w:val="center"/>
            <w:textDirection w:val="lrTb"/>
            <w:noWrap w:val="false"/>
          </w:tcPr>
          <w:p>
            <w:pPr>
              <w:pStyle w:val="1344"/>
              <w:jc w:val="center"/>
              <w:rPr>
                <w:rFonts w:ascii="宋体" w:hAnsi="宋体" w:cs="宋体"/>
                <w:szCs w:val="21"/>
              </w:rPr>
            </w:pPr>
            <w:r>
              <w:rPr>
                <w:rFonts w:hint="eastAsia" w:ascii="宋体" w:hAnsi="宋体" w:cs="宋体"/>
                <w:szCs w:val="21"/>
              </w:rPr>
              <w:t xml:space="preserve">0.50</w:t>
            </w:r>
            <w:r>
              <w:rPr>
                <w:rFonts w:ascii="宋体" w:hAnsi="宋体" w:cs="宋体"/>
                <w:szCs w:val="21"/>
              </w:rPr>
            </w:r>
            <w:r/>
          </w:p>
        </w:tc>
        <w:tc>
          <w:tcPr>
            <w:tcW w:w="2132" w:type="dxa"/>
            <w:vAlign w:val="center"/>
            <w:vMerge w:val="continue"/>
            <w:textDirection w:val="lrTb"/>
            <w:noWrap w:val="false"/>
          </w:tcPr>
          <w:p>
            <w:pPr>
              <w:pStyle w:val="1344"/>
              <w:rPr>
                <w:rFonts w:ascii="宋体" w:hAnsi="宋体" w:cs="宋体"/>
                <w:szCs w:val="21"/>
              </w:rPr>
            </w:pPr>
            <w:r>
              <w:rPr>
                <w:rFonts w:ascii="宋体" w:hAnsi="宋体" w:cs="宋体"/>
                <w:szCs w:val="21"/>
              </w:rPr>
            </w:r>
            <w:r/>
          </w:p>
        </w:tc>
        <w:tc>
          <w:tcPr>
            <w:tcW w:w="2132" w:type="dxa"/>
            <w:vAlign w:val="center"/>
            <w:vMerge w:val="continue"/>
            <w:textDirection w:val="lrTb"/>
            <w:noWrap w:val="false"/>
          </w:tcPr>
          <w:p>
            <w:pPr>
              <w:pStyle w:val="1344"/>
              <w:rPr>
                <w:rFonts w:ascii="宋体" w:hAnsi="宋体" w:cs="宋体"/>
                <w:szCs w:val="21"/>
              </w:rPr>
            </w:pPr>
            <w:r>
              <w:rPr>
                <w:rFonts w:ascii="宋体" w:hAnsi="宋体" w:cs="宋体"/>
                <w:szCs w:val="21"/>
              </w:rPr>
            </w:r>
            <w:r/>
          </w:p>
        </w:tc>
      </w:tr>
    </w:tbl>
    <w:p>
      <w:pPr>
        <w:pStyle w:val="1344"/>
        <w:spacing w:line="360" w:lineRule="auto"/>
        <w:tabs>
          <w:tab w:val="left" w:pos="4500" w:leader="none"/>
          <w:tab w:val="left" w:pos="4680" w:leader="none"/>
        </w:tabs>
        <w:rPr>
          <w:rFonts w:ascii="宋体" w:hAnsi="宋体" w:cs="宋体"/>
          <w:b/>
          <w:bCs/>
          <w:szCs w:val="21"/>
        </w:rPr>
      </w:pPr>
      <w:r>
        <w:rPr>
          <w:rFonts w:hint="eastAsia" w:ascii="宋体" w:hAnsi="宋体" w:cs="宋体"/>
          <w:b/>
          <w:bCs/>
          <w:szCs w:val="21"/>
        </w:rPr>
        <w:t xml:space="preserve">（三）验收依据、方法及单位</w:t>
      </w:r>
      <w:r>
        <w:rPr>
          <w:rFonts w:ascii="宋体" w:hAnsi="宋体" w:cs="宋体"/>
          <w:b/>
          <w:bCs/>
          <w:szCs w:val="21"/>
        </w:rPr>
      </w:r>
      <w:r/>
    </w:p>
    <w:p>
      <w:pPr>
        <w:pStyle w:val="1344"/>
        <w:ind w:firstLine="420"/>
        <w:jc w:val="left"/>
        <w:spacing w:line="360" w:lineRule="auto"/>
        <w:widowControl/>
        <w:rPr>
          <w:rFonts w:ascii="宋体" w:hAnsi="宋体" w:cs="宋体"/>
          <w:szCs w:val="21"/>
        </w:rPr>
      </w:pPr>
      <w:r>
        <w:rPr>
          <w:rFonts w:hint="eastAsia" w:ascii="宋体" w:hAnsi="宋体" w:cs="宋体"/>
          <w:szCs w:val="21"/>
        </w:rPr>
        <w:t xml:space="preserve">1.验收依据：JJG 176-2022《声校准器检定规程》、制造厂商提供的用户手册中的技术要求、本技术文件。</w:t>
      </w:r>
      <w:r>
        <w:rPr>
          <w:rFonts w:ascii="宋体" w:hAnsi="宋体" w:cs="宋体"/>
          <w:szCs w:val="21"/>
        </w:rPr>
      </w:r>
      <w:r/>
    </w:p>
    <w:p>
      <w:pPr>
        <w:pStyle w:val="1344"/>
        <w:ind w:firstLine="420"/>
        <w:jc w:val="left"/>
        <w:spacing w:line="360" w:lineRule="auto"/>
        <w:widowControl/>
        <w:rPr>
          <w:rFonts w:ascii="宋体" w:hAnsi="宋体" w:cs="宋体"/>
          <w:szCs w:val="21"/>
        </w:rPr>
      </w:pPr>
      <w:r>
        <w:rPr>
          <w:rFonts w:hint="eastAsia" w:ascii="宋体" w:hAnsi="宋体" w:cs="宋体"/>
          <w:szCs w:val="21"/>
        </w:rPr>
        <w:t xml:space="preserve">2.卖方负责将设备送检至中国计量科学研究院进行检定，并出具检定证书，检定费用由卖方承担。</w:t>
      </w:r>
      <w:r>
        <w:rPr>
          <w:rFonts w:ascii="宋体" w:hAnsi="宋体" w:cs="宋体"/>
          <w:szCs w:val="21"/>
        </w:rPr>
      </w:r>
      <w:r/>
    </w:p>
    <w:p>
      <w:pPr>
        <w:pStyle w:val="1344"/>
        <w:ind w:firstLine="420"/>
        <w:jc w:val="left"/>
        <w:spacing w:line="360" w:lineRule="auto"/>
        <w:widowControl/>
        <w:rPr>
          <w:rFonts w:ascii="宋体" w:hAnsi="宋体" w:cs="宋体"/>
          <w:szCs w:val="21"/>
        </w:rPr>
      </w:pPr>
      <w:r>
        <w:rPr>
          <w:rFonts w:hint="eastAsia" w:ascii="宋体" w:hAnsi="宋体" w:cs="宋体"/>
          <w:szCs w:val="21"/>
        </w:rPr>
        <w:t xml:space="preserve">3.江苏省计量科学研究院根据以上证书、用户手册和本技术文件对整套设备的技术指标和功能进行最终验收。</w:t>
      </w:r>
      <w:r>
        <w:rPr>
          <w:rFonts w:ascii="宋体" w:hAnsi="宋体" w:cs="宋体"/>
          <w:szCs w:val="21"/>
        </w:rPr>
      </w:r>
      <w:r/>
    </w:p>
    <w:p>
      <w:pPr>
        <w:pStyle w:val="1344"/>
        <w:spacing w:line="360" w:lineRule="auto"/>
        <w:tabs>
          <w:tab w:val="left" w:pos="4500" w:leader="none"/>
          <w:tab w:val="left" w:pos="4680" w:leader="none"/>
        </w:tabs>
        <w:rPr>
          <w:rFonts w:hint="eastAsia" w:ascii="宋体" w:hAnsi="宋体" w:cs="宋体"/>
          <w:b/>
          <w:bCs/>
          <w:szCs w:val="21"/>
        </w:rPr>
      </w:pPr>
      <w:r>
        <w:rPr>
          <w:rFonts w:hint="eastAsia" w:ascii="宋体" w:hAnsi="宋体" w:cs="宋体"/>
          <w:b/>
          <w:bCs/>
          <w:szCs w:val="21"/>
        </w:rPr>
        <w:t xml:space="preserve">（四）质保期</w:t>
      </w:r>
      <w:r>
        <w:rPr>
          <w:rFonts w:hint="eastAsia" w:ascii="宋体" w:hAnsi="宋体" w:cs="宋体"/>
          <w:b/>
          <w:bCs/>
          <w:szCs w:val="21"/>
        </w:rPr>
      </w:r>
      <w:r/>
    </w:p>
    <w:p>
      <w:pPr>
        <w:pStyle w:val="1344"/>
        <w:ind w:firstLine="420"/>
        <w:spacing w:line="360" w:lineRule="auto"/>
        <w:rPr>
          <w:rFonts w:ascii="宋体" w:hAnsi="宋体" w:cs="宋体"/>
          <w:szCs w:val="21"/>
        </w:rPr>
      </w:pPr>
      <w:r>
        <w:rPr>
          <w:rFonts w:hint="eastAsia" w:ascii="宋体" w:hAnsi="宋体" w:cs="宋体"/>
          <w:szCs w:val="21"/>
        </w:rPr>
        <w:t xml:space="preserve">★1.声校准器的质保期为验收合格之日起3年。</w:t>
      </w:r>
      <w:r>
        <w:rPr>
          <w:rFonts w:ascii="宋体" w:hAnsi="宋体" w:cs="宋体"/>
          <w:szCs w:val="21"/>
        </w:rPr>
      </w:r>
      <w:r/>
    </w:p>
    <w:p>
      <w:pPr>
        <w:pStyle w:val="1344"/>
        <w:ind w:firstLine="422"/>
        <w:jc w:val="center"/>
        <w:spacing w:line="480" w:lineRule="exact"/>
        <w:rPr>
          <w:rFonts w:ascii="宋体" w:hAnsi="宋体" w:cs="宋体"/>
          <w:b/>
          <w:bCs/>
          <w:szCs w:val="21"/>
        </w:rPr>
        <w:outlineLvl w:val="1"/>
      </w:pPr>
      <w:r/>
      <w:bookmarkStart w:id="369" w:name="_Toc4187"/>
      <w:r/>
      <w:bookmarkStart w:id="370" w:name="_Toc9086"/>
      <w:r>
        <w:rPr>
          <w:rFonts w:hint="eastAsia" w:ascii="宋体" w:hAnsi="宋体" w:cs="宋体"/>
          <w:b/>
          <w:szCs w:val="21"/>
        </w:rPr>
        <w:t xml:space="preserve">品目</w:t>
      </w:r>
      <w:r>
        <w:rPr>
          <w:rFonts w:hint="eastAsia" w:ascii="宋体" w:hAnsi="宋体" w:cs="宋体"/>
          <w:b/>
          <w:bCs/>
          <w:szCs w:val="21"/>
        </w:rPr>
        <w:t xml:space="preserve">3 多通道声分析仪</w:t>
      </w:r>
      <w:bookmarkEnd w:id="369"/>
      <w:r/>
      <w:bookmarkEnd w:id="370"/>
      <w:r>
        <w:rPr>
          <w:rFonts w:ascii="宋体" w:hAnsi="宋体" w:cs="宋体"/>
          <w:b/>
          <w:bCs/>
          <w:szCs w:val="21"/>
        </w:rPr>
      </w:r>
      <w:r/>
    </w:p>
    <w:p>
      <w:pPr>
        <w:pStyle w:val="1344"/>
        <w:spacing w:line="480" w:lineRule="exact"/>
        <w:tabs>
          <w:tab w:val="left" w:pos="4500" w:leader="none"/>
          <w:tab w:val="left" w:pos="4680" w:leader="none"/>
        </w:tabs>
        <w:rPr>
          <w:rFonts w:ascii="宋体" w:hAnsi="宋体" w:cs="宋体"/>
          <w:b/>
          <w:bCs/>
          <w:szCs w:val="21"/>
        </w:rPr>
      </w:pPr>
      <w:r>
        <w:rPr>
          <w:rFonts w:hint="eastAsia" w:ascii="宋体" w:hAnsi="宋体" w:cs="宋体"/>
          <w:b/>
          <w:bCs/>
          <w:szCs w:val="21"/>
        </w:rPr>
        <w:t xml:space="preserve">★（一）设备及明细配置清单</w:t>
      </w:r>
      <w:r>
        <w:rPr>
          <w:rFonts w:ascii="宋体" w:hAnsi="宋体" w:cs="宋体"/>
          <w:b/>
          <w:bCs/>
          <w:szCs w:val="21"/>
        </w:rPr>
      </w:r>
      <w:r/>
    </w:p>
    <w:tbl>
      <w:tblPr>
        <w:tblW w:w="493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0"/>
        <w:gridCol w:w="4182"/>
        <w:gridCol w:w="1326"/>
        <w:gridCol w:w="3002"/>
      </w:tblGrid>
      <w:tr>
        <w:trPr>
          <w:trHeight w:val="389"/>
        </w:trPr>
        <w:tc>
          <w:tcPr>
            <w:tcW w:w="627" w:type="dxa"/>
            <w:vAlign w:val="center"/>
            <w:textDirection w:val="lrTb"/>
            <w:noWrap w:val="false"/>
          </w:tcPr>
          <w:p>
            <w:pPr>
              <w:pStyle w:val="1344"/>
              <w:ind w:right="141"/>
              <w:jc w:val="center"/>
              <w:spacing w:line="360" w:lineRule="auto"/>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2148"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设备名称</w:t>
            </w:r>
            <w:r>
              <w:rPr>
                <w:rFonts w:ascii="宋体" w:hAnsi="宋体" w:cs="宋体"/>
                <w:szCs w:val="21"/>
              </w:rPr>
            </w:r>
            <w:r/>
          </w:p>
        </w:tc>
        <w:tc>
          <w:tcPr>
            <w:tcW w:w="681"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数 量</w:t>
            </w:r>
            <w:r>
              <w:rPr>
                <w:rFonts w:ascii="宋体" w:hAnsi="宋体" w:cs="宋体"/>
                <w:szCs w:val="21"/>
              </w:rPr>
            </w:r>
            <w:r/>
          </w:p>
        </w:tc>
        <w:tc>
          <w:tcPr>
            <w:tcW w:w="1542"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合同履行期限（交货期）</w:t>
            </w:r>
            <w:r>
              <w:rPr>
                <w:rFonts w:ascii="宋体" w:hAnsi="宋体" w:cs="宋体"/>
                <w:szCs w:val="21"/>
              </w:rPr>
            </w:r>
            <w:r/>
          </w:p>
        </w:tc>
      </w:tr>
      <w:tr>
        <w:trPr>
          <w:cantSplit/>
          <w:trHeight w:val="454"/>
        </w:trPr>
        <w:tc>
          <w:tcPr>
            <w:tcW w:w="627"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2148" w:type="dxa"/>
            <w:vAlign w:val="center"/>
            <w:textDirection w:val="lrTb"/>
            <w:noWrap w:val="false"/>
          </w:tcPr>
          <w:p>
            <w:pPr>
              <w:pStyle w:val="1344"/>
              <w:jc w:val="center"/>
              <w:spacing w:line="360" w:lineRule="auto"/>
              <w:rPr>
                <w:rFonts w:ascii="宋体" w:hAnsi="宋体" w:cs="宋体"/>
                <w:szCs w:val="21"/>
              </w:rPr>
            </w:pPr>
            <w:r/>
            <w:bookmarkStart w:id="371" w:name="OLE_LINK1"/>
            <w:r>
              <w:rPr>
                <w:rFonts w:hint="eastAsia" w:ascii="宋体" w:hAnsi="宋体" w:cs="宋体"/>
                <w:szCs w:val="21"/>
              </w:rPr>
              <w:t xml:space="preserve">多通道声分析仪</w:t>
            </w:r>
            <w:bookmarkEnd w:id="371"/>
            <w:r>
              <w:rPr>
                <w:rFonts w:hint="eastAsia" w:ascii="宋体" w:hAnsi="宋体" w:cs="宋体"/>
                <w:szCs w:val="21"/>
              </w:rPr>
              <w:t xml:space="preserve">，不得低于以下配置：</w:t>
            </w:r>
            <w:r>
              <w:rPr>
                <w:rFonts w:ascii="宋体" w:hAnsi="宋体" w:cs="宋体"/>
                <w:szCs w:val="21"/>
              </w:rPr>
            </w:r>
            <w:r/>
          </w:p>
        </w:tc>
        <w:tc>
          <w:tcPr>
            <w:tcW w:w="681" w:type="dxa"/>
            <w:vAlign w:val="center"/>
            <w:textDirection w:val="lrTb"/>
            <w:noWrap w:val="false"/>
          </w:tcPr>
          <w:p>
            <w:pPr>
              <w:pStyle w:val="1344"/>
              <w:jc w:val="center"/>
              <w:keepNext/>
              <w:spacing w:line="360" w:lineRule="auto"/>
              <w:rPr>
                <w:rFonts w:hint="eastAsia" w:ascii="宋体" w:hAnsi="宋体" w:cs="宋体"/>
                <w:szCs w:val="21"/>
              </w:rPr>
              <w:outlineLvl w:val="0"/>
            </w:pPr>
            <w:r/>
            <w:bookmarkStart w:id="372" w:name="_Toc7504"/>
            <w:r/>
            <w:bookmarkStart w:id="373" w:name="_Toc30957"/>
            <w:r>
              <w:rPr>
                <w:rFonts w:hint="eastAsia" w:ascii="宋体" w:hAnsi="宋体" w:cs="宋体"/>
                <w:szCs w:val="21"/>
              </w:rPr>
              <w:t xml:space="preserve">1</w:t>
            </w:r>
            <w:bookmarkEnd w:id="372"/>
            <w:r>
              <w:rPr>
                <w:rFonts w:hint="eastAsia" w:ascii="宋体" w:hAnsi="宋体" w:cs="宋体"/>
                <w:szCs w:val="21"/>
              </w:rPr>
              <w:t xml:space="preserve">台</w:t>
            </w:r>
            <w:bookmarkEnd w:id="373"/>
            <w:r>
              <w:rPr>
                <w:rFonts w:hint="eastAsia" w:ascii="宋体" w:hAnsi="宋体" w:cs="宋体"/>
                <w:szCs w:val="21"/>
              </w:rPr>
            </w:r>
            <w:r/>
          </w:p>
        </w:tc>
        <w:tc>
          <w:tcPr>
            <w:tcW w:w="1542" w:type="dxa"/>
            <w:vAlign w:val="center"/>
            <w:vMerge w:val="restart"/>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合同签订后</w:t>
            </w:r>
            <w:r>
              <w:rPr>
                <w:rFonts w:ascii="宋体" w:hAnsi="宋体" w:cs="宋体"/>
                <w:szCs w:val="21"/>
              </w:rPr>
              <w:t xml:space="preserve">6</w:t>
            </w:r>
            <w:r>
              <w:rPr>
                <w:rFonts w:hint="eastAsia" w:ascii="宋体" w:hAnsi="宋体" w:cs="宋体"/>
                <w:szCs w:val="21"/>
              </w:rPr>
              <w:t xml:space="preserve">个月</w:t>
            </w:r>
            <w:r>
              <w:rPr>
                <w:rFonts w:ascii="宋体" w:hAnsi="宋体" w:cs="宋体"/>
                <w:szCs w:val="21"/>
              </w:rPr>
            </w:r>
            <w:r/>
          </w:p>
        </w:tc>
      </w:tr>
      <w:tr>
        <w:trPr>
          <w:cantSplit/>
          <w:trHeight w:val="454"/>
        </w:trPr>
        <w:tc>
          <w:tcPr>
            <w:tcW w:w="627"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1.1</w:t>
            </w:r>
            <w:r>
              <w:rPr>
                <w:rFonts w:ascii="宋体" w:hAnsi="宋体" w:cs="宋体"/>
                <w:szCs w:val="21"/>
              </w:rPr>
            </w:r>
            <w:r/>
          </w:p>
        </w:tc>
        <w:tc>
          <w:tcPr>
            <w:tcW w:w="2148"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采集仪模块</w:t>
            </w:r>
            <w:r>
              <w:rPr>
                <w:rFonts w:ascii="宋体" w:hAnsi="宋体" w:cs="宋体"/>
                <w:szCs w:val="21"/>
              </w:rPr>
            </w:r>
            <w:r/>
          </w:p>
        </w:tc>
        <w:tc>
          <w:tcPr>
            <w:tcW w:w="681"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1套</w:t>
            </w:r>
            <w:r>
              <w:rPr>
                <w:rFonts w:ascii="宋体" w:hAnsi="宋体" w:cs="宋体"/>
                <w:szCs w:val="21"/>
              </w:rPr>
            </w:r>
            <w:r/>
          </w:p>
        </w:tc>
        <w:tc>
          <w:tcPr>
            <w:tcW w:w="1542" w:type="dxa"/>
            <w:vAlign w:val="center"/>
            <w:vMerge w:val="continue"/>
            <w:textDirection w:val="lrTb"/>
            <w:noWrap w:val="false"/>
          </w:tcPr>
          <w:p>
            <w:pPr>
              <w:pStyle w:val="1344"/>
              <w:jc w:val="center"/>
              <w:spacing w:line="360" w:lineRule="auto"/>
              <w:rPr>
                <w:rFonts w:ascii="宋体" w:hAnsi="宋体" w:cs="宋体"/>
                <w:szCs w:val="21"/>
              </w:rPr>
            </w:pPr>
            <w:r>
              <w:rPr>
                <w:rFonts w:ascii="宋体" w:hAnsi="宋体" w:cs="宋体"/>
                <w:szCs w:val="21"/>
              </w:rPr>
            </w:r>
            <w:r/>
          </w:p>
        </w:tc>
      </w:tr>
      <w:tr>
        <w:trPr>
          <w:cantSplit/>
          <w:trHeight w:val="454"/>
        </w:trPr>
        <w:tc>
          <w:tcPr>
            <w:tcW w:w="627"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W w:w="2148" w:type="dxa"/>
            <w:vAlign w:val="center"/>
            <w:textDirection w:val="lrTb"/>
            <w:noWrap w:val="false"/>
          </w:tcPr>
          <w:p>
            <w:pPr>
              <w:pStyle w:val="1344"/>
              <w:jc w:val="center"/>
              <w:spacing w:line="360" w:lineRule="auto"/>
              <w:rPr>
                <w:rFonts w:ascii="宋体" w:hAnsi="宋体" w:cs="宋体"/>
                <w:szCs w:val="21"/>
              </w:rPr>
            </w:pPr>
            <w:r/>
            <w:bookmarkStart w:id="374" w:name="OLE_LINK8"/>
            <w:r>
              <w:rPr>
                <w:rFonts w:hint="eastAsia" w:ascii="宋体" w:hAnsi="宋体" w:cs="宋体"/>
                <w:szCs w:val="21"/>
              </w:rPr>
              <w:t xml:space="preserve">信号发生器模块</w:t>
            </w:r>
            <w:bookmarkEnd w:id="374"/>
            <w:r>
              <w:rPr>
                <w:rFonts w:ascii="宋体" w:hAnsi="宋体" w:cs="宋体"/>
                <w:szCs w:val="21"/>
              </w:rPr>
            </w:r>
            <w:r/>
          </w:p>
        </w:tc>
        <w:tc>
          <w:tcPr>
            <w:tcW w:w="681"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1套</w:t>
            </w:r>
            <w:r>
              <w:rPr>
                <w:rFonts w:ascii="宋体" w:hAnsi="宋体" w:cs="宋体"/>
                <w:szCs w:val="21"/>
              </w:rPr>
            </w:r>
            <w:r/>
          </w:p>
        </w:tc>
        <w:tc>
          <w:tcPr>
            <w:tcW w:w="1542" w:type="dxa"/>
            <w:vAlign w:val="center"/>
            <w:vMerge w:val="continue"/>
            <w:textDirection w:val="lrTb"/>
            <w:noWrap w:val="false"/>
          </w:tcPr>
          <w:p>
            <w:pPr>
              <w:pStyle w:val="1344"/>
              <w:jc w:val="center"/>
              <w:spacing w:line="360" w:lineRule="auto"/>
              <w:rPr>
                <w:rFonts w:ascii="宋体" w:hAnsi="宋体" w:cs="宋体"/>
                <w:szCs w:val="21"/>
              </w:rPr>
            </w:pPr>
            <w:r>
              <w:rPr>
                <w:rFonts w:ascii="宋体" w:hAnsi="宋体" w:cs="宋体"/>
                <w:szCs w:val="21"/>
              </w:rPr>
            </w:r>
            <w:r/>
          </w:p>
        </w:tc>
      </w:tr>
      <w:tr>
        <w:trPr>
          <w:cantSplit/>
          <w:trHeight w:val="454"/>
        </w:trPr>
        <w:tc>
          <w:tcPr>
            <w:tcW w:w="627"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1.3</w:t>
            </w:r>
            <w:r>
              <w:rPr>
                <w:rFonts w:ascii="宋体" w:hAnsi="宋体" w:cs="宋体"/>
                <w:szCs w:val="21"/>
              </w:rPr>
            </w:r>
            <w:r/>
          </w:p>
        </w:tc>
        <w:tc>
          <w:tcPr>
            <w:tcW w:w="2148" w:type="dxa"/>
            <w:vAlign w:val="center"/>
            <w:textDirection w:val="lrTb"/>
            <w:noWrap w:val="false"/>
          </w:tcPr>
          <w:p>
            <w:pPr>
              <w:pStyle w:val="1344"/>
              <w:jc w:val="center"/>
              <w:spacing w:line="360" w:lineRule="auto"/>
              <w:rPr>
                <w:rFonts w:ascii="宋体" w:hAnsi="宋体" w:cs="宋体"/>
                <w:szCs w:val="21"/>
              </w:rPr>
            </w:pPr>
            <w:r/>
            <w:bookmarkStart w:id="375" w:name="OLE_LINK12"/>
            <w:r>
              <w:rPr>
                <w:rFonts w:hint="eastAsia" w:ascii="宋体" w:hAnsi="宋体" w:cs="宋体"/>
                <w:szCs w:val="21"/>
              </w:rPr>
              <w:t xml:space="preserve">衰减器模块</w:t>
            </w:r>
            <w:bookmarkEnd w:id="375"/>
            <w:r>
              <w:rPr>
                <w:rFonts w:ascii="宋体" w:hAnsi="宋体" w:cs="宋体"/>
                <w:szCs w:val="21"/>
              </w:rPr>
            </w:r>
            <w:r/>
          </w:p>
        </w:tc>
        <w:tc>
          <w:tcPr>
            <w:tcW w:w="681"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1套</w:t>
            </w:r>
            <w:r>
              <w:rPr>
                <w:rFonts w:ascii="宋体" w:hAnsi="宋体" w:cs="宋体"/>
                <w:szCs w:val="21"/>
              </w:rPr>
            </w:r>
            <w:r/>
          </w:p>
        </w:tc>
        <w:tc>
          <w:tcPr>
            <w:tcW w:w="1542" w:type="dxa"/>
            <w:vAlign w:val="center"/>
            <w:vMerge w:val="continue"/>
            <w:textDirection w:val="lrTb"/>
            <w:noWrap w:val="false"/>
          </w:tcPr>
          <w:p>
            <w:pPr>
              <w:pStyle w:val="1344"/>
              <w:jc w:val="center"/>
              <w:spacing w:line="360" w:lineRule="auto"/>
              <w:rPr>
                <w:rFonts w:ascii="宋体" w:hAnsi="宋体" w:cs="宋体"/>
                <w:szCs w:val="21"/>
              </w:rPr>
            </w:pPr>
            <w:r>
              <w:rPr>
                <w:rFonts w:ascii="宋体" w:hAnsi="宋体" w:cs="宋体"/>
                <w:szCs w:val="21"/>
              </w:rPr>
            </w:r>
            <w:r/>
          </w:p>
        </w:tc>
      </w:tr>
      <w:tr>
        <w:trPr>
          <w:cantSplit/>
          <w:trHeight w:val="454"/>
        </w:trPr>
        <w:tc>
          <w:tcPr>
            <w:tcW w:w="627"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1.4</w:t>
            </w:r>
            <w:r>
              <w:rPr>
                <w:rFonts w:ascii="宋体" w:hAnsi="宋体" w:cs="宋体"/>
                <w:szCs w:val="21"/>
              </w:rPr>
            </w:r>
            <w:r/>
          </w:p>
        </w:tc>
        <w:tc>
          <w:tcPr>
            <w:tcW w:w="2148"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低噪声传声器</w:t>
            </w:r>
            <w:r>
              <w:rPr>
                <w:rFonts w:ascii="宋体" w:hAnsi="宋体" w:cs="宋体"/>
                <w:szCs w:val="21"/>
              </w:rPr>
            </w:r>
            <w:r/>
          </w:p>
        </w:tc>
        <w:tc>
          <w:tcPr>
            <w:tcW w:w="681"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1套</w:t>
            </w:r>
            <w:r>
              <w:rPr>
                <w:rFonts w:ascii="宋体" w:hAnsi="宋体" w:cs="宋体"/>
                <w:szCs w:val="21"/>
              </w:rPr>
            </w:r>
            <w:r/>
          </w:p>
        </w:tc>
        <w:tc>
          <w:tcPr>
            <w:tcW w:w="1542" w:type="dxa"/>
            <w:vAlign w:val="center"/>
            <w:vMerge w:val="continue"/>
            <w:textDirection w:val="lrTb"/>
            <w:noWrap w:val="false"/>
          </w:tcPr>
          <w:p>
            <w:pPr>
              <w:pStyle w:val="1344"/>
              <w:jc w:val="center"/>
              <w:spacing w:line="360" w:lineRule="auto"/>
              <w:rPr>
                <w:rFonts w:ascii="宋体" w:hAnsi="宋体" w:cs="宋体"/>
                <w:szCs w:val="21"/>
              </w:rPr>
            </w:pPr>
            <w:r>
              <w:rPr>
                <w:rFonts w:ascii="宋体" w:hAnsi="宋体" w:cs="宋体"/>
                <w:szCs w:val="21"/>
              </w:rPr>
            </w:r>
            <w:r/>
          </w:p>
        </w:tc>
      </w:tr>
      <w:tr>
        <w:trPr>
          <w:cantSplit/>
          <w:trHeight w:val="454"/>
        </w:trPr>
        <w:tc>
          <w:tcPr>
            <w:tcW w:w="627"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1.5</w:t>
            </w:r>
            <w:r>
              <w:rPr>
                <w:rFonts w:ascii="宋体" w:hAnsi="宋体" w:cs="宋体"/>
                <w:szCs w:val="21"/>
              </w:rPr>
            </w:r>
            <w:r/>
          </w:p>
        </w:tc>
        <w:tc>
          <w:tcPr>
            <w:tcW w:w="2148"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自由场传声器</w:t>
            </w:r>
            <w:r>
              <w:rPr>
                <w:rFonts w:ascii="宋体" w:hAnsi="宋体" w:cs="宋体"/>
                <w:szCs w:val="21"/>
              </w:rPr>
            </w:r>
            <w:r/>
          </w:p>
        </w:tc>
        <w:tc>
          <w:tcPr>
            <w:tcW w:w="681"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1套</w:t>
            </w:r>
            <w:r>
              <w:rPr>
                <w:rFonts w:ascii="宋体" w:hAnsi="宋体" w:cs="宋体"/>
                <w:szCs w:val="21"/>
              </w:rPr>
            </w:r>
            <w:r/>
          </w:p>
        </w:tc>
        <w:tc>
          <w:tcPr>
            <w:tcW w:w="1542" w:type="dxa"/>
            <w:vAlign w:val="center"/>
            <w:vMerge w:val="continue"/>
            <w:textDirection w:val="lrTb"/>
            <w:noWrap w:val="false"/>
          </w:tcPr>
          <w:p>
            <w:pPr>
              <w:pStyle w:val="1344"/>
              <w:jc w:val="center"/>
              <w:spacing w:line="360" w:lineRule="auto"/>
              <w:rPr>
                <w:rFonts w:ascii="宋体" w:hAnsi="宋体" w:cs="宋体"/>
                <w:szCs w:val="21"/>
              </w:rPr>
            </w:pPr>
            <w:r>
              <w:rPr>
                <w:rFonts w:ascii="宋体" w:hAnsi="宋体" w:cs="宋体"/>
                <w:szCs w:val="21"/>
              </w:rPr>
            </w:r>
            <w:r/>
          </w:p>
        </w:tc>
      </w:tr>
      <w:tr>
        <w:trPr>
          <w:cantSplit/>
          <w:trHeight w:val="454"/>
        </w:trPr>
        <w:tc>
          <w:tcPr>
            <w:tcW w:w="627"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1.6</w:t>
            </w:r>
            <w:r>
              <w:rPr>
                <w:rFonts w:ascii="宋体" w:hAnsi="宋体" w:cs="宋体"/>
                <w:szCs w:val="21"/>
              </w:rPr>
            </w:r>
            <w:r/>
          </w:p>
        </w:tc>
        <w:tc>
          <w:tcPr>
            <w:tcW w:w="2148"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压力场传声器</w:t>
            </w:r>
            <w:r>
              <w:rPr>
                <w:rFonts w:ascii="宋体" w:hAnsi="宋体" w:cs="宋体"/>
                <w:szCs w:val="21"/>
              </w:rPr>
            </w:r>
            <w:r/>
          </w:p>
        </w:tc>
        <w:tc>
          <w:tcPr>
            <w:tcW w:w="681"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1套</w:t>
            </w:r>
            <w:r>
              <w:rPr>
                <w:rFonts w:ascii="宋体" w:hAnsi="宋体" w:cs="宋体"/>
                <w:szCs w:val="21"/>
              </w:rPr>
            </w:r>
            <w:r/>
          </w:p>
        </w:tc>
        <w:tc>
          <w:tcPr>
            <w:tcW w:w="1542" w:type="dxa"/>
            <w:vAlign w:val="center"/>
            <w:vMerge w:val="continue"/>
            <w:textDirection w:val="lrTb"/>
            <w:noWrap w:val="false"/>
          </w:tcPr>
          <w:p>
            <w:pPr>
              <w:pStyle w:val="1344"/>
              <w:jc w:val="center"/>
              <w:spacing w:line="360" w:lineRule="auto"/>
              <w:rPr>
                <w:rFonts w:ascii="宋体" w:hAnsi="宋体" w:cs="宋体"/>
                <w:szCs w:val="21"/>
              </w:rPr>
            </w:pPr>
            <w:r>
              <w:rPr>
                <w:rFonts w:ascii="宋体" w:hAnsi="宋体" w:cs="宋体"/>
                <w:szCs w:val="21"/>
              </w:rPr>
            </w:r>
            <w:r/>
          </w:p>
        </w:tc>
      </w:tr>
      <w:tr>
        <w:trPr>
          <w:cantSplit/>
          <w:trHeight w:val="454"/>
        </w:trPr>
        <w:tc>
          <w:tcPr>
            <w:tcW w:w="627"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1.7</w:t>
            </w:r>
            <w:r>
              <w:rPr>
                <w:rFonts w:ascii="宋体" w:hAnsi="宋体" w:cs="宋体"/>
                <w:szCs w:val="21"/>
              </w:rPr>
            </w:r>
            <w:r/>
          </w:p>
        </w:tc>
        <w:tc>
          <w:tcPr>
            <w:tcW w:w="2148"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传声器前置放大器</w:t>
            </w:r>
            <w:r>
              <w:rPr>
                <w:rFonts w:ascii="宋体" w:hAnsi="宋体" w:cs="宋体"/>
                <w:szCs w:val="21"/>
              </w:rPr>
            </w:r>
            <w:r/>
          </w:p>
        </w:tc>
        <w:tc>
          <w:tcPr>
            <w:tcW w:w="681" w:type="dxa"/>
            <w:vAlign w:val="center"/>
            <w:textDirection w:val="lrTb"/>
            <w:noWrap w:val="false"/>
          </w:tcPr>
          <w:p>
            <w:pPr>
              <w:pStyle w:val="1344"/>
              <w:jc w:val="center"/>
              <w:spacing w:line="360" w:lineRule="auto"/>
              <w:rPr>
                <w:rFonts w:ascii="宋体" w:hAnsi="宋体" w:cs="宋体"/>
                <w:szCs w:val="21"/>
              </w:rPr>
            </w:pPr>
            <w:r>
              <w:rPr>
                <w:rFonts w:hint="eastAsia" w:ascii="宋体" w:hAnsi="宋体" w:cs="宋体"/>
                <w:szCs w:val="21"/>
              </w:rPr>
              <w:t xml:space="preserve">3套</w:t>
            </w:r>
            <w:r>
              <w:rPr>
                <w:rFonts w:ascii="宋体" w:hAnsi="宋体" w:cs="宋体"/>
                <w:szCs w:val="21"/>
              </w:rPr>
            </w:r>
            <w:r/>
          </w:p>
        </w:tc>
        <w:tc>
          <w:tcPr>
            <w:tcW w:w="1542" w:type="dxa"/>
            <w:vAlign w:val="center"/>
            <w:vMerge w:val="continue"/>
            <w:textDirection w:val="lrTb"/>
            <w:noWrap w:val="false"/>
          </w:tcPr>
          <w:p>
            <w:pPr>
              <w:pStyle w:val="1344"/>
              <w:jc w:val="center"/>
              <w:spacing w:line="360" w:lineRule="auto"/>
              <w:rPr>
                <w:rFonts w:ascii="宋体" w:hAnsi="宋体" w:cs="宋体"/>
                <w:szCs w:val="21"/>
              </w:rPr>
            </w:pPr>
            <w:r>
              <w:rPr>
                <w:rFonts w:ascii="宋体" w:hAnsi="宋体" w:cs="宋体"/>
                <w:szCs w:val="21"/>
              </w:rPr>
            </w:r>
            <w:r/>
          </w:p>
        </w:tc>
      </w:tr>
    </w:tbl>
    <w:p>
      <w:pPr>
        <w:pStyle w:val="1344"/>
        <w:jc w:val="left"/>
        <w:spacing w:line="480" w:lineRule="exact"/>
        <w:rPr>
          <w:rFonts w:ascii="宋体" w:hAnsi="宋体" w:cs="宋体"/>
          <w:b/>
          <w:bCs/>
          <w:szCs w:val="21"/>
        </w:rPr>
      </w:pPr>
      <w:r>
        <w:rPr>
          <w:rFonts w:hint="eastAsia" w:ascii="宋体" w:hAnsi="宋体" w:cs="宋体"/>
          <w:b/>
          <w:bCs/>
          <w:szCs w:val="21"/>
        </w:rPr>
        <w:t xml:space="preserve">（二）技术指标及功能要求</w:t>
      </w:r>
      <w:r>
        <w:rPr>
          <w:rFonts w:ascii="宋体" w:hAnsi="宋体" w:cs="宋体"/>
          <w:b/>
          <w:bCs/>
          <w:szCs w:val="21"/>
        </w:rPr>
      </w:r>
      <w:r/>
    </w:p>
    <w:p>
      <w:pPr>
        <w:pStyle w:val="1344"/>
        <w:ind w:firstLine="420"/>
        <w:jc w:val="left"/>
        <w:spacing w:line="480" w:lineRule="exact"/>
        <w:rPr>
          <w:rFonts w:hint="eastAsia" w:ascii="宋体" w:hAnsi="宋体" w:cs="宋体"/>
          <w:szCs w:val="21"/>
        </w:rPr>
      </w:pPr>
      <w:r>
        <w:rPr>
          <w:rFonts w:hint="eastAsia" w:ascii="宋体" w:hAnsi="宋体" w:cs="宋体"/>
          <w:szCs w:val="21"/>
        </w:rPr>
        <w:t xml:space="preserve">1.采集仪模块</w:t>
      </w:r>
      <w:r>
        <w:rPr>
          <w:rFonts w:hint="eastAsia" w:ascii="宋体" w:hAnsi="宋体" w:cs="宋体"/>
          <w:szCs w:val="21"/>
        </w:rPr>
      </w:r>
      <w:r/>
    </w:p>
    <w:p>
      <w:pPr>
        <w:pStyle w:val="1344"/>
        <w:ind w:firstLine="420"/>
        <w:jc w:val="left"/>
        <w:spacing w:line="480" w:lineRule="exact"/>
        <w:rPr>
          <w:rFonts w:hint="eastAsia" w:ascii="宋体" w:hAnsi="宋体" w:cs="宋体"/>
          <w:szCs w:val="21"/>
        </w:rPr>
      </w:pPr>
      <w:r>
        <w:rPr>
          <w:rFonts w:hint="eastAsia" w:ascii="宋体" w:hAnsi="宋体" w:cs="宋体"/>
          <w:szCs w:val="21"/>
        </w:rPr>
        <w:t xml:space="preserve">★1.1频率范围优于1Hz～100kHz，采样频率不小于256kHz；</w:t>
      </w:r>
      <w:r>
        <w:rPr>
          <w:rFonts w:hint="eastAsia" w:ascii="宋体" w:hAnsi="宋体" w:cs="宋体"/>
          <w:szCs w:val="21"/>
        </w:rPr>
      </w:r>
      <w:r/>
    </w:p>
    <w:p>
      <w:pPr>
        <w:pStyle w:val="1344"/>
        <w:ind w:firstLine="420"/>
        <w:jc w:val="left"/>
        <w:spacing w:line="480" w:lineRule="exact"/>
        <w:rPr>
          <w:rFonts w:hint="eastAsia" w:ascii="宋体" w:hAnsi="宋体" w:cs="宋体"/>
          <w:szCs w:val="21"/>
        </w:rPr>
      </w:pPr>
      <w:r>
        <w:rPr>
          <w:rFonts w:hint="eastAsia" w:ascii="宋体" w:hAnsi="宋体" w:cs="宋体"/>
          <w:szCs w:val="21"/>
        </w:rPr>
        <w:t xml:space="preserve">1.2通道数应为2～4路，动态范围大于130dB，频率响应优于±0.2dB。</w:t>
      </w:r>
      <w:r>
        <w:rPr>
          <w:rFonts w:hint="eastAsia" w:ascii="宋体" w:hAnsi="宋体" w:cs="宋体"/>
          <w:szCs w:val="21"/>
        </w:rPr>
      </w:r>
      <w:r/>
    </w:p>
    <w:p>
      <w:pPr>
        <w:pStyle w:val="1344"/>
        <w:ind w:firstLine="420"/>
        <w:jc w:val="left"/>
        <w:spacing w:line="480" w:lineRule="exact"/>
        <w:rPr>
          <w:rFonts w:hint="eastAsia" w:ascii="宋体" w:hAnsi="宋体" w:cs="宋体"/>
          <w:szCs w:val="21"/>
        </w:rPr>
      </w:pPr>
      <w:r>
        <w:rPr>
          <w:rFonts w:hint="eastAsia" w:ascii="宋体" w:hAnsi="宋体" w:cs="宋体"/>
          <w:szCs w:val="21"/>
        </w:rPr>
        <w:t xml:space="preserve">2.信号发生器模块</w:t>
      </w:r>
      <w:r>
        <w:rPr>
          <w:rFonts w:hint="eastAsia" w:ascii="宋体" w:hAnsi="宋体" w:cs="宋体"/>
          <w:szCs w:val="21"/>
        </w:rPr>
      </w:r>
      <w:r/>
    </w:p>
    <w:p>
      <w:pPr>
        <w:pStyle w:val="1344"/>
        <w:ind w:firstLine="420"/>
        <w:jc w:val="left"/>
        <w:spacing w:line="480" w:lineRule="exact"/>
        <w:rPr>
          <w:rFonts w:hint="eastAsia" w:ascii="宋体" w:hAnsi="宋体" w:cs="宋体"/>
          <w:szCs w:val="21"/>
        </w:rPr>
      </w:pPr>
      <w:r>
        <w:rPr>
          <w:rFonts w:hint="eastAsia" w:ascii="宋体" w:hAnsi="宋体" w:cs="宋体"/>
          <w:szCs w:val="21"/>
        </w:rPr>
        <w:t xml:space="preserve">2.1频率范围优于1Hz～80kHz；</w:t>
      </w:r>
      <w:r>
        <w:rPr>
          <w:rFonts w:hint="eastAsia" w:ascii="宋体" w:hAnsi="宋体" w:cs="宋体"/>
          <w:szCs w:val="21"/>
        </w:rPr>
      </w:r>
      <w:r/>
    </w:p>
    <w:p>
      <w:pPr>
        <w:pStyle w:val="1344"/>
        <w:ind w:firstLine="420"/>
        <w:jc w:val="left"/>
        <w:spacing w:line="480" w:lineRule="exact"/>
        <w:rPr>
          <w:rFonts w:hint="eastAsia" w:ascii="宋体" w:hAnsi="宋体" w:cs="宋体"/>
          <w:szCs w:val="21"/>
        </w:rPr>
      </w:pPr>
      <w:r>
        <w:rPr>
          <w:rFonts w:hint="eastAsia" w:ascii="宋体" w:hAnsi="宋体" w:cs="宋体"/>
          <w:szCs w:val="21"/>
        </w:rPr>
        <w:t xml:space="preserve">2.2输出电压不小于20Vrms，幅频特性优于±0.2dB，通道数应为2路。</w:t>
      </w:r>
      <w:r>
        <w:rPr>
          <w:rFonts w:hint="eastAsia" w:ascii="宋体" w:hAnsi="宋体" w:cs="宋体"/>
          <w:szCs w:val="21"/>
        </w:rPr>
      </w:r>
      <w:r/>
    </w:p>
    <w:p>
      <w:pPr>
        <w:pStyle w:val="1344"/>
        <w:ind w:firstLine="420"/>
        <w:jc w:val="left"/>
        <w:spacing w:line="480" w:lineRule="exact"/>
        <w:rPr>
          <w:rFonts w:hint="eastAsia" w:ascii="宋体" w:hAnsi="宋体" w:cs="宋体"/>
          <w:szCs w:val="21"/>
        </w:rPr>
      </w:pPr>
      <w:r>
        <w:rPr>
          <w:rFonts w:hint="eastAsia" w:ascii="宋体" w:hAnsi="宋体" w:cs="宋体"/>
          <w:szCs w:val="21"/>
        </w:rPr>
        <w:t xml:space="preserve">3.衰减器模块：</w:t>
      </w:r>
      <w:r>
        <w:rPr>
          <w:rFonts w:hint="eastAsia" w:ascii="宋体" w:hAnsi="宋体" w:cs="宋体"/>
          <w:szCs w:val="21"/>
        </w:rPr>
      </w:r>
      <w:r/>
    </w:p>
    <w:p>
      <w:pPr>
        <w:pStyle w:val="1344"/>
        <w:ind w:firstLine="420"/>
        <w:jc w:val="left"/>
        <w:spacing w:line="480" w:lineRule="exact"/>
        <w:rPr>
          <w:rFonts w:hint="eastAsia" w:ascii="宋体" w:hAnsi="宋体" w:cs="宋体"/>
          <w:szCs w:val="21"/>
        </w:rPr>
      </w:pPr>
      <w:r>
        <w:rPr>
          <w:rFonts w:hint="eastAsia" w:ascii="宋体" w:hAnsi="宋体" w:cs="宋体"/>
          <w:szCs w:val="21"/>
        </w:rPr>
        <w:t xml:space="preserve">3.1频率范围优于10Hz～50kHz；</w:t>
      </w:r>
      <w:r>
        <w:rPr>
          <w:rFonts w:hint="eastAsia" w:ascii="宋体" w:hAnsi="宋体" w:cs="宋体"/>
          <w:szCs w:val="21"/>
        </w:rPr>
      </w:r>
      <w:r/>
    </w:p>
    <w:p>
      <w:pPr>
        <w:pStyle w:val="1344"/>
        <w:ind w:firstLine="420"/>
        <w:jc w:val="left"/>
        <w:spacing w:line="480" w:lineRule="exact"/>
        <w:rPr>
          <w:rFonts w:hint="eastAsia" w:ascii="宋体" w:hAnsi="宋体" w:cs="宋体"/>
          <w:szCs w:val="21"/>
        </w:rPr>
      </w:pPr>
      <w:r>
        <w:rPr>
          <w:rFonts w:hint="eastAsia" w:ascii="宋体" w:hAnsi="宋体" w:cs="宋体"/>
          <w:szCs w:val="21"/>
        </w:rPr>
        <w:t xml:space="preserve">3.2总衰减量不低于100dB，衰减误差优于±0.1dB/10dB，±0.2dB/全量程。</w:t>
      </w:r>
      <w:r>
        <w:rPr>
          <w:rFonts w:hint="eastAsia" w:ascii="宋体" w:hAnsi="宋体" w:cs="宋体"/>
          <w:szCs w:val="21"/>
        </w:rPr>
      </w:r>
      <w:r/>
    </w:p>
    <w:p>
      <w:pPr>
        <w:pStyle w:val="1344"/>
        <w:ind w:firstLine="420"/>
        <w:jc w:val="left"/>
        <w:spacing w:line="480" w:lineRule="exact"/>
        <w:rPr>
          <w:rFonts w:hint="eastAsia" w:ascii="宋体" w:hAnsi="宋体" w:cs="宋体"/>
          <w:szCs w:val="21"/>
        </w:rPr>
      </w:pPr>
      <w:r>
        <w:rPr>
          <w:rFonts w:hint="eastAsia" w:ascii="宋体" w:hAnsi="宋体" w:cs="宋体"/>
          <w:szCs w:val="21"/>
        </w:rPr>
        <w:t xml:space="preserve">4.低噪声传声器：频率范围优于20Hz～20kHz，与采集仪模块组成的系统测量下限低于10dB(A)，</w:t>
      </w:r>
      <w:r>
        <w:rPr>
          <w:rFonts w:hint="eastAsia" w:ascii="宋体" w:hAnsi="宋体" w:cs="宋体"/>
          <w:szCs w:val="21"/>
        </w:rPr>
      </w:r>
      <w:r/>
    </w:p>
    <w:p>
      <w:pPr>
        <w:pStyle w:val="1344"/>
        <w:ind w:firstLine="420"/>
        <w:jc w:val="left"/>
        <w:spacing w:line="480" w:lineRule="exact"/>
        <w:rPr>
          <w:rFonts w:hint="eastAsia" w:ascii="宋体" w:hAnsi="宋体" w:cs="宋体"/>
          <w:szCs w:val="21"/>
        </w:rPr>
      </w:pPr>
      <w:r>
        <w:rPr>
          <w:rFonts w:hint="eastAsia" w:ascii="宋体" w:hAnsi="宋体" w:cs="宋体"/>
          <w:szCs w:val="21"/>
        </w:rPr>
        <w:t xml:space="preserve">5.自由场传声器：频率范围优于20Hz～20kHz，声压级测量范围优于20dB～130dB。</w:t>
      </w:r>
      <w:r>
        <w:rPr>
          <w:rFonts w:hint="eastAsia" w:ascii="宋体" w:hAnsi="宋体" w:cs="宋体"/>
          <w:szCs w:val="21"/>
        </w:rPr>
      </w:r>
      <w:r/>
    </w:p>
    <w:p>
      <w:pPr>
        <w:pStyle w:val="1344"/>
        <w:ind w:firstLine="420"/>
        <w:jc w:val="left"/>
        <w:spacing w:line="480" w:lineRule="exact"/>
        <w:rPr>
          <w:rFonts w:hint="eastAsia" w:ascii="宋体" w:hAnsi="宋体" w:cs="宋体"/>
          <w:szCs w:val="21"/>
        </w:rPr>
      </w:pPr>
      <w:r>
        <w:rPr>
          <w:rFonts w:hint="eastAsia" w:ascii="宋体" w:hAnsi="宋体" w:cs="宋体"/>
          <w:szCs w:val="21"/>
        </w:rPr>
        <w:t xml:space="preserve">6.压力场传声器：频率范围优于20Hz～20kHz，声压级测量范围优于20dB～130dB。</w:t>
      </w:r>
      <w:r>
        <w:rPr>
          <w:rFonts w:hint="eastAsia" w:ascii="宋体" w:hAnsi="宋体" w:cs="宋体"/>
          <w:szCs w:val="21"/>
        </w:rPr>
      </w:r>
      <w:r/>
    </w:p>
    <w:p>
      <w:pPr>
        <w:pStyle w:val="1344"/>
        <w:ind w:firstLine="420"/>
        <w:jc w:val="left"/>
        <w:spacing w:line="480" w:lineRule="exact"/>
        <w:rPr>
          <w:rFonts w:hint="eastAsia" w:ascii="宋体" w:hAnsi="宋体" w:cs="宋体"/>
          <w:szCs w:val="21"/>
        </w:rPr>
      </w:pPr>
      <w:r>
        <w:rPr>
          <w:rFonts w:hint="eastAsia" w:ascii="宋体" w:hAnsi="宋体" w:cs="宋体"/>
          <w:szCs w:val="21"/>
        </w:rPr>
        <w:t xml:space="preserve">7.整体功能要求：</w:t>
      </w:r>
      <w:r>
        <w:rPr>
          <w:rFonts w:hint="eastAsia" w:ascii="宋体" w:hAnsi="宋体" w:cs="宋体"/>
          <w:szCs w:val="21"/>
        </w:rPr>
      </w:r>
      <w:r/>
    </w:p>
    <w:p>
      <w:pPr>
        <w:pStyle w:val="1344"/>
        <w:ind w:firstLine="420"/>
        <w:jc w:val="left"/>
        <w:spacing w:line="480" w:lineRule="exact"/>
        <w:rPr>
          <w:rFonts w:hint="eastAsia" w:ascii="宋体" w:hAnsi="宋体" w:cs="宋体"/>
          <w:szCs w:val="21"/>
        </w:rPr>
      </w:pPr>
      <w:r>
        <w:rPr>
          <w:rFonts w:hint="eastAsia" w:ascii="宋体" w:hAnsi="宋体" w:cs="宋体"/>
          <w:szCs w:val="21"/>
        </w:rPr>
        <w:t xml:space="preserve">7.1采集仪、信号发生器、衰减器模块应整合于一台配备显示屏及软件操作平台的小型便携箱中。设备可自带电源也可采用外接供电方式，应优先满足便携使用场景，兼顾实验室内固定操作需求，可独立使用也可外接台式机操作。应确保风扇等外设的运行噪声不会对低噪声环境下的测量造成干扰。</w:t>
      </w:r>
      <w:r>
        <w:rPr>
          <w:rFonts w:hint="eastAsia"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★7.2基础测量功能应包含声压级（等效连续声级、最大值、最小值）、频率、电压、声压级时间历程等参数测量功能，包含FFT分析仪、CPB分析仪，支持一定时长的噪声监测，基础测量应能独立手动运行。</w:t>
      </w:r>
      <w:r>
        <w:rPr>
          <w:rFonts w:ascii="宋体" w:hAnsi="宋体" w:cs="宋体"/>
          <w:szCs w:val="21"/>
        </w:rPr>
      </w:r>
      <w:r/>
    </w:p>
    <w:p>
      <w:pPr>
        <w:pStyle w:val="1344"/>
        <w:ind w:firstLine="420"/>
        <w:jc w:val="left"/>
        <w:spacing w:line="480" w:lineRule="exact"/>
        <w:rPr>
          <w:rFonts w:ascii="宋体" w:hAnsi="宋体" w:cs="宋体"/>
          <w:b/>
          <w:bCs/>
          <w:szCs w:val="21"/>
        </w:rPr>
      </w:pPr>
      <w:r>
        <w:rPr>
          <w:rFonts w:hint="eastAsia" w:ascii="宋体" w:hAnsi="宋体" w:cs="宋体"/>
          <w:szCs w:val="21"/>
        </w:rPr>
        <w:t xml:space="preserve">7.3信号源模块应包含声学检测常用的正弦、单个猝发音、重复猝发音、粉红噪声、白噪声、扫频信号、扫幅信号等信号，应能提供JJF 1288-2011《多通道声分析仪校准规范》中6.2 2）款要求的标准混响时间电信号，混响时间范围优于（0.3～20）s，时间最大允许误差不超过±0.1%。</w:t>
      </w:r>
      <w:r>
        <w:rPr>
          <w:rFonts w:ascii="宋体" w:hAnsi="宋体" w:cs="宋体"/>
          <w:b/>
          <w:bCs/>
          <w:szCs w:val="21"/>
        </w:rPr>
      </w:r>
      <w:r/>
    </w:p>
    <w:p>
      <w:pPr>
        <w:pStyle w:val="1344"/>
        <w:ind w:firstLine="420"/>
        <w:jc w:val="left"/>
        <w:spacing w:line="480" w:lineRule="exact"/>
        <w:rPr>
          <w:rFonts w:hint="eastAsia" w:ascii="宋体" w:hAnsi="宋体" w:cs="宋体"/>
          <w:b/>
          <w:bCs/>
          <w:szCs w:val="21"/>
        </w:rPr>
      </w:pPr>
      <w:r>
        <w:rPr>
          <w:rFonts w:hint="eastAsia" w:ascii="宋体" w:hAnsi="宋体" w:cs="宋体"/>
          <w:szCs w:val="21"/>
        </w:rPr>
        <w:t xml:space="preserve">▲7.4应支持常见声学测量设备（含声级计、声校准器、噪声统计分析仪、噪声剂量计、户外噪声监测仪、声暴露计、多通道声分析仪、前置放大器、测量放大器、带通滤波器、无指向性声源）按照现行规程规范的自动检定/校准功能，允许同一规程规范内的检定/校准项目的自由组合。</w:t>
      </w:r>
      <w:r>
        <w:rPr>
          <w:rFonts w:hint="eastAsia" w:ascii="宋体" w:hAnsi="宋体" w:cs="宋体"/>
          <w:b/>
          <w:bCs/>
          <w:szCs w:val="21"/>
        </w:rPr>
      </w:r>
      <w:r/>
    </w:p>
    <w:p>
      <w:pPr>
        <w:pStyle w:val="1344"/>
        <w:ind w:firstLine="420"/>
        <w:jc w:val="left"/>
        <w:spacing w:line="480" w:lineRule="exact"/>
        <w:rPr>
          <w:rFonts w:hint="eastAsia" w:ascii="宋体" w:hAnsi="宋体" w:cs="宋体"/>
          <w:szCs w:val="21"/>
        </w:rPr>
      </w:pPr>
      <w:r>
        <w:rPr>
          <w:rFonts w:hint="eastAsia" w:ascii="宋体" w:hAnsi="宋体" w:cs="宋体"/>
          <w:szCs w:val="21"/>
        </w:rPr>
        <w:t xml:space="preserve">7.5应包含谐波失真测量功能，具备谐波失真与总失真测量能力，支持自定义测量模板，并可测量THD_F、THD_R、SNR、SINAD、SFDR、THD+N_F、THD+N_R等指标。</w:t>
      </w:r>
      <w:r>
        <w:rPr>
          <w:rFonts w:hint="eastAsia" w:ascii="宋体" w:hAnsi="宋体" w:cs="宋体"/>
          <w:szCs w:val="21"/>
        </w:rPr>
      </w:r>
      <w:r/>
    </w:p>
    <w:p>
      <w:pPr>
        <w:pStyle w:val="1344"/>
        <w:ind w:firstLine="420"/>
        <w:jc w:val="left"/>
        <w:spacing w:line="480" w:lineRule="exact"/>
        <w:rPr>
          <w:rFonts w:hint="eastAsia" w:ascii="宋体" w:hAnsi="宋体" w:cs="宋体"/>
          <w:szCs w:val="21"/>
        </w:rPr>
      </w:pPr>
      <w:r>
        <w:rPr>
          <w:rFonts w:hint="eastAsia" w:ascii="宋体" w:hAnsi="宋体" w:cs="宋体"/>
          <w:szCs w:val="21"/>
        </w:rPr>
        <w:t xml:space="preserve">▲7.6应支持混响时间测量，测量方法含脉冲响应积分法和中断声源法，声源类型含发令枪、MLS信号、粉红噪声和白噪声，可实时查看声压级衰减曲线，支持对不合理数据的筛查与调整。</w:t>
      </w:r>
      <w:r>
        <w:rPr>
          <w:rFonts w:hint="eastAsia" w:ascii="宋体" w:hAnsi="宋体" w:cs="宋体"/>
          <w:szCs w:val="21"/>
        </w:rPr>
      </w:r>
      <w:r/>
    </w:p>
    <w:p>
      <w:pPr>
        <w:pStyle w:val="1344"/>
        <w:ind w:firstLine="420"/>
        <w:jc w:val="left"/>
        <w:spacing w:line="480" w:lineRule="exact"/>
        <w:rPr>
          <w:rFonts w:hint="eastAsia" w:ascii="宋体" w:hAnsi="宋体" w:cs="宋体"/>
          <w:szCs w:val="21"/>
        </w:rPr>
      </w:pPr>
      <w:r>
        <w:rPr>
          <w:rFonts w:hint="eastAsia" w:ascii="宋体" w:hAnsi="宋体" w:cs="宋体"/>
          <w:szCs w:val="21"/>
        </w:rPr>
        <w:t xml:space="preserve">7.7应搭配数据管理平台对实验数据进行科学的管理，提供被检仪器相关数据的比较和对照。</w:t>
      </w:r>
      <w:r>
        <w:rPr>
          <w:rFonts w:hint="eastAsia" w:ascii="宋体" w:hAnsi="宋体" w:cs="宋体"/>
          <w:szCs w:val="21"/>
        </w:rPr>
      </w:r>
      <w:r/>
    </w:p>
    <w:p>
      <w:pPr>
        <w:pStyle w:val="1344"/>
        <w:ind w:firstLine="420"/>
        <w:jc w:val="left"/>
        <w:spacing w:line="480" w:lineRule="exact"/>
        <w:rPr>
          <w:rFonts w:hint="eastAsia" w:ascii="宋体" w:hAnsi="宋体" w:cs="宋体"/>
          <w:szCs w:val="21"/>
        </w:rPr>
      </w:pPr>
      <w:r>
        <w:rPr>
          <w:rFonts w:hint="eastAsia" w:ascii="宋体" w:hAnsi="宋体" w:cs="宋体"/>
          <w:szCs w:val="21"/>
        </w:rPr>
        <w:t xml:space="preserve">7.8应支持数据导出与图形输出，支持导出通用格式（Word/Excel），测量过程中可随时导出数据以便查看与计算；可输出常规图形（如声压级-频率曲线、声压级-时间曲线）。</w:t>
      </w:r>
      <w:r>
        <w:rPr>
          <w:rFonts w:hint="eastAsia"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7.9应包含满足系统使用要求的PC机，应包含实际测量必要的配件如无指向声源校准用转台、声级计/传声器/声源支架，BNC/LEMO转换接头及必要的线缆等配件。</w:t>
      </w:r>
      <w:r>
        <w:rPr>
          <w:rFonts w:ascii="宋体" w:hAnsi="宋体" w:cs="宋体"/>
          <w:szCs w:val="21"/>
        </w:rPr>
      </w:r>
      <w:r/>
    </w:p>
    <w:p>
      <w:pPr>
        <w:pStyle w:val="1344"/>
        <w:jc w:val="left"/>
        <w:spacing w:line="480" w:lineRule="exact"/>
        <w:rPr>
          <w:rFonts w:ascii="宋体" w:hAnsi="宋体" w:cs="宋体"/>
          <w:b/>
          <w:bCs/>
          <w:szCs w:val="21"/>
        </w:rPr>
      </w:pPr>
      <w:r>
        <w:rPr>
          <w:rFonts w:hint="eastAsia" w:ascii="宋体" w:hAnsi="宋体" w:cs="宋体"/>
          <w:b/>
          <w:bCs/>
          <w:szCs w:val="21"/>
        </w:rPr>
        <w:t xml:space="preserve">（三）验收依据、方法及单位</w:t>
      </w:r>
      <w:r>
        <w:rPr>
          <w:rFonts w:ascii="宋体" w:hAnsi="宋体" w:cs="宋体"/>
          <w:b/>
          <w:bCs/>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1.验收依据：</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采集仪模块、信号发生器模块、衰减器模块：</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JJF 1288-2011《多通道声分析仪校准规范》、JJG 834-2006《动态信号分析仪》、</w:t>
      </w:r>
      <w:r>
        <w:fldChar w:fldCharType="begin"/>
      </w:r>
      <w:r>
        <w:instrText xml:space="preserve"> HYPERLINK "https://jjg.spc.org.cn/resmea/standard/detail.html?standno=JJG+607-2003&amp;pageindex=1&amp;rows=10" \t "https://jjg.spc.org.cn/resmea/standard/_blank" </w:instrText>
      </w:r>
      <w:r>
        <w:fldChar w:fldCharType="separate"/>
      </w:r>
      <w:r>
        <w:rPr>
          <w:rFonts w:hint="eastAsia" w:ascii="宋体" w:hAnsi="宋体" w:cs="宋体"/>
          <w:szCs w:val="21"/>
        </w:rPr>
        <w:t xml:space="preserve">JJG 607-2003</w:t>
      </w:r>
      <w:r>
        <w:rPr>
          <w:rFonts w:hint="eastAsia" w:ascii="宋体" w:hAnsi="宋体" w:cs="宋体"/>
          <w:szCs w:val="21"/>
        </w:rPr>
        <w:fldChar w:fldCharType="end"/>
      </w:r>
      <w:r>
        <w:rPr>
          <w:rFonts w:hint="eastAsia" w:ascii="宋体" w:hAnsi="宋体" w:cs="宋体"/>
          <w:szCs w:val="21"/>
        </w:rPr>
        <w:t xml:space="preserve">《声频信号发生器》、JJG 199-1996《猝发音信号源》、制造厂商提供的用户手册、本技术文件。</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传声器：</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JJG175-2015《</w:t>
      </w:r>
      <w:r>
        <w:fldChar w:fldCharType="begin"/>
      </w:r>
      <w:r>
        <w:instrText xml:space="preserve"> HYPERLINK "https://jjg.spc.org.cn/resmea/standard/detail.html?standno=JJG+175-2015&amp;pageindex=1&amp;rows=10" \t "https://jjg.spc.org.cn/resmea/standard/_blank" </w:instrText>
      </w:r>
      <w:r>
        <w:fldChar w:fldCharType="separate"/>
      </w:r>
      <w:r>
        <w:rPr>
          <w:rFonts w:hint="eastAsia" w:ascii="宋体" w:hAnsi="宋体" w:cs="宋体"/>
          <w:szCs w:val="21"/>
        </w:rPr>
        <w:t xml:space="preserve">工作标准传声器(静电激励器法)</w:t>
      </w:r>
      <w:r>
        <w:rPr>
          <w:rFonts w:hint="eastAsia" w:ascii="宋体" w:hAnsi="宋体" w:cs="宋体"/>
          <w:szCs w:val="21"/>
        </w:rPr>
        <w:fldChar w:fldCharType="end"/>
      </w:r>
      <w:r>
        <w:rPr>
          <w:rFonts w:hint="eastAsia" w:ascii="宋体" w:hAnsi="宋体" w:cs="宋体"/>
          <w:szCs w:val="21"/>
        </w:rPr>
        <w:t xml:space="preserve">》、JJG 1019-2017《</w:t>
      </w:r>
      <w:r>
        <w:fldChar w:fldCharType="begin"/>
      </w:r>
      <w:r>
        <w:instrText xml:space="preserve"> HYPERLINK "https://jjg.spc.org.cn/resmea/standard/detail.html?standno=JJG+175-2015&amp;pageindex=1&amp;rows=10" \t "https://jjg.spc.org.cn/resmea/standard/_blank" </w:instrText>
      </w:r>
      <w:r>
        <w:fldChar w:fldCharType="separate"/>
      </w:r>
      <w:r>
        <w:rPr>
          <w:rFonts w:hint="eastAsia" w:ascii="宋体" w:hAnsi="宋体" w:cs="宋体"/>
          <w:szCs w:val="21"/>
        </w:rPr>
        <w:t xml:space="preserve">工作标准传声器(耦合腔比较法)</w:t>
      </w:r>
      <w:r>
        <w:rPr>
          <w:rFonts w:hint="eastAsia" w:ascii="宋体" w:hAnsi="宋体" w:cs="宋体"/>
          <w:szCs w:val="21"/>
        </w:rPr>
        <w:fldChar w:fldCharType="end"/>
      </w:r>
      <w:r>
        <w:rPr>
          <w:rFonts w:hint="eastAsia" w:ascii="宋体" w:hAnsi="宋体" w:cs="宋体"/>
          <w:szCs w:val="21"/>
        </w:rPr>
        <w:t xml:space="preserve">》、JJG 1172-2019《</w:t>
      </w:r>
      <w:r>
        <w:fldChar w:fldCharType="begin"/>
      </w:r>
      <w:r>
        <w:instrText xml:space="preserve"> HYPERLINK "https://jjg.spc.org.cn/resmea/standard/detail.html?standno=JJG+175-2015&amp;pageindex=1&amp;rows=10" \t "https://jjg.spc.org.cn/resmea/standard/_blank" </w:instrText>
      </w:r>
      <w:r>
        <w:fldChar w:fldCharType="separate"/>
      </w:r>
      <w:r>
        <w:rPr>
          <w:rFonts w:hint="eastAsia" w:ascii="宋体" w:hAnsi="宋体" w:cs="宋体"/>
          <w:szCs w:val="21"/>
        </w:rPr>
        <w:t xml:space="preserve">工作标准传声器(自由场比较法)</w:t>
      </w:r>
      <w:r>
        <w:rPr>
          <w:rFonts w:hint="eastAsia" w:ascii="宋体" w:hAnsi="宋体" w:cs="宋体"/>
          <w:szCs w:val="21"/>
        </w:rPr>
        <w:fldChar w:fldCharType="end"/>
      </w:r>
      <w:r>
        <w:rPr>
          <w:rFonts w:hint="eastAsia" w:ascii="宋体" w:hAnsi="宋体" w:cs="宋体"/>
          <w:szCs w:val="21"/>
        </w:rPr>
        <w:t xml:space="preserve">》、制造厂商提供的用户手册、本技术文件。</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2.卖方负责将设备送检至中国计量科学研究院进行检定/校准，并出具检定/校准证书，检测费用由卖方承担。</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3.江苏省计量科学研究院根据以上证书、用户手册和本技术文件对整套设备的技术指标和功能进行最终验收。</w:t>
      </w:r>
      <w:r>
        <w:rPr>
          <w:rFonts w:ascii="宋体" w:hAnsi="宋体" w:cs="宋体"/>
          <w:szCs w:val="21"/>
        </w:rPr>
      </w:r>
      <w:r/>
    </w:p>
    <w:p>
      <w:pPr>
        <w:pStyle w:val="1344"/>
        <w:jc w:val="left"/>
        <w:spacing w:line="480" w:lineRule="exact"/>
        <w:rPr>
          <w:rFonts w:hint="eastAsia" w:ascii="宋体" w:hAnsi="宋体" w:cs="宋体"/>
          <w:b/>
          <w:bCs/>
          <w:szCs w:val="21"/>
        </w:rPr>
      </w:pPr>
      <w:r>
        <w:rPr>
          <w:rFonts w:hint="eastAsia" w:ascii="宋体" w:hAnsi="宋体" w:cs="宋体"/>
          <w:b/>
          <w:bCs/>
          <w:szCs w:val="21"/>
        </w:rPr>
        <w:t xml:space="preserve">（四）质保期</w:t>
      </w:r>
      <w:r>
        <w:rPr>
          <w:rFonts w:hint="eastAsia" w:ascii="宋体" w:hAnsi="宋体" w:cs="宋体"/>
          <w:b/>
          <w:bCs/>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★1.多通道声分析仪的整机质保期为验收合格之日起3年。</w:t>
      </w:r>
      <w:r>
        <w:rPr>
          <w:rFonts w:ascii="宋体" w:hAnsi="宋体" w:cs="宋体"/>
          <w:szCs w:val="21"/>
        </w:rPr>
      </w:r>
      <w:r/>
    </w:p>
    <w:p>
      <w:pPr>
        <w:pStyle w:val="1344"/>
        <w:jc w:val="center"/>
        <w:spacing w:line="480" w:lineRule="exact"/>
        <w:tabs>
          <w:tab w:val="left" w:pos="4500" w:leader="none"/>
          <w:tab w:val="left" w:pos="4680" w:leader="none"/>
        </w:tabs>
        <w:rPr>
          <w:rFonts w:hint="eastAsia" w:ascii="宋体" w:hAnsi="宋体" w:cs="宋体"/>
          <w:b/>
          <w:szCs w:val="21"/>
        </w:rPr>
        <w:outlineLvl w:val="1"/>
      </w:pPr>
      <w:r/>
      <w:bookmarkStart w:id="376" w:name="_Toc4391"/>
      <w:r/>
      <w:bookmarkStart w:id="377" w:name="_Toc8287"/>
      <w:r>
        <w:rPr>
          <w:rFonts w:hint="eastAsia" w:ascii="宋体" w:hAnsi="宋体" w:cs="宋体"/>
          <w:b/>
          <w:szCs w:val="21"/>
        </w:rPr>
        <w:t xml:space="preserve">分包9</w:t>
      </w:r>
      <w:bookmarkEnd w:id="376"/>
      <w:r/>
      <w:bookmarkEnd w:id="377"/>
      <w:r>
        <w:rPr>
          <w:rFonts w:hint="eastAsia" w:ascii="宋体" w:hAnsi="宋体" w:cs="宋体"/>
          <w:b/>
          <w:szCs w:val="21"/>
        </w:rPr>
      </w:r>
      <w:r/>
    </w:p>
    <w:p>
      <w:pPr>
        <w:pStyle w:val="1344"/>
        <w:jc w:val="center"/>
        <w:spacing w:line="480" w:lineRule="exact"/>
        <w:tabs>
          <w:tab w:val="left" w:pos="4500" w:leader="none"/>
          <w:tab w:val="left" w:pos="4680" w:leader="none"/>
        </w:tabs>
        <w:rPr>
          <w:rFonts w:ascii="宋体" w:hAnsi="宋体" w:cs="宋体"/>
          <w:b/>
          <w:bCs/>
          <w:szCs w:val="21"/>
        </w:rPr>
        <w:outlineLvl w:val="1"/>
      </w:pPr>
      <w:r/>
      <w:bookmarkStart w:id="378" w:name="_Toc27982"/>
      <w:r/>
      <w:bookmarkStart w:id="379" w:name="_Toc20825"/>
      <w:r>
        <w:rPr>
          <w:rFonts w:hint="eastAsia" w:ascii="宋体" w:hAnsi="宋体" w:cs="宋体"/>
          <w:b/>
          <w:szCs w:val="21"/>
        </w:rPr>
        <w:t xml:space="preserve">品目</w:t>
      </w:r>
      <w:r>
        <w:rPr>
          <w:rFonts w:hint="eastAsia" w:ascii="宋体" w:hAnsi="宋体" w:cs="宋体"/>
          <w:b/>
          <w:bCs/>
          <w:szCs w:val="21"/>
        </w:rPr>
        <w:t xml:space="preserve">1 铷原子频率标准</w:t>
      </w:r>
      <w:bookmarkEnd w:id="378"/>
      <w:r/>
      <w:bookmarkEnd w:id="379"/>
      <w:r>
        <w:rPr>
          <w:rFonts w:ascii="宋体" w:hAnsi="宋体" w:cs="宋体"/>
          <w:b/>
          <w:bCs/>
          <w:szCs w:val="21"/>
        </w:rPr>
      </w:r>
      <w:r/>
    </w:p>
    <w:p>
      <w:pPr>
        <w:pStyle w:val="1344"/>
        <w:spacing w:line="480" w:lineRule="exact"/>
        <w:tabs>
          <w:tab w:val="left" w:pos="4500" w:leader="none"/>
          <w:tab w:val="left" w:pos="4680" w:leader="none"/>
        </w:tabs>
        <w:rPr>
          <w:rFonts w:ascii="宋体" w:hAnsi="宋体" w:cs="宋体"/>
          <w:b/>
          <w:bCs/>
          <w:szCs w:val="21"/>
        </w:rPr>
      </w:pPr>
      <w:r>
        <w:rPr>
          <w:rFonts w:hint="eastAsia" w:ascii="宋体" w:hAnsi="宋体" w:cs="宋体"/>
          <w:b/>
          <w:bCs/>
          <w:szCs w:val="21"/>
        </w:rPr>
        <w:t xml:space="preserve">★（一）设备及明细配置清单</w:t>
      </w:r>
      <w:r>
        <w:rPr>
          <w:rFonts w:ascii="宋体" w:hAnsi="宋体" w:cs="宋体"/>
          <w:b/>
          <w:bCs/>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25"/>
        <w:gridCol w:w="3350"/>
        <w:gridCol w:w="1632"/>
        <w:gridCol w:w="3043"/>
      </w:tblGrid>
      <w:tr>
        <w:trPr>
          <w:trHeight w:val="571"/>
        </w:trPr>
        <w:tc>
          <w:tcPr>
            <w:tcW w:w="926" w:type="dxa"/>
            <w:vAlign w:val="center"/>
            <w:textDirection w:val="lrTb"/>
            <w:noWrap w:val="false"/>
          </w:tcPr>
          <w:p>
            <w:pPr>
              <w:pStyle w:val="1344"/>
              <w:ind w:right="141"/>
              <w:jc w:val="center"/>
              <w:spacing w:line="480" w:lineRule="exact"/>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700"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设备名称</w:t>
            </w:r>
            <w:r>
              <w:rPr>
                <w:rFonts w:ascii="宋体" w:hAnsi="宋体" w:cs="宋体"/>
                <w:szCs w:val="21"/>
              </w:rPr>
            </w:r>
            <w:r/>
          </w:p>
        </w:tc>
        <w:tc>
          <w:tcPr>
            <w:tcW w:w="828"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数 量</w:t>
            </w:r>
            <w:r>
              <w:rPr>
                <w:rFonts w:ascii="宋体" w:hAnsi="宋体" w:cs="宋体"/>
                <w:szCs w:val="21"/>
              </w:rPr>
            </w:r>
            <w:r/>
          </w:p>
        </w:tc>
        <w:tc>
          <w:tcPr>
            <w:tcW w:w="1544"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合同履行期限（交货期）</w:t>
            </w:r>
            <w:r>
              <w:rPr>
                <w:rFonts w:ascii="宋体" w:hAnsi="宋体" w:cs="宋体"/>
                <w:szCs w:val="21"/>
              </w:rPr>
            </w:r>
            <w:r/>
          </w:p>
        </w:tc>
      </w:tr>
      <w:tr>
        <w:trPr>
          <w:cantSplit/>
          <w:trHeight w:val="618"/>
        </w:trPr>
        <w:tc>
          <w:tcPr>
            <w:tcW w:w="926"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700"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铷原子频率标准</w:t>
            </w:r>
            <w:r>
              <w:rPr>
                <w:rFonts w:ascii="宋体" w:hAnsi="宋体" w:cs="宋体"/>
                <w:szCs w:val="21"/>
              </w:rPr>
            </w:r>
            <w:r/>
          </w:p>
        </w:tc>
        <w:tc>
          <w:tcPr>
            <w:tcW w:w="828" w:type="dxa"/>
            <w:vAlign w:val="center"/>
            <w:textDirection w:val="lrTb"/>
            <w:noWrap w:val="false"/>
          </w:tcPr>
          <w:p>
            <w:pPr>
              <w:pStyle w:val="1344"/>
              <w:jc w:val="center"/>
              <w:keepNext/>
              <w:spacing w:line="480" w:lineRule="exact"/>
              <w:rPr>
                <w:rFonts w:hint="eastAsia" w:ascii="宋体" w:hAnsi="宋体" w:cs="宋体"/>
                <w:szCs w:val="21"/>
              </w:rPr>
              <w:outlineLvl w:val="0"/>
            </w:pPr>
            <w:r/>
            <w:bookmarkStart w:id="380" w:name="_Toc19737"/>
            <w:r/>
            <w:bookmarkStart w:id="381" w:name="_Toc14865"/>
            <w:r>
              <w:rPr>
                <w:rFonts w:hint="eastAsia" w:ascii="宋体" w:hAnsi="宋体" w:cs="宋体"/>
                <w:szCs w:val="21"/>
              </w:rPr>
              <w:t xml:space="preserve">1台</w:t>
            </w:r>
            <w:bookmarkEnd w:id="380"/>
            <w:r/>
            <w:bookmarkEnd w:id="381"/>
            <w:r>
              <w:rPr>
                <w:rFonts w:hint="eastAsia" w:ascii="宋体" w:hAnsi="宋体" w:cs="宋体"/>
                <w:szCs w:val="21"/>
              </w:rPr>
            </w:r>
            <w:r/>
          </w:p>
        </w:tc>
        <w:tc>
          <w:tcPr>
            <w:tcW w:w="1544"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合同签订后</w:t>
            </w:r>
            <w:r>
              <w:rPr>
                <w:rFonts w:ascii="宋体" w:hAnsi="宋体" w:cs="宋体"/>
                <w:szCs w:val="21"/>
              </w:rPr>
              <w:t xml:space="preserve">6</w:t>
            </w:r>
            <w:r>
              <w:rPr>
                <w:rFonts w:hint="eastAsia" w:ascii="宋体" w:hAnsi="宋体" w:cs="宋体"/>
                <w:szCs w:val="21"/>
              </w:rPr>
              <w:t xml:space="preserve">个月</w:t>
            </w:r>
            <w:r>
              <w:rPr>
                <w:rFonts w:ascii="宋体" w:hAnsi="宋体" w:cs="宋体"/>
                <w:szCs w:val="21"/>
              </w:rPr>
            </w:r>
            <w:r/>
          </w:p>
        </w:tc>
      </w:tr>
    </w:tbl>
    <w:p>
      <w:pPr>
        <w:pStyle w:val="1344"/>
        <w:spacing w:line="480" w:lineRule="exact"/>
        <w:rPr>
          <w:rFonts w:ascii="宋体" w:hAnsi="宋体" w:cs="宋体"/>
          <w:b/>
          <w:bCs/>
          <w:szCs w:val="21"/>
        </w:rPr>
      </w:pPr>
      <w:r>
        <w:rPr>
          <w:rFonts w:hint="eastAsia" w:ascii="宋体" w:hAnsi="宋体" w:cs="宋体"/>
          <w:b/>
          <w:bCs/>
          <w:szCs w:val="21"/>
        </w:rPr>
        <w:t xml:space="preserve">（二）技术指标及功能要求</w:t>
      </w:r>
      <w:r>
        <w:rPr>
          <w:rFonts w:ascii="宋体" w:hAnsi="宋体" w:cs="宋体"/>
          <w:b/>
          <w:bCs/>
          <w:szCs w:val="21"/>
        </w:rPr>
      </w:r>
      <w:r/>
    </w:p>
    <w:p>
      <w:pPr>
        <w:pStyle w:val="1344"/>
        <w:ind w:firstLine="422"/>
        <w:spacing w:line="480" w:lineRule="exact"/>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1.频率：10MHz信号输出，输出波形为正弦波，1s频率稳定度：3×10</w:t>
      </w:r>
      <w:r>
        <w:rPr>
          <w:rFonts w:hint="eastAsia" w:ascii="宋体" w:hAnsi="宋体" w:cs="宋体"/>
          <w:szCs w:val="21"/>
          <w:vertAlign w:val="superscript"/>
        </w:rPr>
        <w:t xml:space="preserve">–</w:t>
      </w:r>
      <w:r>
        <w:rPr>
          <w:rFonts w:ascii="宋体" w:hAnsi="宋体" w:cs="宋体"/>
          <w:szCs w:val="21"/>
          <w:vertAlign w:val="superscript"/>
        </w:rPr>
        <w:t xml:space="preserve">12</w:t>
      </w:r>
      <w:r>
        <w:rPr>
          <w:rFonts w:hint="eastAsia" w:ascii="宋体" w:hAnsi="宋体" w:cs="宋体"/>
          <w:szCs w:val="21"/>
        </w:rPr>
        <w:t xml:space="preserve">，相对频率偏差：±1×10</w:t>
      </w:r>
      <w:r>
        <w:rPr>
          <w:rFonts w:hint="eastAsia" w:ascii="宋体" w:hAnsi="宋体" w:cs="宋体"/>
          <w:szCs w:val="21"/>
          <w:vertAlign w:val="superscript"/>
        </w:rPr>
        <w:t xml:space="preserve">–</w:t>
      </w:r>
      <w:r>
        <w:rPr>
          <w:rFonts w:ascii="宋体" w:hAnsi="宋体" w:cs="宋体"/>
          <w:szCs w:val="21"/>
          <w:vertAlign w:val="superscript"/>
        </w:rPr>
        <w:t xml:space="preserve">12</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2.1PPS信号输出：脉宽≥10us</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3.相位噪声：≤-155dbc/Hz@1kHz</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4.铷钟需配置有天线，可以接收GPS和北斗授时信号并可显示标准时间；</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5.应可接收外输入1PPS信号，并与其保持同步；</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6.需内置高稳晶振作为时钟源，并具有独立时间保持功能。</w:t>
      </w:r>
      <w:r>
        <w:rPr>
          <w:rFonts w:ascii="宋体" w:hAnsi="宋体" w:cs="宋体"/>
          <w:szCs w:val="21"/>
        </w:rPr>
      </w:r>
      <w:r/>
    </w:p>
    <w:p>
      <w:pPr>
        <w:pStyle w:val="1344"/>
        <w:spacing w:line="480" w:lineRule="exact"/>
        <w:rPr>
          <w:rFonts w:ascii="宋体" w:hAnsi="宋体" w:cs="宋体"/>
          <w:b/>
          <w:bCs/>
          <w:szCs w:val="21"/>
        </w:rPr>
      </w:pPr>
      <w:r>
        <w:rPr>
          <w:rFonts w:hint="eastAsia" w:ascii="宋体" w:hAnsi="宋体" w:cs="宋体"/>
          <w:b/>
          <w:bCs/>
          <w:szCs w:val="21"/>
        </w:rPr>
        <w:t xml:space="preserve">（三）验收依据、方法及单位</w:t>
      </w:r>
      <w:r>
        <w:rPr>
          <w:rFonts w:ascii="宋体" w:hAnsi="宋体" w:cs="宋体"/>
          <w:b/>
          <w:bCs/>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1.验收依据：JJF 1957-2021《</w:t>
      </w:r>
      <w:r>
        <w:fldChar w:fldCharType="begin"/>
      </w:r>
      <w:r>
        <w:instrText xml:space="preserve"> HYPERLINK "https://jjg.spc.org.cn/resmea/standard/detail.html?standno=JJF+1957-2021&amp;pageindex=1&amp;rows=10" \t "_blank" </w:instrText>
      </w:r>
      <w:r>
        <w:fldChar w:fldCharType="separate"/>
      </w:r>
      <w:r>
        <w:rPr>
          <w:rFonts w:hint="eastAsia" w:ascii="宋体" w:hAnsi="宋体" w:cs="宋体"/>
          <w:szCs w:val="21"/>
        </w:rPr>
        <w:t xml:space="preserve">铷原子频率标准校准规范</w:t>
      </w:r>
      <w:r>
        <w:rPr>
          <w:rFonts w:hint="eastAsia" w:ascii="宋体" w:hAnsi="宋体" w:cs="宋体"/>
          <w:szCs w:val="21"/>
        </w:rPr>
        <w:fldChar w:fldCharType="end"/>
      </w:r>
      <w:r>
        <w:rPr>
          <w:rFonts w:hint="eastAsia" w:ascii="宋体" w:hAnsi="宋体" w:cs="宋体"/>
          <w:szCs w:val="21"/>
        </w:rPr>
        <w:t xml:space="preserve">》、厂家用户手册中的技术要求、本技术文件。</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2.卖方负责将设备送检至上海市测试技术研究院有限公司进行校准，并出具校准证书，检测费用由卖方承担。</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3.江苏省计量科学研究院根据以上证书、用户手册和本技术文件对整套设备的技术指标和功能进行最终验收。</w:t>
      </w:r>
      <w:r>
        <w:rPr>
          <w:rFonts w:ascii="宋体" w:hAnsi="宋体" w:cs="宋体"/>
          <w:szCs w:val="21"/>
        </w:rPr>
      </w:r>
      <w:r/>
    </w:p>
    <w:p>
      <w:pPr>
        <w:pStyle w:val="1344"/>
        <w:spacing w:line="480" w:lineRule="exact"/>
        <w:rPr>
          <w:rFonts w:hint="eastAsia" w:ascii="宋体" w:hAnsi="宋体" w:cs="宋体"/>
          <w:b/>
          <w:bCs/>
          <w:szCs w:val="21"/>
        </w:rPr>
      </w:pPr>
      <w:r>
        <w:rPr>
          <w:rFonts w:hint="eastAsia" w:ascii="宋体" w:hAnsi="宋体" w:cs="宋体"/>
          <w:b/>
          <w:bCs/>
          <w:szCs w:val="21"/>
        </w:rPr>
        <w:t xml:space="preserve">（四）质保期</w:t>
      </w:r>
      <w:r>
        <w:rPr>
          <w:rFonts w:hint="eastAsia" w:ascii="宋体" w:hAnsi="宋体" w:cs="宋体"/>
          <w:b/>
          <w:bCs/>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★1.铷原子频率标准的质保期为验收合格之日起3年。</w:t>
      </w:r>
      <w:r>
        <w:rPr>
          <w:rFonts w:ascii="宋体" w:hAnsi="宋体" w:cs="宋体"/>
          <w:szCs w:val="21"/>
        </w:rPr>
      </w:r>
      <w:r/>
    </w:p>
    <w:p>
      <w:pPr>
        <w:pStyle w:val="1344"/>
        <w:jc w:val="center"/>
        <w:spacing w:line="480" w:lineRule="exact"/>
        <w:tabs>
          <w:tab w:val="left" w:pos="4500" w:leader="none"/>
          <w:tab w:val="left" w:pos="4680" w:leader="none"/>
        </w:tabs>
        <w:rPr>
          <w:rFonts w:ascii="宋体" w:hAnsi="宋体" w:cs="宋体"/>
          <w:b/>
          <w:bCs/>
          <w:szCs w:val="21"/>
        </w:rPr>
        <w:outlineLvl w:val="1"/>
      </w:pPr>
      <w:r/>
      <w:bookmarkStart w:id="382" w:name="_Toc16161"/>
      <w:r/>
      <w:bookmarkStart w:id="383" w:name="_Toc30764"/>
      <w:r>
        <w:rPr>
          <w:rFonts w:hint="eastAsia" w:ascii="宋体" w:hAnsi="宋体" w:cs="宋体"/>
          <w:b/>
          <w:szCs w:val="21"/>
        </w:rPr>
        <w:t xml:space="preserve">品目</w:t>
      </w:r>
      <w:r>
        <w:rPr>
          <w:rFonts w:hint="eastAsia" w:ascii="宋体" w:hAnsi="宋体" w:cs="宋体"/>
          <w:b/>
          <w:bCs/>
          <w:szCs w:val="21"/>
        </w:rPr>
        <w:t xml:space="preserve">2 频标比对器</w:t>
      </w:r>
      <w:bookmarkEnd w:id="382"/>
      <w:r/>
      <w:bookmarkEnd w:id="383"/>
      <w:r>
        <w:rPr>
          <w:rFonts w:ascii="宋体" w:hAnsi="宋体" w:cs="宋体"/>
          <w:b/>
          <w:bCs/>
          <w:szCs w:val="21"/>
        </w:rPr>
      </w:r>
      <w:r/>
    </w:p>
    <w:p>
      <w:pPr>
        <w:pStyle w:val="1344"/>
        <w:spacing w:line="480" w:lineRule="exact"/>
        <w:tabs>
          <w:tab w:val="left" w:pos="4500" w:leader="none"/>
          <w:tab w:val="left" w:pos="4680" w:leader="none"/>
        </w:tabs>
        <w:rPr>
          <w:rFonts w:ascii="宋体" w:hAnsi="宋体" w:cs="宋体"/>
          <w:b/>
          <w:bCs/>
          <w:szCs w:val="21"/>
        </w:rPr>
      </w:pPr>
      <w:r>
        <w:rPr>
          <w:rFonts w:hint="eastAsia" w:ascii="宋体" w:hAnsi="宋体" w:cs="宋体"/>
          <w:b/>
          <w:bCs/>
          <w:szCs w:val="21"/>
        </w:rPr>
        <w:t xml:space="preserve">★（一）设备及明细配置清单</w:t>
      </w:r>
      <w:r>
        <w:rPr>
          <w:rFonts w:ascii="宋体" w:hAnsi="宋体" w:cs="宋体"/>
          <w:b/>
          <w:bCs/>
          <w:szCs w:val="21"/>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36"/>
        <w:gridCol w:w="3171"/>
        <w:gridCol w:w="1719"/>
        <w:gridCol w:w="3226"/>
      </w:tblGrid>
      <w:tr>
        <w:trPr>
          <w:trHeight w:val="389"/>
        </w:trPr>
        <w:tc>
          <w:tcPr>
            <w:tcW w:w="881" w:type="dxa"/>
            <w:vAlign w:val="center"/>
            <w:textDirection w:val="lrTb"/>
            <w:noWrap w:val="false"/>
          </w:tcPr>
          <w:p>
            <w:pPr>
              <w:pStyle w:val="1344"/>
              <w:ind w:right="141"/>
              <w:jc w:val="center"/>
              <w:spacing w:line="480" w:lineRule="exact"/>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1609"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设备名称</w:t>
            </w:r>
            <w:r>
              <w:rPr>
                <w:rFonts w:ascii="宋体" w:hAnsi="宋体" w:cs="宋体"/>
                <w:szCs w:val="21"/>
              </w:rPr>
            </w:r>
            <w:r/>
          </w:p>
        </w:tc>
        <w:tc>
          <w:tcPr>
            <w:tcW w:w="872"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数 量</w:t>
            </w:r>
            <w:r>
              <w:rPr>
                <w:rFonts w:ascii="宋体" w:hAnsi="宋体" w:cs="宋体"/>
                <w:szCs w:val="21"/>
              </w:rPr>
            </w:r>
            <w:r/>
          </w:p>
        </w:tc>
        <w:tc>
          <w:tcPr>
            <w:tcW w:w="1637"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合同履行期限（交货期）</w:t>
            </w:r>
            <w:r>
              <w:rPr>
                <w:rFonts w:ascii="宋体" w:hAnsi="宋体" w:cs="宋体"/>
                <w:szCs w:val="21"/>
              </w:rPr>
            </w:r>
            <w:r/>
          </w:p>
        </w:tc>
      </w:tr>
      <w:tr>
        <w:trPr>
          <w:cantSplit/>
          <w:trHeight w:val="454"/>
        </w:trPr>
        <w:tc>
          <w:tcPr>
            <w:tcW w:w="881"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609"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频标比对器</w:t>
            </w:r>
            <w:r>
              <w:rPr>
                <w:rFonts w:ascii="宋体" w:hAnsi="宋体" w:cs="宋体"/>
                <w:szCs w:val="21"/>
              </w:rPr>
            </w:r>
            <w:r/>
          </w:p>
        </w:tc>
        <w:tc>
          <w:tcPr>
            <w:tcW w:w="872" w:type="dxa"/>
            <w:vAlign w:val="center"/>
            <w:textDirection w:val="lrTb"/>
            <w:noWrap w:val="false"/>
          </w:tcPr>
          <w:p>
            <w:pPr>
              <w:pStyle w:val="1344"/>
              <w:jc w:val="center"/>
              <w:keepNext/>
              <w:spacing w:line="480" w:lineRule="exact"/>
              <w:rPr>
                <w:rFonts w:hint="eastAsia" w:ascii="宋体" w:hAnsi="宋体" w:cs="宋体"/>
                <w:szCs w:val="21"/>
              </w:rPr>
              <w:outlineLvl w:val="0"/>
            </w:pPr>
            <w:r/>
            <w:bookmarkStart w:id="384" w:name="_Toc14468"/>
            <w:r/>
            <w:bookmarkStart w:id="385" w:name="_Toc17726"/>
            <w:r>
              <w:rPr>
                <w:rFonts w:hint="eastAsia" w:ascii="宋体" w:hAnsi="宋体" w:cs="宋体"/>
                <w:szCs w:val="21"/>
              </w:rPr>
              <w:t xml:space="preserve">1台</w:t>
            </w:r>
            <w:bookmarkEnd w:id="384"/>
            <w:r/>
            <w:bookmarkEnd w:id="385"/>
            <w:r>
              <w:rPr>
                <w:rFonts w:hint="eastAsia" w:ascii="宋体" w:hAnsi="宋体" w:cs="宋体"/>
                <w:szCs w:val="21"/>
              </w:rPr>
            </w:r>
            <w:r/>
          </w:p>
        </w:tc>
        <w:tc>
          <w:tcPr>
            <w:tcW w:w="1637"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合同签订后</w:t>
            </w:r>
            <w:r>
              <w:rPr>
                <w:rFonts w:ascii="宋体" w:hAnsi="宋体" w:cs="宋体"/>
                <w:szCs w:val="21"/>
              </w:rPr>
              <w:t xml:space="preserve">6</w:t>
            </w:r>
            <w:r>
              <w:rPr>
                <w:rFonts w:hint="eastAsia" w:ascii="宋体" w:hAnsi="宋体" w:cs="宋体"/>
                <w:szCs w:val="21"/>
              </w:rPr>
              <w:t xml:space="preserve">个月</w:t>
            </w:r>
            <w:r>
              <w:rPr>
                <w:rFonts w:ascii="宋体" w:hAnsi="宋体" w:cs="宋体"/>
                <w:szCs w:val="21"/>
              </w:rPr>
            </w:r>
            <w:r/>
          </w:p>
        </w:tc>
      </w:tr>
    </w:tbl>
    <w:p>
      <w:pPr>
        <w:pStyle w:val="1344"/>
        <w:spacing w:line="480" w:lineRule="exact"/>
        <w:tabs>
          <w:tab w:val="left" w:pos="4500" w:leader="none"/>
          <w:tab w:val="left" w:pos="4680" w:leader="none"/>
        </w:tabs>
        <w:rPr>
          <w:rFonts w:ascii="宋体" w:hAnsi="宋体" w:cs="宋体"/>
          <w:b/>
          <w:bCs/>
          <w:szCs w:val="21"/>
        </w:rPr>
      </w:pPr>
      <w:r>
        <w:rPr>
          <w:rFonts w:hint="eastAsia" w:ascii="宋体" w:hAnsi="宋体" w:cs="宋体"/>
          <w:b/>
          <w:bCs/>
          <w:szCs w:val="21"/>
        </w:rPr>
        <w:t xml:space="preserve">（二）技术指标及功能要求</w:t>
      </w:r>
      <w:r>
        <w:rPr>
          <w:rFonts w:ascii="宋体" w:hAnsi="宋体" w:cs="宋体"/>
          <w:b/>
          <w:bCs/>
          <w:szCs w:val="21"/>
        </w:rPr>
      </w:r>
      <w:r/>
    </w:p>
    <w:p>
      <w:pPr>
        <w:pStyle w:val="1344"/>
        <w:ind w:firstLine="422"/>
        <w:jc w:val="left"/>
        <w:spacing w:line="480" w:lineRule="exact"/>
        <w:widowControl/>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1.比对不确定度：1ms≤1×10</w:t>
      </w:r>
      <w:r>
        <w:rPr>
          <w:rFonts w:hint="eastAsia" w:ascii="宋体" w:hAnsi="宋体" w:cs="宋体"/>
          <w:szCs w:val="21"/>
          <w:vertAlign w:val="superscript"/>
        </w:rPr>
        <w:t xml:space="preserve">–10</w:t>
      </w:r>
      <w:r>
        <w:rPr>
          <w:rFonts w:hint="eastAsia" w:ascii="宋体" w:hAnsi="宋体" w:cs="宋体"/>
          <w:szCs w:val="21"/>
        </w:rPr>
        <w:t xml:space="preserve">，10ms≤1×10</w:t>
      </w:r>
      <w:r>
        <w:rPr>
          <w:rFonts w:hint="eastAsia" w:ascii="宋体" w:hAnsi="宋体" w:cs="宋体"/>
          <w:szCs w:val="21"/>
          <w:vertAlign w:val="superscript"/>
        </w:rPr>
        <w:t xml:space="preserve">–11</w:t>
      </w:r>
      <w:r>
        <w:rPr>
          <w:rFonts w:hint="eastAsia" w:ascii="宋体" w:hAnsi="宋体" w:cs="宋体"/>
          <w:szCs w:val="21"/>
        </w:rPr>
        <w:t xml:space="preserve">，100ms≤1×10</w:t>
      </w:r>
      <w:r>
        <w:rPr>
          <w:rFonts w:hint="eastAsia" w:ascii="宋体" w:hAnsi="宋体" w:cs="宋体"/>
          <w:szCs w:val="21"/>
          <w:vertAlign w:val="superscript"/>
        </w:rPr>
        <w:t xml:space="preserve">–12</w:t>
      </w:r>
      <w:r>
        <w:rPr>
          <w:rFonts w:hint="eastAsia" w:ascii="宋体" w:hAnsi="宋体" w:cs="宋体"/>
          <w:szCs w:val="21"/>
        </w:rPr>
        <w:t xml:space="preserve">，1s≤5×10</w:t>
      </w:r>
      <w:r>
        <w:rPr>
          <w:rFonts w:hint="eastAsia" w:ascii="宋体" w:hAnsi="宋体" w:cs="宋体"/>
          <w:szCs w:val="21"/>
          <w:vertAlign w:val="superscript"/>
        </w:rPr>
        <w:t xml:space="preserve">–13</w:t>
      </w:r>
      <w:r>
        <w:rPr>
          <w:rFonts w:hint="eastAsia" w:ascii="宋体" w:hAnsi="宋体" w:cs="宋体"/>
          <w:szCs w:val="21"/>
        </w:rPr>
        <w:t xml:space="preserve">，10s≤2×10</w:t>
      </w:r>
      <w:r>
        <w:rPr>
          <w:rFonts w:hint="eastAsia" w:ascii="宋体" w:hAnsi="宋体" w:cs="宋体"/>
          <w:szCs w:val="21"/>
          <w:vertAlign w:val="superscript"/>
        </w:rPr>
        <w:t xml:space="preserve">–14</w:t>
      </w:r>
      <w:r>
        <w:rPr>
          <w:rFonts w:hint="eastAsia" w:ascii="宋体" w:hAnsi="宋体" w:cs="宋体"/>
          <w:szCs w:val="21"/>
        </w:rPr>
        <w:t xml:space="preserve">，100s≤2×10</w:t>
      </w:r>
      <w:r>
        <w:rPr>
          <w:rFonts w:hint="eastAsia" w:ascii="宋体" w:hAnsi="宋体" w:cs="宋体"/>
          <w:szCs w:val="21"/>
          <w:vertAlign w:val="superscript"/>
        </w:rPr>
        <w:t xml:space="preserve">–15</w:t>
      </w:r>
      <w:r>
        <w:rPr>
          <w:rFonts w:hint="eastAsia" w:ascii="宋体" w:hAnsi="宋体" w:cs="宋体"/>
          <w:szCs w:val="21"/>
        </w:rPr>
        <w:t xml:space="preserve">，灵敏度：（3～18）dBm</w:t>
      </w:r>
      <w:r>
        <w:rPr>
          <w:rFonts w:ascii="宋体" w:hAnsi="宋体" w:cs="宋体"/>
          <w:szCs w:val="21"/>
        </w:rPr>
      </w:r>
      <w:r/>
    </w:p>
    <w:p>
      <w:pPr>
        <w:pStyle w:val="1344"/>
        <w:ind w:firstLine="420"/>
        <w:jc w:val="left"/>
        <w:spacing w:line="480" w:lineRule="exact"/>
        <w:widowControl/>
        <w:rPr>
          <w:rFonts w:ascii="宋体" w:hAnsi="宋体" w:cs="宋体"/>
          <w:szCs w:val="21"/>
        </w:rPr>
      </w:pPr>
      <w:r>
        <w:rPr>
          <w:rFonts w:hint="eastAsia" w:ascii="宋体" w:hAnsi="宋体" w:cs="宋体"/>
          <w:szCs w:val="21"/>
        </w:rPr>
        <w:t xml:space="preserve">2.最大频率偏差：±1×10</w:t>
      </w:r>
      <w:r>
        <w:rPr>
          <w:rFonts w:hint="eastAsia" w:ascii="宋体" w:hAnsi="宋体" w:cs="宋体"/>
          <w:szCs w:val="21"/>
          <w:vertAlign w:val="superscript"/>
        </w:rPr>
        <w:t xml:space="preserve">–6</w:t>
      </w:r>
      <w:r>
        <w:rPr>
          <w:rFonts w:ascii="宋体" w:hAnsi="宋体" w:cs="宋体"/>
          <w:szCs w:val="21"/>
        </w:rPr>
      </w:r>
      <w:r/>
    </w:p>
    <w:p>
      <w:pPr>
        <w:pStyle w:val="1344"/>
        <w:ind w:firstLine="420"/>
        <w:jc w:val="left"/>
        <w:spacing w:line="480" w:lineRule="exact"/>
        <w:widowControl/>
        <w:rPr>
          <w:rFonts w:ascii="宋体" w:hAnsi="宋体" w:cs="宋体"/>
          <w:szCs w:val="21"/>
        </w:rPr>
      </w:pPr>
      <w:r>
        <w:rPr>
          <w:rFonts w:hint="eastAsia" w:ascii="宋体" w:hAnsi="宋体" w:cs="宋体"/>
          <w:szCs w:val="21"/>
        </w:rPr>
        <w:t xml:space="preserve">3.应能同时计算8个输入通道的频率偏差、频率稳定度、开机特性、频率漂移率等数据结果。</w:t>
      </w:r>
      <w:r>
        <w:rPr>
          <w:rFonts w:ascii="宋体" w:hAnsi="宋体" w:cs="宋体"/>
          <w:szCs w:val="21"/>
        </w:rPr>
      </w:r>
      <w:r/>
    </w:p>
    <w:p>
      <w:pPr>
        <w:pStyle w:val="1344"/>
        <w:spacing w:line="480" w:lineRule="exact"/>
        <w:tabs>
          <w:tab w:val="left" w:pos="4500" w:leader="none"/>
          <w:tab w:val="left" w:pos="4680" w:leader="none"/>
        </w:tabs>
        <w:rPr>
          <w:rFonts w:ascii="宋体" w:hAnsi="宋体" w:cs="宋体"/>
          <w:b/>
          <w:bCs/>
          <w:szCs w:val="21"/>
        </w:rPr>
      </w:pPr>
      <w:r>
        <w:rPr>
          <w:rFonts w:hint="eastAsia" w:ascii="宋体" w:hAnsi="宋体" w:cs="宋体"/>
          <w:b/>
          <w:bCs/>
          <w:szCs w:val="21"/>
        </w:rPr>
        <w:t xml:space="preserve">（三）验收依据、方法及单位</w:t>
      </w:r>
      <w:r>
        <w:rPr>
          <w:rFonts w:ascii="宋体" w:hAnsi="宋体" w:cs="宋体"/>
          <w:b/>
          <w:bCs/>
          <w:szCs w:val="21"/>
        </w:rPr>
      </w:r>
      <w:r/>
    </w:p>
    <w:p>
      <w:pPr>
        <w:pStyle w:val="1344"/>
        <w:ind w:firstLine="420"/>
        <w:jc w:val="left"/>
        <w:spacing w:line="480" w:lineRule="exact"/>
        <w:widowControl/>
        <w:rPr>
          <w:rFonts w:ascii="宋体" w:hAnsi="宋体" w:cs="宋体"/>
          <w:szCs w:val="21"/>
        </w:rPr>
      </w:pPr>
      <w:r>
        <w:rPr>
          <w:rFonts w:hint="eastAsia" w:ascii="宋体" w:hAnsi="宋体" w:cs="宋体"/>
          <w:szCs w:val="21"/>
        </w:rPr>
        <w:t xml:space="preserve">1.验收依据：JJF 2197-2025《</w:t>
      </w:r>
      <w:r>
        <w:fldChar w:fldCharType="begin"/>
      </w:r>
      <w:r>
        <w:instrText xml:space="preserve"> HYPERLINK "https://jjg.spc.org.cn/resmea/standard/detail.html?standno=JJF+1957-2021&amp;pageindex=1&amp;rows=10" \t "_blank" </w:instrText>
      </w:r>
      <w:r>
        <w:fldChar w:fldCharType="separate"/>
      </w:r>
      <w:r>
        <w:rPr>
          <w:rFonts w:hint="eastAsia" w:ascii="宋体" w:hAnsi="宋体" w:cs="宋体"/>
          <w:szCs w:val="21"/>
        </w:rPr>
        <w:t xml:space="preserve">频率比对器校准规范</w:t>
      </w:r>
      <w:r>
        <w:rPr>
          <w:rFonts w:hint="eastAsia" w:ascii="宋体" w:hAnsi="宋体" w:cs="宋体"/>
          <w:szCs w:val="21"/>
        </w:rPr>
        <w:fldChar w:fldCharType="end"/>
      </w:r>
      <w:r>
        <w:rPr>
          <w:rFonts w:hint="eastAsia" w:ascii="宋体" w:hAnsi="宋体" w:cs="宋体"/>
          <w:szCs w:val="21"/>
        </w:rPr>
        <w:t xml:space="preserve">》、厂家用户手册、本技术文件。</w:t>
      </w:r>
      <w:r>
        <w:rPr>
          <w:rFonts w:ascii="宋体" w:hAnsi="宋体" w:cs="宋体"/>
          <w:szCs w:val="21"/>
        </w:rPr>
      </w:r>
      <w:r/>
    </w:p>
    <w:p>
      <w:pPr>
        <w:pStyle w:val="1344"/>
        <w:ind w:firstLine="420"/>
        <w:jc w:val="left"/>
        <w:spacing w:line="480" w:lineRule="exact"/>
        <w:widowControl/>
        <w:rPr>
          <w:rFonts w:ascii="宋体" w:hAnsi="宋体" w:cs="宋体"/>
          <w:szCs w:val="21"/>
        </w:rPr>
      </w:pPr>
      <w:r>
        <w:rPr>
          <w:rFonts w:hint="eastAsia" w:ascii="宋体" w:hAnsi="宋体" w:cs="宋体"/>
          <w:szCs w:val="21"/>
        </w:rPr>
        <w:t xml:space="preserve">2.卖方负责将设备送检至上海市测试技术研究院有限公司进行校准，并出具校准证书，检测费用由卖方承担。</w:t>
      </w:r>
      <w:r>
        <w:rPr>
          <w:rFonts w:ascii="宋体" w:hAnsi="宋体" w:cs="宋体"/>
          <w:szCs w:val="21"/>
        </w:rPr>
      </w:r>
      <w:r/>
    </w:p>
    <w:p>
      <w:pPr>
        <w:pStyle w:val="1344"/>
        <w:ind w:firstLine="420"/>
        <w:jc w:val="left"/>
        <w:spacing w:line="480" w:lineRule="exact"/>
        <w:widowControl/>
        <w:rPr>
          <w:rFonts w:ascii="宋体" w:hAnsi="宋体" w:cs="宋体"/>
          <w:szCs w:val="21"/>
        </w:rPr>
      </w:pPr>
      <w:r>
        <w:rPr>
          <w:rFonts w:hint="eastAsia" w:ascii="宋体" w:hAnsi="宋体" w:cs="宋体"/>
          <w:szCs w:val="21"/>
        </w:rPr>
        <w:t xml:space="preserve">3.江苏省计量科学研究院根据以上证书、用户手册和本技术文件对整套设备的技术指标和功能进行最终验收。</w:t>
      </w:r>
      <w:r>
        <w:rPr>
          <w:rFonts w:ascii="宋体" w:hAnsi="宋体" w:cs="宋体"/>
          <w:szCs w:val="21"/>
        </w:rPr>
      </w:r>
      <w:r/>
    </w:p>
    <w:p>
      <w:pPr>
        <w:pStyle w:val="1344"/>
        <w:spacing w:line="480" w:lineRule="exact"/>
        <w:tabs>
          <w:tab w:val="left" w:pos="4500" w:leader="none"/>
          <w:tab w:val="left" w:pos="4680" w:leader="none"/>
        </w:tabs>
        <w:rPr>
          <w:rFonts w:hint="eastAsia" w:ascii="宋体" w:hAnsi="宋体" w:cs="宋体"/>
          <w:b/>
          <w:bCs/>
          <w:szCs w:val="21"/>
        </w:rPr>
      </w:pPr>
      <w:r>
        <w:rPr>
          <w:rFonts w:hint="eastAsia" w:ascii="宋体" w:hAnsi="宋体" w:cs="宋体"/>
          <w:b/>
          <w:bCs/>
          <w:szCs w:val="21"/>
        </w:rPr>
        <w:t xml:space="preserve">（四）质保期</w:t>
      </w:r>
      <w:r>
        <w:rPr>
          <w:rFonts w:hint="eastAsia" w:ascii="宋体" w:hAnsi="宋体" w:cs="宋体"/>
          <w:b/>
          <w:bCs/>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★1.频标比对器的质保期为验收合格之日起3年。</w:t>
      </w:r>
      <w:r>
        <w:rPr>
          <w:rFonts w:ascii="宋体" w:hAnsi="宋体" w:cs="宋体"/>
          <w:szCs w:val="21"/>
        </w:rPr>
      </w:r>
      <w:r/>
    </w:p>
    <w:p>
      <w:pPr>
        <w:pStyle w:val="1344"/>
        <w:ind w:firstLine="422"/>
        <w:jc w:val="center"/>
        <w:spacing w:line="480" w:lineRule="exact"/>
        <w:rPr>
          <w:rFonts w:ascii="宋体" w:hAnsi="宋体" w:cs="宋体"/>
          <w:b/>
          <w:bCs/>
          <w:szCs w:val="21"/>
        </w:rPr>
        <w:outlineLvl w:val="1"/>
      </w:pPr>
      <w:r/>
      <w:bookmarkStart w:id="386" w:name="_Toc7472"/>
      <w:r/>
      <w:bookmarkStart w:id="387" w:name="_Toc11516"/>
      <w:r>
        <w:rPr>
          <w:rFonts w:hint="eastAsia" w:ascii="宋体" w:hAnsi="宋体" w:cs="宋体"/>
          <w:b/>
          <w:szCs w:val="21"/>
        </w:rPr>
        <w:t xml:space="preserve">品目</w:t>
      </w:r>
      <w:r>
        <w:rPr>
          <w:rFonts w:hint="eastAsia" w:ascii="宋体" w:hAnsi="宋体" w:cs="宋体"/>
          <w:b/>
          <w:bCs/>
          <w:szCs w:val="21"/>
        </w:rPr>
        <w:t xml:space="preserve">3 通用计数器</w:t>
      </w:r>
      <w:bookmarkEnd w:id="386"/>
      <w:r/>
      <w:bookmarkEnd w:id="387"/>
      <w:r>
        <w:rPr>
          <w:rFonts w:ascii="宋体" w:hAnsi="宋体" w:cs="宋体"/>
          <w:b/>
          <w:bCs/>
          <w:szCs w:val="21"/>
        </w:rPr>
      </w:r>
      <w:r/>
    </w:p>
    <w:p>
      <w:pPr>
        <w:pStyle w:val="1344"/>
        <w:spacing w:line="480" w:lineRule="exact"/>
        <w:tabs>
          <w:tab w:val="left" w:pos="4500" w:leader="none"/>
          <w:tab w:val="left" w:pos="4680" w:leader="none"/>
        </w:tabs>
        <w:rPr>
          <w:rFonts w:ascii="宋体" w:hAnsi="宋体" w:cs="宋体"/>
          <w:b/>
          <w:bCs/>
          <w:szCs w:val="21"/>
        </w:rPr>
      </w:pPr>
      <w:r>
        <w:rPr>
          <w:rFonts w:hint="eastAsia" w:ascii="宋体" w:hAnsi="宋体" w:cs="宋体"/>
          <w:b/>
          <w:bCs/>
          <w:szCs w:val="21"/>
        </w:rPr>
        <w:t xml:space="preserve">★（一）设备及明细配置清单</w:t>
      </w:r>
      <w:r>
        <w:rPr>
          <w:rFonts w:ascii="宋体" w:hAnsi="宋体" w:cs="宋体"/>
          <w:b/>
          <w:bCs/>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72"/>
        <w:gridCol w:w="2896"/>
        <w:gridCol w:w="1874"/>
        <w:gridCol w:w="3208"/>
      </w:tblGrid>
      <w:tr>
        <w:trPr>
          <w:trHeight w:val="389"/>
        </w:trPr>
        <w:tc>
          <w:tcPr>
            <w:tcW w:w="950" w:type="dxa"/>
            <w:vAlign w:val="center"/>
            <w:textDirection w:val="lrTb"/>
            <w:noWrap w:val="false"/>
          </w:tcPr>
          <w:p>
            <w:pPr>
              <w:pStyle w:val="1344"/>
              <w:jc w:val="center"/>
              <w:spacing w:line="480" w:lineRule="exact"/>
              <w:rPr>
                <w:rFonts w:ascii="宋体" w:hAnsi="宋体" w:cs="宋体"/>
              </w:rPr>
            </w:pPr>
            <w:r>
              <w:rPr>
                <w:rFonts w:hint="eastAsia" w:ascii="宋体" w:hAnsi="宋体" w:cs="宋体"/>
              </w:rPr>
              <w:t xml:space="preserve">序号</w:t>
            </w:r>
            <w:r>
              <w:rPr>
                <w:rFonts w:ascii="宋体" w:hAnsi="宋体" w:cs="宋体"/>
              </w:rPr>
            </w:r>
            <w:r/>
          </w:p>
        </w:tc>
        <w:tc>
          <w:tcPr>
            <w:tcW w:w="1470" w:type="dxa"/>
            <w:vAlign w:val="center"/>
            <w:textDirection w:val="lrTb"/>
            <w:noWrap w:val="false"/>
          </w:tcPr>
          <w:p>
            <w:pPr>
              <w:pStyle w:val="1344"/>
              <w:jc w:val="center"/>
              <w:spacing w:line="480" w:lineRule="exact"/>
              <w:rPr>
                <w:rFonts w:ascii="宋体" w:hAnsi="宋体" w:cs="宋体"/>
              </w:rPr>
            </w:pPr>
            <w:r>
              <w:rPr>
                <w:rFonts w:hint="eastAsia" w:ascii="宋体" w:hAnsi="宋体" w:cs="宋体"/>
              </w:rPr>
              <w:t xml:space="preserve">设备名称</w:t>
            </w:r>
            <w:r>
              <w:rPr>
                <w:rFonts w:ascii="宋体" w:hAnsi="宋体" w:cs="宋体"/>
              </w:rPr>
            </w:r>
            <w:r/>
          </w:p>
        </w:tc>
        <w:tc>
          <w:tcPr>
            <w:tcW w:w="951" w:type="dxa"/>
            <w:vAlign w:val="center"/>
            <w:textDirection w:val="lrTb"/>
            <w:noWrap w:val="false"/>
          </w:tcPr>
          <w:p>
            <w:pPr>
              <w:pStyle w:val="1344"/>
              <w:jc w:val="center"/>
              <w:spacing w:line="480" w:lineRule="exact"/>
              <w:rPr>
                <w:rFonts w:ascii="宋体" w:hAnsi="宋体" w:cs="宋体"/>
              </w:rPr>
            </w:pPr>
            <w:r>
              <w:rPr>
                <w:rFonts w:hint="eastAsia" w:ascii="宋体" w:hAnsi="宋体" w:cs="宋体"/>
              </w:rPr>
              <w:t xml:space="preserve">数 量</w:t>
            </w:r>
            <w:r>
              <w:rPr>
                <w:rFonts w:ascii="宋体" w:hAnsi="宋体" w:cs="宋体"/>
              </w:rPr>
            </w:r>
            <w:r/>
          </w:p>
        </w:tc>
        <w:tc>
          <w:tcPr>
            <w:tcW w:w="1628" w:type="dxa"/>
            <w:vAlign w:val="center"/>
            <w:textDirection w:val="lrTb"/>
            <w:noWrap w:val="false"/>
          </w:tcPr>
          <w:p>
            <w:pPr>
              <w:pStyle w:val="1344"/>
              <w:jc w:val="center"/>
              <w:spacing w:line="480" w:lineRule="exact"/>
              <w:rPr>
                <w:rFonts w:ascii="宋体" w:hAnsi="宋体" w:cs="宋体"/>
              </w:rPr>
            </w:pPr>
            <w:r>
              <w:rPr>
                <w:rFonts w:hint="eastAsia" w:ascii="宋体" w:hAnsi="宋体" w:cs="宋体"/>
              </w:rPr>
              <w:t xml:space="preserve">合同履行期限（交货期）</w:t>
            </w:r>
            <w:r>
              <w:rPr>
                <w:rFonts w:ascii="宋体" w:hAnsi="宋体" w:cs="宋体"/>
              </w:rPr>
            </w:r>
            <w:r/>
          </w:p>
        </w:tc>
      </w:tr>
      <w:tr>
        <w:trPr>
          <w:cantSplit/>
          <w:trHeight w:val="454"/>
        </w:trPr>
        <w:tc>
          <w:tcPr>
            <w:tcW w:w="950" w:type="dxa"/>
            <w:vAlign w:val="center"/>
            <w:textDirection w:val="lrTb"/>
            <w:noWrap w:val="false"/>
          </w:tcPr>
          <w:p>
            <w:pPr>
              <w:pStyle w:val="1344"/>
              <w:jc w:val="center"/>
              <w:spacing w:line="480" w:lineRule="exact"/>
              <w:rPr>
                <w:rFonts w:ascii="宋体" w:hAnsi="宋体" w:cs="宋体"/>
              </w:rPr>
            </w:pPr>
            <w:r>
              <w:rPr>
                <w:rFonts w:hint="eastAsia" w:ascii="宋体" w:hAnsi="宋体" w:cs="宋体"/>
              </w:rPr>
              <w:t xml:space="preserve">1</w:t>
            </w:r>
            <w:r>
              <w:rPr>
                <w:rFonts w:ascii="宋体" w:hAnsi="宋体" w:cs="宋体"/>
              </w:rPr>
            </w:r>
            <w:r/>
          </w:p>
        </w:tc>
        <w:tc>
          <w:tcPr>
            <w:tcW w:w="1470" w:type="dxa"/>
            <w:vAlign w:val="center"/>
            <w:textDirection w:val="lrTb"/>
            <w:noWrap w:val="false"/>
          </w:tcPr>
          <w:p>
            <w:pPr>
              <w:pStyle w:val="1344"/>
              <w:jc w:val="center"/>
              <w:spacing w:line="480" w:lineRule="exact"/>
              <w:rPr>
                <w:rFonts w:ascii="宋体" w:hAnsi="宋体" w:cs="宋体"/>
              </w:rPr>
            </w:pPr>
            <w:r>
              <w:rPr>
                <w:rFonts w:hint="eastAsia" w:ascii="宋体" w:hAnsi="宋体" w:cs="宋体"/>
              </w:rPr>
              <w:t xml:space="preserve">通用计数器</w:t>
            </w:r>
            <w:r>
              <w:rPr>
                <w:rFonts w:ascii="宋体" w:hAnsi="宋体" w:cs="宋体"/>
              </w:rPr>
            </w:r>
            <w:r/>
          </w:p>
        </w:tc>
        <w:tc>
          <w:tcPr>
            <w:tcW w:w="951" w:type="dxa"/>
            <w:vAlign w:val="center"/>
            <w:textDirection w:val="lrTb"/>
            <w:noWrap w:val="false"/>
          </w:tcPr>
          <w:p>
            <w:pPr>
              <w:pStyle w:val="1344"/>
              <w:jc w:val="center"/>
              <w:spacing w:line="480" w:lineRule="exact"/>
              <w:rPr>
                <w:rFonts w:hint="eastAsia" w:ascii="宋体" w:hAnsi="宋体" w:cs="宋体"/>
              </w:rPr>
            </w:pPr>
            <w:r>
              <w:rPr>
                <w:rFonts w:hint="eastAsia" w:ascii="宋体" w:hAnsi="宋体" w:cs="宋体"/>
              </w:rPr>
              <w:t xml:space="preserve">1台</w:t>
            </w:r>
            <w:r>
              <w:rPr>
                <w:rFonts w:hint="eastAsia" w:ascii="宋体" w:hAnsi="宋体" w:cs="宋体"/>
              </w:rPr>
            </w:r>
            <w:r/>
          </w:p>
        </w:tc>
        <w:tc>
          <w:tcPr>
            <w:tcW w:w="1628" w:type="dxa"/>
            <w:vAlign w:val="center"/>
            <w:textDirection w:val="lrTb"/>
            <w:noWrap w:val="false"/>
          </w:tcPr>
          <w:p>
            <w:pPr>
              <w:pStyle w:val="1344"/>
              <w:jc w:val="center"/>
              <w:spacing w:line="480" w:lineRule="exact"/>
              <w:rPr>
                <w:rFonts w:ascii="宋体" w:hAnsi="宋体" w:cs="宋体"/>
              </w:rPr>
            </w:pPr>
            <w:r>
              <w:rPr>
                <w:rFonts w:hint="eastAsia" w:ascii="宋体" w:hAnsi="宋体" w:cs="宋体"/>
              </w:rPr>
              <w:t xml:space="preserve">合同签订后</w:t>
            </w:r>
            <w:r>
              <w:rPr>
                <w:rFonts w:ascii="宋体" w:hAnsi="宋体" w:cs="宋体"/>
              </w:rPr>
              <w:t xml:space="preserve">6</w:t>
            </w:r>
            <w:r>
              <w:rPr>
                <w:rFonts w:hint="eastAsia" w:ascii="宋体" w:hAnsi="宋体" w:cs="宋体"/>
              </w:rPr>
              <w:t xml:space="preserve">个月</w:t>
            </w:r>
            <w:r>
              <w:rPr>
                <w:rFonts w:ascii="宋体" w:hAnsi="宋体" w:cs="宋体"/>
              </w:rPr>
            </w:r>
            <w:r/>
          </w:p>
        </w:tc>
      </w:tr>
    </w:tbl>
    <w:p>
      <w:pPr>
        <w:pStyle w:val="1344"/>
        <w:jc w:val="left"/>
        <w:spacing w:line="480" w:lineRule="exact"/>
        <w:rPr>
          <w:rFonts w:ascii="宋体" w:hAnsi="宋体" w:cs="宋体"/>
          <w:b/>
          <w:bCs/>
          <w:szCs w:val="21"/>
        </w:rPr>
      </w:pPr>
      <w:r>
        <w:rPr>
          <w:rFonts w:hint="eastAsia" w:ascii="宋体" w:hAnsi="宋体" w:cs="宋体"/>
          <w:b/>
          <w:bCs/>
          <w:szCs w:val="21"/>
        </w:rPr>
        <w:t xml:space="preserve">（二）技术指标及功能要求</w:t>
      </w:r>
      <w:r>
        <w:rPr>
          <w:rFonts w:ascii="宋体" w:hAnsi="宋体" w:cs="宋体"/>
          <w:b/>
          <w:bCs/>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1.应具有频率、周期、时间间隔、脉冲宽度、占空比等测量功能；有10 MHz输出，并可外接频标；</w:t>
      </w:r>
      <w:r>
        <w:rPr>
          <w:rFonts w:ascii="宋体" w:hAnsi="宋体" w:cs="宋体"/>
          <w:szCs w:val="21"/>
        </w:rPr>
      </w:r>
      <w:r/>
    </w:p>
    <w:p>
      <w:pPr>
        <w:pStyle w:val="1344"/>
        <w:ind w:firstLine="422"/>
        <w:jc w:val="left"/>
        <w:spacing w:line="480" w:lineRule="exact"/>
        <w:rPr>
          <w:rFonts w:ascii="宋体" w:hAnsi="宋体" w:cs="宋体"/>
          <w:szCs w:val="21"/>
        </w:rPr>
      </w:pPr>
      <w:r>
        <w:rPr>
          <w:rFonts w:hint="eastAsia" w:ascii="宋体" w:hAnsi="宋体" w:cs="宋体"/>
          <w:b/>
          <w:bCs/>
          <w:szCs w:val="21"/>
        </w:rPr>
        <w:t xml:space="preserve">★</w:t>
      </w:r>
      <w:r>
        <w:rPr>
          <w:rFonts w:hint="eastAsia" w:ascii="宋体" w:hAnsi="宋体" w:cs="宋体"/>
          <w:szCs w:val="21"/>
        </w:rPr>
        <w:t xml:space="preserve">2.频率测量范围满足0.1Hz～18GHz，频率偏差：±5</w:t>
      </w:r>
      <w:r>
        <w:rPr>
          <w:rFonts w:ascii="Wingdings 2" w:hAnsi="Wingdings 2" w:eastAsia="Wingdings 2" w:cs="Wingdings 2"/>
          <w:szCs w:val="21"/>
        </w:rPr>
        <w:t xml:space="preserve">Í</w:t>
      </w:r>
      <w:r>
        <w:rPr>
          <w:rFonts w:hint="eastAsia" w:ascii="宋体" w:hAnsi="宋体" w:cs="宋体"/>
          <w:szCs w:val="21"/>
        </w:rPr>
        <w:t xml:space="preserve">10</w:t>
      </w:r>
      <w:r>
        <w:rPr>
          <w:rFonts w:ascii="宋体" w:hAnsi="宋体" w:cs="宋体"/>
          <w:szCs w:val="21"/>
          <w:vertAlign w:val="superscript"/>
        </w:rPr>
        <w:t xml:space="preserve">-9</w:t>
      </w:r>
      <w:r>
        <w:rPr>
          <w:rFonts w:hint="eastAsia" w:ascii="宋体" w:hAnsi="宋体" w:cs="宋体"/>
          <w:szCs w:val="21"/>
        </w:rPr>
        <w:t xml:space="preserve">。</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3.动态范围应满足40mVrms～5Vrms，频率分辨率不低于10位/s。</w:t>
      </w:r>
      <w:r>
        <w:rPr>
          <w:rFonts w:ascii="宋体" w:hAnsi="宋体" w:cs="宋体"/>
          <w:szCs w:val="21"/>
        </w:rPr>
      </w:r>
      <w:r/>
    </w:p>
    <w:p>
      <w:pPr>
        <w:pStyle w:val="1344"/>
        <w:ind w:left="-1"/>
        <w:jc w:val="left"/>
        <w:spacing w:line="480" w:lineRule="exact"/>
        <w:rPr>
          <w:rFonts w:ascii="宋体" w:hAnsi="宋体" w:cs="宋体"/>
          <w:b/>
          <w:bCs/>
          <w:szCs w:val="21"/>
        </w:rPr>
      </w:pPr>
      <w:r>
        <w:rPr>
          <w:rFonts w:hint="eastAsia" w:ascii="宋体" w:hAnsi="宋体" w:cs="宋体"/>
          <w:b/>
          <w:bCs/>
          <w:szCs w:val="21"/>
        </w:rPr>
        <w:t xml:space="preserve">（三）验收依据、方法及单位</w:t>
      </w:r>
      <w:r>
        <w:rPr>
          <w:rFonts w:ascii="宋体" w:hAnsi="宋体" w:cs="宋体"/>
          <w:b/>
          <w:bCs/>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1.验收依据：JJF 2196-2025《通用计数器校准规范》、厂家用户手册、本技术文件。</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2.卖方负责将设备送检至省级及以上计量技术机构进行检定/校准，并出具检定/校准证书，检测费用由卖方承担。</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3.江苏省计量科学研究院根据以上证书、用户手册和本技术文件对整套设备的技术指标和功能进行最终验收。</w:t>
      </w:r>
      <w:r>
        <w:rPr>
          <w:rFonts w:ascii="宋体" w:hAnsi="宋体" w:cs="宋体"/>
          <w:szCs w:val="21"/>
        </w:rPr>
      </w:r>
      <w:r/>
    </w:p>
    <w:p>
      <w:pPr>
        <w:pStyle w:val="1344"/>
        <w:jc w:val="left"/>
        <w:spacing w:line="480" w:lineRule="exact"/>
        <w:rPr>
          <w:rFonts w:hint="eastAsia" w:ascii="宋体" w:hAnsi="宋体" w:cs="宋体"/>
          <w:b/>
          <w:bCs/>
          <w:szCs w:val="21"/>
        </w:rPr>
      </w:pPr>
      <w:r>
        <w:rPr>
          <w:rFonts w:hint="eastAsia" w:ascii="宋体" w:hAnsi="宋体" w:cs="宋体"/>
          <w:b/>
          <w:bCs/>
          <w:szCs w:val="21"/>
        </w:rPr>
        <w:t xml:space="preserve">（四）质保期</w:t>
      </w:r>
      <w:r>
        <w:rPr>
          <w:rFonts w:hint="eastAsia" w:ascii="宋体" w:hAnsi="宋体" w:cs="宋体"/>
          <w:b/>
          <w:bCs/>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★1.通用计数器的质保期为验收合格之日起2年。</w:t>
      </w:r>
      <w:r>
        <w:rPr>
          <w:rFonts w:ascii="宋体" w:hAnsi="宋体" w:cs="宋体"/>
          <w:szCs w:val="21"/>
        </w:rPr>
      </w:r>
      <w:r/>
    </w:p>
    <w:p>
      <w:pPr>
        <w:pStyle w:val="1344"/>
        <w:jc w:val="center"/>
        <w:spacing w:line="480" w:lineRule="exact"/>
        <w:tabs>
          <w:tab w:val="left" w:pos="4500" w:leader="none"/>
          <w:tab w:val="left" w:pos="4680" w:leader="none"/>
        </w:tabs>
        <w:rPr>
          <w:rFonts w:ascii="宋体" w:hAnsi="宋体" w:cs="宋体"/>
          <w:b/>
          <w:szCs w:val="21"/>
        </w:rPr>
        <w:outlineLvl w:val="1"/>
      </w:pPr>
      <w:r/>
      <w:bookmarkStart w:id="388" w:name="_Toc32002"/>
      <w:r/>
      <w:bookmarkStart w:id="389" w:name="_Toc7028"/>
      <w:r>
        <w:rPr>
          <w:rFonts w:hint="eastAsia" w:ascii="宋体" w:hAnsi="宋体" w:cs="宋体"/>
          <w:b/>
          <w:szCs w:val="21"/>
        </w:rPr>
        <w:t xml:space="preserve">分包10</w:t>
      </w:r>
      <w:bookmarkEnd w:id="388"/>
      <w:r/>
      <w:bookmarkEnd w:id="389"/>
      <w:r>
        <w:rPr>
          <w:rFonts w:ascii="宋体" w:hAnsi="宋体" w:cs="宋体"/>
          <w:b/>
          <w:szCs w:val="21"/>
        </w:rPr>
      </w:r>
      <w:r/>
    </w:p>
    <w:p>
      <w:pPr>
        <w:pStyle w:val="1344"/>
        <w:ind w:firstLine="422"/>
        <w:jc w:val="center"/>
        <w:spacing w:line="480" w:lineRule="exact"/>
        <w:rPr>
          <w:rFonts w:ascii="宋体" w:hAnsi="宋体" w:cs="宋体"/>
          <w:b/>
          <w:bCs/>
          <w:szCs w:val="21"/>
        </w:rPr>
        <w:outlineLvl w:val="1"/>
      </w:pPr>
      <w:r/>
      <w:bookmarkStart w:id="390" w:name="_Toc25378"/>
      <w:r/>
      <w:bookmarkStart w:id="391" w:name="_Toc30521"/>
      <w:r>
        <w:rPr>
          <w:rFonts w:hint="eastAsia" w:ascii="宋体" w:hAnsi="宋体" w:cs="宋体"/>
          <w:b/>
          <w:szCs w:val="21"/>
        </w:rPr>
        <w:t xml:space="preserve">品目</w:t>
      </w:r>
      <w:r>
        <w:rPr>
          <w:rFonts w:hint="eastAsia" w:ascii="宋体" w:hAnsi="宋体" w:cs="宋体"/>
          <w:b/>
          <w:bCs/>
          <w:szCs w:val="21"/>
        </w:rPr>
        <w:t xml:space="preserve">1 </w:t>
      </w:r>
      <w:r>
        <w:rPr>
          <w:rFonts w:ascii="宋体" w:hAnsi="宋体" w:cs="宋体"/>
          <w:b/>
          <w:bCs/>
          <w:szCs w:val="21"/>
        </w:rPr>
        <w:t xml:space="preserve"> </w:t>
      </w:r>
      <w:bookmarkEnd w:id="390"/>
      <w:r>
        <w:rPr>
          <w:rFonts w:hint="eastAsia" w:ascii="宋体" w:hAnsi="宋体" w:cs="宋体"/>
          <w:b/>
          <w:bCs/>
          <w:szCs w:val="21"/>
        </w:rPr>
        <w:t xml:space="preserve">0.01级三相标准功率电能表</w:t>
      </w:r>
      <w:bookmarkEnd w:id="391"/>
      <w:r>
        <w:rPr>
          <w:rFonts w:ascii="宋体" w:hAnsi="宋体" w:cs="宋体"/>
          <w:b/>
          <w:bCs/>
          <w:szCs w:val="21"/>
        </w:rPr>
      </w:r>
      <w:r/>
    </w:p>
    <w:p>
      <w:pPr>
        <w:pStyle w:val="1344"/>
        <w:spacing w:line="480" w:lineRule="exact"/>
        <w:tabs>
          <w:tab w:val="left" w:pos="4500" w:leader="none"/>
          <w:tab w:val="left" w:pos="4680" w:leader="none"/>
        </w:tabs>
        <w:rPr>
          <w:rFonts w:ascii="宋体" w:hAnsi="宋体" w:cs="宋体"/>
          <w:b/>
          <w:bCs/>
          <w:szCs w:val="21"/>
        </w:rPr>
      </w:pPr>
      <w:r>
        <w:rPr>
          <w:rFonts w:hint="eastAsia" w:ascii="宋体" w:hAnsi="宋体" w:cs="宋体"/>
          <w:b/>
          <w:bCs/>
          <w:szCs w:val="21"/>
        </w:rPr>
        <w:t xml:space="preserve">★（一）设备及明细配置清单</w:t>
      </w:r>
      <w:r>
        <w:rPr>
          <w:rFonts w:ascii="宋体" w:hAnsi="宋体" w:cs="宋体"/>
          <w:b/>
          <w:bCs/>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
        <w:gridCol w:w="4870"/>
        <w:gridCol w:w="1190"/>
        <w:gridCol w:w="2866"/>
      </w:tblGrid>
      <w:tr>
        <w:trPr>
          <w:trHeight w:val="389"/>
        </w:trPr>
        <w:tc>
          <w:tcPr>
            <w:tcW w:w="469" w:type="dxa"/>
            <w:vAlign w:val="center"/>
            <w:textDirection w:val="lrTb"/>
            <w:noWrap w:val="false"/>
          </w:tcPr>
          <w:p>
            <w:pPr>
              <w:pStyle w:val="1344"/>
              <w:ind w:right="141"/>
              <w:jc w:val="center"/>
              <w:spacing w:line="480" w:lineRule="exact"/>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2471"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设备名称</w:t>
            </w:r>
            <w:r>
              <w:rPr>
                <w:rFonts w:ascii="宋体" w:hAnsi="宋体" w:cs="宋体"/>
                <w:szCs w:val="21"/>
              </w:rPr>
            </w:r>
            <w:r/>
          </w:p>
        </w:tc>
        <w:tc>
          <w:tcPr>
            <w:tcW w:w="604"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数 量</w:t>
            </w:r>
            <w:r>
              <w:rPr>
                <w:rFonts w:ascii="宋体" w:hAnsi="宋体" w:cs="宋体"/>
                <w:szCs w:val="21"/>
              </w:rPr>
            </w:r>
            <w:r/>
          </w:p>
        </w:tc>
        <w:tc>
          <w:tcPr>
            <w:tcW w:w="1454"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合同履行期限（交货期）</w:t>
            </w:r>
            <w:r>
              <w:rPr>
                <w:rFonts w:ascii="宋体" w:hAnsi="宋体" w:cs="宋体"/>
                <w:szCs w:val="21"/>
              </w:rPr>
            </w:r>
            <w:r/>
          </w:p>
        </w:tc>
      </w:tr>
      <w:tr>
        <w:trPr>
          <w:cantSplit/>
          <w:trHeight w:val="454"/>
        </w:trPr>
        <w:tc>
          <w:tcPr>
            <w:tcW w:w="469"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2471"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0</w:t>
            </w:r>
            <w:r>
              <w:rPr>
                <w:rFonts w:ascii="宋体" w:hAnsi="宋体" w:cs="宋体"/>
                <w:szCs w:val="21"/>
              </w:rPr>
              <w:t xml:space="preserve">.01</w:t>
            </w:r>
            <w:r>
              <w:rPr>
                <w:rFonts w:hint="eastAsia" w:ascii="宋体" w:hAnsi="宋体" w:cs="宋体"/>
                <w:szCs w:val="21"/>
              </w:rPr>
              <w:t xml:space="preserve">级三相标准功率电能表，不得低于以下配置：</w:t>
            </w:r>
            <w:r>
              <w:rPr>
                <w:rFonts w:ascii="宋体" w:hAnsi="宋体" w:cs="宋体"/>
                <w:szCs w:val="21"/>
              </w:rPr>
            </w:r>
            <w:r/>
          </w:p>
        </w:tc>
        <w:tc>
          <w:tcPr>
            <w:tcW w:w="604" w:type="dxa"/>
            <w:vAlign w:val="center"/>
            <w:textDirection w:val="lrTb"/>
            <w:noWrap w:val="false"/>
          </w:tcPr>
          <w:p>
            <w:pPr>
              <w:pStyle w:val="1344"/>
              <w:jc w:val="center"/>
              <w:keepNext/>
              <w:spacing w:line="480" w:lineRule="exact"/>
              <w:rPr>
                <w:rFonts w:ascii="宋体" w:hAnsi="宋体" w:cs="宋体"/>
                <w:szCs w:val="21"/>
              </w:rPr>
              <w:outlineLvl w:val="0"/>
            </w:pPr>
            <w:r/>
            <w:bookmarkStart w:id="392" w:name="_Toc1607"/>
            <w:r/>
            <w:bookmarkStart w:id="393" w:name="_Toc12803"/>
            <w:r>
              <w:rPr>
                <w:rFonts w:hint="eastAsia" w:ascii="宋体" w:hAnsi="宋体" w:cs="宋体"/>
                <w:szCs w:val="21"/>
              </w:rPr>
              <w:t xml:space="preserve">1</w:t>
            </w:r>
            <w:bookmarkEnd w:id="392"/>
            <w:r>
              <w:rPr>
                <w:rFonts w:hint="eastAsia" w:ascii="宋体" w:hAnsi="宋体" w:cs="宋体"/>
                <w:szCs w:val="21"/>
              </w:rPr>
              <w:t xml:space="preserve">台</w:t>
            </w:r>
            <w:bookmarkEnd w:id="393"/>
            <w:r>
              <w:rPr>
                <w:rFonts w:ascii="宋体" w:hAnsi="宋体" w:cs="宋体"/>
                <w:szCs w:val="21"/>
              </w:rPr>
            </w:r>
            <w:r/>
          </w:p>
        </w:tc>
        <w:tc>
          <w:tcPr>
            <w:tcW w:w="1454" w:type="dxa"/>
            <w:vAlign w:val="center"/>
            <w:vMerge w:val="restart"/>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签订合同后6个月</w:t>
            </w:r>
            <w:r>
              <w:rPr>
                <w:rFonts w:ascii="宋体" w:hAnsi="宋体" w:cs="宋体"/>
                <w:szCs w:val="21"/>
              </w:rPr>
            </w:r>
            <w:r/>
          </w:p>
        </w:tc>
      </w:tr>
      <w:tr>
        <w:trPr>
          <w:cantSplit/>
          <w:trHeight w:val="454"/>
        </w:trPr>
        <w:tc>
          <w:tcPr>
            <w:tcW w:w="469"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1.1</w:t>
            </w:r>
            <w:r>
              <w:rPr>
                <w:rFonts w:ascii="宋体" w:hAnsi="宋体" w:cs="宋体"/>
                <w:szCs w:val="21"/>
              </w:rPr>
            </w:r>
            <w:r/>
          </w:p>
        </w:tc>
        <w:tc>
          <w:tcPr>
            <w:tcW w:w="2471"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三相多功能标准电能表</w:t>
            </w:r>
            <w:r>
              <w:rPr>
                <w:rFonts w:ascii="宋体" w:hAnsi="宋体" w:cs="宋体"/>
                <w:szCs w:val="21"/>
              </w:rPr>
            </w:r>
            <w:r/>
          </w:p>
        </w:tc>
        <w:tc>
          <w:tcPr>
            <w:tcW w:w="604"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1台</w:t>
            </w:r>
            <w:r>
              <w:rPr>
                <w:rFonts w:ascii="宋体" w:hAnsi="宋体" w:cs="宋体"/>
                <w:szCs w:val="21"/>
              </w:rPr>
            </w:r>
            <w:r/>
          </w:p>
        </w:tc>
        <w:tc>
          <w:tcPr>
            <w:tcW w:w="1454" w:type="dxa"/>
            <w:vAlign w:val="center"/>
            <w:vMerge w:val="continue"/>
            <w:textDirection w:val="lrTb"/>
            <w:noWrap w:val="false"/>
          </w:tcPr>
          <w:p>
            <w:pPr>
              <w:pStyle w:val="1344"/>
              <w:jc w:val="center"/>
              <w:spacing w:line="480" w:lineRule="exact"/>
              <w:rPr>
                <w:rFonts w:ascii="宋体" w:hAnsi="宋体" w:cs="宋体"/>
                <w:szCs w:val="21"/>
              </w:rPr>
            </w:pPr>
            <w:r>
              <w:rPr>
                <w:rFonts w:ascii="宋体" w:hAnsi="宋体" w:cs="宋体"/>
                <w:szCs w:val="21"/>
              </w:rPr>
            </w:r>
            <w:r/>
          </w:p>
        </w:tc>
      </w:tr>
      <w:tr>
        <w:trPr>
          <w:cantSplit/>
          <w:trHeight w:val="454"/>
        </w:trPr>
        <w:tc>
          <w:tcPr>
            <w:tcW w:w="469"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1.2</w:t>
            </w:r>
            <w:r>
              <w:rPr>
                <w:rFonts w:ascii="宋体" w:hAnsi="宋体" w:cs="宋体"/>
                <w:szCs w:val="21"/>
              </w:rPr>
            </w:r>
            <w:r/>
          </w:p>
        </w:tc>
        <w:tc>
          <w:tcPr>
            <w:tcW w:w="2471"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实现自动检测必备的测试软件和控制机</w:t>
            </w:r>
            <w:r>
              <w:rPr>
                <w:rFonts w:ascii="宋体" w:hAnsi="宋体" w:cs="宋体"/>
                <w:szCs w:val="21"/>
              </w:rPr>
            </w:r>
            <w:r/>
          </w:p>
        </w:tc>
        <w:tc>
          <w:tcPr>
            <w:tcW w:w="604" w:type="dxa"/>
            <w:vAlign w:val="center"/>
            <w:textDirection w:val="lrTb"/>
            <w:noWrap w:val="false"/>
          </w:tcPr>
          <w:p>
            <w:pPr>
              <w:pStyle w:val="1344"/>
              <w:jc w:val="center"/>
              <w:spacing w:line="480" w:lineRule="exact"/>
              <w:rPr>
                <w:rFonts w:ascii="宋体" w:hAnsi="宋体" w:cs="宋体"/>
                <w:szCs w:val="21"/>
              </w:rPr>
            </w:pPr>
            <w:r>
              <w:rPr>
                <w:rFonts w:hint="eastAsia" w:ascii="宋体" w:hAnsi="宋体" w:cs="宋体"/>
                <w:szCs w:val="21"/>
              </w:rPr>
              <w:t xml:space="preserve">1套</w:t>
            </w:r>
            <w:r>
              <w:rPr>
                <w:rFonts w:ascii="宋体" w:hAnsi="宋体" w:cs="宋体"/>
                <w:szCs w:val="21"/>
              </w:rPr>
            </w:r>
            <w:r/>
          </w:p>
        </w:tc>
        <w:tc>
          <w:tcPr>
            <w:tcW w:w="1454" w:type="dxa"/>
            <w:vAlign w:val="center"/>
            <w:vMerge w:val="continue"/>
            <w:textDirection w:val="lrTb"/>
            <w:noWrap w:val="false"/>
          </w:tcPr>
          <w:p>
            <w:pPr>
              <w:pStyle w:val="1344"/>
              <w:jc w:val="center"/>
              <w:spacing w:line="480" w:lineRule="exact"/>
              <w:rPr>
                <w:rFonts w:ascii="宋体" w:hAnsi="宋体" w:cs="宋体"/>
                <w:szCs w:val="21"/>
              </w:rPr>
            </w:pPr>
            <w:r>
              <w:rPr>
                <w:rFonts w:ascii="宋体" w:hAnsi="宋体" w:cs="宋体"/>
                <w:szCs w:val="21"/>
              </w:rPr>
            </w:r>
            <w:r/>
          </w:p>
        </w:tc>
      </w:tr>
    </w:tbl>
    <w:p>
      <w:pPr>
        <w:pStyle w:val="1344"/>
        <w:jc w:val="left"/>
        <w:spacing w:line="480" w:lineRule="exact"/>
        <w:rPr>
          <w:rFonts w:ascii="宋体" w:hAnsi="宋体" w:cs="宋体"/>
          <w:b/>
          <w:bCs/>
          <w:szCs w:val="21"/>
        </w:rPr>
      </w:pPr>
      <w:r>
        <w:rPr>
          <w:rFonts w:hint="eastAsia" w:ascii="宋体" w:hAnsi="宋体" w:cs="宋体"/>
          <w:b/>
          <w:bCs/>
          <w:szCs w:val="21"/>
        </w:rPr>
        <w:t xml:space="preserve">（二）技术指标及功能要求</w:t>
      </w:r>
      <w:r>
        <w:rPr>
          <w:rFonts w:ascii="宋体" w:hAnsi="宋体" w:cs="宋体"/>
          <w:b/>
          <w:bCs/>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★1.测量范围：交流电压：3×（57.7～380）V；交流电流：3×（0.3mA～200A）。</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★2.电能准确度等级：0.01级；谐波电能准确度等级：0.1级。</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★3.交流功率及交流电能的稳定度：优于50 ppm/年。</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4.频率测量范围：45Hz～70Hz，分辨力：0.00001Hz，最大允许误差：± 0.005%。</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5.相位测量：范围：0～360°，分辨力：0.0001°，最大允许误差：± 0.003°（50Hz）。</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6.在三相Y/V等各种接线方式下，同时测量交流回路中的电压、电流、频率、相位、谐波、有功功率/电能、无功功率/电能、累计电能、视在功率、功率因数等参数。</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7.可测量第2～255次（50Hz/60Hz）谐波，分析各次谐波含量、总谐波失真，绘制谐波直方图。可实时分析并显示电压、电流、有功、无功和视在功率的谐波；可实时分析并显示至255次谐波的各次谐波含量、总谐波失真(THD)、谐波失真度(k)；显示谐波频域频谱，显示谐波时域波形。</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8.电能计量应支持脉冲法、累积电能法。应能测量正向、反向、总电能及谐波电能。</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9.实现自动检测必备的测试软件和控制机</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9.1 应能实现全自动化检测，包括测试参数配置、数据采集、结果分析及异常判定。可自动生成符合行业规范的检校记录和报告。</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9.2 应具备多协议兼容性，适配主流的通信协议，确保与不同品牌、型号的检测设备匹配。</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9.3 控制机不低于以下配置：处理器：物理核心≥16 核，线程≥24 线程，基础主频≥2.1GHz，≥32GB DDR5 4800MHz 内存，≥1TB NVMe M.2 高速固态硬盘存储容量。</w:t>
      </w:r>
      <w:r>
        <w:rPr>
          <w:rFonts w:ascii="宋体" w:hAnsi="宋体" w:cs="宋体"/>
          <w:szCs w:val="21"/>
        </w:rPr>
      </w:r>
      <w:r/>
    </w:p>
    <w:p>
      <w:pPr>
        <w:pStyle w:val="1344"/>
        <w:ind w:left="1" w:hanging="200"/>
        <w:jc w:val="left"/>
        <w:spacing w:line="480" w:lineRule="exact"/>
        <w:rPr>
          <w:rFonts w:ascii="宋体" w:hAnsi="宋体" w:cs="宋体"/>
          <w:b/>
          <w:bCs/>
          <w:szCs w:val="21"/>
        </w:rPr>
      </w:pPr>
      <w:r>
        <w:rPr>
          <w:rFonts w:hint="eastAsia" w:ascii="宋体" w:hAnsi="宋体" w:cs="宋体"/>
          <w:b/>
          <w:bCs/>
          <w:szCs w:val="21"/>
        </w:rPr>
        <w:t xml:space="preserve">（三）验收依据、方法及单位</w:t>
      </w:r>
      <w:r>
        <w:rPr>
          <w:rFonts w:ascii="宋体" w:hAnsi="宋体" w:cs="宋体"/>
          <w:b/>
          <w:bCs/>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1.验收依据：JJG 1085-2013《标准电能表检定规程》、制造厂商提供的用户手册中的技术要求、本技术文件。</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2.卖方负责将设备送检至中国计量科学研究院进行检定/校准，并出具检定/校准证书，检测费用由卖方承担。</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3.江苏省计量科学研究院根据以上证书、用户手册和本技术文件对整套设备的技术指标和功能进行最终验收。</w:t>
      </w:r>
      <w:r>
        <w:rPr>
          <w:rFonts w:ascii="宋体" w:hAnsi="宋体" w:cs="宋体"/>
          <w:szCs w:val="21"/>
        </w:rPr>
      </w:r>
      <w:r/>
    </w:p>
    <w:p>
      <w:pPr>
        <w:pStyle w:val="1344"/>
        <w:jc w:val="left"/>
        <w:spacing w:line="480" w:lineRule="exact"/>
        <w:rPr>
          <w:rFonts w:hint="eastAsia" w:ascii="宋体" w:hAnsi="宋体" w:cs="宋体"/>
          <w:b/>
          <w:bCs/>
          <w:szCs w:val="21"/>
        </w:rPr>
      </w:pPr>
      <w:r>
        <w:rPr>
          <w:rFonts w:hint="eastAsia" w:ascii="宋体" w:hAnsi="宋体" w:cs="宋体"/>
          <w:b/>
          <w:bCs/>
          <w:szCs w:val="21"/>
        </w:rPr>
        <w:t xml:space="preserve">（四）质保期</w:t>
      </w:r>
      <w:r>
        <w:rPr>
          <w:rFonts w:hint="eastAsia" w:ascii="宋体" w:hAnsi="宋体" w:cs="宋体"/>
          <w:b/>
          <w:bCs/>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 0.01级</w:t>
      </w:r>
      <w:r>
        <w:rPr>
          <w:rFonts w:hint="eastAsia" w:ascii="宋体" w:hAnsi="宋体" w:cs="宋体"/>
          <w:szCs w:val="21"/>
        </w:rPr>
        <w:t xml:space="preserve">三相标准功率电能表的质保期为验收合格之日起2年。</w:t>
      </w:r>
      <w:r>
        <w:rPr>
          <w:rFonts w:ascii="宋体" w:hAnsi="宋体" w:cs="宋体"/>
          <w:szCs w:val="21"/>
        </w:rPr>
      </w:r>
      <w:r/>
    </w:p>
    <w:p>
      <w:pPr>
        <w:pStyle w:val="1344"/>
        <w:jc w:val="left"/>
        <w:spacing w:line="360" w:lineRule="auto"/>
        <w:tabs>
          <w:tab w:val="left" w:pos="4500" w:leader="none"/>
          <w:tab w:val="left" w:pos="4680" w:leader="none"/>
        </w:tabs>
        <w:rPr>
          <w:rFonts w:hint="eastAsia" w:ascii="宋体" w:hAnsi="宋体" w:cs="宋体"/>
          <w:szCs w:val="21"/>
        </w:rPr>
      </w:pPr>
      <w:r>
        <w:rPr>
          <w:rFonts w:hint="eastAsia" w:ascii="宋体" w:hAnsi="宋体" w:cs="宋体"/>
          <w:szCs w:val="21"/>
        </w:rPr>
      </w:r>
      <w:r/>
    </w:p>
    <w:p>
      <w:pPr>
        <w:pStyle w:val="1344"/>
        <w:ind w:firstLine="422"/>
        <w:spacing w:line="440" w:lineRule="exact"/>
        <w:rPr>
          <w:rFonts w:hint="eastAsia" w:ascii="宋体" w:hAnsi="宋体" w:cs="宋体"/>
          <w:bCs/>
          <w:szCs w:val="21"/>
          <w:lang w:bidi="ar"/>
        </w:rPr>
      </w:pPr>
      <w:r>
        <w:rPr>
          <w:rFonts w:hint="eastAsia" w:ascii="宋体" w:hAnsi="宋体" w:cs="宋体"/>
          <w:b/>
          <w:bCs/>
          <w:szCs w:val="21"/>
        </w:rPr>
        <w:t xml:space="preserve">★三、付款方式</w:t>
      </w:r>
      <w:r>
        <w:rPr>
          <w:rFonts w:hint="eastAsia" w:ascii="宋体" w:hAnsi="宋体" w:cs="宋体"/>
          <w:b/>
          <w:bCs/>
          <w:color w:val="ff0000"/>
          <w:szCs w:val="21"/>
        </w:rPr>
        <w:t xml:space="preserve">（技术及商务响应评分项）</w:t>
      </w:r>
      <w:r>
        <w:rPr>
          <w:rFonts w:hint="eastAsia" w:ascii="宋体" w:hAnsi="宋体" w:cs="宋体"/>
          <w:b/>
          <w:bCs/>
          <w:szCs w:val="21"/>
        </w:rPr>
        <w:t xml:space="preserve">：</w:t>
      </w:r>
      <w:r>
        <w:rPr>
          <w:rFonts w:hint="eastAsia" w:ascii="宋体" w:hAnsi="宋体" w:cs="宋体"/>
          <w:bCs/>
          <w:szCs w:val="21"/>
          <w:lang w:bidi="ar"/>
        </w:rPr>
        <w:t xml:space="preserve">合同签订生</w:t>
      </w:r>
      <w:r>
        <w:rPr>
          <w:rFonts w:hint="eastAsia" w:ascii="宋体" w:hAnsi="宋体" w:cs="宋体"/>
          <w:bCs/>
          <w:color w:val="000000"/>
          <w:szCs w:val="21"/>
          <w:lang w:bidi="ar"/>
        </w:rPr>
        <w:t xml:space="preserve">效后一个月内，采购</w:t>
      </w:r>
      <w:r>
        <w:rPr>
          <w:rFonts w:hint="eastAsia" w:ascii="宋体" w:hAnsi="宋体" w:cs="宋体"/>
          <w:bCs/>
          <w:szCs w:val="21"/>
          <w:lang w:bidi="ar"/>
        </w:rPr>
        <w:t xml:space="preserve">人</w:t>
      </w:r>
      <w:r>
        <w:rPr>
          <w:rFonts w:hint="eastAsia" w:ascii="宋体" w:hAnsi="宋体" w:cs="宋体"/>
          <w:szCs w:val="21"/>
        </w:rPr>
        <w:t xml:space="preserve">向供应商支付</w:t>
      </w:r>
      <w:r>
        <w:rPr>
          <w:rFonts w:hint="eastAsia" w:ascii="宋体" w:hAnsi="宋体" w:cs="宋体"/>
          <w:bCs/>
          <w:szCs w:val="21"/>
          <w:lang w:bidi="ar"/>
        </w:rPr>
        <w:t xml:space="preserve">合同金额35%的预付款，设备、材料全部运抵采购人指定地点，安装结束，调试完毕，并验收合格</w:t>
      </w:r>
      <w:r>
        <w:rPr>
          <w:rFonts w:hint="eastAsia" w:ascii="宋体" w:hAnsi="宋体" w:cs="宋体"/>
          <w:bCs/>
          <w:szCs w:val="21"/>
          <w:lang w:eastAsia="zh-CN" w:bidi="ar"/>
        </w:rPr>
        <w:t xml:space="preserve">、</w:t>
      </w:r>
      <w:r>
        <w:rPr>
          <w:rFonts w:hint="eastAsia" w:ascii="宋体" w:hAnsi="宋体" w:cs="宋体"/>
          <w:bCs/>
          <w:szCs w:val="21"/>
          <w:lang w:bidi="ar"/>
        </w:rPr>
        <w:t xml:space="preserve">供应商向采购人开具合同金额10%的银行保函（作为履约保证金）后，采购人向供应商支付合同金额65%的货款，保函在合同履行完毕后无息退回。如供应商未能履行合同规定的义务，采购人有权从履约保证金中取得补偿。</w:t>
      </w:r>
      <w:r>
        <w:rPr>
          <w:rFonts w:hint="eastAsia" w:ascii="宋体" w:hAnsi="宋体" w:cs="宋体"/>
          <w:bCs/>
          <w:szCs w:val="21"/>
          <w:lang w:bidi="ar"/>
        </w:rPr>
      </w:r>
      <w:r/>
    </w:p>
    <w:p>
      <w:pPr>
        <w:pStyle w:val="1344"/>
        <w:ind w:firstLine="422"/>
        <w:spacing w:line="440" w:lineRule="exact"/>
        <w:rPr>
          <w:rFonts w:ascii="宋体" w:hAnsi="宋体" w:cs="宋体"/>
          <w:b/>
          <w:color w:val="000000"/>
          <w:szCs w:val="21"/>
          <w:lang w:bidi="ar"/>
        </w:rPr>
      </w:pPr>
      <w:r>
        <w:rPr>
          <w:rFonts w:hint="eastAsia" w:ascii="宋体" w:hAnsi="宋体" w:cs="宋体"/>
          <w:b/>
          <w:szCs w:val="21"/>
          <w:lang w:bidi="ar"/>
        </w:rPr>
        <w:t xml:space="preserve">因供应商原因没有按期提供银行保函和发票的，致使采购人未能及时付款所产生的责任由供应商</w:t>
      </w:r>
      <w:r>
        <w:rPr>
          <w:rFonts w:hint="eastAsia" w:ascii="宋体" w:hAnsi="宋体" w:cs="宋体"/>
          <w:b/>
          <w:szCs w:val="21"/>
          <w:lang w:val="en-US" w:eastAsia="zh-CN" w:bidi="ar"/>
        </w:rPr>
        <w:t xml:space="preserve">承担</w:t>
      </w:r>
      <w:r>
        <w:rPr>
          <w:rFonts w:hint="eastAsia" w:ascii="宋体" w:hAnsi="宋体" w:cs="宋体"/>
          <w:b/>
          <w:szCs w:val="21"/>
          <w:lang w:bidi="ar"/>
        </w:rPr>
        <w:t xml:space="preserve">，采</w:t>
      </w:r>
      <w:r>
        <w:rPr>
          <w:rFonts w:hint="eastAsia" w:ascii="宋体" w:hAnsi="宋体" w:cs="宋体"/>
          <w:b/>
          <w:color w:val="000000"/>
          <w:szCs w:val="21"/>
          <w:lang w:bidi="ar"/>
        </w:rPr>
        <w:t xml:space="preserve">购人不承担违约责任。</w:t>
      </w:r>
      <w:r>
        <w:rPr>
          <w:rFonts w:ascii="宋体" w:hAnsi="宋体" w:cs="宋体"/>
          <w:b/>
          <w:color w:val="000000"/>
          <w:szCs w:val="21"/>
          <w:lang w:bidi="ar"/>
        </w:rPr>
      </w:r>
      <w:r/>
    </w:p>
    <w:p>
      <w:pPr>
        <w:pStyle w:val="1344"/>
        <w:ind w:firstLine="422"/>
        <w:spacing w:line="440" w:lineRule="exact"/>
        <w:rPr>
          <w:rFonts w:hint="eastAsia" w:ascii="宋体" w:hAnsi="宋体" w:cs="宋体"/>
          <w:b/>
          <w:szCs w:val="21"/>
          <w:lang w:bidi="ar"/>
        </w:rPr>
      </w:pPr>
      <w:r>
        <w:rPr>
          <w:rFonts w:hint="eastAsia" w:ascii="宋体" w:hAnsi="宋体" w:cs="宋体"/>
          <w:b/>
          <w:bCs/>
          <w:color w:val="000000"/>
          <w:szCs w:val="21"/>
          <w:lang w:bidi="ar"/>
        </w:rPr>
        <w:t xml:space="preserve">若产品存在质量问题，则不受该付款条件约束，应按照本合同条款其他要求以及民法典有关规定执行。</w:t>
      </w:r>
      <w:r>
        <w:rPr>
          <w:rFonts w:hint="eastAsia" w:ascii="宋体" w:hAnsi="宋体" w:cs="宋体"/>
          <w:b/>
          <w:szCs w:val="21"/>
          <w:lang w:bidi="ar"/>
        </w:rPr>
      </w:r>
      <w:r/>
    </w:p>
    <w:p>
      <w:pPr>
        <w:pStyle w:val="1344"/>
        <w:jc w:val="left"/>
        <w:spacing w:line="360" w:lineRule="auto"/>
        <w:rPr>
          <w:rFonts w:hint="eastAsia" w:ascii="宋体" w:cs="宋体"/>
          <w:b/>
          <w:bCs/>
          <w:szCs w:val="21"/>
        </w:rPr>
      </w:pPr>
      <w:r>
        <w:rPr>
          <w:rFonts w:hint="eastAsia" w:ascii="宋体" w:cs="宋体"/>
          <w:b/>
          <w:bCs/>
          <w:szCs w:val="21"/>
        </w:rPr>
      </w:r>
      <w:r/>
    </w:p>
    <w:p>
      <w:pPr>
        <w:pStyle w:val="1344"/>
        <w:spacing w:line="480" w:lineRule="exact"/>
        <w:rPr>
          <w:rFonts w:ascii="宋体" w:hAnsi="宋体" w:cs="宋体"/>
          <w:b/>
          <w:bCs/>
          <w:szCs w:val="21"/>
        </w:rPr>
      </w:pPr>
      <w:r>
        <w:rPr>
          <w:rFonts w:hint="eastAsia" w:ascii="宋体" w:hAnsi="宋体" w:cs="宋体"/>
          <w:b/>
          <w:bCs/>
          <w:szCs w:val="21"/>
        </w:rPr>
        <w:t xml:space="preserve">四、安装调试</w:t>
      </w:r>
      <w:r>
        <w:rPr>
          <w:rFonts w:hint="eastAsia" w:ascii="宋体" w:hAnsi="宋体" w:cs="宋体"/>
          <w:b/>
          <w:bCs/>
          <w:color w:val="ff0000"/>
          <w:szCs w:val="21"/>
        </w:rPr>
        <w:t xml:space="preserve">（技术及商务响应评分项）</w:t>
      </w:r>
      <w:r>
        <w:rPr>
          <w:rFonts w:ascii="宋体" w:hAnsi="宋体" w:cs="宋体"/>
          <w:b/>
          <w:bCs/>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1.卖方向买方提供设备供货清单，由买方确认。当货物到达买方指定的交货地点后，买卖双方依据设备供货清单共同对设备进行开箱验收，并对设备的数量、品质进行逐项检查。如买方发现所提供设备的品质和技术规范不符合合同要求时，或有明显损坏，买方有权向卖方提出退、换和索赔；</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2.在设备到达交货地点后，卖方应尽快安排技术人员完成整套设备的安装和调试，同时协助买方合理安排试验环境和条件的布置。卖方承担安装调试相关全部费用。</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3.在安装调试过程中如有任何软、硬件故障发生，卖方必须更换不合格的部件，并重新进行安装测试，由此引起的全部费用由卖方承担。</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4.在安装、调试过程中，卖方应向买方提供完整的技术说明书、用户手册及维修手册等相关技术文档资料，对买方技术人员所提出的技术问题给予满意的答复。</w:t>
      </w:r>
      <w:r>
        <w:rPr>
          <w:rFonts w:ascii="宋体" w:hAnsi="宋体" w:cs="宋体"/>
          <w:szCs w:val="21"/>
        </w:rPr>
      </w:r>
      <w:r/>
    </w:p>
    <w:p>
      <w:pPr>
        <w:pStyle w:val="1344"/>
        <w:spacing w:line="480" w:lineRule="exact"/>
        <w:rPr>
          <w:rFonts w:hint="eastAsia" w:ascii="宋体" w:hAnsi="宋体" w:cs="宋体"/>
          <w:b/>
          <w:bCs/>
          <w:szCs w:val="21"/>
        </w:rPr>
      </w:pPr>
      <w:r>
        <w:rPr>
          <w:rFonts w:hint="eastAsia" w:ascii="宋体" w:hAnsi="宋体" w:cs="宋体"/>
          <w:b/>
          <w:bCs/>
          <w:szCs w:val="21"/>
        </w:rPr>
      </w:r>
      <w:r/>
    </w:p>
    <w:p>
      <w:pPr>
        <w:pStyle w:val="1344"/>
        <w:spacing w:line="480" w:lineRule="exact"/>
        <w:rPr>
          <w:rFonts w:ascii="宋体" w:hAnsi="宋体" w:cs="宋体"/>
          <w:b/>
          <w:bCs/>
          <w:szCs w:val="21"/>
        </w:rPr>
      </w:pPr>
      <w:r>
        <w:rPr>
          <w:rFonts w:hint="eastAsia" w:ascii="宋体" w:hAnsi="宋体" w:cs="宋体"/>
          <w:b/>
          <w:bCs/>
          <w:szCs w:val="21"/>
        </w:rPr>
        <w:t xml:space="preserve">五、人员培训要求</w:t>
      </w:r>
      <w:r>
        <w:rPr>
          <w:rFonts w:hint="eastAsia" w:ascii="宋体" w:hAnsi="宋体" w:cs="宋体"/>
          <w:b/>
          <w:bCs/>
          <w:color w:val="ff0000"/>
          <w:szCs w:val="21"/>
        </w:rPr>
        <w:t xml:space="preserve">（技术及商务响应评分项）</w:t>
      </w:r>
      <w:r>
        <w:rPr>
          <w:rFonts w:ascii="宋体" w:hAnsi="宋体" w:cs="宋体"/>
          <w:b/>
          <w:bCs/>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1.卖方应派技术工程师到买方现场对买方人员进行技术培训，使买方人员能掌握有关系统设备的使用、维护和管理，达到能独立进行操作、日常测试、运行维护等工作的目的。</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2.培训内容包括：基本理论和方法、仪器使用、仪器维护、安全注意事项以及其他相关内容。培训时应提供详细的培训文件。</w:t>
      </w:r>
      <w:r>
        <w:rPr>
          <w:rFonts w:ascii="宋体" w:hAnsi="宋体" w:cs="宋体"/>
          <w:szCs w:val="21"/>
        </w:rPr>
      </w:r>
      <w:r/>
    </w:p>
    <w:p>
      <w:pPr>
        <w:pStyle w:val="1344"/>
        <w:ind w:firstLine="420"/>
        <w:spacing w:line="480" w:lineRule="exact"/>
        <w:rPr>
          <w:rFonts w:hint="eastAsia" w:ascii="宋体" w:hAnsi="宋体" w:cs="宋体"/>
          <w:szCs w:val="21"/>
        </w:rPr>
      </w:pPr>
      <w:r>
        <w:rPr>
          <w:rFonts w:hint="eastAsia" w:ascii="宋体" w:hAnsi="宋体" w:cs="宋体"/>
          <w:szCs w:val="21"/>
        </w:rPr>
        <w:t xml:space="preserve">3.所发生的培训费用由卖方承担。</w:t>
      </w:r>
      <w:r>
        <w:rPr>
          <w:rFonts w:hint="eastAsia" w:ascii="宋体" w:hAnsi="宋体" w:cs="宋体"/>
          <w:szCs w:val="21"/>
        </w:rPr>
      </w:r>
      <w:r/>
    </w:p>
    <w:p>
      <w:pPr>
        <w:pStyle w:val="1344"/>
        <w:spacing w:line="480" w:lineRule="exact"/>
        <w:rPr>
          <w:rFonts w:hint="eastAsia" w:ascii="宋体" w:hAnsi="宋体" w:cs="宋体"/>
          <w:b/>
          <w:bCs/>
          <w:szCs w:val="21"/>
        </w:rPr>
      </w:pPr>
      <w:r>
        <w:rPr>
          <w:rFonts w:hint="eastAsia" w:ascii="宋体" w:hAnsi="宋体" w:cs="宋体"/>
          <w:b/>
          <w:bCs/>
          <w:szCs w:val="21"/>
        </w:rPr>
      </w:r>
      <w:r/>
    </w:p>
    <w:p>
      <w:pPr>
        <w:pStyle w:val="1344"/>
        <w:spacing w:line="480" w:lineRule="exact"/>
        <w:rPr>
          <w:rFonts w:ascii="宋体" w:hAnsi="宋体" w:cs="宋体"/>
          <w:b/>
          <w:bCs/>
          <w:szCs w:val="21"/>
        </w:rPr>
      </w:pPr>
      <w:r>
        <w:rPr>
          <w:rFonts w:hint="eastAsia" w:ascii="宋体" w:hAnsi="宋体" w:cs="宋体"/>
          <w:b/>
          <w:bCs/>
          <w:szCs w:val="21"/>
        </w:rPr>
        <w:t xml:space="preserve">六、技术支持以及售后服务</w:t>
      </w:r>
      <w:r>
        <w:rPr>
          <w:rFonts w:hint="eastAsia" w:ascii="宋体" w:hAnsi="宋体" w:cs="宋体"/>
          <w:b/>
          <w:bCs/>
          <w:color w:val="ff0000"/>
          <w:szCs w:val="21"/>
        </w:rPr>
        <w:t xml:space="preserve">（技术及商务响应评分项）</w:t>
      </w:r>
      <w:r>
        <w:rPr>
          <w:rFonts w:ascii="宋体" w:hAnsi="宋体" w:cs="宋体"/>
          <w:b/>
          <w:bCs/>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★1.质保期：详见各产品具体要求。</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2.在质保期内，卖方负责为买方的设备提供免费维护、保养和免费更换损坏的和有缺陷的零部件、配件。设备各部件发生非人为故障，卖方应免费更换同种品牌不低于原价位、规格、型号的部件。质保期之后，卖方提供终身优惠服务和技术支持，原则上卖方技术人员上门维修只收取更换的零部件费，不另收取工时费。</w:t>
      </w:r>
      <w:r>
        <w:rPr>
          <w:rFonts w:ascii="宋体" w:hAnsi="宋体" w:cs="宋体"/>
          <w:szCs w:val="21"/>
        </w:rPr>
      </w:r>
      <w:r/>
    </w:p>
    <w:p>
      <w:pPr>
        <w:pStyle w:val="1344"/>
        <w:ind w:firstLine="420"/>
        <w:spacing w:line="480" w:lineRule="exact"/>
        <w:rPr>
          <w:rFonts w:ascii="宋体" w:hAnsi="宋体" w:cs="宋体"/>
          <w:szCs w:val="21"/>
        </w:rPr>
      </w:pPr>
      <w:r>
        <w:rPr>
          <w:rFonts w:hint="eastAsia" w:ascii="宋体" w:hAnsi="宋体" w:cs="宋体"/>
          <w:szCs w:val="21"/>
        </w:rPr>
        <w:t xml:space="preserve">3.设备出现故障需要修理时，卖方须在接到故障信息后24小时内回应，通过电话、传真及邮件的方式指导采购人排除故障；若故障仍不能排除，在48小时内上门调试维修排故。所换零件按成本价收取。</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4.卖方提供备用设备服务，如买方仪器发生故障，无法在短时间内修复，而买方急需使用仪器，如卖方有类似的设备, 卖方将无偿提供计量合格的备用设备，直到产品修理完成为止。</w:t>
      </w:r>
      <w:r>
        <w:rPr>
          <w:rFonts w:ascii="宋体" w:hAnsi="宋体" w:cs="宋体"/>
          <w:szCs w:val="21"/>
        </w:rPr>
      </w:r>
      <w:r/>
    </w:p>
    <w:p>
      <w:pPr>
        <w:pStyle w:val="1344"/>
        <w:ind w:firstLine="420"/>
        <w:jc w:val="left"/>
        <w:spacing w:line="480" w:lineRule="exact"/>
        <w:rPr>
          <w:rFonts w:ascii="宋体" w:hAnsi="宋体" w:cs="宋体"/>
          <w:szCs w:val="21"/>
        </w:rPr>
      </w:pPr>
      <w:r>
        <w:rPr>
          <w:rFonts w:hint="eastAsia" w:ascii="宋体" w:hAnsi="宋体" w:cs="宋体"/>
          <w:szCs w:val="21"/>
        </w:rPr>
        <w:t xml:space="preserve">5.卖方提供系统软件终生免费升级服务；如相应计量规程规范发生变更，免费升级软件。</w:t>
      </w:r>
      <w:r>
        <w:rPr>
          <w:rFonts w:ascii="宋体" w:hAnsi="宋体" w:cs="宋体"/>
          <w:szCs w:val="21"/>
        </w:rPr>
      </w:r>
      <w:r/>
    </w:p>
    <w:p>
      <w:pPr>
        <w:pStyle w:val="1344"/>
        <w:jc w:val="left"/>
        <w:spacing w:line="480" w:lineRule="exact"/>
        <w:tabs>
          <w:tab w:val="left" w:pos="1680" w:leader="none"/>
        </w:tabs>
        <w:rPr>
          <w:rFonts w:hint="eastAsia" w:ascii="宋体" w:hAnsi="宋体" w:cs="宋体"/>
          <w:szCs w:val="21"/>
        </w:rPr>
      </w:pPr>
      <w:r>
        <w:rPr>
          <w:rFonts w:hint="eastAsia" w:ascii="宋体" w:hAnsi="宋体" w:cs="宋体"/>
          <w:b/>
          <w:szCs w:val="21"/>
        </w:rPr>
        <w:br w:type="textWrapping" w:clear="all"/>
      </w:r>
      <w:r>
        <w:rPr>
          <w:rFonts w:hint="eastAsia" w:ascii="宋体" w:hAnsi="宋体" w:cs="宋体"/>
          <w:b/>
          <w:szCs w:val="21"/>
        </w:rPr>
        <w:t xml:space="preserve">七、方案要求</w:t>
      </w:r>
      <w:r>
        <w:rPr>
          <w:rFonts w:hint="eastAsia" w:ascii="宋体" w:hAnsi="宋体" w:cs="宋体"/>
          <w:b/>
          <w:bCs/>
          <w:color w:val="ff0000"/>
          <w:szCs w:val="21"/>
        </w:rPr>
        <w:t xml:space="preserve">（非技术及商务响应评分项）</w:t>
      </w:r>
      <w:r>
        <w:rPr>
          <w:rFonts w:hint="eastAsia" w:ascii="宋体" w:hAnsi="宋体" w:cs="宋体"/>
          <w:szCs w:val="21"/>
        </w:rPr>
        <w:t xml:space="preserve">：</w:t>
      </w:r>
      <w:r>
        <w:rPr>
          <w:rFonts w:hint="eastAsia" w:ascii="宋体" w:hAnsi="宋体" w:cs="宋体"/>
          <w:szCs w:val="21"/>
        </w:rPr>
      </w:r>
      <w:r/>
    </w:p>
    <w:p>
      <w:pPr>
        <w:pStyle w:val="1344"/>
        <w:ind w:firstLine="420"/>
        <w:jc w:val="left"/>
        <w:spacing w:line="480" w:lineRule="exact"/>
        <w:tabs>
          <w:tab w:val="left" w:pos="1680" w:leader="none"/>
        </w:tabs>
        <w:rPr>
          <w:rFonts w:hint="eastAsia" w:ascii="宋体" w:hAnsi="宋体" w:cs="宋体"/>
          <w:szCs w:val="21"/>
        </w:rPr>
      </w:pPr>
      <w:r>
        <w:rPr>
          <w:rFonts w:hint="eastAsia" w:ascii="宋体" w:hAnsi="宋体" w:cs="宋体"/>
          <w:szCs w:val="21"/>
        </w:rPr>
        <w:t xml:space="preserve">1.实施方案：投标人需根据对本项目的理解提供项目总体实施方案，包但不限于整体组织架构、风险控制管理、质量保障措施、安全管理措施、文档管理措施、供货计划、设备安装计划安排、改造方案等。</w:t>
      </w:r>
      <w:r>
        <w:rPr>
          <w:rFonts w:hint="eastAsia" w:ascii="宋体" w:hAnsi="宋体" w:cs="宋体"/>
          <w:szCs w:val="21"/>
        </w:rPr>
      </w:r>
      <w:r/>
    </w:p>
    <w:p>
      <w:pPr>
        <w:pStyle w:val="1344"/>
        <w:ind w:firstLine="420"/>
        <w:jc w:val="left"/>
        <w:spacing w:line="480" w:lineRule="exact"/>
        <w:tabs>
          <w:tab w:val="left" w:pos="1680" w:leader="none"/>
        </w:tabs>
        <w:rPr>
          <w:rFonts w:hint="eastAsia" w:ascii="宋体" w:hAnsi="宋体" w:cs="宋体"/>
          <w:szCs w:val="21"/>
        </w:rPr>
      </w:pPr>
      <w:r>
        <w:rPr>
          <w:rFonts w:hint="eastAsia" w:ascii="宋体" w:hAnsi="宋体" w:cs="宋体"/>
          <w:szCs w:val="21"/>
        </w:rPr>
        <w:t xml:space="preserve">2.技术支撑方案：投标人需提供详细技术支撑和实施计划方案，包括但不限于人员配置、产品质量控制、安装调试验收项目进度等方面。</w:t>
      </w:r>
      <w:r>
        <w:rPr>
          <w:rFonts w:hint="eastAsia" w:ascii="宋体" w:hAnsi="宋体" w:cs="宋体"/>
          <w:szCs w:val="21"/>
        </w:rPr>
      </w:r>
      <w:r/>
    </w:p>
    <w:p>
      <w:pPr>
        <w:pStyle w:val="1344"/>
        <w:ind w:firstLine="420"/>
        <w:jc w:val="left"/>
        <w:spacing w:line="480" w:lineRule="exact"/>
        <w:tabs>
          <w:tab w:val="left" w:pos="1680" w:leader="none"/>
        </w:tabs>
        <w:rPr>
          <w:rFonts w:hint="eastAsia" w:ascii="宋体" w:hAnsi="宋体" w:cs="宋体"/>
          <w:szCs w:val="21"/>
        </w:rPr>
      </w:pPr>
      <w:r>
        <w:rPr>
          <w:rFonts w:hint="eastAsia" w:ascii="宋体" w:hAnsi="宋体" w:cs="宋体"/>
          <w:szCs w:val="21"/>
        </w:rPr>
        <w:t xml:space="preserve">3.售后服务方案：投标人需提供详细的售后服务方案，包括但不限于服务体系、服务内容、故障解决方案、响应时间、专业技术人员保障及服务电话、备品备件保证、质保期外维保方案等方面。</w:t>
      </w:r>
      <w:r>
        <w:rPr>
          <w:rFonts w:hint="eastAsia" w:ascii="宋体" w:hAnsi="宋体" w:cs="宋体"/>
          <w:szCs w:val="21"/>
        </w:rPr>
      </w:r>
      <w:r/>
    </w:p>
    <w:p>
      <w:pPr>
        <w:pStyle w:val="1344"/>
        <w:ind w:firstLine="420"/>
        <w:jc w:val="left"/>
        <w:spacing w:line="480" w:lineRule="exact"/>
        <w:tabs>
          <w:tab w:val="left" w:pos="1680" w:leader="none"/>
        </w:tabs>
        <w:rPr>
          <w:rFonts w:hint="eastAsia" w:ascii="宋体" w:hAnsi="宋体" w:cs="宋体"/>
          <w:szCs w:val="21"/>
        </w:rPr>
      </w:pPr>
      <w:r>
        <w:rPr>
          <w:rFonts w:hint="eastAsia" w:ascii="宋体" w:hAnsi="宋体" w:cs="宋体"/>
          <w:szCs w:val="21"/>
        </w:rPr>
        <w:t xml:space="preserve">4.培训方案：投标人需提供详细的培训方案，包括但不限于培训目标、培训方法、培训内容、培训师资力量、培训时间、拟提供的培训资料等方面。</w:t>
      </w:r>
      <w:r>
        <w:rPr>
          <w:rFonts w:hint="eastAsia" w:ascii="宋体" w:hAnsi="宋体" w:cs="宋体"/>
          <w:szCs w:val="21"/>
        </w:rPr>
      </w:r>
      <w:r/>
    </w:p>
    <w:p>
      <w:pPr>
        <w:pStyle w:val="1344"/>
        <w:jc w:val="left"/>
        <w:spacing w:line="360" w:lineRule="auto"/>
        <w:rPr>
          <w:sz w:val="24"/>
          <w:szCs w:val="24"/>
          <w:highlight w:val="yellow"/>
        </w:rPr>
      </w:pPr>
      <w:r>
        <w:rPr>
          <w:sz w:val="24"/>
          <w:szCs w:val="24"/>
          <w:highlight w:val="yellow"/>
        </w:rPr>
        <w:br w:type="page" w:clear="all"/>
      </w:r>
      <w:r>
        <w:rPr>
          <w:sz w:val="24"/>
          <w:szCs w:val="24"/>
          <w:highlight w:val="yellow"/>
        </w:rPr>
      </w:r>
      <w:r/>
    </w:p>
    <w:p>
      <w:pPr>
        <w:pStyle w:val="1344"/>
        <w:jc w:val="center"/>
        <w:spacing w:line="440" w:lineRule="exact"/>
        <w:rPr>
          <w:b/>
          <w:sz w:val="28"/>
          <w:szCs w:val="28"/>
        </w:rPr>
        <w:outlineLvl w:val="0"/>
      </w:pPr>
      <w:r/>
      <w:bookmarkStart w:id="394" w:name="_Toc25093"/>
      <w:r>
        <w:rPr>
          <w:b/>
          <w:sz w:val="28"/>
          <w:szCs w:val="28"/>
        </w:rPr>
        <w:t xml:space="preserve">第五章 拟签订的合同文本</w:t>
      </w:r>
      <w:bookmarkEnd w:id="244"/>
      <w:r/>
      <w:bookmarkEnd w:id="394"/>
      <w:r>
        <w:rPr>
          <w:b/>
          <w:sz w:val="28"/>
          <w:szCs w:val="28"/>
        </w:rPr>
      </w:r>
      <w:r/>
    </w:p>
    <w:p>
      <w:pPr>
        <w:pStyle w:val="1344"/>
        <w:jc w:val="center"/>
        <w:spacing w:line="440" w:lineRule="exact"/>
        <w:rPr>
          <w:b/>
          <w:sz w:val="28"/>
          <w:szCs w:val="28"/>
        </w:rPr>
      </w:pPr>
      <w:r/>
      <w:bookmarkStart w:id="395" w:name="_Toc6085"/>
      <w:r>
        <w:rPr>
          <w:b/>
          <w:sz w:val="28"/>
          <w:szCs w:val="28"/>
        </w:rPr>
        <w:t xml:space="preserve">（参考格式，本合同内容条款在正式签署前可具体补充细化，仅作参考，最终合同以采购人法务审查通过的版本为准）</w:t>
      </w:r>
      <w:bookmarkEnd w:id="395"/>
      <w:r>
        <w:rPr>
          <w:b/>
          <w:sz w:val="28"/>
          <w:szCs w:val="28"/>
        </w:rPr>
      </w:r>
      <w:r/>
    </w:p>
    <w:p>
      <w:pPr>
        <w:pStyle w:val="1344"/>
        <w:jc w:val="center"/>
        <w:rPr>
          <w:b/>
          <w:sz w:val="24"/>
          <w:u w:val="single"/>
        </w:rPr>
      </w:pPr>
      <w:r>
        <w:rPr>
          <w:b/>
          <w:sz w:val="24"/>
          <w:u w:val="single"/>
        </w:rPr>
      </w:r>
      <w:r/>
    </w:p>
    <w:p>
      <w:pPr>
        <w:pStyle w:val="1344"/>
        <w:jc w:val="center"/>
        <w:rPr>
          <w:b/>
          <w:sz w:val="24"/>
        </w:rPr>
      </w:pPr>
      <w:r>
        <w:rPr>
          <w:b/>
          <w:sz w:val="24"/>
          <w:u w:val="single"/>
        </w:rPr>
        <w:t xml:space="preserve">（采购人）（项目名称）</w:t>
      </w:r>
      <w:r>
        <w:rPr>
          <w:b/>
          <w:sz w:val="24"/>
        </w:rPr>
        <w:t xml:space="preserve">采购合同</w:t>
      </w:r>
      <w:r>
        <w:rPr>
          <w:b/>
          <w:sz w:val="24"/>
        </w:rPr>
      </w:r>
      <w:r/>
    </w:p>
    <w:p>
      <w:pPr>
        <w:pStyle w:val="1344"/>
        <w:jc w:val="center"/>
        <w:rPr>
          <w:b/>
          <w:sz w:val="24"/>
        </w:rPr>
      </w:pPr>
      <w:r>
        <w:rPr>
          <w:b/>
          <w:sz w:val="24"/>
        </w:rPr>
        <w:t xml:space="preserve">（货物类模板）</w:t>
      </w:r>
      <w:r>
        <w:rPr>
          <w:b/>
          <w:sz w:val="24"/>
        </w:rPr>
      </w:r>
      <w:r/>
    </w:p>
    <w:p>
      <w:pPr>
        <w:pStyle w:val="1344"/>
        <w:jc w:val="center"/>
        <w:rPr>
          <w:szCs w:val="21"/>
        </w:rPr>
      </w:pPr>
      <w:r>
        <w:rPr>
          <w:szCs w:val="21"/>
        </w:rPr>
      </w:r>
      <w:r/>
    </w:p>
    <w:p>
      <w:pPr>
        <w:pStyle w:val="1344"/>
        <w:spacing w:line="440" w:lineRule="exact"/>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 xml:space="preserve">买方（甲方）：江苏省计量科学研究院（江苏省能源计量数据中心）</w:t>
      </w:r>
      <w:r>
        <w:rPr>
          <w:rFonts w:hint="eastAsia" w:ascii="宋体" w:hAnsi="宋体" w:cs="宋体"/>
          <w:szCs w:val="21"/>
        </w:rPr>
      </w:r>
      <w:r/>
    </w:p>
    <w:p>
      <w:pPr>
        <w:pStyle w:val="1344"/>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卖方（乙方）： </w:t>
      </w:r>
      <w:r>
        <w:rPr>
          <w:rFonts w:hint="eastAsia" w:ascii="宋体" w:hAnsi="宋体" w:cs="宋体"/>
          <w:szCs w:val="21"/>
        </w:rPr>
      </w:r>
      <w:r/>
    </w:p>
    <w:p>
      <w:pPr>
        <w:pStyle w:val="1344"/>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采购代理机构： </w:t>
      </w:r>
      <w:r>
        <w:rPr>
          <w:rFonts w:hint="eastAsia" w:ascii="宋体" w:hAnsi="宋体" w:cs="宋体"/>
          <w:szCs w:val="21"/>
        </w:rPr>
      </w:r>
      <w:r/>
    </w:p>
    <w:p>
      <w:pPr>
        <w:pStyle w:val="1344"/>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一、说明：</w:t>
      </w:r>
      <w:r>
        <w:rPr>
          <w:rFonts w:hint="eastAsia" w:ascii="宋体" w:hAnsi="宋体" w:cs="宋体"/>
          <w:szCs w:val="21"/>
        </w:rPr>
      </w:r>
      <w:r/>
    </w:p>
    <w:p>
      <w:pPr>
        <w:pStyle w:val="1344"/>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受买方委托，采购代理机构于2026年 月 日组织了江苏省计量科学研究院（江苏省能源计量数据中心）所需</w:t>
      </w:r>
      <w:r>
        <w:rPr>
          <w:rFonts w:hint="eastAsia" w:ascii="宋体" w:hAnsi="宋体" w:cs="宋体"/>
          <w:szCs w:val="21"/>
        </w:rPr>
        <w:t xml:space="preserve">检测设备</w:t>
      </w:r>
      <w:r>
        <w:rPr>
          <w:rFonts w:hint="eastAsia" w:ascii="宋体" w:hAnsi="宋体" w:cs="宋体"/>
          <w:szCs w:val="21"/>
        </w:rPr>
        <w:t xml:space="preserve">采购项目（项目编号：</w:t>
      </w:r>
      <w:r>
        <w:rPr>
          <w:rFonts w:hint="eastAsia" w:ascii="宋体" w:hAnsi="宋体" w:cs="宋体"/>
          <w:szCs w:val="21"/>
          <w:u w:val="single"/>
        </w:rPr>
        <w:t xml:space="preserve">        </w:t>
      </w:r>
      <w:r>
        <w:rPr>
          <w:rFonts w:hint="eastAsia" w:ascii="宋体" w:hAnsi="宋体" w:cs="宋体"/>
          <w:szCs w:val="21"/>
        </w:rPr>
        <w:t xml:space="preserve"> ）的评审活动，经评委认真严格地评审，确定由卖方成交。</w:t>
      </w:r>
      <w:r>
        <w:rPr>
          <w:rFonts w:hint="eastAsia" w:ascii="宋体" w:hAnsi="宋体" w:cs="宋体"/>
          <w:szCs w:val="21"/>
        </w:rPr>
      </w:r>
      <w:r/>
    </w:p>
    <w:p>
      <w:pPr>
        <w:pStyle w:val="1344"/>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二、合同条款：</w:t>
      </w:r>
      <w:r>
        <w:rPr>
          <w:rFonts w:hint="eastAsia" w:ascii="宋体" w:hAnsi="宋体" w:cs="宋体"/>
          <w:szCs w:val="21"/>
        </w:rPr>
      </w:r>
      <w:r/>
    </w:p>
    <w:p>
      <w:pPr>
        <w:pStyle w:val="1344"/>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合同由买卖双方签订，并依据本项目采购文件规定，按下列合同条款买方同意购入，卖方同意卖出下列设备及服务。</w:t>
      </w:r>
      <w:r>
        <w:rPr>
          <w:rFonts w:hint="eastAsia" w:ascii="宋体" w:hAnsi="宋体" w:cs="宋体"/>
          <w:szCs w:val="21"/>
        </w:rPr>
      </w:r>
      <w:r/>
    </w:p>
    <w:p>
      <w:pPr>
        <w:pStyle w:val="1344"/>
        <w:contextualSpacing/>
        <w:ind w:left="720" w:firstLine="480"/>
        <w:jc w:val="left"/>
        <w:spacing w:before="100" w:after="100" w:line="360" w:lineRule="auto"/>
        <w:widowControl/>
        <w:tabs>
          <w:tab w:val="left" w:pos="4785" w:leader="none"/>
        </w:tabs>
        <w:rPr>
          <w:rFonts w:hint="eastAsia" w:ascii="宋体" w:hAnsi="宋体" w:cs="宋体"/>
          <w:szCs w:val="21"/>
        </w:rPr>
      </w:pPr>
      <w:r>
        <w:rPr>
          <w:rFonts w:hint="eastAsia" w:ascii="宋体" w:hAnsi="宋体" w:cs="宋体"/>
          <w:szCs w:val="21"/>
        </w:rPr>
        <w:t xml:space="preserve">1.设备名称、型号规格、数量及服务内容。</w:t>
      </w:r>
      <w:r>
        <w:rPr>
          <w:rFonts w:hint="eastAsia" w:ascii="宋体" w:hAnsi="宋体" w:cs="宋体"/>
          <w:szCs w:val="21"/>
        </w:rPr>
      </w:r>
      <w:r/>
    </w:p>
    <w:tbl>
      <w:tblPr>
        <w:tblW w:w="474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5"/>
        <w:gridCol w:w="2486"/>
        <w:gridCol w:w="1225"/>
        <w:gridCol w:w="928"/>
        <w:gridCol w:w="943"/>
        <w:gridCol w:w="1549"/>
        <w:gridCol w:w="1375"/>
      </w:tblGrid>
      <w:tr>
        <w:trPr>
          <w:trHeight w:val="19"/>
        </w:trPr>
        <w:tc>
          <w:tcPr>
            <w:tcW w:w="452" w:type="dxa"/>
            <w:vAlign w:val="center"/>
            <w:textDirection w:val="lrTb"/>
            <w:noWrap w:val="false"/>
          </w:tcPr>
          <w:p>
            <w:pPr>
              <w:pStyle w:val="1344"/>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329" w:type="dxa"/>
            <w:vAlign w:val="center"/>
            <w:textDirection w:val="lrTb"/>
            <w:noWrap w:val="false"/>
          </w:tcPr>
          <w:p>
            <w:pPr>
              <w:pStyle w:val="1344"/>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产品名称</w:t>
            </w:r>
            <w:r>
              <w:rPr>
                <w:rFonts w:hint="eastAsia" w:ascii="宋体" w:hAnsi="宋体" w:cs="宋体"/>
                <w:szCs w:val="21"/>
              </w:rPr>
            </w:r>
            <w:r/>
          </w:p>
        </w:tc>
        <w:tc>
          <w:tcPr>
            <w:tcW w:w="655" w:type="dxa"/>
            <w:vAlign w:val="center"/>
            <w:textDirection w:val="lrTb"/>
            <w:noWrap w:val="false"/>
          </w:tcPr>
          <w:p>
            <w:pPr>
              <w:pStyle w:val="1344"/>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型号</w:t>
            </w:r>
            <w:r>
              <w:rPr>
                <w:rFonts w:hint="eastAsia" w:ascii="宋体" w:hAnsi="宋体" w:cs="宋体"/>
                <w:szCs w:val="21"/>
              </w:rPr>
            </w:r>
            <w:r/>
          </w:p>
        </w:tc>
        <w:tc>
          <w:tcPr>
            <w:tcW w:w="494" w:type="dxa"/>
            <w:vAlign w:val="center"/>
            <w:textDirection w:val="lrTb"/>
            <w:noWrap w:val="false"/>
          </w:tcPr>
          <w:p>
            <w:pPr>
              <w:pStyle w:val="1344"/>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单位</w:t>
            </w:r>
            <w:r>
              <w:rPr>
                <w:rFonts w:hint="eastAsia" w:ascii="宋体" w:hAnsi="宋体" w:cs="宋体"/>
                <w:szCs w:val="21"/>
              </w:rPr>
            </w:r>
            <w:r/>
          </w:p>
        </w:tc>
        <w:tc>
          <w:tcPr>
            <w:tcW w:w="504" w:type="dxa"/>
            <w:vAlign w:val="center"/>
            <w:textDirection w:val="lrTb"/>
            <w:noWrap w:val="false"/>
          </w:tcPr>
          <w:p>
            <w:pPr>
              <w:pStyle w:val="1344"/>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数量</w:t>
            </w:r>
            <w:r>
              <w:rPr>
                <w:rFonts w:hint="eastAsia" w:ascii="宋体" w:hAnsi="宋体" w:cs="宋体"/>
                <w:szCs w:val="21"/>
              </w:rPr>
            </w:r>
            <w:r/>
          </w:p>
        </w:tc>
        <w:tc>
          <w:tcPr>
            <w:tcW w:w="828" w:type="dxa"/>
            <w:vAlign w:val="center"/>
            <w:textDirection w:val="lrTb"/>
            <w:noWrap w:val="false"/>
          </w:tcPr>
          <w:p>
            <w:pPr>
              <w:pStyle w:val="1344"/>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单价（元）</w:t>
            </w:r>
            <w:r>
              <w:rPr>
                <w:rFonts w:hint="eastAsia" w:ascii="宋体" w:hAnsi="宋体" w:cs="宋体"/>
                <w:szCs w:val="21"/>
              </w:rPr>
            </w:r>
            <w:r/>
          </w:p>
        </w:tc>
        <w:tc>
          <w:tcPr>
            <w:tcW w:w="735" w:type="dxa"/>
            <w:vAlign w:val="center"/>
            <w:textDirection w:val="lrTb"/>
            <w:noWrap w:val="false"/>
          </w:tcPr>
          <w:p>
            <w:pPr>
              <w:pStyle w:val="1344"/>
              <w:spacing w:line="360" w:lineRule="auto"/>
              <w:tabs>
                <w:tab w:val="left" w:pos="-235" w:leader="none"/>
              </w:tabs>
              <w:rPr>
                <w:rFonts w:hint="eastAsia" w:ascii="宋体" w:hAnsi="宋体" w:cs="宋体"/>
                <w:szCs w:val="21"/>
              </w:rPr>
            </w:pPr>
            <w:r>
              <w:rPr>
                <w:rFonts w:hint="eastAsia" w:ascii="宋体" w:hAnsi="宋体" w:cs="宋体"/>
                <w:szCs w:val="21"/>
              </w:rPr>
              <w:t xml:space="preserve">总价（元）</w:t>
            </w:r>
            <w:r>
              <w:rPr>
                <w:rFonts w:hint="eastAsia" w:ascii="宋体" w:hAnsi="宋体" w:cs="宋体"/>
                <w:szCs w:val="21"/>
              </w:rPr>
            </w:r>
            <w:r/>
          </w:p>
        </w:tc>
      </w:tr>
      <w:tr>
        <w:trPr>
          <w:trHeight w:val="19"/>
        </w:trPr>
        <w:tc>
          <w:tcPr>
            <w:tcW w:w="452" w:type="dxa"/>
            <w:vAlign w:val="center"/>
            <w:textDirection w:val="lrTb"/>
            <w:noWrap w:val="false"/>
          </w:tcPr>
          <w:p>
            <w:pPr>
              <w:pStyle w:val="1344"/>
              <w:spacing w:line="360" w:lineRule="auto"/>
              <w:tabs>
                <w:tab w:val="left" w:pos="-235" w:leader="none"/>
              </w:tabs>
              <w:rPr>
                <w:rFonts w:hint="eastAsia" w:ascii="宋体" w:hAnsi="宋体" w:cs="宋体"/>
                <w:szCs w:val="21"/>
              </w:rPr>
            </w:pPr>
            <w:r>
              <w:rPr>
                <w:rFonts w:hint="eastAsia" w:ascii="宋体" w:hAnsi="宋体" w:cs="宋体"/>
                <w:szCs w:val="21"/>
              </w:rPr>
            </w:r>
            <w:r/>
          </w:p>
        </w:tc>
        <w:tc>
          <w:tcPr>
            <w:tcW w:w="1329" w:type="dxa"/>
            <w:vAlign w:val="center"/>
            <w:textDirection w:val="lrTb"/>
            <w:noWrap w:val="false"/>
          </w:tcPr>
          <w:p>
            <w:pPr>
              <w:pStyle w:val="1344"/>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655" w:type="dxa"/>
            <w:vAlign w:val="center"/>
            <w:textDirection w:val="lrTb"/>
            <w:noWrap w:val="false"/>
          </w:tcPr>
          <w:p>
            <w:pPr>
              <w:pStyle w:val="1344"/>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494" w:type="dxa"/>
            <w:vAlign w:val="center"/>
            <w:textDirection w:val="lrTb"/>
            <w:noWrap w:val="false"/>
          </w:tcPr>
          <w:p>
            <w:pPr>
              <w:pStyle w:val="1344"/>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504" w:type="dxa"/>
            <w:vAlign w:val="center"/>
            <w:textDirection w:val="lrTb"/>
            <w:noWrap w:val="false"/>
          </w:tcPr>
          <w:p>
            <w:pPr>
              <w:pStyle w:val="1344"/>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828" w:type="dxa"/>
            <w:vAlign w:val="center"/>
            <w:textDirection w:val="lrTb"/>
            <w:noWrap w:val="false"/>
          </w:tcPr>
          <w:p>
            <w:pPr>
              <w:pStyle w:val="1344"/>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735" w:type="dxa"/>
            <w:vAlign w:val="center"/>
            <w:textDirection w:val="lrTb"/>
            <w:noWrap w:val="false"/>
          </w:tcPr>
          <w:p>
            <w:pPr>
              <w:pStyle w:val="1344"/>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r>
      <w:tr>
        <w:trPr>
          <w:trHeight w:val="19"/>
        </w:trPr>
        <w:tc>
          <w:tcPr>
            <w:tcW w:w="452" w:type="dxa"/>
            <w:vAlign w:val="center"/>
            <w:textDirection w:val="lrTb"/>
            <w:noWrap w:val="false"/>
          </w:tcPr>
          <w:p>
            <w:pPr>
              <w:pStyle w:val="1344"/>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1329" w:type="dxa"/>
            <w:vAlign w:val="center"/>
            <w:textDirection w:val="lrTb"/>
            <w:noWrap w:val="false"/>
          </w:tcPr>
          <w:p>
            <w:pPr>
              <w:pStyle w:val="1344"/>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655" w:type="dxa"/>
            <w:vAlign w:val="center"/>
            <w:textDirection w:val="lrTb"/>
            <w:noWrap w:val="false"/>
          </w:tcPr>
          <w:p>
            <w:pPr>
              <w:pStyle w:val="1344"/>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494" w:type="dxa"/>
            <w:vAlign w:val="center"/>
            <w:textDirection w:val="lrTb"/>
            <w:noWrap w:val="false"/>
          </w:tcPr>
          <w:p>
            <w:pPr>
              <w:pStyle w:val="1344"/>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504" w:type="dxa"/>
            <w:vAlign w:val="center"/>
            <w:textDirection w:val="lrTb"/>
            <w:noWrap w:val="false"/>
          </w:tcPr>
          <w:p>
            <w:pPr>
              <w:pStyle w:val="1344"/>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828" w:type="dxa"/>
            <w:vAlign w:val="center"/>
            <w:textDirection w:val="lrTb"/>
            <w:noWrap w:val="false"/>
          </w:tcPr>
          <w:p>
            <w:pPr>
              <w:pStyle w:val="1344"/>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735" w:type="dxa"/>
            <w:vAlign w:val="center"/>
            <w:textDirection w:val="lrTb"/>
            <w:noWrap w:val="false"/>
          </w:tcPr>
          <w:p>
            <w:pPr>
              <w:pStyle w:val="1344"/>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r>
      <w:tr>
        <w:trPr>
          <w:trHeight w:val="19"/>
        </w:trPr>
        <w:tc>
          <w:tcPr>
            <w:gridSpan w:val="4"/>
            <w:tcW w:w="5484" w:type="dxa"/>
            <w:vAlign w:val="center"/>
            <w:textDirection w:val="lrTb"/>
            <w:noWrap w:val="false"/>
          </w:tcPr>
          <w:p>
            <w:pPr>
              <w:pStyle w:val="1344"/>
              <w:ind w:firstLine="482"/>
              <w:jc w:val="center"/>
              <w:spacing w:line="360" w:lineRule="auto"/>
              <w:tabs>
                <w:tab w:val="left" w:pos="-235" w:leader="none"/>
              </w:tabs>
              <w:rPr>
                <w:rFonts w:hint="eastAsia" w:ascii="宋体" w:hAnsi="宋体" w:cs="宋体"/>
                <w:szCs w:val="21"/>
              </w:rPr>
            </w:pPr>
            <w:r>
              <w:rPr>
                <w:rFonts w:hint="eastAsia" w:ascii="宋体" w:hAnsi="宋体" w:cs="宋体"/>
                <w:b/>
                <w:bCs/>
                <w:szCs w:val="21"/>
              </w:rPr>
              <w:t xml:space="preserve">合计（元）</w:t>
            </w:r>
            <w:r>
              <w:rPr>
                <w:rFonts w:hint="eastAsia" w:ascii="宋体" w:hAnsi="宋体" w:cs="宋体"/>
                <w:szCs w:val="21"/>
              </w:rPr>
            </w:r>
            <w:r/>
          </w:p>
        </w:tc>
        <w:tc>
          <w:tcPr>
            <w:gridSpan w:val="3"/>
            <w:tcW w:w="3867" w:type="dxa"/>
            <w:vAlign w:val="center"/>
            <w:textDirection w:val="lrTb"/>
            <w:noWrap w:val="false"/>
          </w:tcPr>
          <w:p>
            <w:pPr>
              <w:pStyle w:val="1344"/>
              <w:ind w:firstLine="482"/>
              <w:spacing w:line="360" w:lineRule="auto"/>
              <w:tabs>
                <w:tab w:val="left" w:pos="-235" w:leader="none"/>
              </w:tabs>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r>
            <w:r/>
          </w:p>
        </w:tc>
      </w:tr>
    </w:tbl>
    <w:p>
      <w:pPr>
        <w:pStyle w:val="1344"/>
        <w:ind w:left="108" w:firstLine="420"/>
        <w:jc w:val="left"/>
        <w:spacing w:before="120" w:after="120" w:line="360" w:lineRule="auto"/>
        <w:tabs>
          <w:tab w:val="left" w:pos="4785" w:leader="none"/>
        </w:tabs>
        <w:rPr>
          <w:rFonts w:hint="eastAsia" w:ascii="宋体" w:hAnsi="宋体" w:cs="宋体"/>
          <w:bCs/>
          <w:szCs w:val="21"/>
        </w:rPr>
      </w:pPr>
      <w:r>
        <w:rPr>
          <w:rFonts w:hint="eastAsia" w:ascii="宋体" w:hAnsi="宋体" w:cs="宋体"/>
          <w:szCs w:val="21"/>
        </w:rPr>
        <w:t xml:space="preserve">2.合同总价（大写）：</w:t>
      </w:r>
      <w:r>
        <w:rPr>
          <w:rFonts w:hint="eastAsia" w:ascii="宋体" w:hAnsi="宋体" w:cs="宋体"/>
          <w:b/>
          <w:bCs/>
          <w:szCs w:val="21"/>
          <w:u w:val="single"/>
        </w:rPr>
        <w:t xml:space="preserve">人民币           </w:t>
      </w:r>
      <w:r>
        <w:rPr>
          <w:rFonts w:hint="eastAsia" w:ascii="宋体" w:hAnsi="宋体" w:cs="宋体"/>
          <w:szCs w:val="21"/>
        </w:rPr>
        <w:t xml:space="preserve">。</w:t>
      </w:r>
      <w:r>
        <w:rPr>
          <w:rFonts w:hint="eastAsia" w:ascii="宋体" w:hAnsi="宋体" w:cs="宋体"/>
          <w:bCs/>
          <w:szCs w:val="21"/>
        </w:rPr>
        <w:t xml:space="preserve">（含税）</w:t>
      </w:r>
      <w:r>
        <w:rPr>
          <w:rFonts w:hint="eastAsia" w:ascii="宋体" w:hAnsi="宋体" w:cs="宋体"/>
          <w:bCs/>
          <w:szCs w:val="21"/>
        </w:rPr>
      </w:r>
      <w:r/>
    </w:p>
    <w:p>
      <w:pPr>
        <w:pStyle w:val="1344"/>
        <w:ind w:left="108" w:firstLine="1470"/>
        <w:jc w:val="left"/>
        <w:spacing w:before="120" w:after="120" w:line="360" w:lineRule="auto"/>
        <w:tabs>
          <w:tab w:val="left" w:pos="4785" w:leader="none"/>
        </w:tabs>
        <w:rPr>
          <w:rFonts w:hint="eastAsia" w:ascii="宋体" w:hAnsi="宋体" w:cs="宋体"/>
          <w:bCs/>
          <w:szCs w:val="21"/>
        </w:rPr>
      </w:pPr>
      <w:r>
        <w:rPr>
          <w:rFonts w:hint="eastAsia" w:ascii="宋体" w:hAnsi="宋体" w:cs="宋体"/>
          <w:bCs/>
          <w:szCs w:val="21"/>
        </w:rPr>
        <w:t xml:space="preserve">（小写）：</w:t>
      </w:r>
      <w:r>
        <w:rPr>
          <w:rFonts w:hint="eastAsia" w:ascii="宋体" w:hAnsi="宋体" w:cs="宋体"/>
          <w:b/>
          <w:bCs/>
          <w:szCs w:val="21"/>
          <w:u w:val="single"/>
        </w:rPr>
        <w:t xml:space="preserve">￥            元。</w:t>
      </w:r>
      <w:r>
        <w:rPr>
          <w:rFonts w:hint="eastAsia" w:ascii="宋体" w:hAnsi="宋体" w:cs="宋体"/>
          <w:bCs/>
          <w:szCs w:val="21"/>
        </w:rPr>
      </w:r>
      <w:r/>
    </w:p>
    <w:p>
      <w:pPr>
        <w:pStyle w:val="1344"/>
        <w:ind w:firstLine="420"/>
        <w:spacing w:before="120" w:after="120" w:line="360" w:lineRule="auto"/>
        <w:rPr>
          <w:rFonts w:hint="eastAsia" w:ascii="宋体" w:hAnsi="宋体" w:cs="宋体"/>
          <w:szCs w:val="21"/>
        </w:rPr>
      </w:pPr>
      <w:r>
        <w:rPr>
          <w:rFonts w:hint="eastAsia" w:ascii="宋体" w:hAnsi="宋体" w:cs="宋体"/>
          <w:szCs w:val="21"/>
        </w:rPr>
        <w:t xml:space="preserve">2.1</w:t>
      </w:r>
      <w:r>
        <w:rPr>
          <w:rFonts w:hint="eastAsia" w:ascii="宋体" w:hAnsi="宋体" w:cs="宋体"/>
          <w:bCs/>
          <w:szCs w:val="21"/>
        </w:rPr>
        <w:t xml:space="preserve">投标报价，应包括本次招标范围内全部设备、材料、随设备提供的备品配件及专用工具的价格、全部税费、包装费、运杂费（运抵买方项目现场）、保险费、安装费、调试费、买方操作维护人员培训费、验收检定费（取得法定计量检定机构有效溯源证书并证明合格）及投标人认为需要的其他费用等。发现漏项、缺项，供应方应无条件无偿补齐，必须保证各系统正常运行，所发生的一切费用，视为已包含在投标人投标报价中，且并不因此而影响交付使用时间</w:t>
      </w:r>
      <w:r>
        <w:rPr>
          <w:rFonts w:hint="eastAsia" w:ascii="宋体" w:hAnsi="宋体" w:cs="宋体"/>
          <w:szCs w:val="21"/>
        </w:rPr>
        <w:t xml:space="preserve">。</w:t>
      </w:r>
      <w:r>
        <w:rPr>
          <w:rFonts w:hint="eastAsia" w:ascii="宋体" w:hAnsi="宋体" w:cs="宋体"/>
          <w:szCs w:val="21"/>
        </w:rPr>
      </w:r>
      <w:r/>
    </w:p>
    <w:p>
      <w:pPr>
        <w:pStyle w:val="1344"/>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2.2 在安装、调试、验收过程中，如发现有漏项、缺件，卖方应无条件、无偿补齐，所发生的一切费用，视为已包含在卖方投标时的投标报价之中，且并不因此而影响交付买方使用的时间。</w:t>
      </w:r>
      <w:r>
        <w:rPr>
          <w:rFonts w:hint="eastAsia" w:ascii="宋体" w:hAnsi="宋体" w:cs="宋体"/>
          <w:szCs w:val="21"/>
        </w:rPr>
      </w:r>
      <w:r/>
    </w:p>
    <w:p>
      <w:pPr>
        <w:pStyle w:val="1344"/>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highlight w:val="yellow"/>
        </w:rPr>
        <w:t xml:space="preserve">3. 交付使用时间：</w:t>
      </w:r>
      <w:r>
        <w:rPr>
          <w:rFonts w:hint="eastAsia" w:ascii="宋体" w:hAnsi="宋体" w:cs="宋体"/>
          <w:b/>
          <w:bCs/>
          <w:szCs w:val="21"/>
          <w:highlight w:val="yellow"/>
          <w:u w:val="single"/>
        </w:rPr>
        <w:t xml:space="preserve">合同签订生效后X个月内，</w:t>
      </w:r>
      <w:r>
        <w:rPr>
          <w:rFonts w:hint="eastAsia" w:ascii="宋体" w:hAnsi="宋体" w:cs="宋体"/>
          <w:bCs/>
          <w:szCs w:val="21"/>
          <w:highlight w:val="yellow"/>
        </w:rPr>
        <w:t xml:space="preserve">全部设备、材料运抵买方现场，安装、调试结束，并取得计量检测合格证书，一起交付买方准备验收。</w:t>
      </w:r>
      <w:r>
        <w:rPr>
          <w:rFonts w:hint="eastAsia" w:ascii="宋体" w:hAnsi="宋体" w:cs="宋体"/>
          <w:szCs w:val="21"/>
        </w:rPr>
      </w:r>
      <w:r/>
    </w:p>
    <w:p>
      <w:pPr>
        <w:pStyle w:val="1344"/>
        <w:ind w:firstLine="525"/>
        <w:spacing w:before="120" w:after="120" w:line="360" w:lineRule="auto"/>
        <w:rPr>
          <w:rFonts w:hint="eastAsia" w:ascii="宋体" w:hAnsi="宋体" w:cs="宋体"/>
          <w:szCs w:val="21"/>
        </w:rPr>
      </w:pPr>
      <w:r>
        <w:rPr>
          <w:rFonts w:hint="eastAsia" w:ascii="宋体" w:hAnsi="宋体" w:cs="宋体"/>
          <w:szCs w:val="21"/>
        </w:rPr>
        <w:t xml:space="preserve">4. 收货人：</w:t>
      </w:r>
      <w:r>
        <w:rPr>
          <w:rFonts w:hint="eastAsia" w:ascii="宋体" w:hAnsi="宋体" w:cs="宋体"/>
          <w:b/>
          <w:szCs w:val="21"/>
          <w:u w:val="single"/>
        </w:rPr>
        <w:t xml:space="preserve">江苏省计量科学研究院（江苏省能源计量数据中心）</w:t>
      </w:r>
      <w:r>
        <w:rPr>
          <w:rFonts w:hint="eastAsia" w:ascii="宋体" w:hAnsi="宋体" w:cs="宋体"/>
          <w:szCs w:val="21"/>
          <w:u w:val="single"/>
        </w:rPr>
        <w:t xml:space="preserve">。</w:t>
      </w:r>
      <w:r>
        <w:rPr>
          <w:rFonts w:hint="eastAsia" w:ascii="宋体" w:hAnsi="宋体" w:cs="宋体"/>
          <w:szCs w:val="21"/>
        </w:rPr>
      </w:r>
      <w:r/>
    </w:p>
    <w:p>
      <w:pPr>
        <w:pStyle w:val="1344"/>
        <w:ind w:firstLine="525"/>
        <w:spacing w:before="120" w:after="120" w:line="360" w:lineRule="auto"/>
        <w:tabs>
          <w:tab w:val="left" w:pos="-235" w:leader="none"/>
        </w:tabs>
        <w:rPr>
          <w:rFonts w:hint="eastAsia" w:ascii="宋体" w:hAnsi="宋体" w:cs="宋体"/>
          <w:b/>
          <w:szCs w:val="21"/>
          <w:u w:val="single"/>
        </w:rPr>
      </w:pPr>
      <w:r>
        <w:rPr>
          <w:rFonts w:hint="eastAsia" w:ascii="宋体" w:hAnsi="宋体" w:cs="宋体"/>
          <w:szCs w:val="21"/>
        </w:rPr>
        <w:t xml:space="preserve">5. 交货地点：</w:t>
      </w:r>
      <w:r>
        <w:rPr>
          <w:rFonts w:hint="eastAsia" w:ascii="宋体" w:hAnsi="宋体" w:cs="宋体"/>
          <w:b/>
          <w:szCs w:val="21"/>
          <w:u w:val="single"/>
        </w:rPr>
        <w:t xml:space="preserve">买方指定地点。</w:t>
      </w:r>
      <w:r>
        <w:rPr>
          <w:rFonts w:hint="eastAsia" w:ascii="宋体" w:hAnsi="宋体" w:cs="宋体"/>
          <w:b/>
          <w:szCs w:val="21"/>
          <w:u w:val="single"/>
        </w:rPr>
      </w:r>
      <w:r/>
    </w:p>
    <w:p>
      <w:pPr>
        <w:pStyle w:val="1344"/>
        <w:ind w:firstLine="525"/>
        <w:spacing w:before="120" w:after="120" w:line="360" w:lineRule="auto"/>
        <w:tabs>
          <w:tab w:val="left" w:pos="-235" w:leader="none"/>
        </w:tabs>
        <w:rPr>
          <w:rFonts w:hint="eastAsia" w:ascii="宋体" w:hAnsi="宋体" w:cs="宋体"/>
          <w:szCs w:val="21"/>
          <w:u w:val="single"/>
        </w:rPr>
      </w:pPr>
      <w:r>
        <w:rPr>
          <w:rFonts w:hint="eastAsia" w:ascii="宋体" w:hAnsi="宋体" w:cs="宋体"/>
          <w:szCs w:val="21"/>
        </w:rPr>
        <w:t xml:space="preserve">6. 设备的制造应符合下列标准或规范并据此验收：</w:t>
      </w:r>
      <w:r>
        <w:rPr>
          <w:rFonts w:hint="eastAsia" w:ascii="宋体" w:hAnsi="宋体" w:cs="宋体"/>
          <w:b/>
          <w:szCs w:val="21"/>
          <w:u w:val="single"/>
        </w:rPr>
        <w:t xml:space="preserve">招标文件、投标文件、双方签订的技术协议、国家的相关标准和规范。</w:t>
      </w:r>
      <w:r>
        <w:rPr>
          <w:rFonts w:hint="eastAsia" w:ascii="宋体" w:hAnsi="宋体" w:cs="宋体"/>
          <w:szCs w:val="21"/>
          <w:u w:val="single"/>
        </w:rPr>
      </w:r>
      <w:r/>
    </w:p>
    <w:p>
      <w:pPr>
        <w:pStyle w:val="1344"/>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7. 包装要求：全部货物的外包装，必须采用防漏、防潮、防震、防锈、防盗和考虑到可能会发生的野蛮装卸等长途内陆运输及多次装卸之需要。</w:t>
      </w:r>
      <w:r>
        <w:rPr>
          <w:rFonts w:hint="eastAsia" w:ascii="宋体" w:hAnsi="宋体" w:cs="宋体"/>
          <w:szCs w:val="21"/>
        </w:rPr>
      </w:r>
      <w:r/>
    </w:p>
    <w:p>
      <w:pPr>
        <w:pStyle w:val="1344"/>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8. 买方付款方式及期限：</w:t>
      </w:r>
      <w:r>
        <w:rPr>
          <w:rFonts w:hint="eastAsia" w:ascii="宋体" w:hAnsi="宋体" w:cs="宋体"/>
          <w:szCs w:val="21"/>
        </w:rPr>
      </w:r>
      <w:r/>
    </w:p>
    <w:p>
      <w:pPr>
        <w:pStyle w:val="1344"/>
        <w:ind w:left="108" w:firstLine="420"/>
        <w:jc w:val="left"/>
        <w:spacing w:before="120" w:after="120" w:line="360" w:lineRule="auto"/>
        <w:tabs>
          <w:tab w:val="left" w:pos="4785" w:leader="none"/>
        </w:tabs>
        <w:rPr>
          <w:rFonts w:hint="eastAsia" w:ascii="宋体" w:hAnsi="宋体" w:cs="宋体"/>
          <w:color w:val="000000"/>
          <w:szCs w:val="21"/>
          <w:highlight w:val="none"/>
        </w:rPr>
      </w:pPr>
      <w:r>
        <w:rPr>
          <w:rFonts w:hint="eastAsia" w:ascii="宋体" w:hAnsi="宋体" w:cs="宋体"/>
          <w:szCs w:val="21"/>
          <w:highlight w:val="none"/>
        </w:rPr>
        <w:t xml:space="preserve">合同签订生效后一个月内，买方向卖方支</w:t>
      </w:r>
      <w:r>
        <w:rPr>
          <w:rFonts w:hint="eastAsia" w:ascii="宋体" w:hAnsi="宋体" w:cs="宋体"/>
          <w:color w:val="000000"/>
          <w:szCs w:val="21"/>
          <w:highlight w:val="none"/>
        </w:rPr>
        <w:t xml:space="preserve">付合同金额35%的预付款；设备、材料全部运抵买方指定地点，并安装结束，调试完毕，全部设备验收合格</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卖方向买方开具合同金额10%的银行保函（作为履约保证金）后，买方向卖方支付合同金额65%的货款。</w:t>
      </w:r>
      <w:r>
        <w:rPr>
          <w:rFonts w:hint="eastAsia" w:ascii="宋体" w:hAnsi="宋体" w:cs="宋体"/>
          <w:color w:val="000000"/>
          <w:szCs w:val="21"/>
          <w:highlight w:val="none"/>
          <w:lang w:val="en-US" w:eastAsia="zh-CN"/>
        </w:rPr>
        <w:t xml:space="preserve">履约保证金</w:t>
      </w:r>
      <w:r>
        <w:rPr>
          <w:rFonts w:hint="eastAsia" w:ascii="宋体" w:hAnsi="宋体" w:cs="宋体"/>
          <w:color w:val="000000"/>
          <w:szCs w:val="21"/>
          <w:highlight w:val="none"/>
        </w:rPr>
        <w:t xml:space="preserve">在设备验收合格并稳定运行满一年后无息退回。如卖方未能履行合同规定的义务，买方有权从履约保证金中取得补偿。</w:t>
      </w:r>
      <w:r>
        <w:rPr>
          <w:rFonts w:hint="eastAsia" w:ascii="宋体" w:hAnsi="宋体" w:cs="宋体"/>
          <w:color w:val="000000"/>
          <w:szCs w:val="21"/>
          <w:highlight w:val="none"/>
        </w:rPr>
      </w:r>
      <w:r/>
    </w:p>
    <w:p>
      <w:pPr>
        <w:pStyle w:val="1344"/>
        <w:ind w:left="108" w:firstLine="420"/>
        <w:jc w:val="left"/>
        <w:spacing w:before="120" w:after="120" w:line="360" w:lineRule="auto"/>
        <w:tabs>
          <w:tab w:val="left" w:pos="478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因卖方原因没有按期提供银行保函和发票的，致使买方未能及时付款所产生的责任由卖方负责，买方不承担违约责任。</w:t>
      </w:r>
      <w:r>
        <w:rPr>
          <w:rFonts w:hint="eastAsia" w:ascii="宋体" w:hAnsi="宋体" w:cs="宋体"/>
          <w:color w:val="000000"/>
          <w:szCs w:val="21"/>
          <w:highlight w:val="none"/>
        </w:rPr>
      </w:r>
      <w:r/>
    </w:p>
    <w:p>
      <w:pPr>
        <w:pStyle w:val="1344"/>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bCs/>
          <w:szCs w:val="21"/>
          <w:lang w:bidi="ar"/>
        </w:rPr>
        <w:t xml:space="preserve">卖方应在收到买方通知后开具合法有效发票，买方收到发票后支付相应款项。若因发票瑕疵导致付款延误，责任由卖方承担。</w:t>
      </w:r>
      <w:r>
        <w:rPr>
          <w:rFonts w:hint="eastAsia" w:ascii="宋体" w:hAnsi="宋体" w:cs="宋体"/>
          <w:szCs w:val="21"/>
        </w:rPr>
        <w:t xml:space="preserve">若产品存在质量问题，则不受该付款条件约束，应按照本合同条款其他要求以及</w:t>
      </w:r>
      <w:r>
        <w:rPr>
          <w:rFonts w:hint="eastAsia" w:ascii="宋体" w:hAnsi="宋体" w:cs="宋体"/>
          <w:szCs w:val="21"/>
        </w:rPr>
        <w:t xml:space="preserve">民法典</w:t>
      </w:r>
      <w:r>
        <w:rPr>
          <w:rFonts w:hint="eastAsia" w:ascii="宋体" w:hAnsi="宋体" w:cs="宋体"/>
          <w:szCs w:val="21"/>
        </w:rPr>
        <w:t xml:space="preserve">有关规定执行。</w:t>
      </w:r>
      <w:r>
        <w:rPr>
          <w:rFonts w:hint="eastAsia" w:ascii="宋体" w:hAnsi="宋体" w:cs="宋体"/>
          <w:szCs w:val="21"/>
        </w:rPr>
      </w:r>
      <w:r/>
    </w:p>
    <w:p>
      <w:pPr>
        <w:pStyle w:val="1344"/>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9. 验收</w:t>
      </w:r>
      <w:r>
        <w:rPr>
          <w:rFonts w:hint="eastAsia" w:ascii="宋体" w:hAnsi="宋体" w:cs="宋体"/>
          <w:szCs w:val="21"/>
        </w:rPr>
      </w:r>
      <w:r/>
    </w:p>
    <w:p>
      <w:pPr>
        <w:pStyle w:val="1344"/>
        <w:ind w:left="8" w:firstLine="569"/>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验收标准及方式：符合招标文件、投标文件、双方签订的技术协议、国家的相关标准和规范；经采购人项目负责人确认是否达到验收标准，若符合验收标准则验收合格。</w:t>
      </w:r>
      <w:r>
        <w:rPr>
          <w:rFonts w:hint="eastAsia" w:ascii="宋体" w:hAnsi="宋体" w:cs="宋体"/>
          <w:szCs w:val="21"/>
        </w:rPr>
      </w:r>
      <w:r/>
    </w:p>
    <w:p>
      <w:pPr>
        <w:pStyle w:val="134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10. 质保期及售后服务</w:t>
      </w:r>
      <w:r>
        <w:rPr>
          <w:rFonts w:hint="eastAsia" w:ascii="宋体" w:hAnsi="宋体" w:cs="宋体"/>
          <w:szCs w:val="21"/>
        </w:rPr>
      </w:r>
      <w:r/>
    </w:p>
    <w:p>
      <w:pPr>
        <w:pStyle w:val="134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10.1 卖方所供设备、材料及安装的质量保证期：</w:t>
      </w:r>
      <w:r>
        <w:rPr>
          <w:rFonts w:hint="eastAsia" w:ascii="宋体" w:hAnsi="宋体" w:cs="宋体"/>
          <w:szCs w:val="21"/>
          <w:u w:val="single"/>
        </w:rPr>
        <w:t xml:space="preserve">详见投标文件要求</w:t>
      </w:r>
      <w:r>
        <w:rPr>
          <w:rFonts w:hint="eastAsia" w:ascii="宋体" w:hAnsi="宋体" w:cs="宋体"/>
          <w:szCs w:val="21"/>
        </w:rPr>
        <w:t xml:space="preserve">。质保期过后，实行终身有偿售后服务。</w:t>
      </w:r>
      <w:r>
        <w:rPr>
          <w:rFonts w:hint="eastAsia" w:ascii="宋体" w:hAnsi="宋体" w:cs="宋体"/>
          <w:szCs w:val="21"/>
        </w:rPr>
      </w:r>
      <w:r/>
    </w:p>
    <w:p>
      <w:pPr>
        <w:pStyle w:val="134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10.2 在质保期内，因卖方所供设备、材料制造质量或安装问题出现设备故障时，卖方在接到买方通知后，24小时内响应，在48小时内赶到买方现场，免费予以排除故障、修复或更换零部件，无法修复应更换所供设备。卖方还应支付因更换所发生的运输、保险、安装、检测等有关的全部费用。</w:t>
      </w:r>
      <w:r>
        <w:rPr>
          <w:rFonts w:hint="eastAsia" w:ascii="宋体" w:hAnsi="宋体" w:cs="宋体"/>
          <w:szCs w:val="21"/>
        </w:rPr>
      </w:r>
      <w:r/>
    </w:p>
    <w:p>
      <w:pPr>
        <w:pStyle w:val="134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10.3 在质保期内，因买方使用不当原因出现设备故障时，卖方在接买方通知后，应在10.2条款中所述的时限内赶到买方现场，帮助排除故障、修复或更换零部件，需购买零部件时，酌情收取成本费。</w:t>
      </w:r>
      <w:r>
        <w:rPr>
          <w:rFonts w:hint="eastAsia" w:ascii="宋体" w:hAnsi="宋体" w:cs="宋体"/>
          <w:szCs w:val="21"/>
        </w:rPr>
      </w:r>
      <w:r/>
    </w:p>
    <w:p>
      <w:pPr>
        <w:pStyle w:val="134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10.4 质保期满后，如设备出现故障，卖方在接买方通知后，仍应在上述时间内响应、派人赶到买方现场，帮助排除故障、修复或更换零部件，需购买零部件时，酌情收取成本费。</w:t>
      </w:r>
      <w:r>
        <w:rPr>
          <w:rFonts w:hint="eastAsia" w:ascii="宋体" w:hAnsi="宋体" w:cs="宋体"/>
          <w:szCs w:val="21"/>
        </w:rPr>
      </w:r>
      <w:r/>
    </w:p>
    <w:p>
      <w:pPr>
        <w:pStyle w:val="134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11. 技术资料</w:t>
      </w:r>
      <w:r>
        <w:rPr>
          <w:rFonts w:hint="eastAsia" w:ascii="宋体" w:hAnsi="宋体" w:cs="宋体"/>
          <w:szCs w:val="21"/>
        </w:rPr>
      </w:r>
      <w:r/>
    </w:p>
    <w:p>
      <w:pPr>
        <w:pStyle w:val="134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按投标文件及双方签订的《技术协议》中的要求提供相关资料。</w:t>
      </w:r>
      <w:r>
        <w:rPr>
          <w:rFonts w:hint="eastAsia" w:ascii="宋体" w:hAnsi="宋体" w:cs="宋体"/>
          <w:szCs w:val="21"/>
        </w:rPr>
      </w:r>
      <w:r/>
    </w:p>
    <w:p>
      <w:pPr>
        <w:pStyle w:val="134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12.货物风险承担</w:t>
      </w:r>
      <w:r>
        <w:rPr>
          <w:rFonts w:hint="eastAsia" w:ascii="宋体" w:hAnsi="宋体" w:cs="宋体"/>
          <w:szCs w:val="21"/>
        </w:rPr>
      </w:r>
      <w:r/>
    </w:p>
    <w:p>
      <w:pPr>
        <w:pStyle w:val="134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12.1卖方应当按照买方指定的地点交货，需要运输的货物，卖方应当妥善保障货物在运输过程中的安全。</w:t>
      </w:r>
      <w:r>
        <w:rPr>
          <w:rFonts w:hint="eastAsia" w:ascii="宋体" w:hAnsi="宋体" w:cs="宋体"/>
          <w:szCs w:val="21"/>
        </w:rPr>
      </w:r>
      <w:r/>
    </w:p>
    <w:p>
      <w:pPr>
        <w:pStyle w:val="134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12.2卖方将货物运输至买方指定的地点后，应当及时通知买方进行接收，由买方进行检验。</w:t>
      </w:r>
      <w:r>
        <w:rPr>
          <w:rFonts w:hint="eastAsia" w:ascii="宋体" w:hAnsi="宋体" w:cs="宋体"/>
          <w:szCs w:val="21"/>
        </w:rPr>
      </w:r>
      <w:r/>
    </w:p>
    <w:p>
      <w:pPr>
        <w:pStyle w:val="134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12.3在货物验收合格之前毁损、灭失的风险由卖方承担，因买方原因造成货物毁损、灭失的除外。</w:t>
      </w:r>
      <w:r>
        <w:rPr>
          <w:rFonts w:hint="eastAsia" w:ascii="宋体" w:hAnsi="宋体" w:cs="宋体"/>
          <w:szCs w:val="21"/>
        </w:rPr>
      </w:r>
      <w:r/>
    </w:p>
    <w:p>
      <w:pPr>
        <w:pStyle w:val="134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 卖方的违约责任</w:t>
      </w:r>
      <w:r>
        <w:rPr>
          <w:rFonts w:hint="eastAsia" w:ascii="宋体" w:hAnsi="宋体" w:cs="宋体"/>
          <w:szCs w:val="21"/>
        </w:rPr>
      </w:r>
      <w:r/>
    </w:p>
    <w:p>
      <w:pPr>
        <w:pStyle w:val="134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13.1卖方未按合同规定的质量要求交货，买方有权拒收，由此造成的直接损失和间接损失由卖方赔偿。</w:t>
      </w:r>
      <w:r>
        <w:rPr>
          <w:rFonts w:hint="eastAsia" w:ascii="宋体" w:hAnsi="宋体" w:cs="宋体"/>
          <w:szCs w:val="21"/>
        </w:rPr>
      </w:r>
      <w:r/>
    </w:p>
    <w:p>
      <w:pPr>
        <w:pStyle w:val="134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13.2卖方逾期交付（包括整修、返工、补交或由买方提出更改、卖方承诺，但未在承诺的工期内完成等）应向买方偿付违约金，每逾期1天，按合同总价的万分之五支付违约金。</w:t>
      </w:r>
      <w:r>
        <w:rPr>
          <w:rFonts w:hint="eastAsia" w:ascii="宋体" w:hAnsi="宋体" w:cs="宋体"/>
          <w:szCs w:val="21"/>
        </w:rPr>
      </w:r>
      <w:r/>
    </w:p>
    <w:p>
      <w:pPr>
        <w:pStyle w:val="134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13.3货物有合格证及说明书等资料的，在交付货物时，卖方应当一并交付合格证及说明书等资料，未交付的买方有权拒绝接收。因此造成的损失由卖方承担。</w:t>
      </w:r>
      <w:r>
        <w:rPr>
          <w:rFonts w:hint="eastAsia" w:ascii="宋体" w:hAnsi="宋体" w:cs="宋体"/>
          <w:szCs w:val="21"/>
        </w:rPr>
      </w:r>
      <w:r/>
    </w:p>
    <w:p>
      <w:pPr>
        <w:pStyle w:val="134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13.4卖方不能交付或不能完成合同，买方有权解除本合同并要求卖方双倍返还买方已支付的货款。</w:t>
      </w:r>
      <w:r>
        <w:rPr>
          <w:rFonts w:hint="eastAsia" w:ascii="宋体" w:hAnsi="宋体" w:cs="宋体"/>
          <w:szCs w:val="21"/>
        </w:rPr>
      </w:r>
      <w:r/>
    </w:p>
    <w:p>
      <w:pPr>
        <w:pStyle w:val="134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13.5本合同所有货物的制造及安装，都必须由卖方自己或响应文件中明确的单位承担，不得分包给其他单位。否则，买方有权按卖方不能交付或不能完成合同处理。</w:t>
      </w:r>
      <w:r>
        <w:rPr>
          <w:rFonts w:hint="eastAsia" w:ascii="宋体" w:hAnsi="宋体" w:cs="宋体"/>
          <w:szCs w:val="21"/>
        </w:rPr>
      </w:r>
      <w:r/>
    </w:p>
    <w:p>
      <w:pPr>
        <w:pStyle w:val="134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13.6 货物经买方验收不符合要求的，卖方应当在买方指定的时间内调换，调换后仍不符合要求的，买方有权解除合同并要求卖方赔偿因此造成的损失。</w:t>
      </w:r>
      <w:r>
        <w:rPr>
          <w:rFonts w:hint="eastAsia" w:ascii="宋体" w:hAnsi="宋体" w:cs="宋体"/>
          <w:szCs w:val="21"/>
        </w:rPr>
      </w:r>
      <w:r/>
    </w:p>
    <w:p>
      <w:pPr>
        <w:pStyle w:val="134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13.7卖方履行义务不符合合同约定时，买方将扣减10%合同款。</w:t>
      </w:r>
      <w:r>
        <w:rPr>
          <w:rFonts w:hint="eastAsia" w:ascii="宋体" w:hAnsi="宋体" w:cs="宋体"/>
          <w:szCs w:val="21"/>
        </w:rPr>
      </w:r>
      <w:r/>
    </w:p>
    <w:p>
      <w:pPr>
        <w:pStyle w:val="134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13.8在合同约定的质保期内，卖方未能履行合同约定的义务，卖方应按合同总价的10%支付违约金，导致买方遭受损失的，卖方应承担因此造成的全部损失。</w:t>
      </w:r>
      <w:r>
        <w:rPr>
          <w:rFonts w:hint="eastAsia" w:ascii="宋体" w:hAnsi="宋体" w:cs="宋体"/>
          <w:szCs w:val="21"/>
        </w:rPr>
      </w:r>
      <w:r/>
    </w:p>
    <w:p>
      <w:pPr>
        <w:pStyle w:val="134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14. 买方的违约责任：</w:t>
      </w:r>
      <w:r>
        <w:rPr>
          <w:rFonts w:hint="eastAsia" w:ascii="宋体" w:hAnsi="宋体" w:cs="宋体"/>
          <w:szCs w:val="21"/>
        </w:rPr>
      </w:r>
      <w:r/>
    </w:p>
    <w:p>
      <w:pPr>
        <w:pStyle w:val="134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14.1买方未按合同规定的时间和要求向卖方提供技术资料等，卖方交付时间顺延。</w:t>
      </w:r>
      <w:r>
        <w:rPr>
          <w:rFonts w:hint="eastAsia" w:ascii="宋体" w:hAnsi="宋体" w:cs="宋体"/>
          <w:szCs w:val="21"/>
        </w:rPr>
      </w:r>
      <w:r/>
    </w:p>
    <w:p>
      <w:pPr>
        <w:pStyle w:val="134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15. 卖方供给买方的设备、材料及卖方自己的施工用具，进入买方工地现场后的保管，由卖方负责；卖方在买方工地现场安装、调试、验收人员的安全、保险、食宿、交通由卖方负责。</w:t>
      </w:r>
      <w:r>
        <w:rPr>
          <w:rFonts w:hint="eastAsia" w:ascii="宋体" w:hAnsi="宋体" w:cs="宋体"/>
          <w:szCs w:val="21"/>
        </w:rPr>
      </w:r>
      <w:r/>
    </w:p>
    <w:p>
      <w:pPr>
        <w:pStyle w:val="134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16. 卖方在设备安装、调试、验收过程中，买方提供下列条件和配合，超出下列范围的由卖方自理：无</w:t>
      </w:r>
      <w:r>
        <w:rPr>
          <w:rFonts w:hint="eastAsia" w:ascii="宋体" w:hAnsi="宋体" w:cs="宋体"/>
          <w:szCs w:val="21"/>
        </w:rPr>
      </w:r>
      <w:r/>
    </w:p>
    <w:p>
      <w:pPr>
        <w:pStyle w:val="134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17. 卖方应保证提供的货物、设备不存在所有权、抵押权、使用权、知识产权等权利瑕疵。买方使用卖方提供的设备，当受到第三方提出的侵犯其专利权、商标权或工业设计权等知识产权的起诉时，一切后果由卖方负责。</w:t>
      </w:r>
      <w:r>
        <w:rPr>
          <w:rFonts w:hint="eastAsia" w:ascii="宋体" w:hAnsi="宋体" w:cs="宋体"/>
          <w:szCs w:val="21"/>
        </w:rPr>
      </w:r>
      <w:r/>
    </w:p>
    <w:p>
      <w:pPr>
        <w:pStyle w:val="134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18. 合同的生效：本合同一式肆份，各份具有同等法律效力，自买卖双方签字、盖章并加盖骑缝章之日起生效。</w:t>
      </w:r>
      <w:r>
        <w:rPr>
          <w:rFonts w:hint="eastAsia" w:ascii="宋体" w:hAnsi="宋体" w:cs="宋体"/>
          <w:szCs w:val="21"/>
        </w:rPr>
      </w:r>
      <w:r/>
    </w:p>
    <w:p>
      <w:pPr>
        <w:pStyle w:val="134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19. 合同的变更和终止：除《政府采购法》第50条第二款规定的情形外，本合同一经签订，买卖双方不得擅自变更、中止或终止合同。除发生法律规定的不能预见、不能避免并不能克服的客观情况外，买卖双方不得放弃或拒绝履行合同。</w:t>
      </w:r>
      <w:r>
        <w:rPr>
          <w:rFonts w:hint="eastAsia" w:ascii="宋体" w:hAnsi="宋体" w:cs="宋体"/>
          <w:szCs w:val="21"/>
        </w:rPr>
      </w:r>
      <w:r/>
    </w:p>
    <w:p>
      <w:pPr>
        <w:pStyle w:val="134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20. 合同权利义务的转让：合同履行过程中，卖方未经买方书面同意，不得将合同权利义务转让给第三方，否则买方有权解除合同，同时卖方应当向买方支付合同总价款10%的违约金，造成买方损失的还应当进行赔偿。</w:t>
      </w:r>
      <w:r>
        <w:rPr>
          <w:rFonts w:hint="eastAsia" w:ascii="宋体" w:hAnsi="宋体" w:cs="宋体"/>
          <w:szCs w:val="21"/>
        </w:rPr>
      </w:r>
      <w:r/>
    </w:p>
    <w:p>
      <w:pPr>
        <w:pStyle w:val="134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21. 未尽事宜、双方协商解决，并按《中华人民共和国民法典》的规定调整。约定履行本合同发生争议，协商不成的，交由南京仲裁委员会仲裁裁决。仲裁产生的仲裁费、鉴定费、保全费、担保费、律师费等合理支出由违约方承担。</w:t>
      </w:r>
      <w:r>
        <w:rPr>
          <w:rFonts w:hint="eastAsia" w:ascii="宋体" w:hAnsi="宋体" w:cs="宋体"/>
          <w:szCs w:val="21"/>
        </w:rPr>
      </w:r>
      <w:r/>
    </w:p>
    <w:p>
      <w:pPr>
        <w:pStyle w:val="134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22.招标文件、中标通知书、卖方的投标文件及投标承诺书是签订本合同的依据，本合同未尽事项首先依据招标文件、中标（成交）通知书、卖方的投标文件及投标承诺书进行履行，双方也可以在不违背本合同实质性内容的基础上达成补充协议，补充协议与本合同具有相同的法律效力。</w:t>
      </w:r>
      <w:r>
        <w:rPr>
          <w:rFonts w:hint="eastAsia" w:ascii="宋体" w:hAnsi="宋体" w:cs="宋体"/>
          <w:szCs w:val="21"/>
        </w:rPr>
      </w:r>
      <w:r/>
    </w:p>
    <w:p>
      <w:pPr>
        <w:pStyle w:val="134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三、廉洁条款</w:t>
      </w:r>
      <w:r>
        <w:rPr>
          <w:rFonts w:hint="eastAsia" w:ascii="宋体" w:hAnsi="宋体" w:cs="宋体"/>
          <w:szCs w:val="21"/>
        </w:rPr>
      </w:r>
      <w:r/>
    </w:p>
    <w:p>
      <w:pPr>
        <w:pStyle w:val="134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合同签订前、履行期间及履行完毕后，卖方应当遵守廉洁原则，不得向买方工作人员行贿、变相行贿，不得以任何理由向买方工作人员及第三方赠送礼品、礼金、各种有价证券及其他支付凭证，不以任何理由为买方工作人员报销应由个人支付的费用。一旦发生上述事由，买方有权无条件解除本合同。</w:t>
      </w:r>
      <w:r>
        <w:rPr>
          <w:rFonts w:hint="eastAsia" w:ascii="宋体" w:hAnsi="宋体" w:cs="宋体"/>
          <w:szCs w:val="21"/>
        </w:rPr>
      </w:r>
      <w:r/>
    </w:p>
    <w:p>
      <w:pPr>
        <w:pStyle w:val="134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四、保密条款</w:t>
      </w:r>
      <w:r>
        <w:rPr>
          <w:rFonts w:hint="eastAsia" w:ascii="宋体" w:hAnsi="宋体" w:cs="宋体"/>
          <w:szCs w:val="21"/>
        </w:rPr>
      </w:r>
      <w:r/>
    </w:p>
    <w:p>
      <w:pPr>
        <w:pStyle w:val="134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rPr>
          <w:rFonts w:hint="eastAsia" w:ascii="宋体" w:hAnsi="宋体" w:cs="宋体"/>
          <w:szCs w:val="21"/>
        </w:rPr>
      </w:r>
      <w:r/>
    </w:p>
    <w:p>
      <w:pPr>
        <w:pStyle w:val="134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五、送达条款</w:t>
      </w:r>
      <w:r>
        <w:rPr>
          <w:rFonts w:hint="eastAsia" w:ascii="宋体" w:hAnsi="宋体" w:cs="宋体"/>
          <w:szCs w:val="21"/>
        </w:rPr>
      </w:r>
      <w:r/>
    </w:p>
    <w:p>
      <w:pPr>
        <w:pStyle w:val="1344"/>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合同尾部联系方式和联系信息适用于双方往来联系、书面文件送达及争议解决时法律文书送达，送达文书的效力及于本合同纠纷所引发的仲裁、诉讼程序和执行程序。卖方确认的最后送达地址如发生变更等情形，应在三日内重新确认填写最后送达地址并以书面方式予以通知买方，否则原确认的最后送达地址继续有效，卖方自行承担由此可能产生的法律后果。</w:t>
      </w:r>
      <w:r>
        <w:rPr>
          <w:rFonts w:hint="eastAsia" w:ascii="宋体" w:hAnsi="宋体" w:cs="宋体"/>
          <w:szCs w:val="21"/>
        </w:rPr>
      </w:r>
      <w:r/>
    </w:p>
    <w:p>
      <w:pPr>
        <w:pStyle w:val="1344"/>
        <w:ind w:firstLine="480"/>
        <w:jc w:val="left"/>
        <w:spacing w:before="120" w:after="120" w:line="440" w:lineRule="exact"/>
        <w:widowControl/>
        <w:rPr>
          <w:rFonts w:ascii="宋体" w:hAnsi="宋体" w:cs="宋体"/>
          <w:sz w:val="24"/>
          <w:szCs w:val="24"/>
        </w:rPr>
      </w:pPr>
      <w:r>
        <w:rPr>
          <w:rFonts w:ascii="宋体" w:hAnsi="宋体" w:cs="宋体"/>
          <w:sz w:val="24"/>
          <w:szCs w:val="24"/>
        </w:rPr>
      </w:r>
      <w:r/>
    </w:p>
    <w:tbl>
      <w:tblPr>
        <w:tblW w:w="96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1344"/>
              <w:ind w:firstLine="420"/>
              <w:spacing w:before="120" w:after="120" w:line="400" w:lineRule="exact"/>
              <w:rPr>
                <w:rFonts w:ascii="宋体" w:hAnsi="宋体" w:cs="宋体"/>
                <w:szCs w:val="21"/>
              </w:rPr>
            </w:pPr>
            <w:r>
              <w:rPr>
                <w:rFonts w:hint="eastAsia" w:ascii="宋体" w:hAnsi="宋体" w:cs="宋体"/>
                <w:szCs w:val="21"/>
              </w:rPr>
              <w:t xml:space="preserve">买方（盖章）：</w:t>
            </w:r>
            <w:r>
              <w:rPr>
                <w:rFonts w:ascii="宋体" w:hAnsi="宋体" w:cs="宋体"/>
                <w:szCs w:val="21"/>
              </w:rPr>
            </w:r>
            <w:r/>
          </w:p>
          <w:p>
            <w:pPr>
              <w:pStyle w:val="1344"/>
              <w:ind w:firstLine="420"/>
              <w:spacing w:before="120" w:after="120" w:line="400" w:lineRule="exact"/>
              <w:rPr>
                <w:rFonts w:ascii="宋体" w:hAnsi="宋体" w:cs="宋体"/>
                <w:szCs w:val="21"/>
              </w:rPr>
            </w:pPr>
            <w:r>
              <w:rPr>
                <w:rFonts w:hint="eastAsia" w:ascii="宋体" w:hAnsi="宋体" w:cs="宋体"/>
                <w:szCs w:val="21"/>
              </w:rPr>
              <w:t xml:space="preserve">单位名称：</w:t>
            </w:r>
            <w:r>
              <w:rPr>
                <w:rFonts w:ascii="宋体" w:hAnsi="宋体" w:cs="宋体"/>
                <w:szCs w:val="21"/>
              </w:rPr>
              <w:t xml:space="preserve"> </w:t>
            </w:r>
            <w:r>
              <w:rPr>
                <w:rFonts w:ascii="宋体" w:hAnsi="宋体" w:cs="宋体"/>
                <w:szCs w:val="21"/>
              </w:rPr>
            </w:r>
            <w:r/>
          </w:p>
          <w:p>
            <w:pPr>
              <w:pStyle w:val="1344"/>
              <w:ind w:firstLine="420"/>
              <w:spacing w:before="120" w:after="120" w:line="400" w:lineRule="exact"/>
              <w:rPr>
                <w:rFonts w:ascii="宋体" w:hAnsi="宋体" w:cs="宋体"/>
                <w:szCs w:val="21"/>
              </w:rPr>
            </w:pPr>
            <w:r>
              <w:rPr>
                <w:rFonts w:hint="eastAsia" w:ascii="宋体" w:hAnsi="宋体" w:cs="宋体"/>
                <w:szCs w:val="21"/>
              </w:rPr>
              <w:t xml:space="preserve">单位地址：</w:t>
            </w:r>
            <w:r>
              <w:rPr>
                <w:rFonts w:ascii="宋体" w:hAnsi="宋体" w:cs="宋体"/>
                <w:szCs w:val="21"/>
              </w:rPr>
            </w:r>
            <w:r/>
          </w:p>
          <w:p>
            <w:pPr>
              <w:pStyle w:val="1344"/>
              <w:ind w:firstLine="420"/>
              <w:spacing w:before="120" w:after="120" w:line="400" w:lineRule="exact"/>
              <w:rPr>
                <w:rFonts w:ascii="宋体" w:hAnsi="宋体" w:cs="宋体"/>
                <w:szCs w:val="21"/>
              </w:rPr>
            </w:pPr>
            <w:r>
              <w:rPr>
                <w:rFonts w:hint="eastAsia" w:ascii="宋体" w:hAnsi="宋体" w:cs="宋体"/>
                <w:szCs w:val="21"/>
              </w:rPr>
              <w:t xml:space="preserve">法定代表人：</w:t>
            </w:r>
            <w:r>
              <w:rPr>
                <w:rFonts w:ascii="宋体" w:hAnsi="宋体" w:cs="宋体"/>
                <w:szCs w:val="21"/>
              </w:rPr>
            </w:r>
            <w:r/>
          </w:p>
          <w:p>
            <w:pPr>
              <w:pStyle w:val="1344"/>
              <w:ind w:firstLine="420"/>
              <w:spacing w:before="120" w:after="120" w:line="400" w:lineRule="exact"/>
              <w:rPr>
                <w:rFonts w:ascii="宋体" w:hAnsi="宋体" w:cs="宋体"/>
                <w:szCs w:val="21"/>
              </w:rPr>
            </w:pPr>
            <w:r>
              <w:rPr>
                <w:rFonts w:hint="eastAsia" w:ascii="宋体" w:hAnsi="宋体" w:cs="宋体"/>
                <w:szCs w:val="21"/>
              </w:rPr>
              <w:t xml:space="preserve">委托代理人（签字）：</w:t>
            </w:r>
            <w:r>
              <w:rPr>
                <w:rFonts w:ascii="宋体" w:hAnsi="宋体" w:cs="宋体"/>
                <w:szCs w:val="21"/>
              </w:rPr>
            </w:r>
            <w:r/>
          </w:p>
          <w:p>
            <w:pPr>
              <w:pStyle w:val="1344"/>
              <w:ind w:firstLine="420"/>
              <w:spacing w:before="120" w:after="120" w:line="400" w:lineRule="exact"/>
              <w:rPr>
                <w:rFonts w:ascii="宋体" w:hAnsi="宋体" w:cs="宋体"/>
                <w:szCs w:val="21"/>
              </w:rPr>
            </w:pPr>
            <w:r>
              <w:rPr>
                <w:rFonts w:hint="eastAsia" w:ascii="宋体" w:hAnsi="宋体" w:cs="宋体"/>
                <w:szCs w:val="21"/>
              </w:rPr>
              <w:t xml:space="preserve">联系方式：</w:t>
            </w:r>
            <w:r>
              <w:rPr>
                <w:rFonts w:ascii="宋体" w:hAnsi="宋体" w:cs="宋体"/>
                <w:szCs w:val="21"/>
              </w:rPr>
            </w:r>
            <w:r/>
          </w:p>
          <w:p>
            <w:pPr>
              <w:pStyle w:val="1344"/>
              <w:ind w:firstLine="420"/>
              <w:spacing w:before="120" w:after="120" w:line="400" w:lineRule="exact"/>
              <w:rPr>
                <w:rFonts w:ascii="宋体" w:hAnsi="宋体" w:cs="宋体"/>
                <w:szCs w:val="21"/>
              </w:rPr>
            </w:pPr>
            <w:r>
              <w:rPr>
                <w:rFonts w:ascii="宋体" w:hAnsi="宋体" w:cs="宋体"/>
                <w:szCs w:val="21"/>
              </w:rPr>
            </w:r>
            <w:r/>
          </w:p>
          <w:p>
            <w:pPr>
              <w:pStyle w:val="1344"/>
              <w:ind w:firstLine="420"/>
              <w:spacing w:before="120" w:after="120" w:line="400" w:lineRule="exact"/>
              <w:rPr>
                <w:rFonts w:ascii="宋体" w:hAnsi="宋体" w:cs="宋体"/>
                <w:szCs w:val="21"/>
              </w:rPr>
            </w:pPr>
            <w:r>
              <w:rPr>
                <w:rFonts w:ascii="宋体" w:hAnsi="宋体" w:cs="宋体"/>
                <w:szCs w:val="21"/>
              </w:rPr>
            </w:r>
            <w:r/>
          </w:p>
          <w:p>
            <w:pPr>
              <w:pStyle w:val="1344"/>
              <w:ind w:firstLine="420"/>
              <w:spacing w:before="120" w:after="120" w:line="400" w:lineRule="exact"/>
              <w:rPr>
                <w:rFonts w:ascii="宋体" w:hAnsi="宋体" w:cs="宋体"/>
                <w:szCs w:val="21"/>
              </w:rPr>
            </w:pPr>
            <w:r>
              <w:rPr>
                <w:rFonts w:ascii="宋体" w:hAnsi="宋体" w:cs="宋体"/>
                <w:szCs w:val="21"/>
              </w:rPr>
            </w:r>
            <w:r/>
          </w:p>
          <w:p>
            <w:pPr>
              <w:pStyle w:val="1344"/>
              <w:ind w:firstLine="420"/>
              <w:spacing w:before="120" w:after="120" w:line="400" w:lineRule="exact"/>
              <w:rPr>
                <w:rFonts w:ascii="宋体" w:hAnsi="宋体" w:cs="宋体"/>
                <w:szCs w:val="21"/>
              </w:rPr>
            </w:pPr>
            <w:r>
              <w:rPr>
                <w:rFonts w:hint="eastAsia" w:ascii="宋体" w:hAnsi="宋体" w:cs="宋体"/>
                <w:szCs w:val="21"/>
              </w:rPr>
              <w:t xml:space="preserve">签订日期：  年  月  日</w:t>
            </w:r>
            <w:r>
              <w:rPr>
                <w:rFonts w:ascii="宋体" w:hAnsi="宋体" w:cs="宋体"/>
                <w:szCs w:val="21"/>
              </w:rPr>
            </w:r>
            <w:r/>
          </w:p>
        </w:tc>
        <w:tc>
          <w:tcPr>
            <w:tcW w:w="4684" w:type="dxa"/>
            <w:vAlign w:val="top"/>
            <w:textDirection w:val="lrTb"/>
            <w:noWrap w:val="false"/>
          </w:tcPr>
          <w:p>
            <w:pPr>
              <w:pStyle w:val="1344"/>
              <w:ind w:firstLine="420"/>
              <w:spacing w:before="120" w:after="120" w:line="400" w:lineRule="exact"/>
              <w:rPr>
                <w:rFonts w:ascii="宋体" w:hAnsi="宋体" w:cs="宋体"/>
                <w:szCs w:val="21"/>
              </w:rPr>
            </w:pPr>
            <w:r>
              <w:rPr>
                <w:rFonts w:hint="eastAsia" w:ascii="宋体" w:hAnsi="宋体" w:cs="宋体"/>
                <w:szCs w:val="21"/>
              </w:rPr>
              <w:t xml:space="preserve">卖方（盖章）：</w:t>
            </w:r>
            <w:r>
              <w:rPr>
                <w:rFonts w:ascii="宋体" w:hAnsi="宋体" w:cs="宋体"/>
                <w:szCs w:val="21"/>
              </w:rPr>
            </w:r>
            <w:r/>
          </w:p>
          <w:p>
            <w:pPr>
              <w:pStyle w:val="1344"/>
              <w:ind w:firstLine="420"/>
              <w:spacing w:before="120" w:after="120" w:line="400" w:lineRule="exact"/>
              <w:rPr>
                <w:rFonts w:ascii="宋体" w:hAnsi="宋体" w:cs="宋体"/>
                <w:szCs w:val="21"/>
              </w:rPr>
            </w:pPr>
            <w:r>
              <w:rPr>
                <w:rFonts w:hint="eastAsia" w:ascii="宋体" w:hAnsi="宋体" w:cs="宋体"/>
                <w:szCs w:val="21"/>
              </w:rPr>
              <w:t xml:space="preserve">单位名称：</w:t>
            </w:r>
            <w:r>
              <w:rPr>
                <w:rFonts w:ascii="宋体" w:hAnsi="宋体" w:cs="宋体"/>
                <w:szCs w:val="21"/>
              </w:rPr>
            </w:r>
            <w:r/>
          </w:p>
          <w:p>
            <w:pPr>
              <w:pStyle w:val="1344"/>
              <w:ind w:firstLine="420"/>
              <w:spacing w:before="120" w:after="120" w:line="400" w:lineRule="exact"/>
              <w:rPr>
                <w:rFonts w:ascii="宋体" w:hAnsi="宋体" w:cs="宋体"/>
                <w:szCs w:val="21"/>
              </w:rPr>
            </w:pPr>
            <w:r>
              <w:rPr>
                <w:rFonts w:hint="eastAsia" w:ascii="宋体" w:hAnsi="宋体" w:cs="宋体"/>
                <w:szCs w:val="21"/>
              </w:rPr>
              <w:t xml:space="preserve">单位地址：</w:t>
            </w:r>
            <w:r>
              <w:rPr>
                <w:rFonts w:ascii="宋体" w:hAnsi="宋体" w:cs="宋体"/>
                <w:szCs w:val="21"/>
              </w:rPr>
            </w:r>
            <w:r/>
          </w:p>
          <w:p>
            <w:pPr>
              <w:pStyle w:val="1344"/>
              <w:ind w:firstLine="420"/>
              <w:spacing w:before="120" w:after="120" w:line="400" w:lineRule="exact"/>
              <w:rPr>
                <w:rFonts w:ascii="宋体" w:hAnsi="宋体" w:cs="宋体"/>
                <w:szCs w:val="21"/>
              </w:rPr>
            </w:pPr>
            <w:r>
              <w:rPr>
                <w:rFonts w:hint="eastAsia" w:ascii="宋体" w:hAnsi="宋体" w:cs="宋体"/>
                <w:szCs w:val="21"/>
              </w:rPr>
              <w:t xml:space="preserve">法定代表人：</w:t>
            </w:r>
            <w:r>
              <w:rPr>
                <w:rFonts w:ascii="宋体" w:hAnsi="宋体" w:cs="宋体"/>
                <w:szCs w:val="21"/>
              </w:rPr>
            </w:r>
            <w:r/>
          </w:p>
          <w:p>
            <w:pPr>
              <w:pStyle w:val="1344"/>
              <w:ind w:firstLine="420"/>
              <w:spacing w:before="120" w:after="120" w:line="400" w:lineRule="exact"/>
              <w:rPr>
                <w:rFonts w:ascii="宋体" w:hAnsi="宋体" w:cs="宋体"/>
                <w:szCs w:val="21"/>
              </w:rPr>
            </w:pPr>
            <w:r>
              <w:rPr>
                <w:rFonts w:hint="eastAsia" w:ascii="宋体" w:hAnsi="宋体" w:cs="宋体"/>
                <w:szCs w:val="21"/>
              </w:rPr>
              <w:t xml:space="preserve">委托代理人（签字）：</w:t>
            </w:r>
            <w:r>
              <w:rPr>
                <w:rFonts w:ascii="宋体" w:hAnsi="宋体" w:cs="宋体"/>
                <w:szCs w:val="21"/>
              </w:rPr>
            </w:r>
            <w:r/>
          </w:p>
          <w:p>
            <w:pPr>
              <w:pStyle w:val="1344"/>
              <w:ind w:firstLine="420"/>
              <w:spacing w:before="120" w:after="120" w:line="400" w:lineRule="exact"/>
              <w:rPr>
                <w:rFonts w:ascii="宋体" w:hAnsi="宋体" w:cs="宋体"/>
                <w:szCs w:val="21"/>
              </w:rPr>
            </w:pPr>
            <w:r>
              <w:rPr>
                <w:rFonts w:hint="eastAsia" w:ascii="宋体" w:hAnsi="宋体" w:cs="宋体"/>
                <w:szCs w:val="21"/>
              </w:rPr>
              <w:t xml:space="preserve">电话：</w:t>
            </w:r>
            <w:r>
              <w:rPr>
                <w:rFonts w:ascii="宋体" w:hAnsi="宋体" w:cs="宋体"/>
                <w:szCs w:val="21"/>
              </w:rPr>
            </w:r>
            <w:r/>
          </w:p>
          <w:p>
            <w:pPr>
              <w:pStyle w:val="1344"/>
              <w:ind w:firstLine="420"/>
              <w:spacing w:before="120" w:after="120" w:line="400" w:lineRule="exact"/>
              <w:rPr>
                <w:rFonts w:ascii="宋体" w:hAnsi="宋体" w:cs="宋体"/>
                <w:szCs w:val="21"/>
              </w:rPr>
            </w:pPr>
            <w:r>
              <w:rPr>
                <w:rFonts w:hint="eastAsia" w:ascii="宋体" w:hAnsi="宋体" w:cs="宋体"/>
                <w:szCs w:val="21"/>
              </w:rPr>
              <w:t xml:space="preserve">传真：</w:t>
            </w:r>
            <w:r>
              <w:rPr>
                <w:rFonts w:ascii="宋体" w:hAnsi="宋体" w:cs="宋体"/>
                <w:szCs w:val="21"/>
              </w:rPr>
            </w:r>
            <w:r/>
          </w:p>
          <w:p>
            <w:pPr>
              <w:pStyle w:val="1344"/>
              <w:ind w:firstLine="420"/>
              <w:spacing w:before="120" w:after="120" w:line="400" w:lineRule="exact"/>
              <w:rPr>
                <w:rFonts w:ascii="宋体" w:hAnsi="宋体" w:cs="宋体"/>
                <w:szCs w:val="21"/>
              </w:rPr>
            </w:pPr>
            <w:r>
              <w:rPr>
                <w:rFonts w:hint="eastAsia" w:ascii="宋体" w:hAnsi="宋体" w:cs="宋体"/>
                <w:szCs w:val="21"/>
              </w:rPr>
              <w:t xml:space="preserve">开户银行：</w:t>
            </w:r>
            <w:r>
              <w:rPr>
                <w:rFonts w:ascii="宋体" w:hAnsi="宋体" w:cs="宋体"/>
                <w:szCs w:val="21"/>
              </w:rPr>
            </w:r>
            <w:r/>
          </w:p>
          <w:p>
            <w:pPr>
              <w:pStyle w:val="1344"/>
              <w:ind w:firstLine="420"/>
              <w:spacing w:before="120" w:after="120" w:line="400" w:lineRule="exact"/>
              <w:rPr>
                <w:rFonts w:ascii="宋体" w:hAnsi="宋体" w:cs="宋体"/>
                <w:szCs w:val="21"/>
              </w:rPr>
            </w:pPr>
            <w:r>
              <w:rPr>
                <w:rFonts w:hint="eastAsia" w:ascii="宋体" w:hAnsi="宋体" w:cs="宋体"/>
                <w:szCs w:val="21"/>
              </w:rPr>
              <w:t xml:space="preserve">账号：</w:t>
            </w:r>
            <w:r>
              <w:rPr>
                <w:rFonts w:ascii="宋体" w:hAnsi="宋体" w:cs="宋体"/>
                <w:szCs w:val="21"/>
              </w:rPr>
            </w:r>
            <w:r/>
          </w:p>
          <w:p>
            <w:pPr>
              <w:pStyle w:val="1344"/>
              <w:ind w:firstLine="420"/>
              <w:spacing w:before="120" w:after="120" w:line="400" w:lineRule="exact"/>
              <w:rPr>
                <w:rFonts w:ascii="宋体" w:hAnsi="宋体" w:cs="宋体"/>
                <w:szCs w:val="21"/>
              </w:rPr>
            </w:pPr>
            <w:r>
              <w:rPr>
                <w:rFonts w:hint="eastAsia" w:ascii="宋体" w:hAnsi="宋体" w:cs="宋体"/>
                <w:szCs w:val="21"/>
              </w:rPr>
              <w:t xml:space="preserve">税号：</w:t>
            </w:r>
            <w:r>
              <w:rPr>
                <w:rFonts w:ascii="宋体" w:hAnsi="宋体" w:cs="宋体"/>
                <w:szCs w:val="21"/>
              </w:rPr>
            </w:r>
            <w:r/>
          </w:p>
          <w:p>
            <w:pPr>
              <w:pStyle w:val="1344"/>
              <w:ind w:firstLine="420"/>
              <w:spacing w:before="120" w:after="120" w:line="400" w:lineRule="exact"/>
              <w:rPr>
                <w:rFonts w:ascii="宋体" w:hAnsi="宋体" w:cs="宋体"/>
                <w:szCs w:val="21"/>
              </w:rPr>
            </w:pPr>
            <w:r>
              <w:rPr>
                <w:rFonts w:hint="eastAsia" w:ascii="宋体" w:hAnsi="宋体" w:cs="宋体"/>
                <w:szCs w:val="21"/>
              </w:rPr>
              <w:t xml:space="preserve">签订日期：  年  月  日</w:t>
            </w:r>
            <w:r>
              <w:rPr>
                <w:rFonts w:ascii="宋体" w:hAnsi="宋体" w:cs="宋体"/>
                <w:szCs w:val="21"/>
              </w:rPr>
            </w:r>
            <w:r/>
          </w:p>
        </w:tc>
      </w:tr>
    </w:tbl>
    <w:p>
      <w:pPr>
        <w:pStyle w:val="1344"/>
        <w:jc w:val="center"/>
        <w:spacing w:line="360" w:lineRule="auto"/>
        <w:rPr>
          <w:rFonts w:hint="eastAsia" w:ascii="宋体" w:hAnsi="宋体" w:cs="宋体"/>
          <w:b/>
          <w:szCs w:val="21"/>
        </w:rPr>
        <w:sectPr>
          <w:footerReference w:type="default" r:id="rId18"/>
          <w:footerReference w:type="first" r:id="rId19"/>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b/>
          <w:szCs w:val="21"/>
        </w:rPr>
      </w:r>
      <w:r/>
    </w:p>
    <w:p>
      <w:pPr>
        <w:pStyle w:val="1344"/>
        <w:jc w:val="center"/>
        <w:spacing w:line="360" w:lineRule="auto"/>
        <w:rPr>
          <w:rFonts w:hint="eastAsia" w:ascii="宋体" w:hAnsi="宋体" w:cs="宋体"/>
          <w:b/>
          <w:szCs w:val="21"/>
        </w:rPr>
      </w:pPr>
      <w:r>
        <w:rPr>
          <w:rFonts w:hint="eastAsia" w:ascii="宋体" w:hAnsi="宋体" w:cs="宋体"/>
          <w:b/>
          <w:szCs w:val="21"/>
        </w:rPr>
        <w:t xml:space="preserve">合同附件</w:t>
      </w:r>
      <w:r>
        <w:rPr>
          <w:rFonts w:hint="eastAsia" w:ascii="宋体" w:hAnsi="宋体" w:cs="宋体"/>
          <w:b/>
          <w:szCs w:val="21"/>
        </w:rPr>
      </w:r>
      <w:r/>
    </w:p>
    <w:p>
      <w:pPr>
        <w:pStyle w:val="1344"/>
        <w:jc w:val="center"/>
        <w:spacing w:line="360" w:lineRule="auto"/>
        <w:rPr>
          <w:rFonts w:hint="eastAsia" w:ascii="宋体" w:hAnsi="宋体" w:cs="宋体"/>
          <w:b/>
          <w:szCs w:val="21"/>
        </w:rPr>
      </w:pPr>
      <w:r>
        <w:rPr>
          <w:rFonts w:hint="eastAsia" w:ascii="宋体" w:hAnsi="宋体" w:cs="宋体"/>
          <w:b/>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09"/>
        <w:gridCol w:w="4945"/>
      </w:tblGrid>
      <w:tr>
        <w:trPr>
          <w:trHeight w:val="454" w:hRule="exact"/>
        </w:trPr>
        <w:tc>
          <w:tcPr>
            <w:gridSpan w:val="2"/>
            <w:tcW w:w="9854" w:type="dxa"/>
            <w:vAlign w:val="center"/>
            <w:textDirection w:val="lrTb"/>
            <w:noWrap w:val="false"/>
          </w:tcPr>
          <w:p>
            <w:pPr>
              <w:pStyle w:val="1344"/>
              <w:spacing w:line="360" w:lineRule="auto"/>
              <w:rPr>
                <w:rFonts w:hint="eastAsia" w:ascii="宋体" w:hAnsi="宋体" w:cs="宋体"/>
                <w:szCs w:val="21"/>
              </w:rPr>
            </w:pPr>
            <w:r>
              <w:rPr>
                <w:rFonts w:hint="eastAsia" w:ascii="宋体" w:hAnsi="宋体" w:cs="宋体"/>
                <w:szCs w:val="21"/>
              </w:rPr>
              <w:t xml:space="preserve">1、供应商承诺具体事项：</w:t>
            </w: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34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34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34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344"/>
              <w:spacing w:line="360" w:lineRule="auto"/>
              <w:rPr>
                <w:rFonts w:hint="eastAsia" w:ascii="宋体" w:hAnsi="宋体" w:cs="宋体"/>
                <w:szCs w:val="21"/>
              </w:rPr>
            </w:pPr>
            <w:r>
              <w:rPr>
                <w:rFonts w:hint="eastAsia" w:ascii="宋体" w:hAnsi="宋体" w:cs="宋体"/>
                <w:szCs w:val="21"/>
              </w:rPr>
              <w:t xml:space="preserve">2、售后服务具体事项：</w:t>
            </w: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34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34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34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344"/>
              <w:spacing w:line="360" w:lineRule="auto"/>
              <w:rPr>
                <w:rFonts w:hint="eastAsia" w:ascii="宋体" w:hAnsi="宋体" w:cs="宋体"/>
                <w:szCs w:val="21"/>
              </w:rPr>
            </w:pPr>
            <w:r>
              <w:rPr>
                <w:rFonts w:hint="eastAsia" w:ascii="宋体" w:hAnsi="宋体" w:cs="宋体"/>
                <w:szCs w:val="21"/>
              </w:rPr>
              <w:t xml:space="preserve">3、保修期责任：</w:t>
            </w: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34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34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34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344"/>
              <w:spacing w:line="360" w:lineRule="auto"/>
              <w:rPr>
                <w:rFonts w:hint="eastAsia" w:ascii="宋体" w:hAnsi="宋体" w:cs="宋体"/>
                <w:szCs w:val="21"/>
              </w:rPr>
            </w:pPr>
            <w:r>
              <w:rPr>
                <w:rFonts w:hint="eastAsia" w:ascii="宋体" w:hAnsi="宋体" w:cs="宋体"/>
                <w:szCs w:val="21"/>
              </w:rPr>
              <w:t xml:space="preserve">4、其他具体事项：</w:t>
            </w: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34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34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34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34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34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34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344"/>
              <w:spacing w:line="360" w:lineRule="auto"/>
              <w:rPr>
                <w:rFonts w:hint="eastAsia" w:ascii="宋体" w:hAnsi="宋体" w:cs="宋体"/>
                <w:szCs w:val="21"/>
              </w:rPr>
            </w:pPr>
            <w:r>
              <w:rPr>
                <w:rFonts w:hint="eastAsia" w:ascii="宋体" w:hAnsi="宋体" w:cs="宋体"/>
                <w:szCs w:val="21"/>
              </w:rPr>
            </w:r>
            <w:r/>
          </w:p>
        </w:tc>
      </w:tr>
      <w:tr>
        <w:trPr>
          <w:trHeight w:val="2577"/>
        </w:trPr>
        <w:tc>
          <w:tcPr>
            <w:tcW w:w="2491" w:type="dxa"/>
            <w:vAlign w:val="center"/>
            <w:textDirection w:val="lrTb"/>
            <w:noWrap w:val="false"/>
          </w:tcPr>
          <w:p>
            <w:pPr>
              <w:pStyle w:val="1344"/>
              <w:spacing w:line="360" w:lineRule="auto"/>
              <w:rPr>
                <w:rFonts w:hint="eastAsia" w:ascii="宋体" w:hAnsi="宋体" w:cs="宋体"/>
                <w:szCs w:val="21"/>
              </w:rPr>
            </w:pPr>
            <w:r>
              <w:rPr>
                <w:rFonts w:hint="eastAsia" w:ascii="宋体" w:hAnsi="宋体" w:cs="宋体"/>
                <w:szCs w:val="21"/>
              </w:rPr>
              <w:t xml:space="preserve">甲方（公章）</w:t>
            </w:r>
            <w:r>
              <w:rPr>
                <w:rFonts w:hint="eastAsia" w:ascii="宋体" w:hAnsi="宋体" w:cs="宋体"/>
                <w:szCs w:val="21"/>
              </w:rPr>
            </w:r>
            <w:r/>
          </w:p>
          <w:p>
            <w:pPr>
              <w:pStyle w:val="1344"/>
              <w:spacing w:line="360" w:lineRule="auto"/>
              <w:rPr>
                <w:rFonts w:hint="eastAsia" w:ascii="宋体" w:hAnsi="宋体" w:cs="宋体"/>
                <w:szCs w:val="21"/>
              </w:rPr>
            </w:pPr>
            <w:r>
              <w:rPr>
                <w:rFonts w:hint="eastAsia" w:ascii="宋体" w:hAnsi="宋体" w:cs="宋体"/>
                <w:szCs w:val="21"/>
              </w:rPr>
            </w:r>
            <w:r/>
          </w:p>
          <w:p>
            <w:pPr>
              <w:pStyle w:val="1344"/>
              <w:spacing w:line="360" w:lineRule="auto"/>
              <w:rPr>
                <w:rFonts w:hint="eastAsia" w:ascii="宋体" w:hAnsi="宋体" w:cs="宋体"/>
                <w:szCs w:val="21"/>
              </w:rPr>
            </w:pPr>
            <w:r>
              <w:rPr>
                <w:rFonts w:hint="eastAsia" w:ascii="宋体" w:hAnsi="宋体" w:cs="宋体"/>
                <w:szCs w:val="21"/>
              </w:rPr>
            </w:r>
            <w:r/>
          </w:p>
          <w:p>
            <w:pPr>
              <w:pStyle w:val="1344"/>
              <w:spacing w:line="360" w:lineRule="auto"/>
              <w:rPr>
                <w:rFonts w:hint="eastAsia" w:ascii="宋体" w:hAnsi="宋体" w:cs="宋体"/>
                <w:szCs w:val="21"/>
              </w:rPr>
            </w:pPr>
            <w:r>
              <w:rPr>
                <w:rFonts w:hint="eastAsia" w:ascii="宋体" w:hAnsi="宋体" w:cs="宋体"/>
                <w:szCs w:val="21"/>
              </w:rPr>
            </w:r>
            <w:r/>
          </w:p>
          <w:p>
            <w:pPr>
              <w:pStyle w:val="1344"/>
              <w:spacing w:line="360" w:lineRule="auto"/>
              <w:rPr>
                <w:rFonts w:hint="eastAsia" w:ascii="宋体" w:hAnsi="宋体" w:cs="宋体"/>
                <w:szCs w:val="21"/>
              </w:rPr>
            </w:pPr>
            <w:r>
              <w:rPr>
                <w:rFonts w:hint="eastAsia" w:ascii="宋体" w:hAnsi="宋体" w:cs="宋体"/>
                <w:szCs w:val="21"/>
              </w:rPr>
            </w:r>
            <w:r/>
          </w:p>
          <w:p>
            <w:pPr>
              <w:pStyle w:val="1344"/>
              <w:ind w:firstLine="525"/>
              <w:spacing w:line="360" w:lineRule="auto"/>
              <w:rPr>
                <w:rFonts w:hint="eastAsia" w:ascii="宋体" w:hAnsi="宋体" w:cs="宋体"/>
                <w:szCs w:val="21"/>
              </w:rPr>
            </w:pPr>
            <w:r>
              <w:rPr>
                <w:rFonts w:hint="eastAsia" w:ascii="宋体" w:hAnsi="宋体" w:cs="宋体"/>
                <w:szCs w:val="21"/>
              </w:rPr>
              <w:t xml:space="preserve">年   月   日</w:t>
            </w:r>
            <w:r>
              <w:rPr>
                <w:rFonts w:hint="eastAsia" w:ascii="宋体" w:hAnsi="宋体" w:cs="宋体"/>
                <w:szCs w:val="21"/>
              </w:rPr>
            </w:r>
            <w:r/>
          </w:p>
        </w:tc>
        <w:tc>
          <w:tcPr>
            <w:tcW w:w="2508" w:type="dxa"/>
            <w:vAlign w:val="center"/>
            <w:textDirection w:val="lrTb"/>
            <w:noWrap w:val="false"/>
          </w:tcPr>
          <w:p>
            <w:pPr>
              <w:pStyle w:val="1344"/>
              <w:spacing w:line="360" w:lineRule="auto"/>
              <w:rPr>
                <w:rFonts w:hint="eastAsia" w:ascii="宋体" w:hAnsi="宋体" w:cs="宋体"/>
                <w:szCs w:val="21"/>
              </w:rPr>
            </w:pPr>
            <w:r>
              <w:rPr>
                <w:rFonts w:hint="eastAsia" w:ascii="宋体" w:hAnsi="宋体" w:cs="宋体"/>
                <w:szCs w:val="21"/>
              </w:rPr>
              <w:t xml:space="preserve">乙方（公章）</w:t>
            </w:r>
            <w:r>
              <w:rPr>
                <w:rFonts w:hint="eastAsia" w:ascii="宋体" w:hAnsi="宋体" w:cs="宋体"/>
                <w:szCs w:val="21"/>
              </w:rPr>
            </w:r>
            <w:r/>
          </w:p>
          <w:p>
            <w:pPr>
              <w:pStyle w:val="1344"/>
              <w:spacing w:line="360" w:lineRule="auto"/>
              <w:rPr>
                <w:rFonts w:hint="eastAsia" w:ascii="宋体" w:hAnsi="宋体" w:cs="宋体"/>
                <w:szCs w:val="21"/>
              </w:rPr>
            </w:pPr>
            <w:r>
              <w:rPr>
                <w:rFonts w:hint="eastAsia" w:ascii="宋体" w:hAnsi="宋体" w:cs="宋体"/>
                <w:szCs w:val="21"/>
              </w:rPr>
            </w:r>
            <w:r/>
          </w:p>
          <w:p>
            <w:pPr>
              <w:pStyle w:val="1344"/>
              <w:spacing w:line="360" w:lineRule="auto"/>
              <w:rPr>
                <w:rFonts w:hint="eastAsia" w:ascii="宋体" w:hAnsi="宋体" w:cs="宋体"/>
                <w:szCs w:val="21"/>
              </w:rPr>
            </w:pPr>
            <w:r>
              <w:rPr>
                <w:rFonts w:hint="eastAsia" w:ascii="宋体" w:hAnsi="宋体" w:cs="宋体"/>
                <w:szCs w:val="21"/>
              </w:rPr>
            </w:r>
            <w:r/>
          </w:p>
          <w:p>
            <w:pPr>
              <w:pStyle w:val="1344"/>
              <w:spacing w:line="360" w:lineRule="auto"/>
              <w:rPr>
                <w:rFonts w:hint="eastAsia" w:ascii="宋体" w:hAnsi="宋体" w:cs="宋体"/>
                <w:szCs w:val="21"/>
              </w:rPr>
            </w:pPr>
            <w:r>
              <w:rPr>
                <w:rFonts w:hint="eastAsia" w:ascii="宋体" w:hAnsi="宋体" w:cs="宋体"/>
                <w:szCs w:val="21"/>
              </w:rPr>
            </w:r>
            <w:r/>
          </w:p>
          <w:p>
            <w:pPr>
              <w:pStyle w:val="1344"/>
              <w:spacing w:line="360" w:lineRule="auto"/>
              <w:rPr>
                <w:rFonts w:hint="eastAsia" w:ascii="宋体" w:hAnsi="宋体" w:cs="宋体"/>
                <w:szCs w:val="21"/>
              </w:rPr>
            </w:pPr>
            <w:r>
              <w:rPr>
                <w:rFonts w:hint="eastAsia" w:ascii="宋体" w:hAnsi="宋体" w:cs="宋体"/>
                <w:szCs w:val="21"/>
              </w:rPr>
            </w:r>
            <w:r/>
          </w:p>
          <w:p>
            <w:pPr>
              <w:pStyle w:val="1344"/>
              <w:ind w:firstLine="525"/>
              <w:spacing w:line="360" w:lineRule="auto"/>
              <w:rPr>
                <w:rFonts w:hint="eastAsia" w:ascii="宋体" w:hAnsi="宋体" w:cs="宋体"/>
                <w:szCs w:val="21"/>
              </w:rPr>
            </w:pPr>
            <w:r>
              <w:rPr>
                <w:rFonts w:hint="eastAsia" w:ascii="宋体" w:hAnsi="宋体" w:cs="宋体"/>
                <w:szCs w:val="21"/>
              </w:rPr>
              <w:t xml:space="preserve">年   月   日</w:t>
            </w:r>
            <w:r>
              <w:rPr>
                <w:rFonts w:hint="eastAsia" w:ascii="宋体" w:hAnsi="宋体" w:cs="宋体"/>
                <w:szCs w:val="21"/>
              </w:rPr>
            </w:r>
            <w:r/>
          </w:p>
        </w:tc>
      </w:tr>
    </w:tbl>
    <w:p>
      <w:pPr>
        <w:pStyle w:val="1344"/>
        <w:jc w:val="left"/>
        <w:spacing w:line="360" w:lineRule="auto"/>
        <w:widowControl/>
        <w:rPr>
          <w:rFonts w:hint="eastAsia" w:ascii="宋体" w:hAnsi="宋体" w:cs="宋体"/>
          <w:b/>
          <w:szCs w:val="21"/>
        </w:rPr>
      </w:pPr>
      <w:r>
        <w:rPr>
          <w:rFonts w:hint="eastAsia" w:ascii="宋体" w:hAnsi="宋体" w:cs="宋体"/>
          <w:szCs w:val="21"/>
        </w:rPr>
        <w:t xml:space="preserve">注：售后服务事项填不下时可另加附页。</w:t>
      </w:r>
      <w:r>
        <w:rPr>
          <w:rFonts w:hint="eastAsia" w:ascii="宋体" w:hAnsi="宋体" w:cs="宋体"/>
          <w:b/>
          <w:szCs w:val="21"/>
        </w:rPr>
      </w:r>
      <w:r/>
    </w:p>
    <w:p>
      <w:pPr>
        <w:pStyle w:val="1344"/>
        <w:jc w:val="center"/>
        <w:spacing w:line="440" w:lineRule="exact"/>
        <w:rPr>
          <w:b/>
          <w:sz w:val="28"/>
          <w:szCs w:val="28"/>
        </w:rPr>
      </w:pPr>
      <w:r>
        <w:rPr>
          <w:b/>
          <w:sz w:val="28"/>
          <w:szCs w:val="28"/>
        </w:rPr>
      </w:r>
      <w:r/>
    </w:p>
    <w:p>
      <w:pPr>
        <w:pStyle w:val="1344"/>
        <w:ind w:left="1067"/>
        <w:spacing w:before="65" w:line="193" w:lineRule="auto"/>
        <w:rPr>
          <w:rFonts w:ascii="宋体" w:hAnsi="宋体" w:cs="宋体"/>
          <w:sz w:val="20"/>
        </w:rPr>
      </w:pPr>
      <w:r>
        <w:rPr>
          <w:sz w:val="2"/>
          <w:szCs w:val="2"/>
        </w:rPr>
        <w:br w:type="column"/>
      </w:r>
      <w:r>
        <w:rPr>
          <w:rFonts w:ascii="宋体" w:hAnsi="宋体" w:cs="宋体"/>
          <w:sz w:val="20"/>
        </w:rPr>
      </w:r>
      <w:r/>
    </w:p>
    <w:p>
      <w:pPr>
        <w:pStyle w:val="1344"/>
        <w:jc w:val="center"/>
        <w:spacing w:line="440" w:lineRule="exact"/>
        <w:rPr>
          <w:b/>
          <w:sz w:val="28"/>
          <w:szCs w:val="28"/>
        </w:rPr>
        <w:outlineLvl w:val="0"/>
      </w:pPr>
      <w:r/>
      <w:bookmarkStart w:id="396" w:name="_Toc19"/>
      <w:r/>
      <w:bookmarkStart w:id="397" w:name="_Toc26078"/>
      <w:r/>
      <w:bookmarkStart w:id="398" w:name="_Toc23244"/>
      <w:r>
        <w:rPr>
          <w:b/>
          <w:sz w:val="28"/>
          <w:szCs w:val="28"/>
        </w:rPr>
        <w:t xml:space="preserve">第六章 投标文件格式及附件</w:t>
      </w:r>
      <w:bookmarkEnd w:id="396"/>
      <w:r/>
      <w:bookmarkEnd w:id="397"/>
      <w:r/>
      <w:bookmarkEnd w:id="398"/>
      <w:r>
        <w:rPr>
          <w:b/>
          <w:sz w:val="28"/>
          <w:szCs w:val="28"/>
        </w:rPr>
      </w:r>
      <w:r/>
    </w:p>
    <w:p>
      <w:pPr>
        <w:pStyle w:val="1344"/>
        <w:spacing w:line="360" w:lineRule="auto"/>
        <w:rPr>
          <w:b/>
          <w:bCs/>
          <w:szCs w:val="21"/>
        </w:rPr>
      </w:pPr>
      <w:r>
        <w:rPr>
          <w:b/>
          <w:bCs/>
          <w:szCs w:val="21"/>
        </w:rPr>
        <w:t xml:space="preserve">注：</w:t>
      </w:r>
      <w:r>
        <w:rPr>
          <w:b/>
          <w:bCs/>
          <w:szCs w:val="21"/>
        </w:rPr>
      </w:r>
      <w:r/>
    </w:p>
    <w:p>
      <w:pPr>
        <w:pStyle w:val="1344"/>
        <w:jc w:val="left"/>
        <w:spacing w:line="360" w:lineRule="auto"/>
        <w:rPr>
          <w:rFonts w:hint="eastAsia" w:ascii="宋体" w:hAnsi="宋体" w:cs="宋体"/>
          <w:szCs w:val="21"/>
        </w:rPr>
      </w:pPr>
      <w:r>
        <w:rPr>
          <w:rFonts w:hint="eastAsia" w:ascii="宋体" w:hAnsi="宋体" w:cs="宋体"/>
          <w:szCs w:val="21"/>
        </w:rPr>
        <w:t xml:space="preserve">1.本部分内容仅提供格式参考。 </w:t>
      </w:r>
      <w:r>
        <w:rPr>
          <w:rFonts w:hint="eastAsia" w:ascii="宋体" w:hAnsi="宋体" w:cs="宋体"/>
          <w:szCs w:val="21"/>
        </w:rPr>
      </w:r>
      <w:r/>
    </w:p>
    <w:p>
      <w:pPr>
        <w:pStyle w:val="1344"/>
        <w:jc w:val="left"/>
        <w:spacing w:line="360" w:lineRule="auto"/>
        <w:rPr>
          <w:rFonts w:hint="eastAsia" w:ascii="宋体" w:hAnsi="宋体" w:cs="宋体"/>
          <w:szCs w:val="21"/>
        </w:rPr>
      </w:pPr>
      <w:r>
        <w:rPr>
          <w:rFonts w:hint="eastAsia" w:ascii="宋体" w:hAnsi="宋体" w:cs="宋体"/>
          <w:szCs w:val="21"/>
        </w:rPr>
        <w:t xml:space="preserve">2.供应商应按照以下文件的要求格式、内容制作投标文件，并编制目录及页码，混乱的编排导致投标文件被误读或查找不到，后果由供应商承担。 </w:t>
      </w:r>
      <w:r>
        <w:rPr>
          <w:rFonts w:hint="eastAsia" w:ascii="宋体" w:hAnsi="宋体" w:cs="宋体"/>
          <w:szCs w:val="21"/>
        </w:rPr>
      </w:r>
      <w:r/>
    </w:p>
    <w:p>
      <w:pPr>
        <w:pStyle w:val="1344"/>
        <w:jc w:val="left"/>
        <w:spacing w:line="360" w:lineRule="auto"/>
        <w:rPr>
          <w:rFonts w:hint="eastAsia" w:ascii="宋体" w:hAnsi="宋体" w:cs="宋体"/>
          <w:szCs w:val="21"/>
        </w:rPr>
      </w:pPr>
      <w:r>
        <w:rPr>
          <w:rFonts w:hint="eastAsia" w:ascii="宋体" w:hAnsi="宋体" w:cs="宋体"/>
          <w:szCs w:val="21"/>
        </w:rPr>
        <w:t xml:space="preserve">3.所附表格中要求回答的全部问题和信息都必须正面回答。 </w:t>
      </w:r>
      <w:r>
        <w:rPr>
          <w:rFonts w:hint="eastAsia" w:ascii="宋体" w:hAnsi="宋体" w:cs="宋体"/>
          <w:szCs w:val="21"/>
        </w:rPr>
      </w:r>
      <w:r/>
    </w:p>
    <w:p>
      <w:pPr>
        <w:pStyle w:val="1344"/>
        <w:jc w:val="left"/>
        <w:spacing w:line="360" w:lineRule="auto"/>
        <w:rPr>
          <w:rFonts w:hint="eastAsia" w:ascii="宋体" w:hAnsi="宋体" w:cs="宋体"/>
          <w:szCs w:val="21"/>
        </w:rPr>
      </w:pPr>
      <w:r>
        <w:rPr>
          <w:rFonts w:hint="eastAsia" w:ascii="宋体" w:hAnsi="宋体" w:cs="宋体"/>
          <w:szCs w:val="21"/>
        </w:rPr>
        <w:t xml:space="preserve">4.供应商提交的材料不予退还。 </w:t>
      </w:r>
      <w:r>
        <w:rPr>
          <w:rFonts w:hint="eastAsia" w:ascii="宋体" w:hAnsi="宋体" w:cs="宋体"/>
          <w:szCs w:val="21"/>
        </w:rPr>
      </w:r>
      <w:r/>
    </w:p>
    <w:p>
      <w:pPr>
        <w:pStyle w:val="1344"/>
        <w:jc w:val="left"/>
        <w:spacing w:line="360" w:lineRule="auto"/>
        <w:rPr>
          <w:rFonts w:hint="eastAsia" w:ascii="宋体" w:hAnsi="宋体" w:cs="宋体"/>
          <w:szCs w:val="21"/>
        </w:rPr>
      </w:pPr>
      <w:r>
        <w:rPr>
          <w:rFonts w:hint="eastAsia" w:ascii="宋体" w:hAnsi="宋体" w:cs="宋体"/>
          <w:szCs w:val="21"/>
        </w:rPr>
        <w:t xml:space="preserve">5.全部文件应按投标人须知以及前附表中规定的语言和份数提交。 </w:t>
      </w:r>
      <w:r>
        <w:rPr>
          <w:rFonts w:hint="eastAsia" w:ascii="宋体" w:hAnsi="宋体" w:cs="宋体"/>
          <w:szCs w:val="21"/>
        </w:rPr>
      </w:r>
      <w:r/>
    </w:p>
    <w:p>
      <w:pPr>
        <w:pStyle w:val="1344"/>
        <w:jc w:val="left"/>
        <w:spacing w:line="440" w:lineRule="exact"/>
        <w:rPr>
          <w:rFonts w:hint="eastAsia" w:ascii="宋体" w:hAnsi="宋体" w:cs="宋体"/>
          <w:sz w:val="24"/>
        </w:rPr>
      </w:pPr>
      <w:r>
        <w:rPr>
          <w:rFonts w:hint="eastAsia" w:ascii="宋体" w:hAnsi="宋体" w:cs="宋体"/>
          <w:szCs w:val="21"/>
        </w:rPr>
        <w:t xml:space="preserve">6.投标文件应按照投标文件格式逐项填写，无相应内容可填的项应填写“无”“未测试”“没有相应指标”等明确的回答文字。</w:t>
      </w:r>
      <w:r>
        <w:rPr>
          <w:rFonts w:hint="eastAsia" w:ascii="宋体" w:hAnsi="宋体" w:cs="宋体"/>
          <w:sz w:val="24"/>
        </w:rPr>
      </w:r>
      <w:r/>
    </w:p>
    <w:p>
      <w:pPr>
        <w:pStyle w:val="1344"/>
        <w:jc w:val="center"/>
        <w:rPr>
          <w:szCs w:val="24"/>
        </w:rPr>
      </w:pPr>
      <w:r/>
      <w:bookmarkStart w:id="399" w:name="_Toc12151"/>
      <w:r/>
      <w:bookmarkStart w:id="400" w:name="_Toc29373"/>
      <w:r/>
      <w:bookmarkStart w:id="401" w:name="_Toc496780634"/>
      <w:r>
        <w:rPr>
          <w:szCs w:val="24"/>
        </w:rPr>
      </w:r>
      <w:r/>
    </w:p>
    <w:p>
      <w:pPr>
        <w:pStyle w:val="1344"/>
        <w:rPr>
          <w:szCs w:val="24"/>
        </w:rPr>
        <w:sectPr>
          <w:footerReference w:type="default" r:id="rId20"/>
          <w:footerReference w:type="first" r:id="rId21"/>
          <w:footnotePr/>
          <w:endnotePr/>
          <w:type w:val="nextPage"/>
          <w:pgSz w:w="11906" w:h="16838" w:orient="portrait"/>
          <w:pgMar w:top="1134" w:right="1134" w:bottom="1134" w:left="1134" w:header="851" w:footer="992" w:gutter="0"/>
          <w:cols w:num="1" w:sep="0" w:space="1701" w:equalWidth="1"/>
          <w:docGrid w:linePitch="360"/>
          <w:titlePg/>
        </w:sectPr>
      </w:pPr>
      <w:r>
        <w:rPr>
          <w:szCs w:val="24"/>
        </w:rPr>
      </w:r>
      <w:r/>
    </w:p>
    <w:p>
      <w:pPr>
        <w:pStyle w:val="1344"/>
        <w:jc w:val="left"/>
        <w:widowControl/>
      </w:pPr>
      <w:r>
        <w:rPr>
          <w:b/>
          <w:bCs/>
          <w:color w:val="000000"/>
          <w:sz w:val="28"/>
          <w:szCs w:val="28"/>
          <w:lang w:bidi="ar"/>
        </w:rPr>
        <w:t xml:space="preserve">投标文件封面格式 </w:t>
      </w:r>
      <w:r/>
    </w:p>
    <w:p>
      <w:pPr>
        <w:pStyle w:val="1344"/>
        <w:jc w:val="right"/>
        <w:spacing w:line="500" w:lineRule="exact"/>
        <w:rPr>
          <w:b/>
          <w:color w:val="000000"/>
          <w:spacing w:val="80"/>
          <w:sz w:val="72"/>
        </w:rPr>
      </w:pPr>
      <w:r>
        <w:rPr>
          <w:rFonts w:ascii="Wingdings 2" w:hAnsi="Wingdings 2" w:eastAsia="Wingdings 2" w:cs="Wingdings 2"/>
          <w:b/>
          <w:iCs/>
          <w:color w:val="000000"/>
          <w:sz w:val="36"/>
          <w:szCs w:val="36"/>
        </w:rPr>
        <w:t xml:space="preserve">£</w:t>
      </w:r>
      <w:r>
        <w:rPr>
          <w:b/>
          <w:iCs/>
          <w:color w:val="000000"/>
          <w:sz w:val="44"/>
          <w:szCs w:val="44"/>
        </w:rPr>
        <w:t xml:space="preserve">正本/</w:t>
      </w:r>
      <w:r>
        <w:rPr>
          <w:rFonts w:ascii="Wingdings 2" w:hAnsi="Wingdings 2" w:eastAsia="Wingdings 2" w:cs="Wingdings 2"/>
          <w:b/>
          <w:iCs/>
          <w:color w:val="000000"/>
          <w:sz w:val="36"/>
          <w:szCs w:val="36"/>
        </w:rPr>
        <w:t xml:space="preserve">£</w:t>
      </w:r>
      <w:r>
        <w:rPr>
          <w:b/>
          <w:iCs/>
          <w:color w:val="000000"/>
          <w:sz w:val="44"/>
          <w:szCs w:val="44"/>
        </w:rPr>
        <w:t xml:space="preserve">副本</w:t>
      </w:r>
      <w:r>
        <w:rPr>
          <w:b/>
          <w:color w:val="000000"/>
          <w:spacing w:val="80"/>
          <w:sz w:val="72"/>
        </w:rPr>
      </w:r>
      <w:r/>
    </w:p>
    <w:p>
      <w:pPr>
        <w:pStyle w:val="1344"/>
        <w:jc w:val="center"/>
        <w:spacing w:line="500" w:lineRule="exact"/>
        <w:rPr>
          <w:b/>
          <w:sz w:val="44"/>
          <w:szCs w:val="44"/>
        </w:rPr>
      </w:pPr>
      <w:r>
        <w:rPr>
          <w:b/>
          <w:sz w:val="44"/>
          <w:szCs w:val="44"/>
        </w:rPr>
      </w:r>
      <w:r/>
    </w:p>
    <w:p>
      <w:pPr>
        <w:pStyle w:val="1530"/>
        <w:ind w:firstLine="883"/>
        <w:rPr>
          <w:b/>
          <w:sz w:val="44"/>
          <w:szCs w:val="44"/>
        </w:rPr>
      </w:pPr>
      <w:r>
        <w:rPr>
          <w:b/>
          <w:sz w:val="44"/>
          <w:szCs w:val="44"/>
        </w:rPr>
      </w:r>
      <w:r/>
    </w:p>
    <w:p>
      <w:pPr>
        <w:pStyle w:val="1530"/>
        <w:ind w:firstLine="883"/>
        <w:rPr>
          <w:b/>
          <w:sz w:val="44"/>
          <w:szCs w:val="44"/>
        </w:rPr>
      </w:pPr>
      <w:r>
        <w:rPr>
          <w:b/>
          <w:sz w:val="44"/>
          <w:szCs w:val="44"/>
        </w:rPr>
      </w:r>
      <w:r/>
    </w:p>
    <w:p>
      <w:pPr>
        <w:pStyle w:val="1344"/>
        <w:jc w:val="center"/>
        <w:spacing w:line="500" w:lineRule="exact"/>
        <w:rPr>
          <w:rFonts w:hint="eastAsia"/>
          <w:b/>
          <w:sz w:val="48"/>
          <w:szCs w:val="48"/>
        </w:rPr>
      </w:pPr>
      <w:r>
        <w:rPr>
          <w:rFonts w:hint="eastAsia"/>
          <w:b/>
          <w:sz w:val="48"/>
          <w:szCs w:val="48"/>
        </w:rPr>
        <w:t xml:space="preserve">江苏省计量科学研究院</w:t>
      </w:r>
      <w:r>
        <w:rPr>
          <w:rFonts w:hint="eastAsia"/>
          <w:b/>
          <w:sz w:val="48"/>
          <w:szCs w:val="48"/>
        </w:rPr>
      </w:r>
      <w:r/>
    </w:p>
    <w:p>
      <w:pPr>
        <w:pStyle w:val="1344"/>
        <w:jc w:val="center"/>
        <w:spacing w:line="500" w:lineRule="exact"/>
        <w:rPr>
          <w:rFonts w:hint="eastAsia"/>
          <w:b/>
          <w:sz w:val="48"/>
          <w:szCs w:val="48"/>
        </w:rPr>
      </w:pPr>
      <w:r>
        <w:rPr>
          <w:rFonts w:hint="eastAsia"/>
          <w:b/>
          <w:sz w:val="48"/>
          <w:szCs w:val="48"/>
        </w:rPr>
        <w:t xml:space="preserve">（江苏省能源计量数据中心）</w:t>
      </w:r>
      <w:r>
        <w:rPr>
          <w:rFonts w:hint="eastAsia"/>
          <w:b/>
          <w:sz w:val="48"/>
          <w:szCs w:val="48"/>
        </w:rPr>
      </w:r>
      <w:r/>
    </w:p>
    <w:p>
      <w:pPr>
        <w:pStyle w:val="1344"/>
        <w:jc w:val="center"/>
        <w:spacing w:line="500" w:lineRule="exact"/>
        <w:rPr>
          <w:rFonts w:hint="eastAsia"/>
          <w:b/>
          <w:sz w:val="48"/>
          <w:szCs w:val="48"/>
        </w:rPr>
      </w:pPr>
      <w:r>
        <w:rPr>
          <w:rFonts w:hint="eastAsia"/>
          <w:b/>
          <w:sz w:val="48"/>
          <w:szCs w:val="48"/>
        </w:rPr>
      </w:r>
      <w:r/>
    </w:p>
    <w:p>
      <w:pPr>
        <w:pStyle w:val="1344"/>
        <w:jc w:val="center"/>
        <w:spacing w:line="500" w:lineRule="exact"/>
        <w:rPr>
          <w:rFonts w:hint="eastAsia"/>
          <w:b/>
          <w:sz w:val="48"/>
          <w:szCs w:val="48"/>
        </w:rPr>
      </w:pPr>
      <w:r>
        <w:rPr>
          <w:rFonts w:hint="eastAsia"/>
          <w:b/>
          <w:sz w:val="48"/>
          <w:szCs w:val="48"/>
        </w:rPr>
      </w:r>
      <w:r/>
    </w:p>
    <w:p>
      <w:pPr>
        <w:pStyle w:val="1344"/>
        <w:jc w:val="center"/>
        <w:spacing w:line="500" w:lineRule="exact"/>
        <w:rPr>
          <w:rFonts w:hint="eastAsia"/>
          <w:b/>
          <w:color w:val="000000"/>
          <w:spacing w:val="80"/>
          <w:sz w:val="72"/>
        </w:rPr>
      </w:pPr>
      <w:r>
        <w:rPr>
          <w:rFonts w:hint="eastAsia"/>
          <w:b/>
          <w:sz w:val="48"/>
          <w:szCs w:val="48"/>
        </w:rPr>
        <w:t xml:space="preserve">江苏省计量院2026年社会公用计量标准设备更新项目</w:t>
      </w:r>
      <w:r>
        <w:rPr>
          <w:rFonts w:hint="eastAsia"/>
          <w:b/>
          <w:color w:val="000000"/>
          <w:spacing w:val="80"/>
          <w:sz w:val="72"/>
        </w:rPr>
      </w:r>
      <w:r/>
    </w:p>
    <w:p>
      <w:pPr>
        <w:pStyle w:val="1530"/>
        <w:ind w:firstLine="1766"/>
        <w:rPr>
          <w:b/>
          <w:color w:val="000000"/>
          <w:spacing w:val="80"/>
          <w:sz w:val="72"/>
        </w:rPr>
      </w:pPr>
      <w:r>
        <w:rPr>
          <w:b/>
          <w:color w:val="000000"/>
          <w:spacing w:val="80"/>
          <w:sz w:val="72"/>
        </w:rPr>
      </w:r>
      <w:r/>
    </w:p>
    <w:p>
      <w:pPr>
        <w:pStyle w:val="1530"/>
        <w:ind w:firstLine="1766"/>
        <w:rPr>
          <w:b/>
          <w:color w:val="000000"/>
          <w:spacing w:val="80"/>
          <w:sz w:val="72"/>
        </w:rPr>
      </w:pPr>
      <w:r>
        <w:rPr>
          <w:b/>
          <w:color w:val="000000"/>
          <w:spacing w:val="80"/>
          <w:sz w:val="72"/>
        </w:rPr>
      </w:r>
      <w:r/>
    </w:p>
    <w:p>
      <w:pPr>
        <w:pStyle w:val="1344"/>
        <w:jc w:val="center"/>
        <w:spacing w:before="100" w:beforeAutospacing="1" w:after="100" w:afterAutospacing="1" w:line="500" w:lineRule="exact"/>
        <w:rPr>
          <w:b/>
          <w:sz w:val="60"/>
          <w:szCs w:val="60"/>
        </w:rPr>
      </w:pPr>
      <w:r>
        <w:rPr>
          <w:b/>
          <w:sz w:val="60"/>
          <w:szCs w:val="60"/>
        </w:rPr>
        <w:t xml:space="preserve">投标文件</w:t>
      </w:r>
      <w:r>
        <w:rPr>
          <w:b/>
          <w:sz w:val="60"/>
          <w:szCs w:val="60"/>
        </w:rPr>
      </w:r>
      <w:r/>
    </w:p>
    <w:p>
      <w:pPr>
        <w:pStyle w:val="1344"/>
        <w:ind w:firstLine="1285"/>
        <w:spacing w:line="360" w:lineRule="auto"/>
        <w:rPr>
          <w:b/>
          <w:sz w:val="32"/>
          <w:szCs w:val="32"/>
        </w:rPr>
      </w:pPr>
      <w:r>
        <w:rPr>
          <w:b/>
          <w:sz w:val="32"/>
          <w:szCs w:val="32"/>
        </w:rPr>
      </w:r>
      <w:r/>
    </w:p>
    <w:p>
      <w:pPr>
        <w:pStyle w:val="1344"/>
        <w:spacing w:line="500" w:lineRule="exact"/>
        <w:rPr>
          <w:color w:val="000000"/>
          <w:sz w:val="32"/>
        </w:rPr>
      </w:pPr>
      <w:r>
        <w:rPr>
          <w:color w:val="000000"/>
          <w:sz w:val="32"/>
        </w:rPr>
      </w:r>
      <w:r/>
    </w:p>
    <w:p>
      <w:pPr>
        <w:pStyle w:val="1344"/>
        <w:spacing w:line="360" w:lineRule="auto"/>
        <w:rPr>
          <w:b/>
          <w:sz w:val="32"/>
          <w:szCs w:val="32"/>
        </w:rPr>
      </w:pPr>
      <w:r>
        <w:rPr>
          <w:b/>
          <w:sz w:val="32"/>
          <w:szCs w:val="32"/>
        </w:rPr>
      </w:r>
      <w:r/>
    </w:p>
    <w:p>
      <w:pPr>
        <w:pStyle w:val="1344"/>
        <w:ind w:firstLine="1285"/>
        <w:spacing w:line="360" w:lineRule="auto"/>
        <w:rPr>
          <w:b/>
          <w:sz w:val="32"/>
          <w:szCs w:val="32"/>
          <w:highlight w:val="yellow"/>
        </w:rPr>
      </w:pPr>
      <w:r>
        <w:rPr>
          <w:b/>
          <w:sz w:val="32"/>
          <w:szCs w:val="32"/>
        </w:rPr>
        <w:t xml:space="preserve">项目编号：</w:t>
      </w:r>
      <w:r>
        <w:rPr>
          <w:rFonts w:hint="eastAsia"/>
          <w:b/>
          <w:sz w:val="32"/>
          <w:szCs w:val="32"/>
          <w:lang w:eastAsia="zh-CN"/>
        </w:rPr>
        <w:t xml:space="preserve">JSZC-320000-SMDY-G2026-0080</w:t>
      </w:r>
      <w:r>
        <w:rPr>
          <w:b/>
          <w:sz w:val="32"/>
          <w:szCs w:val="32"/>
        </w:rPr>
        <w:t xml:space="preserve">（</w:t>
      </w:r>
      <w:r>
        <w:rPr>
          <w:rFonts w:hint="eastAsia"/>
          <w:b/>
          <w:sz w:val="32"/>
          <w:szCs w:val="32"/>
        </w:rPr>
        <w:t xml:space="preserve">2640SUMEC/ZWGG2156</w:t>
      </w:r>
      <w:r>
        <w:rPr>
          <w:b/>
          <w:sz w:val="32"/>
          <w:szCs w:val="32"/>
        </w:rPr>
        <w:t xml:space="preserve">）</w:t>
      </w:r>
      <w:r>
        <w:rPr>
          <w:b/>
          <w:sz w:val="32"/>
          <w:szCs w:val="32"/>
          <w:highlight w:val="yellow"/>
        </w:rPr>
      </w:r>
      <w:r/>
    </w:p>
    <w:p>
      <w:pPr>
        <w:pStyle w:val="1344"/>
        <w:ind w:firstLine="1606"/>
        <w:spacing w:line="360" w:lineRule="auto"/>
        <w:rPr>
          <w:b/>
          <w:bCs/>
          <w:sz w:val="36"/>
          <w:szCs w:val="36"/>
        </w:rPr>
      </w:pPr>
      <w:r>
        <w:rPr>
          <w:b/>
          <w:sz w:val="32"/>
          <w:szCs w:val="32"/>
        </w:rPr>
        <w:t xml:space="preserve">投标单位名称：</w:t>
      </w:r>
      <w:r>
        <w:rPr>
          <w:b/>
          <w:bCs/>
          <w:sz w:val="36"/>
          <w:szCs w:val="36"/>
          <w:u w:val="single"/>
        </w:rPr>
        <w:t xml:space="preserve">                   </w:t>
      </w:r>
      <w:r>
        <w:rPr>
          <w:b/>
          <w:bCs/>
          <w:sz w:val="36"/>
          <w:szCs w:val="36"/>
        </w:rPr>
      </w:r>
      <w:r/>
    </w:p>
    <w:p>
      <w:pPr>
        <w:pStyle w:val="1344"/>
        <w:jc w:val="center"/>
        <w:spacing w:line="500" w:lineRule="exact"/>
        <w:rPr>
          <w:b/>
          <w:bCs/>
          <w:sz w:val="36"/>
          <w:szCs w:val="36"/>
        </w:rPr>
      </w:pPr>
      <w:r>
        <w:rPr>
          <w:b/>
          <w:bCs/>
          <w:sz w:val="36"/>
          <w:szCs w:val="36"/>
          <w:u w:val="single"/>
        </w:rPr>
        <w:t xml:space="preserve">      </w:t>
      </w:r>
      <w:r>
        <w:rPr>
          <w:b/>
          <w:bCs/>
          <w:sz w:val="36"/>
          <w:szCs w:val="36"/>
        </w:rPr>
        <w:t xml:space="preserve">年</w:t>
      </w:r>
      <w:r>
        <w:rPr>
          <w:b/>
          <w:bCs/>
          <w:sz w:val="36"/>
          <w:szCs w:val="36"/>
          <w:u w:val="single"/>
        </w:rPr>
        <w:t xml:space="preserve">     </w:t>
      </w:r>
      <w:r>
        <w:rPr>
          <w:b/>
          <w:bCs/>
          <w:sz w:val="36"/>
          <w:szCs w:val="36"/>
        </w:rPr>
        <w:t xml:space="preserve">月</w:t>
      </w:r>
      <w:r>
        <w:rPr>
          <w:b/>
          <w:bCs/>
          <w:sz w:val="36"/>
          <w:szCs w:val="36"/>
          <w:u w:val="single"/>
        </w:rPr>
        <w:t xml:space="preserve">   </w:t>
      </w:r>
      <w:r>
        <w:rPr>
          <w:b/>
          <w:bCs/>
          <w:sz w:val="36"/>
          <w:szCs w:val="36"/>
        </w:rPr>
        <w:t xml:space="preserve">日</w:t>
      </w:r>
      <w:r>
        <w:rPr>
          <w:b/>
          <w:bCs/>
          <w:sz w:val="36"/>
          <w:szCs w:val="36"/>
        </w:rPr>
      </w:r>
      <w:r/>
    </w:p>
    <w:p>
      <w:pPr>
        <w:pStyle w:val="1344"/>
        <w:jc w:val="center"/>
        <w:spacing w:line="360" w:lineRule="auto"/>
        <w:rPr>
          <w:b/>
          <w:sz w:val="36"/>
          <w:szCs w:val="36"/>
        </w:rPr>
      </w:pPr>
      <w:r>
        <w:rPr>
          <w:b/>
          <w:sz w:val="36"/>
          <w:szCs w:val="36"/>
        </w:rPr>
      </w:r>
      <w:r/>
    </w:p>
    <w:p>
      <w:pPr>
        <w:pStyle w:val="1413"/>
        <w:ind w:firstLine="280"/>
        <w:sectPr>
          <w:footerReference w:type="default" r:id="rId22"/>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pPr>
      <w:r/>
      <w:r/>
    </w:p>
    <w:p>
      <w:pPr>
        <w:pStyle w:val="1346"/>
        <w:jc w:val="center"/>
        <w:spacing w:before="120" w:after="120" w:line="360" w:lineRule="auto"/>
        <w:rPr>
          <w:rFonts w:ascii="Times New Roman" w:hAnsi="Times New Roman" w:eastAsia="宋体"/>
          <w:sz w:val="28"/>
          <w:szCs w:val="28"/>
        </w:rPr>
      </w:pPr>
      <w:r/>
      <w:bookmarkStart w:id="402" w:name="_Toc6214"/>
      <w:r>
        <w:rPr>
          <w:rFonts w:ascii="Times New Roman" w:hAnsi="Times New Roman" w:eastAsia="宋体"/>
          <w:sz w:val="28"/>
          <w:szCs w:val="28"/>
        </w:rPr>
        <w:t xml:space="preserve">资格审查索引表</w:t>
      </w:r>
      <w:bookmarkEnd w:id="402"/>
      <w:r>
        <w:rPr>
          <w:rFonts w:ascii="Times New Roman" w:hAnsi="Times New Roman" w:eastAsia="宋体"/>
          <w:sz w:val="28"/>
          <w:szCs w:val="28"/>
        </w:rPr>
      </w:r>
      <w:r/>
    </w:p>
    <w:p>
      <w:pPr>
        <w:pStyle w:val="1344"/>
        <w:jc w:val="center"/>
        <w:spacing w:before="120" w:after="120" w:line="360" w:lineRule="auto"/>
        <w:rPr>
          <w:sz w:val="28"/>
          <w:szCs w:val="28"/>
        </w:rPr>
      </w:pPr>
      <w:r>
        <w:rPr>
          <w:sz w:val="24"/>
          <w:szCs w:val="24"/>
        </w:rPr>
        <w:t xml:space="preserve">（仅供参考，具体详见招标文件第一章申请人的资格要求）</w:t>
      </w:r>
      <w:r>
        <w:rPr>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73"/>
        <w:gridCol w:w="5332"/>
        <w:gridCol w:w="1949"/>
      </w:tblGrid>
      <w:tr>
        <w:trPr/>
        <w:tc>
          <w:tcPr>
            <w:tcW w:w="2573" w:type="dxa"/>
            <w:vAlign w:val="center"/>
            <w:textDirection w:val="lrTb"/>
            <w:noWrap w:val="false"/>
          </w:tcPr>
          <w:p>
            <w:pPr>
              <w:pStyle w:val="1344"/>
              <w:jc w:val="center"/>
              <w:spacing w:line="300" w:lineRule="auto"/>
              <w:widowControl/>
              <w:rPr>
                <w:b/>
                <w:sz w:val="24"/>
                <w:szCs w:val="24"/>
              </w:rPr>
            </w:pPr>
            <w:r>
              <w:rPr>
                <w:b/>
                <w:sz w:val="24"/>
                <w:szCs w:val="24"/>
              </w:rPr>
              <w:t xml:space="preserve">资审项目</w:t>
            </w:r>
            <w:r>
              <w:rPr>
                <w:b/>
                <w:sz w:val="24"/>
                <w:szCs w:val="24"/>
              </w:rPr>
            </w:r>
            <w:r/>
          </w:p>
        </w:tc>
        <w:tc>
          <w:tcPr>
            <w:tcW w:w="5332" w:type="dxa"/>
            <w:vAlign w:val="top"/>
            <w:textDirection w:val="lrTb"/>
            <w:noWrap w:val="false"/>
          </w:tcPr>
          <w:p>
            <w:pPr>
              <w:pStyle w:val="1344"/>
              <w:jc w:val="center"/>
              <w:rPr>
                <w:b/>
                <w:sz w:val="24"/>
                <w:szCs w:val="24"/>
              </w:rPr>
            </w:pPr>
            <w:r>
              <w:rPr>
                <w:b/>
                <w:sz w:val="24"/>
                <w:szCs w:val="24"/>
              </w:rPr>
              <w:t xml:space="preserve">资格要求</w:t>
            </w:r>
            <w:r>
              <w:rPr>
                <w:b/>
                <w:sz w:val="24"/>
                <w:szCs w:val="24"/>
              </w:rPr>
            </w:r>
            <w:r/>
          </w:p>
        </w:tc>
        <w:tc>
          <w:tcPr>
            <w:tcW w:w="1949" w:type="dxa"/>
            <w:vAlign w:val="top"/>
            <w:textDirection w:val="lrTb"/>
            <w:noWrap w:val="false"/>
          </w:tcPr>
          <w:p>
            <w:pPr>
              <w:pStyle w:val="1344"/>
              <w:jc w:val="center"/>
              <w:rPr>
                <w:b/>
                <w:sz w:val="24"/>
                <w:szCs w:val="24"/>
              </w:rPr>
            </w:pPr>
            <w:r>
              <w:rPr>
                <w:b/>
                <w:sz w:val="24"/>
                <w:szCs w:val="24"/>
              </w:rPr>
              <w:t xml:space="preserve">所在页码</w:t>
            </w:r>
            <w:r>
              <w:rPr>
                <w:b/>
                <w:sz w:val="24"/>
                <w:szCs w:val="24"/>
              </w:rPr>
            </w:r>
            <w:r/>
          </w:p>
        </w:tc>
      </w:tr>
      <w:tr>
        <w:trPr/>
        <w:tc>
          <w:tcPr>
            <w:tcW w:w="2573" w:type="dxa"/>
            <w:vAlign w:val="center"/>
            <w:textDirection w:val="lrTb"/>
            <w:noWrap w:val="false"/>
          </w:tcPr>
          <w:p>
            <w:pPr>
              <w:pStyle w:val="1344"/>
              <w:spacing w:line="360" w:lineRule="auto"/>
              <w:widowControl/>
              <w:rPr>
                <w:sz w:val="24"/>
                <w:szCs w:val="24"/>
              </w:rPr>
            </w:pPr>
            <w:r>
              <w:rPr>
                <w:sz w:val="24"/>
                <w:szCs w:val="24"/>
              </w:rPr>
            </w:r>
            <w:r/>
          </w:p>
        </w:tc>
        <w:tc>
          <w:tcPr>
            <w:tcW w:w="5332" w:type="dxa"/>
            <w:vAlign w:val="center"/>
            <w:textDirection w:val="lrTb"/>
            <w:noWrap w:val="false"/>
          </w:tcPr>
          <w:p>
            <w:pPr>
              <w:pStyle w:val="1344"/>
              <w:spacing w:line="360" w:lineRule="auto"/>
              <w:rPr>
                <w:sz w:val="24"/>
                <w:szCs w:val="24"/>
              </w:rPr>
            </w:pPr>
            <w:r>
              <w:rPr>
                <w:sz w:val="24"/>
                <w:szCs w:val="24"/>
              </w:rPr>
            </w:r>
            <w:r/>
          </w:p>
        </w:tc>
        <w:tc>
          <w:tcPr>
            <w:tcW w:w="1949" w:type="dxa"/>
            <w:vAlign w:val="top"/>
            <w:textDirection w:val="lrTb"/>
            <w:noWrap w:val="false"/>
          </w:tcPr>
          <w:p>
            <w:pPr>
              <w:pStyle w:val="1344"/>
              <w:ind w:left="613"/>
              <w:spacing w:line="360" w:lineRule="auto"/>
              <w:widowControl/>
              <w:tabs>
                <w:tab w:val="left" w:pos="403" w:leader="none"/>
              </w:tabs>
              <w:rPr>
                <w:sz w:val="24"/>
                <w:szCs w:val="24"/>
              </w:rPr>
            </w:pPr>
            <w:r>
              <w:rPr>
                <w:sz w:val="24"/>
                <w:szCs w:val="24"/>
              </w:rPr>
            </w:r>
            <w:r/>
          </w:p>
        </w:tc>
      </w:tr>
      <w:tr>
        <w:trPr>
          <w:trHeight w:val="611"/>
        </w:trPr>
        <w:tc>
          <w:tcPr>
            <w:tcW w:w="2573" w:type="dxa"/>
            <w:vAlign w:val="center"/>
            <w:textDirection w:val="lrTb"/>
            <w:noWrap w:val="false"/>
          </w:tcPr>
          <w:p>
            <w:pPr>
              <w:pStyle w:val="1344"/>
              <w:spacing w:line="360" w:lineRule="auto"/>
              <w:rPr>
                <w:sz w:val="24"/>
                <w:szCs w:val="24"/>
              </w:rPr>
            </w:pPr>
            <w:r>
              <w:rPr>
                <w:sz w:val="24"/>
                <w:szCs w:val="24"/>
              </w:rPr>
            </w:r>
            <w:r/>
          </w:p>
        </w:tc>
        <w:tc>
          <w:tcPr>
            <w:tcW w:w="5332" w:type="dxa"/>
            <w:vAlign w:val="center"/>
            <w:textDirection w:val="lrTb"/>
            <w:noWrap w:val="false"/>
          </w:tcPr>
          <w:p>
            <w:pPr>
              <w:pStyle w:val="1344"/>
              <w:spacing w:line="360" w:lineRule="auto"/>
              <w:rPr>
                <w:sz w:val="24"/>
                <w:szCs w:val="24"/>
              </w:rPr>
            </w:pPr>
            <w:r>
              <w:rPr>
                <w:sz w:val="24"/>
                <w:szCs w:val="24"/>
              </w:rPr>
            </w:r>
            <w:r/>
          </w:p>
        </w:tc>
        <w:tc>
          <w:tcPr>
            <w:tcW w:w="1949" w:type="dxa"/>
            <w:vAlign w:val="top"/>
            <w:textDirection w:val="lrTb"/>
            <w:noWrap w:val="false"/>
          </w:tcPr>
          <w:p>
            <w:pPr>
              <w:pStyle w:val="134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344"/>
              <w:spacing w:line="360" w:lineRule="auto"/>
              <w:rPr>
                <w:sz w:val="24"/>
                <w:szCs w:val="24"/>
              </w:rPr>
            </w:pPr>
            <w:r>
              <w:rPr>
                <w:sz w:val="24"/>
                <w:szCs w:val="24"/>
              </w:rPr>
            </w:r>
            <w:r/>
          </w:p>
        </w:tc>
        <w:tc>
          <w:tcPr>
            <w:tcW w:w="5332" w:type="dxa"/>
            <w:vAlign w:val="center"/>
            <w:textDirection w:val="lrTb"/>
            <w:noWrap w:val="false"/>
          </w:tcPr>
          <w:p>
            <w:pPr>
              <w:pStyle w:val="1344"/>
              <w:spacing w:line="360" w:lineRule="auto"/>
              <w:rPr>
                <w:sz w:val="24"/>
                <w:szCs w:val="24"/>
              </w:rPr>
            </w:pPr>
            <w:r>
              <w:rPr>
                <w:sz w:val="24"/>
                <w:szCs w:val="24"/>
              </w:rPr>
            </w:r>
            <w:r/>
          </w:p>
        </w:tc>
        <w:tc>
          <w:tcPr>
            <w:tcW w:w="1949" w:type="dxa"/>
            <w:vAlign w:val="top"/>
            <w:textDirection w:val="lrTb"/>
            <w:noWrap w:val="false"/>
          </w:tcPr>
          <w:p>
            <w:pPr>
              <w:pStyle w:val="134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344"/>
              <w:spacing w:line="360" w:lineRule="auto"/>
              <w:rPr>
                <w:sz w:val="24"/>
                <w:szCs w:val="24"/>
              </w:rPr>
            </w:pPr>
            <w:r>
              <w:rPr>
                <w:sz w:val="24"/>
                <w:szCs w:val="24"/>
              </w:rPr>
            </w:r>
            <w:r/>
          </w:p>
        </w:tc>
        <w:tc>
          <w:tcPr>
            <w:tcW w:w="5332" w:type="dxa"/>
            <w:vAlign w:val="center"/>
            <w:textDirection w:val="lrTb"/>
            <w:noWrap w:val="false"/>
          </w:tcPr>
          <w:p>
            <w:pPr>
              <w:pStyle w:val="1344"/>
              <w:spacing w:line="360" w:lineRule="auto"/>
              <w:rPr>
                <w:sz w:val="24"/>
                <w:szCs w:val="24"/>
              </w:rPr>
            </w:pPr>
            <w:r>
              <w:rPr>
                <w:sz w:val="24"/>
                <w:szCs w:val="24"/>
              </w:rPr>
            </w:r>
            <w:r/>
          </w:p>
        </w:tc>
        <w:tc>
          <w:tcPr>
            <w:tcW w:w="1949" w:type="dxa"/>
            <w:vAlign w:val="top"/>
            <w:textDirection w:val="lrTb"/>
            <w:noWrap w:val="false"/>
          </w:tcPr>
          <w:p>
            <w:pPr>
              <w:pStyle w:val="134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344"/>
              <w:spacing w:line="360" w:lineRule="auto"/>
              <w:rPr>
                <w:sz w:val="24"/>
                <w:szCs w:val="24"/>
              </w:rPr>
            </w:pPr>
            <w:r>
              <w:rPr>
                <w:sz w:val="24"/>
                <w:szCs w:val="24"/>
              </w:rPr>
            </w:r>
            <w:r/>
          </w:p>
        </w:tc>
        <w:tc>
          <w:tcPr>
            <w:tcW w:w="5332" w:type="dxa"/>
            <w:vAlign w:val="center"/>
            <w:textDirection w:val="lrTb"/>
            <w:noWrap w:val="false"/>
          </w:tcPr>
          <w:p>
            <w:pPr>
              <w:pStyle w:val="1344"/>
              <w:spacing w:line="360" w:lineRule="auto"/>
              <w:rPr>
                <w:sz w:val="24"/>
                <w:szCs w:val="24"/>
              </w:rPr>
            </w:pPr>
            <w:r>
              <w:rPr>
                <w:sz w:val="24"/>
                <w:szCs w:val="24"/>
              </w:rPr>
            </w:r>
            <w:r/>
          </w:p>
        </w:tc>
        <w:tc>
          <w:tcPr>
            <w:tcW w:w="1949" w:type="dxa"/>
            <w:vAlign w:val="top"/>
            <w:textDirection w:val="lrTb"/>
            <w:noWrap w:val="false"/>
          </w:tcPr>
          <w:p>
            <w:pPr>
              <w:pStyle w:val="134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344"/>
              <w:spacing w:line="360" w:lineRule="auto"/>
              <w:rPr>
                <w:sz w:val="24"/>
                <w:szCs w:val="24"/>
              </w:rPr>
            </w:pPr>
            <w:r>
              <w:rPr>
                <w:sz w:val="24"/>
                <w:szCs w:val="24"/>
              </w:rPr>
            </w:r>
            <w:r/>
          </w:p>
        </w:tc>
        <w:tc>
          <w:tcPr>
            <w:tcW w:w="5332" w:type="dxa"/>
            <w:vAlign w:val="center"/>
            <w:textDirection w:val="lrTb"/>
            <w:noWrap w:val="false"/>
          </w:tcPr>
          <w:p>
            <w:pPr>
              <w:pStyle w:val="1344"/>
              <w:spacing w:line="360" w:lineRule="auto"/>
              <w:rPr>
                <w:sz w:val="24"/>
                <w:szCs w:val="24"/>
              </w:rPr>
            </w:pPr>
            <w:r>
              <w:rPr>
                <w:sz w:val="24"/>
                <w:szCs w:val="24"/>
              </w:rPr>
            </w:r>
            <w:r/>
          </w:p>
        </w:tc>
        <w:tc>
          <w:tcPr>
            <w:tcW w:w="1949" w:type="dxa"/>
            <w:vAlign w:val="top"/>
            <w:textDirection w:val="lrTb"/>
            <w:noWrap w:val="false"/>
          </w:tcPr>
          <w:p>
            <w:pPr>
              <w:pStyle w:val="134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344"/>
              <w:spacing w:line="360" w:lineRule="auto"/>
              <w:rPr>
                <w:sz w:val="24"/>
                <w:szCs w:val="24"/>
              </w:rPr>
            </w:pPr>
            <w:r>
              <w:rPr>
                <w:sz w:val="24"/>
                <w:szCs w:val="24"/>
              </w:rPr>
            </w:r>
            <w:r/>
          </w:p>
        </w:tc>
        <w:tc>
          <w:tcPr>
            <w:tcW w:w="5332" w:type="dxa"/>
            <w:vAlign w:val="center"/>
            <w:textDirection w:val="lrTb"/>
            <w:noWrap w:val="false"/>
          </w:tcPr>
          <w:p>
            <w:pPr>
              <w:pStyle w:val="1344"/>
              <w:spacing w:line="360" w:lineRule="auto"/>
              <w:rPr>
                <w:sz w:val="24"/>
                <w:szCs w:val="24"/>
              </w:rPr>
            </w:pPr>
            <w:r>
              <w:rPr>
                <w:sz w:val="24"/>
                <w:szCs w:val="24"/>
              </w:rPr>
            </w:r>
            <w:r/>
          </w:p>
        </w:tc>
        <w:tc>
          <w:tcPr>
            <w:tcW w:w="1949" w:type="dxa"/>
            <w:vAlign w:val="top"/>
            <w:textDirection w:val="lrTb"/>
            <w:noWrap w:val="false"/>
          </w:tcPr>
          <w:p>
            <w:pPr>
              <w:pStyle w:val="134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344"/>
              <w:spacing w:line="360" w:lineRule="auto"/>
              <w:rPr>
                <w:sz w:val="24"/>
                <w:szCs w:val="24"/>
              </w:rPr>
            </w:pPr>
            <w:r>
              <w:rPr>
                <w:sz w:val="24"/>
                <w:szCs w:val="24"/>
              </w:rPr>
            </w:r>
            <w:r/>
          </w:p>
        </w:tc>
        <w:tc>
          <w:tcPr>
            <w:tcW w:w="5332" w:type="dxa"/>
            <w:vAlign w:val="center"/>
            <w:textDirection w:val="lrTb"/>
            <w:noWrap w:val="false"/>
          </w:tcPr>
          <w:p>
            <w:pPr>
              <w:pStyle w:val="1344"/>
              <w:spacing w:line="360" w:lineRule="auto"/>
              <w:rPr>
                <w:sz w:val="24"/>
                <w:szCs w:val="24"/>
              </w:rPr>
            </w:pPr>
            <w:r>
              <w:rPr>
                <w:sz w:val="24"/>
                <w:szCs w:val="24"/>
              </w:rPr>
            </w:r>
            <w:r/>
          </w:p>
        </w:tc>
        <w:tc>
          <w:tcPr>
            <w:tcW w:w="1949" w:type="dxa"/>
            <w:vAlign w:val="top"/>
            <w:textDirection w:val="lrTb"/>
            <w:noWrap w:val="false"/>
          </w:tcPr>
          <w:p>
            <w:pPr>
              <w:pStyle w:val="1344"/>
              <w:spacing w:line="360" w:lineRule="auto"/>
              <w:rPr>
                <w:sz w:val="24"/>
                <w:szCs w:val="24"/>
              </w:rPr>
            </w:pPr>
            <w:r>
              <w:rPr>
                <w:sz w:val="24"/>
                <w:szCs w:val="24"/>
              </w:rPr>
            </w:r>
            <w:r/>
          </w:p>
        </w:tc>
      </w:tr>
    </w:tbl>
    <w:p>
      <w:pPr>
        <w:pStyle w:val="134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sz w:val="24"/>
        </w:rPr>
      </w:r>
      <w:r/>
    </w:p>
    <w:p>
      <w:pPr>
        <w:pStyle w:val="1346"/>
        <w:jc w:val="center"/>
        <w:spacing w:before="120" w:after="120"/>
        <w:rPr>
          <w:rFonts w:ascii="Times New Roman" w:hAnsi="Times New Roman" w:eastAsia="宋体"/>
          <w:sz w:val="28"/>
          <w:szCs w:val="28"/>
        </w:rPr>
      </w:pPr>
      <w:r/>
      <w:bookmarkEnd w:id="399"/>
      <w:r/>
      <w:bookmarkEnd w:id="400"/>
      <w:r/>
      <w:bookmarkEnd w:id="401"/>
      <w:r/>
      <w:bookmarkStart w:id="403" w:name="_Toc18263"/>
      <w:r/>
      <w:bookmarkStart w:id="404" w:name="_Toc25048"/>
      <w:r/>
      <w:bookmarkStart w:id="405" w:name="_Toc13756"/>
      <w:r>
        <w:rPr>
          <w:rFonts w:ascii="Times New Roman" w:hAnsi="Times New Roman" w:eastAsia="宋体"/>
          <w:sz w:val="28"/>
          <w:szCs w:val="28"/>
        </w:rPr>
        <w:t xml:space="preserve">评审索引表</w:t>
      </w:r>
      <w:bookmarkEnd w:id="403"/>
      <w:r/>
      <w:bookmarkEnd w:id="404"/>
      <w:r>
        <w:rPr>
          <w:rFonts w:ascii="Times New Roman" w:hAnsi="Times New Roman" w:eastAsia="宋体"/>
          <w:sz w:val="28"/>
          <w:szCs w:val="28"/>
        </w:rPr>
      </w:r>
      <w:r/>
    </w:p>
    <w:p>
      <w:pPr>
        <w:pStyle w:val="1344"/>
        <w:jc w:val="center"/>
        <w:spacing w:before="120" w:after="120"/>
        <w:rPr>
          <w:sz w:val="28"/>
          <w:szCs w:val="28"/>
        </w:rPr>
      </w:pPr>
      <w:r/>
      <w:bookmarkStart w:id="406" w:name="_Toc5536"/>
      <w:r>
        <w:rPr>
          <w:sz w:val="24"/>
          <w:szCs w:val="24"/>
        </w:rPr>
        <w:t xml:space="preserve">（具体详见招标文件第三章评标标准）</w:t>
      </w:r>
      <w:bookmarkEnd w:id="406"/>
      <w:r>
        <w:rPr>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4"/>
        <w:gridCol w:w="2355"/>
        <w:gridCol w:w="4868"/>
        <w:gridCol w:w="1884"/>
      </w:tblGrid>
      <w:tr>
        <w:trPr>
          <w:trHeight w:val="284"/>
          <w:tblHeader/>
        </w:trPr>
        <w:tc>
          <w:tcPr>
            <w:tcW w:w="1234" w:type="dxa"/>
            <w:vAlign w:val="center"/>
            <w:textDirection w:val="lrTb"/>
            <w:noWrap w:val="false"/>
          </w:tcPr>
          <w:p>
            <w:pPr>
              <w:pStyle w:val="1344"/>
              <w:jc w:val="center"/>
              <w:spacing w:line="360" w:lineRule="auto"/>
              <w:widowControl/>
              <w:rPr>
                <w:b/>
                <w:szCs w:val="21"/>
              </w:rPr>
            </w:pPr>
            <w:r>
              <w:rPr>
                <w:b/>
                <w:szCs w:val="21"/>
              </w:rPr>
              <w:t xml:space="preserve">序号</w:t>
            </w:r>
            <w:r>
              <w:rPr>
                <w:b/>
                <w:szCs w:val="21"/>
              </w:rPr>
            </w:r>
            <w:r/>
          </w:p>
        </w:tc>
        <w:tc>
          <w:tcPr>
            <w:tcW w:w="2355" w:type="dxa"/>
            <w:vAlign w:val="center"/>
            <w:textDirection w:val="lrTb"/>
            <w:noWrap w:val="false"/>
          </w:tcPr>
          <w:p>
            <w:pPr>
              <w:pStyle w:val="1344"/>
              <w:jc w:val="center"/>
              <w:spacing w:line="360" w:lineRule="auto"/>
              <w:widowControl/>
              <w:rPr>
                <w:b/>
                <w:szCs w:val="21"/>
              </w:rPr>
            </w:pPr>
            <w:r>
              <w:rPr>
                <w:b/>
                <w:szCs w:val="21"/>
              </w:rPr>
              <w:t xml:space="preserve">评审因素</w:t>
            </w:r>
            <w:r>
              <w:rPr>
                <w:b/>
                <w:szCs w:val="21"/>
              </w:rPr>
            </w:r>
            <w:r/>
          </w:p>
        </w:tc>
        <w:tc>
          <w:tcPr>
            <w:tcW w:w="4868" w:type="dxa"/>
            <w:vAlign w:val="center"/>
            <w:textDirection w:val="lrTb"/>
            <w:noWrap w:val="false"/>
          </w:tcPr>
          <w:p>
            <w:pPr>
              <w:pStyle w:val="1344"/>
              <w:jc w:val="center"/>
              <w:spacing w:line="360" w:lineRule="auto"/>
              <w:widowControl/>
              <w:rPr>
                <w:b/>
                <w:szCs w:val="21"/>
              </w:rPr>
            </w:pPr>
            <w:r>
              <w:rPr>
                <w:b/>
                <w:szCs w:val="21"/>
              </w:rPr>
              <w:t xml:space="preserve">评审标准</w:t>
            </w:r>
            <w:r>
              <w:rPr>
                <w:b/>
                <w:szCs w:val="21"/>
              </w:rPr>
            </w:r>
            <w:r/>
          </w:p>
        </w:tc>
        <w:tc>
          <w:tcPr>
            <w:tcW w:w="1884" w:type="dxa"/>
            <w:vAlign w:val="center"/>
            <w:textDirection w:val="lrTb"/>
            <w:noWrap w:val="false"/>
          </w:tcPr>
          <w:p>
            <w:pPr>
              <w:pStyle w:val="1344"/>
              <w:jc w:val="center"/>
              <w:spacing w:line="360" w:lineRule="auto"/>
              <w:widowControl/>
              <w:rPr>
                <w:b/>
                <w:szCs w:val="21"/>
              </w:rPr>
            </w:pPr>
            <w:r>
              <w:rPr>
                <w:b/>
                <w:szCs w:val="21"/>
              </w:rPr>
              <w:t xml:space="preserve">所在页码</w:t>
            </w:r>
            <w:r>
              <w:rPr>
                <w:b/>
                <w:szCs w:val="21"/>
              </w:rPr>
            </w:r>
            <w:r/>
          </w:p>
        </w:tc>
      </w:tr>
      <w:tr>
        <w:trPr>
          <w:trHeight w:val="575"/>
        </w:trPr>
        <w:tc>
          <w:tcPr>
            <w:tcW w:w="1234" w:type="dxa"/>
            <w:vAlign w:val="center"/>
            <w:textDirection w:val="lrTb"/>
            <w:noWrap w:val="false"/>
          </w:tcPr>
          <w:p>
            <w:pPr>
              <w:pStyle w:val="1344"/>
              <w:jc w:val="center"/>
              <w:spacing w:line="360" w:lineRule="auto"/>
              <w:widowControl/>
              <w:rPr>
                <w:b/>
                <w:szCs w:val="21"/>
              </w:rPr>
            </w:pPr>
            <w:r>
              <w:rPr>
                <w:b/>
                <w:szCs w:val="21"/>
              </w:rPr>
            </w:r>
            <w:r/>
          </w:p>
        </w:tc>
        <w:tc>
          <w:tcPr>
            <w:tcW w:w="2355" w:type="dxa"/>
            <w:vAlign w:val="center"/>
            <w:textDirection w:val="lrTb"/>
            <w:noWrap w:val="false"/>
          </w:tcPr>
          <w:p>
            <w:pPr>
              <w:pStyle w:val="1344"/>
              <w:jc w:val="center"/>
              <w:spacing w:line="360" w:lineRule="auto"/>
              <w:widowControl/>
              <w:rPr>
                <w:b/>
                <w:szCs w:val="21"/>
              </w:rPr>
            </w:pPr>
            <w:r>
              <w:rPr>
                <w:b/>
                <w:szCs w:val="21"/>
              </w:rPr>
            </w:r>
            <w:r/>
          </w:p>
        </w:tc>
        <w:tc>
          <w:tcPr>
            <w:tcW w:w="4868" w:type="dxa"/>
            <w:vAlign w:val="center"/>
            <w:textDirection w:val="lrTb"/>
            <w:noWrap w:val="false"/>
          </w:tcPr>
          <w:p>
            <w:pPr>
              <w:pStyle w:val="1344"/>
              <w:spacing w:line="360" w:lineRule="auto"/>
              <w:rPr>
                <w:szCs w:val="21"/>
              </w:rPr>
            </w:pPr>
            <w:r>
              <w:rPr>
                <w:szCs w:val="21"/>
              </w:rPr>
            </w:r>
            <w:r/>
          </w:p>
        </w:tc>
        <w:tc>
          <w:tcPr>
            <w:tcW w:w="1884" w:type="dxa"/>
            <w:vAlign w:val="center"/>
            <w:textDirection w:val="lrTb"/>
            <w:noWrap w:val="false"/>
          </w:tcPr>
          <w:p>
            <w:pPr>
              <w:pStyle w:val="134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344"/>
              <w:jc w:val="center"/>
              <w:spacing w:line="360" w:lineRule="auto"/>
              <w:widowControl/>
              <w:rPr>
                <w:b/>
                <w:szCs w:val="21"/>
              </w:rPr>
            </w:pPr>
            <w:r>
              <w:rPr>
                <w:b/>
                <w:szCs w:val="21"/>
              </w:rPr>
            </w:r>
            <w:r/>
          </w:p>
        </w:tc>
        <w:tc>
          <w:tcPr>
            <w:tcW w:w="2355" w:type="dxa"/>
            <w:vAlign w:val="center"/>
            <w:textDirection w:val="lrTb"/>
            <w:noWrap w:val="false"/>
          </w:tcPr>
          <w:p>
            <w:pPr>
              <w:pStyle w:val="1344"/>
              <w:jc w:val="center"/>
              <w:spacing w:line="360" w:lineRule="auto"/>
              <w:widowControl/>
              <w:rPr>
                <w:b/>
                <w:szCs w:val="21"/>
              </w:rPr>
            </w:pPr>
            <w:r>
              <w:rPr>
                <w:b/>
                <w:szCs w:val="21"/>
              </w:rPr>
            </w:r>
            <w:r/>
          </w:p>
        </w:tc>
        <w:tc>
          <w:tcPr>
            <w:tcW w:w="4868" w:type="dxa"/>
            <w:vAlign w:val="center"/>
            <w:textDirection w:val="lrTb"/>
            <w:noWrap w:val="false"/>
          </w:tcPr>
          <w:p>
            <w:pPr>
              <w:pStyle w:val="1344"/>
              <w:spacing w:line="360" w:lineRule="auto"/>
              <w:rPr>
                <w:szCs w:val="21"/>
              </w:rPr>
            </w:pPr>
            <w:r>
              <w:rPr>
                <w:szCs w:val="21"/>
              </w:rPr>
            </w:r>
            <w:r/>
          </w:p>
        </w:tc>
        <w:tc>
          <w:tcPr>
            <w:tcW w:w="1884" w:type="dxa"/>
            <w:vAlign w:val="center"/>
            <w:textDirection w:val="lrTb"/>
            <w:noWrap w:val="false"/>
          </w:tcPr>
          <w:p>
            <w:pPr>
              <w:pStyle w:val="134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344"/>
              <w:jc w:val="center"/>
              <w:spacing w:line="360" w:lineRule="auto"/>
              <w:widowControl/>
              <w:rPr>
                <w:b/>
                <w:szCs w:val="21"/>
              </w:rPr>
            </w:pPr>
            <w:r>
              <w:rPr>
                <w:b/>
                <w:szCs w:val="21"/>
              </w:rPr>
            </w:r>
            <w:r/>
          </w:p>
        </w:tc>
        <w:tc>
          <w:tcPr>
            <w:tcW w:w="2355" w:type="dxa"/>
            <w:vAlign w:val="center"/>
            <w:textDirection w:val="lrTb"/>
            <w:noWrap w:val="false"/>
          </w:tcPr>
          <w:p>
            <w:pPr>
              <w:pStyle w:val="1344"/>
              <w:jc w:val="center"/>
              <w:spacing w:line="360" w:lineRule="auto"/>
              <w:widowControl/>
              <w:rPr>
                <w:b/>
                <w:szCs w:val="21"/>
              </w:rPr>
            </w:pPr>
            <w:r>
              <w:rPr>
                <w:b/>
                <w:szCs w:val="21"/>
              </w:rPr>
            </w:r>
            <w:r/>
          </w:p>
        </w:tc>
        <w:tc>
          <w:tcPr>
            <w:tcW w:w="4868" w:type="dxa"/>
            <w:vAlign w:val="center"/>
            <w:textDirection w:val="lrTb"/>
            <w:noWrap w:val="false"/>
          </w:tcPr>
          <w:p>
            <w:pPr>
              <w:pStyle w:val="1344"/>
              <w:spacing w:line="360" w:lineRule="auto"/>
              <w:rPr>
                <w:szCs w:val="21"/>
              </w:rPr>
            </w:pPr>
            <w:r>
              <w:rPr>
                <w:szCs w:val="21"/>
              </w:rPr>
            </w:r>
            <w:r/>
          </w:p>
        </w:tc>
        <w:tc>
          <w:tcPr>
            <w:tcW w:w="1884" w:type="dxa"/>
            <w:vAlign w:val="center"/>
            <w:textDirection w:val="lrTb"/>
            <w:noWrap w:val="false"/>
          </w:tcPr>
          <w:p>
            <w:pPr>
              <w:pStyle w:val="134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344"/>
              <w:jc w:val="center"/>
              <w:spacing w:line="360" w:lineRule="auto"/>
              <w:widowControl/>
              <w:rPr>
                <w:b/>
                <w:szCs w:val="21"/>
              </w:rPr>
            </w:pPr>
            <w:r>
              <w:rPr>
                <w:b/>
                <w:szCs w:val="21"/>
              </w:rPr>
            </w:r>
            <w:r/>
          </w:p>
        </w:tc>
        <w:tc>
          <w:tcPr>
            <w:tcW w:w="2355" w:type="dxa"/>
            <w:vAlign w:val="center"/>
            <w:textDirection w:val="lrTb"/>
            <w:noWrap w:val="false"/>
          </w:tcPr>
          <w:p>
            <w:pPr>
              <w:pStyle w:val="1344"/>
              <w:jc w:val="center"/>
              <w:spacing w:line="360" w:lineRule="auto"/>
              <w:widowControl/>
              <w:rPr>
                <w:b/>
                <w:szCs w:val="21"/>
              </w:rPr>
            </w:pPr>
            <w:r>
              <w:rPr>
                <w:b/>
                <w:szCs w:val="21"/>
              </w:rPr>
            </w:r>
            <w:r/>
          </w:p>
        </w:tc>
        <w:tc>
          <w:tcPr>
            <w:tcW w:w="4868" w:type="dxa"/>
            <w:vAlign w:val="center"/>
            <w:textDirection w:val="lrTb"/>
            <w:noWrap w:val="false"/>
          </w:tcPr>
          <w:p>
            <w:pPr>
              <w:pStyle w:val="1344"/>
              <w:spacing w:line="360" w:lineRule="auto"/>
              <w:rPr>
                <w:szCs w:val="21"/>
              </w:rPr>
            </w:pPr>
            <w:r>
              <w:rPr>
                <w:szCs w:val="21"/>
              </w:rPr>
            </w:r>
            <w:r/>
          </w:p>
        </w:tc>
        <w:tc>
          <w:tcPr>
            <w:tcW w:w="1884" w:type="dxa"/>
            <w:vAlign w:val="center"/>
            <w:textDirection w:val="lrTb"/>
            <w:noWrap w:val="false"/>
          </w:tcPr>
          <w:p>
            <w:pPr>
              <w:pStyle w:val="134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344"/>
              <w:jc w:val="center"/>
              <w:spacing w:line="360" w:lineRule="auto"/>
              <w:widowControl/>
              <w:rPr>
                <w:b/>
                <w:szCs w:val="21"/>
              </w:rPr>
            </w:pPr>
            <w:r>
              <w:rPr>
                <w:b/>
                <w:szCs w:val="21"/>
              </w:rPr>
            </w:r>
            <w:r/>
          </w:p>
        </w:tc>
        <w:tc>
          <w:tcPr>
            <w:tcW w:w="2355" w:type="dxa"/>
            <w:vAlign w:val="center"/>
            <w:textDirection w:val="lrTb"/>
            <w:noWrap w:val="false"/>
          </w:tcPr>
          <w:p>
            <w:pPr>
              <w:pStyle w:val="1344"/>
              <w:jc w:val="center"/>
              <w:spacing w:line="360" w:lineRule="auto"/>
              <w:widowControl/>
              <w:rPr>
                <w:b/>
                <w:szCs w:val="21"/>
              </w:rPr>
            </w:pPr>
            <w:r>
              <w:rPr>
                <w:b/>
                <w:szCs w:val="21"/>
              </w:rPr>
            </w:r>
            <w:r/>
          </w:p>
        </w:tc>
        <w:tc>
          <w:tcPr>
            <w:tcW w:w="4868" w:type="dxa"/>
            <w:vAlign w:val="center"/>
            <w:textDirection w:val="lrTb"/>
            <w:noWrap w:val="false"/>
          </w:tcPr>
          <w:p>
            <w:pPr>
              <w:pStyle w:val="1344"/>
              <w:spacing w:line="360" w:lineRule="auto"/>
              <w:rPr>
                <w:szCs w:val="21"/>
              </w:rPr>
            </w:pPr>
            <w:r>
              <w:rPr>
                <w:szCs w:val="21"/>
              </w:rPr>
            </w:r>
            <w:r/>
          </w:p>
        </w:tc>
        <w:tc>
          <w:tcPr>
            <w:tcW w:w="1884" w:type="dxa"/>
            <w:vAlign w:val="center"/>
            <w:textDirection w:val="lrTb"/>
            <w:noWrap w:val="false"/>
          </w:tcPr>
          <w:p>
            <w:pPr>
              <w:pStyle w:val="134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344"/>
              <w:jc w:val="center"/>
              <w:spacing w:line="360" w:lineRule="auto"/>
              <w:widowControl/>
              <w:rPr>
                <w:b/>
                <w:szCs w:val="21"/>
              </w:rPr>
            </w:pPr>
            <w:r>
              <w:rPr>
                <w:b/>
                <w:szCs w:val="21"/>
              </w:rPr>
            </w:r>
            <w:r/>
          </w:p>
        </w:tc>
        <w:tc>
          <w:tcPr>
            <w:tcW w:w="2355" w:type="dxa"/>
            <w:vAlign w:val="center"/>
            <w:textDirection w:val="lrTb"/>
            <w:noWrap w:val="false"/>
          </w:tcPr>
          <w:p>
            <w:pPr>
              <w:pStyle w:val="1344"/>
              <w:jc w:val="center"/>
              <w:spacing w:line="360" w:lineRule="auto"/>
              <w:widowControl/>
              <w:rPr>
                <w:b/>
                <w:szCs w:val="21"/>
              </w:rPr>
            </w:pPr>
            <w:r>
              <w:rPr>
                <w:b/>
                <w:szCs w:val="21"/>
              </w:rPr>
            </w:r>
            <w:r/>
          </w:p>
        </w:tc>
        <w:tc>
          <w:tcPr>
            <w:tcW w:w="4868" w:type="dxa"/>
            <w:vAlign w:val="center"/>
            <w:textDirection w:val="lrTb"/>
            <w:noWrap w:val="false"/>
          </w:tcPr>
          <w:p>
            <w:pPr>
              <w:pStyle w:val="1344"/>
              <w:spacing w:line="360" w:lineRule="auto"/>
              <w:rPr>
                <w:szCs w:val="21"/>
              </w:rPr>
            </w:pPr>
            <w:r>
              <w:rPr>
                <w:szCs w:val="21"/>
              </w:rPr>
            </w:r>
            <w:r/>
          </w:p>
        </w:tc>
        <w:tc>
          <w:tcPr>
            <w:tcW w:w="1884" w:type="dxa"/>
            <w:vAlign w:val="center"/>
            <w:textDirection w:val="lrTb"/>
            <w:noWrap w:val="false"/>
          </w:tcPr>
          <w:p>
            <w:pPr>
              <w:pStyle w:val="134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344"/>
              <w:jc w:val="center"/>
              <w:spacing w:line="360" w:lineRule="auto"/>
              <w:widowControl/>
              <w:rPr>
                <w:b/>
                <w:szCs w:val="21"/>
              </w:rPr>
            </w:pPr>
            <w:r>
              <w:rPr>
                <w:b/>
                <w:szCs w:val="21"/>
              </w:rPr>
            </w:r>
            <w:r/>
          </w:p>
        </w:tc>
        <w:tc>
          <w:tcPr>
            <w:tcW w:w="2355" w:type="dxa"/>
            <w:vAlign w:val="center"/>
            <w:textDirection w:val="lrTb"/>
            <w:noWrap w:val="false"/>
          </w:tcPr>
          <w:p>
            <w:pPr>
              <w:pStyle w:val="1344"/>
              <w:jc w:val="center"/>
              <w:spacing w:line="360" w:lineRule="auto"/>
              <w:widowControl/>
              <w:rPr>
                <w:b/>
                <w:szCs w:val="21"/>
              </w:rPr>
            </w:pPr>
            <w:r>
              <w:rPr>
                <w:b/>
                <w:szCs w:val="21"/>
              </w:rPr>
            </w:r>
            <w:r/>
          </w:p>
        </w:tc>
        <w:tc>
          <w:tcPr>
            <w:tcW w:w="4868" w:type="dxa"/>
            <w:vAlign w:val="center"/>
            <w:textDirection w:val="lrTb"/>
            <w:noWrap w:val="false"/>
          </w:tcPr>
          <w:p>
            <w:pPr>
              <w:pStyle w:val="1344"/>
              <w:spacing w:line="360" w:lineRule="auto"/>
              <w:rPr>
                <w:szCs w:val="21"/>
              </w:rPr>
            </w:pPr>
            <w:r>
              <w:rPr>
                <w:szCs w:val="21"/>
              </w:rPr>
            </w:r>
            <w:r/>
          </w:p>
        </w:tc>
        <w:tc>
          <w:tcPr>
            <w:tcW w:w="1884" w:type="dxa"/>
            <w:vAlign w:val="center"/>
            <w:textDirection w:val="lrTb"/>
            <w:noWrap w:val="false"/>
          </w:tcPr>
          <w:p>
            <w:pPr>
              <w:pStyle w:val="134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344"/>
              <w:jc w:val="center"/>
              <w:spacing w:line="360" w:lineRule="auto"/>
              <w:widowControl/>
              <w:rPr>
                <w:b/>
                <w:szCs w:val="21"/>
              </w:rPr>
            </w:pPr>
            <w:r>
              <w:rPr>
                <w:b/>
                <w:szCs w:val="21"/>
              </w:rPr>
            </w:r>
            <w:r/>
          </w:p>
        </w:tc>
        <w:tc>
          <w:tcPr>
            <w:tcW w:w="2355" w:type="dxa"/>
            <w:vAlign w:val="center"/>
            <w:textDirection w:val="lrTb"/>
            <w:noWrap w:val="false"/>
          </w:tcPr>
          <w:p>
            <w:pPr>
              <w:pStyle w:val="1344"/>
              <w:jc w:val="center"/>
              <w:spacing w:line="360" w:lineRule="auto"/>
              <w:widowControl/>
              <w:rPr>
                <w:b/>
                <w:szCs w:val="21"/>
              </w:rPr>
            </w:pPr>
            <w:r>
              <w:rPr>
                <w:b/>
                <w:szCs w:val="21"/>
              </w:rPr>
            </w:r>
            <w:r/>
          </w:p>
        </w:tc>
        <w:tc>
          <w:tcPr>
            <w:tcW w:w="4868" w:type="dxa"/>
            <w:vAlign w:val="center"/>
            <w:textDirection w:val="lrTb"/>
            <w:noWrap w:val="false"/>
          </w:tcPr>
          <w:p>
            <w:pPr>
              <w:pStyle w:val="1344"/>
              <w:spacing w:line="360" w:lineRule="auto"/>
              <w:rPr>
                <w:szCs w:val="21"/>
              </w:rPr>
            </w:pPr>
            <w:r>
              <w:rPr>
                <w:szCs w:val="21"/>
              </w:rPr>
            </w:r>
            <w:r/>
          </w:p>
        </w:tc>
        <w:tc>
          <w:tcPr>
            <w:tcW w:w="1884" w:type="dxa"/>
            <w:vAlign w:val="center"/>
            <w:textDirection w:val="lrTb"/>
            <w:noWrap w:val="false"/>
          </w:tcPr>
          <w:p>
            <w:pPr>
              <w:pStyle w:val="134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344"/>
              <w:jc w:val="center"/>
              <w:spacing w:line="360" w:lineRule="auto"/>
              <w:widowControl/>
              <w:rPr>
                <w:b/>
                <w:szCs w:val="21"/>
              </w:rPr>
            </w:pPr>
            <w:r>
              <w:rPr>
                <w:b/>
                <w:szCs w:val="21"/>
              </w:rPr>
            </w:r>
            <w:r/>
          </w:p>
        </w:tc>
        <w:tc>
          <w:tcPr>
            <w:tcW w:w="2355" w:type="dxa"/>
            <w:vAlign w:val="center"/>
            <w:textDirection w:val="lrTb"/>
            <w:noWrap w:val="false"/>
          </w:tcPr>
          <w:p>
            <w:pPr>
              <w:pStyle w:val="1344"/>
              <w:jc w:val="center"/>
              <w:spacing w:line="360" w:lineRule="auto"/>
              <w:widowControl/>
              <w:rPr>
                <w:b/>
                <w:szCs w:val="21"/>
              </w:rPr>
            </w:pPr>
            <w:r>
              <w:rPr>
                <w:b/>
                <w:szCs w:val="21"/>
              </w:rPr>
            </w:r>
            <w:r/>
          </w:p>
        </w:tc>
        <w:tc>
          <w:tcPr>
            <w:tcW w:w="4868" w:type="dxa"/>
            <w:vAlign w:val="center"/>
            <w:textDirection w:val="lrTb"/>
            <w:noWrap w:val="false"/>
          </w:tcPr>
          <w:p>
            <w:pPr>
              <w:pStyle w:val="1344"/>
              <w:spacing w:line="360" w:lineRule="auto"/>
              <w:rPr>
                <w:szCs w:val="21"/>
              </w:rPr>
            </w:pPr>
            <w:r>
              <w:rPr>
                <w:szCs w:val="21"/>
              </w:rPr>
            </w:r>
            <w:r/>
          </w:p>
        </w:tc>
        <w:tc>
          <w:tcPr>
            <w:tcW w:w="1884" w:type="dxa"/>
            <w:vAlign w:val="center"/>
            <w:textDirection w:val="lrTb"/>
            <w:noWrap w:val="false"/>
          </w:tcPr>
          <w:p>
            <w:pPr>
              <w:pStyle w:val="1344"/>
              <w:jc w:val="center"/>
              <w:spacing w:line="360" w:lineRule="auto"/>
              <w:widowControl/>
              <w:rPr>
                <w:szCs w:val="21"/>
              </w:rPr>
            </w:pPr>
            <w:r>
              <w:rPr>
                <w:szCs w:val="21"/>
              </w:rPr>
            </w:r>
            <w:r/>
          </w:p>
        </w:tc>
      </w:tr>
      <w:tr>
        <w:trPr>
          <w:trHeight w:val="580"/>
        </w:trPr>
        <w:tc>
          <w:tcPr>
            <w:tcW w:w="1234" w:type="dxa"/>
            <w:vAlign w:val="center"/>
            <w:textDirection w:val="lrTb"/>
            <w:noWrap w:val="false"/>
          </w:tcPr>
          <w:p>
            <w:pPr>
              <w:pStyle w:val="1344"/>
              <w:ind w:right="211"/>
              <w:jc w:val="center"/>
              <w:spacing w:line="360" w:lineRule="auto"/>
              <w:widowControl/>
              <w:rPr>
                <w:b/>
                <w:szCs w:val="21"/>
              </w:rPr>
            </w:pPr>
            <w:r>
              <w:rPr>
                <w:b/>
                <w:szCs w:val="21"/>
              </w:rPr>
            </w:r>
            <w:r/>
          </w:p>
        </w:tc>
        <w:tc>
          <w:tcPr>
            <w:tcW w:w="2355" w:type="dxa"/>
            <w:vAlign w:val="center"/>
            <w:textDirection w:val="lrTb"/>
            <w:noWrap w:val="false"/>
          </w:tcPr>
          <w:p>
            <w:pPr>
              <w:pStyle w:val="1344"/>
              <w:jc w:val="center"/>
              <w:spacing w:line="360" w:lineRule="auto"/>
              <w:rPr>
                <w:b/>
                <w:szCs w:val="21"/>
              </w:rPr>
            </w:pPr>
            <w:r>
              <w:rPr>
                <w:b/>
                <w:szCs w:val="21"/>
              </w:rPr>
            </w:r>
            <w:r/>
          </w:p>
        </w:tc>
        <w:tc>
          <w:tcPr>
            <w:tcW w:w="4868" w:type="dxa"/>
            <w:vAlign w:val="center"/>
            <w:textDirection w:val="lrTb"/>
            <w:noWrap w:val="false"/>
          </w:tcPr>
          <w:p>
            <w:pPr>
              <w:pStyle w:val="1413"/>
              <w:ind w:firstLine="0"/>
            </w:pPr>
            <w:r/>
            <w:r/>
          </w:p>
        </w:tc>
        <w:tc>
          <w:tcPr>
            <w:tcW w:w="1884" w:type="dxa"/>
            <w:vAlign w:val="center"/>
            <w:textDirection w:val="lrTb"/>
            <w:noWrap w:val="false"/>
          </w:tcPr>
          <w:p>
            <w:pPr>
              <w:pStyle w:val="1344"/>
              <w:jc w:val="center"/>
              <w:spacing w:line="360" w:lineRule="auto"/>
              <w:rPr>
                <w:szCs w:val="21"/>
              </w:rPr>
            </w:pPr>
            <w:r>
              <w:rPr>
                <w:szCs w:val="21"/>
              </w:rPr>
            </w:r>
            <w:r/>
          </w:p>
        </w:tc>
      </w:tr>
      <w:tr>
        <w:trPr>
          <w:trHeight w:val="580"/>
        </w:trPr>
        <w:tc>
          <w:tcPr>
            <w:tcW w:w="1234" w:type="dxa"/>
            <w:vAlign w:val="center"/>
            <w:textDirection w:val="lrTb"/>
            <w:noWrap w:val="false"/>
          </w:tcPr>
          <w:p>
            <w:pPr>
              <w:pStyle w:val="1344"/>
              <w:ind w:right="211"/>
              <w:jc w:val="center"/>
              <w:spacing w:line="360" w:lineRule="auto"/>
              <w:widowControl/>
              <w:rPr>
                <w:b/>
                <w:szCs w:val="21"/>
              </w:rPr>
            </w:pPr>
            <w:r>
              <w:rPr>
                <w:b/>
                <w:szCs w:val="21"/>
              </w:rPr>
            </w:r>
            <w:r/>
          </w:p>
        </w:tc>
        <w:tc>
          <w:tcPr>
            <w:tcW w:w="2355" w:type="dxa"/>
            <w:vAlign w:val="center"/>
            <w:textDirection w:val="lrTb"/>
            <w:noWrap w:val="false"/>
          </w:tcPr>
          <w:p>
            <w:pPr>
              <w:pStyle w:val="1344"/>
              <w:jc w:val="center"/>
              <w:spacing w:line="360" w:lineRule="auto"/>
              <w:rPr>
                <w:b/>
                <w:szCs w:val="21"/>
              </w:rPr>
            </w:pPr>
            <w:r>
              <w:rPr>
                <w:b/>
                <w:szCs w:val="21"/>
              </w:rPr>
            </w:r>
            <w:r/>
          </w:p>
        </w:tc>
        <w:tc>
          <w:tcPr>
            <w:tcW w:w="4868" w:type="dxa"/>
            <w:vAlign w:val="center"/>
            <w:textDirection w:val="lrTb"/>
            <w:noWrap w:val="false"/>
          </w:tcPr>
          <w:p>
            <w:pPr>
              <w:pStyle w:val="1413"/>
              <w:ind w:firstLine="0"/>
            </w:pPr>
            <w:r/>
            <w:r/>
          </w:p>
        </w:tc>
        <w:tc>
          <w:tcPr>
            <w:tcW w:w="1884" w:type="dxa"/>
            <w:vAlign w:val="center"/>
            <w:textDirection w:val="lrTb"/>
            <w:noWrap w:val="false"/>
          </w:tcPr>
          <w:p>
            <w:pPr>
              <w:pStyle w:val="1344"/>
              <w:jc w:val="center"/>
              <w:spacing w:line="360" w:lineRule="auto"/>
              <w:rPr>
                <w:szCs w:val="21"/>
              </w:rPr>
            </w:pPr>
            <w:r>
              <w:rPr>
                <w:szCs w:val="21"/>
              </w:rPr>
            </w:r>
            <w:r/>
          </w:p>
        </w:tc>
      </w:tr>
      <w:tr>
        <w:trPr>
          <w:trHeight w:val="580"/>
        </w:trPr>
        <w:tc>
          <w:tcPr>
            <w:tcW w:w="1234" w:type="dxa"/>
            <w:vAlign w:val="center"/>
            <w:textDirection w:val="lrTb"/>
            <w:noWrap w:val="false"/>
          </w:tcPr>
          <w:p>
            <w:pPr>
              <w:pStyle w:val="1344"/>
              <w:ind w:right="211"/>
              <w:jc w:val="center"/>
              <w:spacing w:line="360" w:lineRule="auto"/>
              <w:widowControl/>
              <w:rPr>
                <w:b/>
                <w:szCs w:val="21"/>
              </w:rPr>
            </w:pPr>
            <w:r>
              <w:rPr>
                <w:b/>
                <w:szCs w:val="21"/>
              </w:rPr>
            </w:r>
            <w:r/>
          </w:p>
        </w:tc>
        <w:tc>
          <w:tcPr>
            <w:tcW w:w="2355" w:type="dxa"/>
            <w:vAlign w:val="center"/>
            <w:textDirection w:val="lrTb"/>
            <w:noWrap w:val="false"/>
          </w:tcPr>
          <w:p>
            <w:pPr>
              <w:pStyle w:val="1344"/>
              <w:jc w:val="center"/>
              <w:spacing w:line="360" w:lineRule="auto"/>
              <w:rPr>
                <w:b/>
                <w:szCs w:val="21"/>
              </w:rPr>
            </w:pPr>
            <w:r>
              <w:rPr>
                <w:b/>
                <w:szCs w:val="21"/>
              </w:rPr>
            </w:r>
            <w:r/>
          </w:p>
        </w:tc>
        <w:tc>
          <w:tcPr>
            <w:tcW w:w="4868" w:type="dxa"/>
            <w:vAlign w:val="center"/>
            <w:textDirection w:val="lrTb"/>
            <w:noWrap w:val="false"/>
          </w:tcPr>
          <w:p>
            <w:pPr>
              <w:pStyle w:val="1413"/>
              <w:ind w:firstLine="0"/>
            </w:pPr>
            <w:r/>
            <w:r/>
          </w:p>
        </w:tc>
        <w:tc>
          <w:tcPr>
            <w:tcW w:w="1884" w:type="dxa"/>
            <w:vAlign w:val="center"/>
            <w:textDirection w:val="lrTb"/>
            <w:noWrap w:val="false"/>
          </w:tcPr>
          <w:p>
            <w:pPr>
              <w:pStyle w:val="1344"/>
              <w:jc w:val="center"/>
              <w:spacing w:line="360" w:lineRule="auto"/>
              <w:rPr>
                <w:szCs w:val="21"/>
              </w:rPr>
            </w:pPr>
            <w:r>
              <w:rPr>
                <w:szCs w:val="21"/>
              </w:rPr>
            </w:r>
            <w:r/>
          </w:p>
        </w:tc>
      </w:tr>
      <w:tr>
        <w:trPr>
          <w:trHeight w:val="580"/>
        </w:trPr>
        <w:tc>
          <w:tcPr>
            <w:tcW w:w="1234" w:type="dxa"/>
            <w:vAlign w:val="center"/>
            <w:textDirection w:val="lrTb"/>
            <w:noWrap w:val="false"/>
          </w:tcPr>
          <w:p>
            <w:pPr>
              <w:pStyle w:val="1344"/>
              <w:ind w:right="211"/>
              <w:jc w:val="center"/>
              <w:spacing w:line="360" w:lineRule="auto"/>
              <w:widowControl/>
              <w:rPr>
                <w:b/>
                <w:szCs w:val="21"/>
              </w:rPr>
            </w:pPr>
            <w:r>
              <w:rPr>
                <w:b/>
                <w:szCs w:val="21"/>
              </w:rPr>
            </w:r>
            <w:r/>
          </w:p>
        </w:tc>
        <w:tc>
          <w:tcPr>
            <w:tcW w:w="2355" w:type="dxa"/>
            <w:vAlign w:val="center"/>
            <w:textDirection w:val="lrTb"/>
            <w:noWrap w:val="false"/>
          </w:tcPr>
          <w:p>
            <w:pPr>
              <w:pStyle w:val="1344"/>
              <w:jc w:val="center"/>
              <w:spacing w:line="360" w:lineRule="auto"/>
              <w:rPr>
                <w:b/>
                <w:szCs w:val="21"/>
              </w:rPr>
            </w:pPr>
            <w:r>
              <w:rPr>
                <w:b/>
                <w:szCs w:val="21"/>
              </w:rPr>
            </w:r>
            <w:r/>
          </w:p>
        </w:tc>
        <w:tc>
          <w:tcPr>
            <w:tcW w:w="4868" w:type="dxa"/>
            <w:vAlign w:val="center"/>
            <w:textDirection w:val="lrTb"/>
            <w:noWrap w:val="false"/>
          </w:tcPr>
          <w:p>
            <w:pPr>
              <w:pStyle w:val="1413"/>
              <w:ind w:firstLine="0"/>
            </w:pPr>
            <w:r/>
            <w:r/>
          </w:p>
        </w:tc>
        <w:tc>
          <w:tcPr>
            <w:tcW w:w="1884" w:type="dxa"/>
            <w:vAlign w:val="center"/>
            <w:textDirection w:val="lrTb"/>
            <w:noWrap w:val="false"/>
          </w:tcPr>
          <w:p>
            <w:pPr>
              <w:pStyle w:val="1344"/>
              <w:jc w:val="center"/>
              <w:spacing w:line="360" w:lineRule="auto"/>
              <w:rPr>
                <w:szCs w:val="21"/>
              </w:rPr>
            </w:pPr>
            <w:r>
              <w:rPr>
                <w:szCs w:val="21"/>
              </w:rPr>
            </w:r>
            <w:r/>
          </w:p>
        </w:tc>
      </w:tr>
      <w:tr>
        <w:trPr>
          <w:trHeight w:val="580"/>
        </w:trPr>
        <w:tc>
          <w:tcPr>
            <w:tcW w:w="1234" w:type="dxa"/>
            <w:vAlign w:val="center"/>
            <w:textDirection w:val="lrTb"/>
            <w:noWrap w:val="false"/>
          </w:tcPr>
          <w:p>
            <w:pPr>
              <w:pStyle w:val="1344"/>
              <w:ind w:right="211"/>
              <w:jc w:val="center"/>
              <w:spacing w:line="360" w:lineRule="auto"/>
              <w:widowControl/>
              <w:rPr>
                <w:b/>
                <w:szCs w:val="21"/>
              </w:rPr>
            </w:pPr>
            <w:r>
              <w:rPr>
                <w:b/>
                <w:szCs w:val="21"/>
              </w:rPr>
            </w:r>
            <w:r/>
          </w:p>
        </w:tc>
        <w:tc>
          <w:tcPr>
            <w:tcW w:w="2355" w:type="dxa"/>
            <w:vAlign w:val="center"/>
            <w:textDirection w:val="lrTb"/>
            <w:noWrap w:val="false"/>
          </w:tcPr>
          <w:p>
            <w:pPr>
              <w:pStyle w:val="1344"/>
              <w:jc w:val="center"/>
              <w:spacing w:line="360" w:lineRule="auto"/>
              <w:rPr>
                <w:b/>
                <w:szCs w:val="21"/>
              </w:rPr>
            </w:pPr>
            <w:r>
              <w:rPr>
                <w:b/>
                <w:szCs w:val="21"/>
              </w:rPr>
            </w:r>
            <w:r/>
          </w:p>
        </w:tc>
        <w:tc>
          <w:tcPr>
            <w:tcW w:w="4868" w:type="dxa"/>
            <w:vAlign w:val="center"/>
            <w:textDirection w:val="lrTb"/>
            <w:noWrap w:val="false"/>
          </w:tcPr>
          <w:p>
            <w:pPr>
              <w:pStyle w:val="1413"/>
              <w:ind w:firstLine="0"/>
            </w:pPr>
            <w:r/>
            <w:r/>
          </w:p>
        </w:tc>
        <w:tc>
          <w:tcPr>
            <w:tcW w:w="1884" w:type="dxa"/>
            <w:vAlign w:val="center"/>
            <w:textDirection w:val="lrTb"/>
            <w:noWrap w:val="false"/>
          </w:tcPr>
          <w:p>
            <w:pPr>
              <w:pStyle w:val="1344"/>
              <w:jc w:val="center"/>
              <w:spacing w:line="360" w:lineRule="auto"/>
              <w:rPr>
                <w:szCs w:val="21"/>
              </w:rPr>
            </w:pPr>
            <w:r>
              <w:rPr>
                <w:szCs w:val="21"/>
              </w:rPr>
            </w:r>
            <w:r/>
          </w:p>
        </w:tc>
      </w:tr>
    </w:tbl>
    <w:p>
      <w:pPr>
        <w:pStyle w:val="1344"/>
        <w:spacing w:line="440" w:lineRule="exact"/>
        <w:rPr>
          <w:szCs w:val="24"/>
        </w:rPr>
      </w:pPr>
      <w:r>
        <w:rPr>
          <w:szCs w:val="24"/>
        </w:rPr>
      </w:r>
      <w:r/>
    </w:p>
    <w:p>
      <w:pPr>
        <w:pStyle w:val="1344"/>
        <w:spacing w:line="440" w:lineRule="exact"/>
        <w:rPr>
          <w:szCs w:val="24"/>
        </w:rPr>
      </w:pPr>
      <w:r>
        <w:rPr>
          <w:szCs w:val="24"/>
        </w:rPr>
      </w:r>
      <w:r/>
    </w:p>
    <w:p>
      <w:pPr>
        <w:pStyle w:val="1374"/>
        <w:rPr>
          <w:rFonts w:ascii="Times New Roman"/>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rPr>
      </w:r>
      <w:r/>
    </w:p>
    <w:p>
      <w:pPr>
        <w:pStyle w:val="1344"/>
        <w:spacing w:line="440" w:lineRule="exact"/>
        <w:rPr>
          <w:rFonts w:hint="eastAsia" w:ascii="宋体" w:hAnsi="宋体" w:cs="宋体"/>
          <w:b/>
          <w:bCs/>
          <w:szCs w:val="21"/>
        </w:rPr>
        <w:outlineLvl w:val="1"/>
      </w:pPr>
      <w:r/>
      <w:bookmarkStart w:id="407" w:name="_Toc21198"/>
      <w:r>
        <w:rPr>
          <w:rFonts w:hint="eastAsia" w:ascii="宋体" w:hAnsi="宋体" w:cs="宋体"/>
          <w:b/>
          <w:bCs/>
          <w:szCs w:val="21"/>
        </w:rPr>
        <w:t xml:space="preserve">附件一 投标函格式</w:t>
      </w:r>
      <w:bookmarkEnd w:id="405"/>
      <w:r/>
      <w:bookmarkEnd w:id="407"/>
      <w:r>
        <w:rPr>
          <w:rFonts w:hint="eastAsia" w:ascii="宋体" w:hAnsi="宋体" w:cs="宋体"/>
          <w:b/>
          <w:bCs/>
          <w:szCs w:val="21"/>
        </w:rPr>
      </w:r>
      <w:r/>
    </w:p>
    <w:p>
      <w:pPr>
        <w:pStyle w:val="1344"/>
        <w:jc w:val="center"/>
        <w:spacing w:line="440" w:lineRule="exact"/>
        <w:rPr>
          <w:rFonts w:hint="eastAsia" w:ascii="宋体" w:hAnsi="宋体" w:cs="宋体"/>
          <w:b/>
          <w:szCs w:val="21"/>
        </w:rPr>
      </w:pPr>
      <w:r>
        <w:rPr>
          <w:rFonts w:hint="eastAsia" w:ascii="宋体" w:hAnsi="宋体" w:cs="宋体"/>
          <w:b/>
          <w:szCs w:val="21"/>
        </w:rPr>
        <w:t xml:space="preserve">投标函</w:t>
      </w:r>
      <w:r>
        <w:rPr>
          <w:rFonts w:hint="eastAsia" w:ascii="宋体" w:hAnsi="宋体" w:cs="宋体"/>
          <w:b/>
          <w:szCs w:val="21"/>
        </w:rPr>
      </w:r>
      <w:r/>
    </w:p>
    <w:p>
      <w:pPr>
        <w:pStyle w:val="1344"/>
        <w:spacing w:line="360" w:lineRule="auto"/>
        <w:rPr>
          <w:rFonts w:hint="eastAsia" w:ascii="宋体" w:hAnsi="宋体" w:cs="宋体"/>
          <w:szCs w:val="21"/>
        </w:rPr>
      </w:pPr>
      <w:r>
        <w:rPr>
          <w:rFonts w:hint="eastAsia" w:ascii="宋体" w:hAnsi="宋体" w:cs="宋体"/>
          <w:szCs w:val="21"/>
        </w:rPr>
        <w:t xml:space="preserve">致：江苏苏美达仪器设备有限公司</w:t>
      </w:r>
      <w:r>
        <w:rPr>
          <w:rFonts w:hint="eastAsia" w:ascii="宋体" w:hAnsi="宋体" w:cs="宋体"/>
          <w:szCs w:val="21"/>
        </w:rPr>
      </w:r>
      <w:r/>
    </w:p>
    <w:p>
      <w:pPr>
        <w:pStyle w:val="1344"/>
        <w:ind w:firstLine="420"/>
        <w:spacing w:line="360" w:lineRule="auto"/>
        <w:rPr>
          <w:rFonts w:hint="eastAsia" w:ascii="宋体" w:hAnsi="宋体" w:cs="宋体"/>
          <w:szCs w:val="21"/>
          <w:lang w:val="zh-CN"/>
        </w:rPr>
      </w:pPr>
      <w:r>
        <w:rPr>
          <w:rFonts w:hint="eastAsia" w:ascii="宋体" w:hAnsi="宋体" w:cs="宋体"/>
          <w:szCs w:val="21"/>
          <w:lang w:val="zh-CN"/>
        </w:rPr>
        <w:t xml:space="preserve">根据贵方</w:t>
      </w:r>
      <w:r>
        <w:rPr>
          <w:rFonts w:hint="eastAsia" w:ascii="宋体" w:hAnsi="宋体" w:cs="宋体"/>
          <w:szCs w:val="21"/>
          <w:u w:val="single"/>
          <w:lang w:val="zh-CN"/>
        </w:rPr>
        <w:t xml:space="preserve">         </w:t>
      </w:r>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（项目编号）投标邀请，正式授权下述签字人</w:t>
      </w:r>
      <w:r>
        <w:rPr>
          <w:rFonts w:hint="eastAsia" w:ascii="宋体" w:hAnsi="宋体" w:cs="宋体"/>
          <w:szCs w:val="21"/>
          <w:u w:val="single"/>
          <w:lang w:val="zh-CN"/>
        </w:rPr>
        <w:t xml:space="preserve">       </w:t>
      </w:r>
      <w:r>
        <w:rPr>
          <w:rFonts w:hint="eastAsia" w:ascii="宋体" w:hAnsi="宋体" w:cs="宋体"/>
          <w:szCs w:val="21"/>
          <w:lang w:val="zh-CN"/>
        </w:rPr>
        <w:t xml:space="preserve">（姓名和职务）代表</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w:t>
      </w:r>
      <w:r>
        <w:rPr>
          <w:rFonts w:hint="eastAsia" w:ascii="宋体" w:hAnsi="宋体" w:cs="宋体"/>
          <w:szCs w:val="21"/>
        </w:rPr>
        <w:t xml:space="preserve">投标人</w:t>
      </w:r>
      <w:r>
        <w:rPr>
          <w:rFonts w:hint="eastAsia" w:ascii="宋体" w:hAnsi="宋体" w:cs="宋体"/>
          <w:szCs w:val="21"/>
          <w:lang w:val="zh-CN"/>
        </w:rPr>
        <w:t xml:space="preserve">名称），提交投标文件。</w:t>
      </w:r>
      <w:r>
        <w:rPr>
          <w:rFonts w:hint="eastAsia" w:ascii="宋体" w:hAnsi="宋体" w:cs="宋体"/>
          <w:szCs w:val="21"/>
          <w:lang w:val="zh-CN"/>
        </w:rPr>
      </w:r>
      <w:r/>
    </w:p>
    <w:p>
      <w:pPr>
        <w:pStyle w:val="1344"/>
        <w:ind w:firstLine="420"/>
        <w:spacing w:line="360" w:lineRule="auto"/>
        <w:rPr>
          <w:rFonts w:hint="eastAsia" w:ascii="宋体" w:hAnsi="宋体" w:cs="宋体"/>
          <w:szCs w:val="21"/>
        </w:rPr>
      </w:pPr>
      <w:r>
        <w:rPr>
          <w:rFonts w:hint="eastAsia" w:ascii="宋体" w:hAnsi="宋体" w:cs="宋体"/>
          <w:szCs w:val="21"/>
        </w:rPr>
        <w:t xml:space="preserve">据此函，签字人兹宣布同意如下：</w:t>
      </w:r>
      <w:r>
        <w:rPr>
          <w:rFonts w:hint="eastAsia" w:ascii="宋体" w:hAnsi="宋体" w:cs="宋体"/>
          <w:szCs w:val="21"/>
        </w:rPr>
      </w:r>
      <w:r/>
    </w:p>
    <w:p>
      <w:pPr>
        <w:pStyle w:val="1344"/>
        <w:spacing w:line="360" w:lineRule="auto"/>
        <w:rPr>
          <w:rFonts w:hint="eastAsia" w:ascii="宋体" w:hAnsi="宋体" w:cs="宋体"/>
          <w:szCs w:val="21"/>
        </w:rPr>
      </w:pPr>
      <w:r>
        <w:rPr>
          <w:rFonts w:hint="eastAsia" w:ascii="宋体" w:hAnsi="宋体" w:cs="宋体"/>
          <w:szCs w:val="21"/>
        </w:rPr>
        <w:t xml:space="preserve">1.我们的资格条件完全符合《中华人民共和国政府采购法》和本次招标要求，我们同意并向贵方提供了与本次招标活动有关的所有证据和资料。    </w:t>
      </w:r>
      <w:r>
        <w:rPr>
          <w:rFonts w:hint="eastAsia" w:ascii="宋体" w:hAnsi="宋体" w:cs="宋体"/>
          <w:szCs w:val="21"/>
        </w:rPr>
      </w:r>
      <w:r/>
    </w:p>
    <w:p>
      <w:pPr>
        <w:pStyle w:val="1344"/>
        <w:spacing w:line="360" w:lineRule="auto"/>
        <w:rPr>
          <w:rFonts w:hint="eastAsia" w:ascii="宋体" w:hAnsi="宋体" w:cs="宋体"/>
          <w:szCs w:val="21"/>
        </w:rPr>
      </w:pPr>
      <w:r>
        <w:rPr>
          <w:rFonts w:hint="eastAsia" w:ascii="宋体" w:hAnsi="宋体" w:cs="宋体"/>
          <w:szCs w:val="21"/>
        </w:rPr>
        <w:t xml:space="preserve">2.我们已详细审核全部招标文件及其有效补充文件，我们放弃对招标文件任何误解的权利，提交投标文件后，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。否则，属于不诚信和故意扰乱采购活动行为，我们将无条件接受处罚。</w:t>
      </w:r>
      <w:r>
        <w:rPr>
          <w:rFonts w:hint="eastAsia" w:ascii="宋体" w:hAnsi="宋体" w:cs="宋体"/>
          <w:szCs w:val="21"/>
        </w:rPr>
      </w:r>
      <w:r/>
    </w:p>
    <w:p>
      <w:pPr>
        <w:pStyle w:val="1344"/>
        <w:spacing w:line="360" w:lineRule="auto"/>
        <w:rPr>
          <w:rFonts w:hint="eastAsia" w:ascii="宋体" w:hAnsi="宋体" w:cs="宋体"/>
          <w:szCs w:val="21"/>
        </w:rPr>
      </w:pPr>
      <w:r>
        <w:rPr>
          <w:rFonts w:hint="eastAsia" w:ascii="宋体" w:hAnsi="宋体" w:cs="宋体"/>
          <w:szCs w:val="21"/>
        </w:rPr>
        <w:t xml:space="preserve">3.我们同意在本项目招标文件中规定的开标之日起90天内遵守本投标文件中的承诺且在此期限期满之前均具有约束力。</w:t>
      </w:r>
      <w:r>
        <w:rPr>
          <w:rFonts w:hint="eastAsia" w:ascii="宋体" w:hAnsi="宋体" w:cs="宋体"/>
          <w:szCs w:val="21"/>
        </w:rPr>
      </w:r>
      <w:r/>
    </w:p>
    <w:p>
      <w:pPr>
        <w:pStyle w:val="1344"/>
        <w:spacing w:line="360" w:lineRule="auto"/>
        <w:rPr>
          <w:rFonts w:hint="eastAsia" w:ascii="宋体" w:hAnsi="宋体" w:cs="宋体"/>
          <w:szCs w:val="21"/>
        </w:rPr>
      </w:pPr>
      <w:r>
        <w:rPr>
          <w:rFonts w:hint="eastAsia" w:ascii="宋体" w:hAnsi="宋体" w:cs="宋体"/>
          <w:szCs w:val="21"/>
        </w:rPr>
        <w:t xml:space="preserve">4.我们愿意向采购代理机构提供任何与本次招标有关的其他资料，并保证已提供和将要提供的文件是真实的、准确的。</w:t>
      </w:r>
      <w:r>
        <w:rPr>
          <w:rFonts w:hint="eastAsia" w:ascii="宋体" w:hAnsi="宋体" w:cs="宋体"/>
          <w:szCs w:val="21"/>
        </w:rPr>
      </w:r>
      <w:r/>
    </w:p>
    <w:p>
      <w:pPr>
        <w:pStyle w:val="1344"/>
        <w:spacing w:line="360" w:lineRule="auto"/>
        <w:rPr>
          <w:rFonts w:hint="eastAsia" w:ascii="宋体" w:hAnsi="宋体" w:cs="宋体"/>
          <w:szCs w:val="21"/>
        </w:rPr>
      </w:pPr>
      <w:r>
        <w:rPr>
          <w:rFonts w:hint="eastAsia" w:ascii="宋体" w:hAnsi="宋体" w:cs="宋体"/>
          <w:szCs w:val="21"/>
        </w:rPr>
        <w:t xml:space="preserve">5.我们理解，你们无义务必须接受投标价最低的投标，并有权拒绝所有的投标。</w:t>
      </w:r>
      <w:r>
        <w:rPr>
          <w:rFonts w:hint="eastAsia" w:ascii="宋体" w:hAnsi="宋体" w:cs="宋体"/>
          <w:szCs w:val="21"/>
        </w:rPr>
      </w:r>
      <w:r/>
    </w:p>
    <w:p>
      <w:pPr>
        <w:pStyle w:val="1344"/>
        <w:spacing w:line="360" w:lineRule="auto"/>
        <w:rPr>
          <w:rFonts w:hint="eastAsia" w:ascii="宋体" w:hAnsi="宋体" w:cs="宋体"/>
          <w:szCs w:val="21"/>
        </w:rPr>
      </w:pPr>
      <w:r>
        <w:rPr>
          <w:rFonts w:hint="eastAsia" w:ascii="宋体" w:hAnsi="宋体" w:cs="宋体"/>
          <w:szCs w:val="21"/>
        </w:rPr>
        <w:t xml:space="preserve">6.如果我们中标，本次招标文件和本投标文件（含承诺书）将作为采购合同的附件。我们将根据招标文件的规定严格履行合同，履行自己在投标文件中的全部承诺和责任。</w:t>
      </w:r>
      <w:r>
        <w:rPr>
          <w:rFonts w:hint="eastAsia" w:ascii="宋体" w:hAnsi="宋体" w:cs="宋体"/>
          <w:szCs w:val="21"/>
        </w:rPr>
      </w:r>
      <w:r/>
    </w:p>
    <w:p>
      <w:pPr>
        <w:pStyle w:val="1344"/>
        <w:spacing w:line="360" w:lineRule="auto"/>
        <w:rPr>
          <w:rFonts w:hint="eastAsia" w:ascii="宋体" w:hAnsi="宋体" w:cs="宋体"/>
          <w:szCs w:val="21"/>
        </w:rPr>
      </w:pPr>
      <w:r>
        <w:rPr>
          <w:rFonts w:hint="eastAsia" w:ascii="宋体" w:hAnsi="宋体" w:cs="宋体"/>
          <w:szCs w:val="21"/>
        </w:rPr>
        <w:t xml:space="preserve">7.其它说明：</w:t>
      </w:r>
      <w:r>
        <w:rPr>
          <w:rFonts w:hint="eastAsia" w:ascii="宋体" w:hAnsi="宋体" w:cs="宋体"/>
          <w:szCs w:val="21"/>
        </w:rPr>
      </w:r>
      <w:r/>
    </w:p>
    <w:p>
      <w:pPr>
        <w:pStyle w:val="1344"/>
        <w:spacing w:line="440" w:lineRule="exact"/>
        <w:rPr>
          <w:szCs w:val="21"/>
        </w:rPr>
      </w:pPr>
      <w:r>
        <w:rPr>
          <w:szCs w:val="21"/>
        </w:rPr>
      </w:r>
      <w:r/>
    </w:p>
    <w:p>
      <w:pPr>
        <w:pStyle w:val="1344"/>
        <w:spacing w:line="360" w:lineRule="auto"/>
        <w:rPr>
          <w:szCs w:val="21"/>
        </w:rPr>
      </w:pPr>
      <w:r>
        <w:rPr>
          <w:szCs w:val="21"/>
        </w:rPr>
        <w:t xml:space="preserve">投标人名称：</w:t>
      </w:r>
      <w:r>
        <w:rPr>
          <w:szCs w:val="21"/>
          <w:u w:val="single"/>
        </w:rPr>
        <w:t xml:space="preserve">                   （公章）</w:t>
      </w:r>
      <w:r>
        <w:rPr>
          <w:szCs w:val="21"/>
        </w:rPr>
      </w:r>
      <w:r/>
    </w:p>
    <w:p>
      <w:pPr>
        <w:pStyle w:val="1344"/>
        <w:spacing w:line="360" w:lineRule="auto"/>
        <w:rPr>
          <w:szCs w:val="21"/>
          <w:u w:val="single"/>
        </w:rPr>
      </w:pPr>
      <w:r>
        <w:rPr>
          <w:szCs w:val="21"/>
        </w:rPr>
        <w:t xml:space="preserve">地址：</w:t>
      </w:r>
      <w:r>
        <w:rPr>
          <w:szCs w:val="21"/>
          <w:u w:val="single"/>
        </w:rPr>
        <w:t xml:space="preserve">            </w:t>
      </w:r>
      <w:r>
        <w:rPr>
          <w:szCs w:val="21"/>
        </w:rPr>
        <w:t xml:space="preserve"> 邮编：</w:t>
      </w:r>
      <w:r>
        <w:rPr>
          <w:szCs w:val="21"/>
          <w:u w:val="single"/>
        </w:rPr>
        <w:t xml:space="preserve">              </w:t>
      </w:r>
      <w:r>
        <w:rPr>
          <w:szCs w:val="21"/>
          <w:u w:val="single"/>
        </w:rPr>
      </w:r>
      <w:r/>
    </w:p>
    <w:p>
      <w:pPr>
        <w:pStyle w:val="1344"/>
        <w:spacing w:line="360" w:lineRule="auto"/>
        <w:rPr>
          <w:szCs w:val="21"/>
          <w:u w:val="single"/>
        </w:rPr>
      </w:pPr>
      <w:r>
        <w:rPr>
          <w:szCs w:val="21"/>
        </w:rPr>
        <w:t xml:space="preserve">电话：</w:t>
      </w:r>
      <w:r>
        <w:rPr>
          <w:szCs w:val="21"/>
          <w:u w:val="single"/>
        </w:rPr>
        <w:t xml:space="preserve">            </w:t>
      </w:r>
      <w:r>
        <w:rPr>
          <w:szCs w:val="21"/>
        </w:rPr>
        <w:t xml:space="preserve"> 传真：</w:t>
      </w:r>
      <w:r>
        <w:rPr>
          <w:szCs w:val="21"/>
          <w:u w:val="single"/>
        </w:rPr>
        <w:t xml:space="preserve">              </w:t>
      </w:r>
      <w:r>
        <w:rPr>
          <w:szCs w:val="21"/>
          <w:u w:val="single"/>
        </w:rPr>
      </w:r>
      <w:r/>
    </w:p>
    <w:p>
      <w:pPr>
        <w:pStyle w:val="1344"/>
        <w:spacing w:line="360" w:lineRule="auto"/>
        <w:rPr>
          <w:szCs w:val="21"/>
        </w:rPr>
      </w:pPr>
      <w:r>
        <w:rPr>
          <w:szCs w:val="21"/>
        </w:rPr>
        <w:t xml:space="preserve">授权代表签字：</w:t>
      </w:r>
      <w:r>
        <w:rPr>
          <w:szCs w:val="21"/>
          <w:u w:val="single"/>
        </w:rPr>
        <w:t xml:space="preserve">                   </w:t>
      </w:r>
      <w:r>
        <w:rPr>
          <w:szCs w:val="21"/>
        </w:rPr>
        <w:t xml:space="preserve"> </w:t>
      </w:r>
      <w:r>
        <w:rPr>
          <w:szCs w:val="21"/>
        </w:rPr>
      </w:r>
      <w:r/>
    </w:p>
    <w:p>
      <w:pPr>
        <w:pStyle w:val="1344"/>
        <w:spacing w:line="360" w:lineRule="auto"/>
        <w:rPr>
          <w:sz w:val="24"/>
        </w:rPr>
      </w:pPr>
      <w:r>
        <w:rPr>
          <w:szCs w:val="21"/>
        </w:rPr>
        <w:t xml:space="preserve">日期：</w:t>
      </w:r>
      <w:r>
        <w:rPr>
          <w:szCs w:val="21"/>
          <w:u w:val="single"/>
        </w:rPr>
        <w:t xml:space="preserve">               </w:t>
      </w:r>
      <w:r>
        <w:rPr>
          <w:sz w:val="24"/>
        </w:rPr>
      </w:r>
      <w:r/>
    </w:p>
    <w:p>
      <w:pPr>
        <w:pStyle w:val="134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344"/>
        <w:spacing w:line="440" w:lineRule="exact"/>
        <w:rPr>
          <w:b/>
          <w:bCs/>
          <w:sz w:val="24"/>
          <w:szCs w:val="22"/>
        </w:rPr>
        <w:outlineLvl w:val="1"/>
      </w:pPr>
      <w:r/>
      <w:bookmarkStart w:id="408" w:name="_Toc14605"/>
      <w:r/>
      <w:bookmarkStart w:id="409" w:name="_Toc437"/>
      <w:r/>
      <w:bookmarkStart w:id="410" w:name="_Toc23511"/>
      <w:r>
        <w:rPr>
          <w:b/>
          <w:bCs/>
          <w:sz w:val="24"/>
          <w:szCs w:val="22"/>
        </w:rPr>
        <w:t xml:space="preserve">附件二 开标一览表</w:t>
      </w:r>
      <w:bookmarkEnd w:id="408"/>
      <w:r/>
      <w:bookmarkEnd w:id="409"/>
      <w:r/>
      <w:bookmarkEnd w:id="410"/>
      <w:r>
        <w:rPr>
          <w:b/>
          <w:bCs/>
          <w:sz w:val="24"/>
          <w:szCs w:val="22"/>
        </w:rPr>
      </w:r>
      <w:r/>
    </w:p>
    <w:p>
      <w:pPr>
        <w:pStyle w:val="1344"/>
        <w:jc w:val="center"/>
        <w:spacing w:line="440" w:lineRule="exact"/>
        <w:rPr>
          <w:b/>
          <w:sz w:val="28"/>
          <w:szCs w:val="22"/>
        </w:rPr>
      </w:pPr>
      <w:r>
        <w:rPr>
          <w:b/>
          <w:sz w:val="28"/>
          <w:szCs w:val="22"/>
        </w:rPr>
        <w:t xml:space="preserve">开标一览表</w:t>
      </w:r>
      <w:r>
        <w:rPr>
          <w:b/>
          <w:sz w:val="28"/>
          <w:szCs w:val="22"/>
        </w:rPr>
      </w:r>
      <w:r/>
    </w:p>
    <w:p>
      <w:pPr>
        <w:pStyle w:val="1344"/>
        <w:jc w:val="left"/>
        <w:spacing w:line="440" w:lineRule="exact"/>
        <w:rPr>
          <w:b/>
          <w:sz w:val="28"/>
          <w:szCs w:val="22"/>
        </w:rPr>
      </w:pPr>
      <w:r>
        <w:rPr>
          <w:szCs w:val="21"/>
        </w:rPr>
        <w:t xml:space="preserve">项目编号：                                                        </w:t>
      </w:r>
      <w:r>
        <w:rPr>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05"/>
        <w:gridCol w:w="6778"/>
      </w:tblGrid>
      <w:tr>
        <w:trPr>
          <w:cantSplit/>
          <w:trHeight w:val="986"/>
        </w:trPr>
        <w:tc>
          <w:tcPr>
            <w:tcW w:w="2605" w:type="dxa"/>
            <w:vAlign w:val="center"/>
            <w:textDirection w:val="lrTb"/>
            <w:noWrap w:val="false"/>
          </w:tcPr>
          <w:p>
            <w:pPr>
              <w:pStyle w:val="1344"/>
              <w:jc w:val="center"/>
              <w:spacing w:line="480" w:lineRule="exact"/>
              <w:rPr>
                <w:szCs w:val="21"/>
              </w:rPr>
            </w:pPr>
            <w:r>
              <w:rPr>
                <w:szCs w:val="21"/>
              </w:rPr>
              <w:t xml:space="preserve">项目名称</w:t>
            </w:r>
            <w:r>
              <w:rPr>
                <w:szCs w:val="21"/>
              </w:rPr>
            </w:r>
            <w:r/>
          </w:p>
        </w:tc>
        <w:tc>
          <w:tcPr>
            <w:tcW w:w="6778" w:type="dxa"/>
            <w:vAlign w:val="center"/>
            <w:textDirection w:val="lrTb"/>
            <w:noWrap w:val="false"/>
          </w:tcPr>
          <w:p>
            <w:pPr>
              <w:pStyle w:val="1344"/>
              <w:ind w:firstLine="105"/>
              <w:spacing w:line="480" w:lineRule="exact"/>
              <w:rPr>
                <w:szCs w:val="21"/>
              </w:rPr>
            </w:pPr>
            <w:r>
              <w:rPr>
                <w:szCs w:val="21"/>
              </w:rPr>
            </w:r>
            <w:r/>
          </w:p>
        </w:tc>
      </w:tr>
      <w:tr>
        <w:trPr>
          <w:cantSplit/>
          <w:trHeight w:val="1280"/>
        </w:trPr>
        <w:tc>
          <w:tcPr>
            <w:tcW w:w="2605" w:type="dxa"/>
            <w:vAlign w:val="center"/>
            <w:textDirection w:val="lrTb"/>
            <w:noWrap w:val="false"/>
          </w:tcPr>
          <w:p>
            <w:pPr>
              <w:pStyle w:val="1344"/>
              <w:jc w:val="center"/>
              <w:spacing w:line="480" w:lineRule="exact"/>
              <w:rPr>
                <w:szCs w:val="21"/>
              </w:rPr>
            </w:pPr>
            <w:r>
              <w:rPr>
                <w:szCs w:val="21"/>
              </w:rPr>
              <w:t xml:space="preserve">报价（总价）</w:t>
            </w:r>
            <w:r>
              <w:rPr>
                <w:szCs w:val="21"/>
              </w:rPr>
            </w:r>
            <w:r/>
          </w:p>
        </w:tc>
        <w:tc>
          <w:tcPr>
            <w:tcW w:w="6778" w:type="dxa"/>
            <w:vAlign w:val="center"/>
            <w:textDirection w:val="lrTb"/>
            <w:noWrap w:val="false"/>
          </w:tcPr>
          <w:p>
            <w:pPr>
              <w:pStyle w:val="1344"/>
              <w:spacing w:line="480" w:lineRule="exact"/>
              <w:rPr>
                <w:rFonts w:hint="eastAsia"/>
                <w:szCs w:val="21"/>
                <w:u w:val="single"/>
              </w:rPr>
            </w:pPr>
            <w:r>
              <w:rPr>
                <w:szCs w:val="21"/>
              </w:rPr>
              <w:t xml:space="preserve">人民币：</w:t>
            </w:r>
            <w:r>
              <w:rPr>
                <w:szCs w:val="21"/>
                <w:u w:val="single"/>
              </w:rPr>
              <w:t xml:space="preserve">           </w:t>
            </w:r>
            <w:r>
              <w:rPr>
                <w:rFonts w:hint="eastAsia"/>
                <w:szCs w:val="21"/>
                <w:u w:val="single"/>
              </w:rPr>
            </w:r>
            <w:r/>
          </w:p>
          <w:p>
            <w:pPr>
              <w:pStyle w:val="1344"/>
              <w:spacing w:line="480" w:lineRule="exact"/>
              <w:rPr>
                <w:szCs w:val="21"/>
              </w:rPr>
            </w:pPr>
            <w:r>
              <w:rPr>
                <w:szCs w:val="21"/>
              </w:rPr>
              <w:t xml:space="preserve">（大写）：</w:t>
            </w:r>
            <w:r>
              <w:rPr>
                <w:szCs w:val="21"/>
                <w:u w:val="single"/>
              </w:rPr>
              <w:t xml:space="preserve">         </w:t>
            </w:r>
            <w:r>
              <w:rPr>
                <w:szCs w:val="21"/>
              </w:rPr>
            </w:r>
            <w:r/>
          </w:p>
        </w:tc>
      </w:tr>
      <w:tr>
        <w:trPr>
          <w:cantSplit/>
          <w:trHeight w:val="836"/>
        </w:trPr>
        <w:tc>
          <w:tcPr>
            <w:tcW w:w="2605" w:type="dxa"/>
            <w:vAlign w:val="center"/>
            <w:textDirection w:val="lrTb"/>
            <w:noWrap w:val="false"/>
          </w:tcPr>
          <w:p>
            <w:pPr>
              <w:pStyle w:val="1344"/>
              <w:jc w:val="center"/>
              <w:spacing w:line="480" w:lineRule="exact"/>
              <w:rPr>
                <w:szCs w:val="21"/>
              </w:rPr>
            </w:pPr>
            <w:r>
              <w:rPr>
                <w:szCs w:val="21"/>
              </w:rPr>
              <w:t xml:space="preserve">所投品牌</w:t>
            </w:r>
            <w:r>
              <w:rPr>
                <w:szCs w:val="21"/>
              </w:rPr>
            </w:r>
            <w:r/>
          </w:p>
          <w:p>
            <w:pPr>
              <w:pStyle w:val="1344"/>
              <w:jc w:val="center"/>
              <w:spacing w:line="480" w:lineRule="exact"/>
              <w:rPr>
                <w:rFonts w:hint="eastAsia"/>
                <w:szCs w:val="21"/>
              </w:rPr>
            </w:pPr>
            <w:r>
              <w:rPr>
                <w:rFonts w:hint="eastAsia"/>
                <w:szCs w:val="21"/>
              </w:rPr>
              <w:t xml:space="preserve">（分包内多产品的填写核心产品）</w:t>
            </w:r>
            <w:r>
              <w:rPr>
                <w:rFonts w:hint="eastAsia"/>
                <w:szCs w:val="21"/>
              </w:rPr>
            </w:r>
            <w:r/>
          </w:p>
        </w:tc>
        <w:tc>
          <w:tcPr>
            <w:tcW w:w="6778" w:type="dxa"/>
            <w:vAlign w:val="center"/>
            <w:textDirection w:val="lrTb"/>
            <w:noWrap w:val="false"/>
          </w:tcPr>
          <w:p>
            <w:pPr>
              <w:pStyle w:val="1344"/>
              <w:spacing w:line="480" w:lineRule="exact"/>
              <w:rPr>
                <w:i/>
                <w:iCs/>
                <w:szCs w:val="21"/>
              </w:rPr>
            </w:pPr>
            <w:r>
              <w:rPr>
                <w:i/>
                <w:iCs/>
                <w:szCs w:val="21"/>
              </w:rPr>
            </w:r>
            <w:r/>
          </w:p>
        </w:tc>
      </w:tr>
      <w:tr>
        <w:trPr>
          <w:cantSplit/>
          <w:trHeight w:val="724"/>
        </w:trPr>
        <w:tc>
          <w:tcPr>
            <w:tcW w:w="2605" w:type="dxa"/>
            <w:vAlign w:val="center"/>
            <w:textDirection w:val="lrTb"/>
            <w:noWrap w:val="false"/>
          </w:tcPr>
          <w:p>
            <w:pPr>
              <w:pStyle w:val="1344"/>
              <w:jc w:val="center"/>
              <w:spacing w:line="480" w:lineRule="exact"/>
              <w:rPr>
                <w:rFonts w:hint="eastAsia" w:ascii="宋体" w:hAnsi="宋体" w:cs="宋体"/>
                <w:szCs w:val="21"/>
              </w:rPr>
            </w:pPr>
            <w:r>
              <w:rPr>
                <w:rFonts w:hint="eastAsia" w:ascii="宋体" w:hAnsi="宋体" w:cs="宋体"/>
                <w:szCs w:val="21"/>
              </w:rPr>
              <w:t xml:space="preserve">合同履行期限</w:t>
            </w:r>
            <w:r>
              <w:rPr>
                <w:rFonts w:hint="eastAsia" w:ascii="宋体" w:hAnsi="宋体" w:cs="宋体"/>
                <w:szCs w:val="21"/>
              </w:rPr>
            </w:r>
            <w:r/>
          </w:p>
          <w:p>
            <w:pPr>
              <w:pStyle w:val="1344"/>
              <w:jc w:val="center"/>
              <w:spacing w:line="480" w:lineRule="exact"/>
              <w:rPr>
                <w:rFonts w:hint="eastAsia" w:ascii="宋体" w:hAnsi="宋体" w:cs="宋体"/>
                <w:szCs w:val="21"/>
              </w:rPr>
            </w:pPr>
            <w:r>
              <w:rPr>
                <w:rFonts w:hint="eastAsia"/>
                <w:szCs w:val="21"/>
              </w:rPr>
              <w:t xml:space="preserve">（分包内多产品的逐一填写）</w:t>
            </w:r>
            <w:r>
              <w:rPr>
                <w:rFonts w:hint="eastAsia" w:ascii="宋体" w:hAnsi="宋体" w:cs="宋体"/>
                <w:szCs w:val="21"/>
              </w:rPr>
            </w:r>
            <w:r/>
          </w:p>
        </w:tc>
        <w:tc>
          <w:tcPr>
            <w:tcW w:w="6778" w:type="dxa"/>
            <w:vAlign w:val="center"/>
            <w:textDirection w:val="lrTb"/>
            <w:noWrap w:val="false"/>
          </w:tcPr>
          <w:p>
            <w:pPr>
              <w:pStyle w:val="1344"/>
              <w:ind w:firstLine="105"/>
              <w:spacing w:line="480" w:lineRule="exact"/>
              <w:rPr>
                <w:rFonts w:hint="eastAsia"/>
                <w:szCs w:val="21"/>
              </w:rPr>
            </w:pPr>
            <w:r>
              <w:rPr>
                <w:rFonts w:hint="eastAsia"/>
                <w:szCs w:val="21"/>
              </w:rPr>
            </w:r>
            <w:r/>
          </w:p>
        </w:tc>
      </w:tr>
    </w:tbl>
    <w:p>
      <w:pPr>
        <w:pStyle w:val="1344"/>
        <w:spacing w:line="440" w:lineRule="exact"/>
        <w:rPr>
          <w:szCs w:val="21"/>
        </w:rPr>
      </w:pPr>
      <w:r>
        <w:rPr>
          <w:szCs w:val="21"/>
        </w:rPr>
      </w:r>
      <w:r/>
    </w:p>
    <w:p>
      <w:pPr>
        <w:pStyle w:val="1413"/>
        <w:ind w:firstLine="280"/>
      </w:pPr>
      <w:r/>
      <w:r/>
    </w:p>
    <w:p>
      <w:pPr>
        <w:pStyle w:val="1344"/>
        <w:spacing w:line="440" w:lineRule="exact"/>
        <w:rPr>
          <w:szCs w:val="21"/>
        </w:rPr>
      </w:pPr>
      <w:r>
        <w:rPr>
          <w:szCs w:val="21"/>
        </w:rPr>
        <w:t xml:space="preserve">投标人名称（公章）：</w:t>
      </w:r>
      <w:r>
        <w:rPr>
          <w:szCs w:val="21"/>
        </w:rPr>
      </w:r>
      <w:r/>
    </w:p>
    <w:p>
      <w:pPr>
        <w:pStyle w:val="1344"/>
        <w:spacing w:line="440" w:lineRule="exact"/>
        <w:rPr>
          <w:szCs w:val="21"/>
        </w:rPr>
      </w:pPr>
      <w:r>
        <w:rPr>
          <w:szCs w:val="21"/>
        </w:rPr>
        <w:t xml:space="preserve">授权代表（签字）：</w:t>
      </w:r>
      <w:r>
        <w:rPr>
          <w:szCs w:val="21"/>
        </w:rPr>
      </w:r>
      <w:r/>
    </w:p>
    <w:p>
      <w:pPr>
        <w:pStyle w:val="1344"/>
        <w:spacing w:line="440" w:lineRule="exact"/>
        <w:rPr>
          <w:szCs w:val="21"/>
        </w:rPr>
      </w:pPr>
      <w:r>
        <w:rPr>
          <w:szCs w:val="21"/>
        </w:rPr>
        <w:t xml:space="preserve">日期：</w:t>
      </w:r>
      <w:r>
        <w:rPr>
          <w:szCs w:val="21"/>
        </w:rPr>
      </w:r>
      <w:r/>
    </w:p>
    <w:p>
      <w:pPr>
        <w:pStyle w:val="1344"/>
        <w:spacing w:line="440" w:lineRule="exact"/>
        <w:rPr>
          <w:szCs w:val="21"/>
        </w:rPr>
      </w:pPr>
      <w:r>
        <w:rPr>
          <w:szCs w:val="21"/>
        </w:rPr>
      </w:r>
      <w:r/>
    </w:p>
    <w:p>
      <w:pPr>
        <w:pStyle w:val="1344"/>
        <w:spacing w:line="440" w:lineRule="exact"/>
        <w:rPr>
          <w:szCs w:val="21"/>
        </w:rPr>
      </w:pPr>
      <w:r>
        <w:rPr>
          <w:szCs w:val="21"/>
        </w:rPr>
        <w:t xml:space="preserve">注：此表中，投标总价合计应和分项报价表中的总价一致。</w:t>
      </w:r>
      <w:r>
        <w:rPr>
          <w:szCs w:val="21"/>
        </w:rPr>
      </w:r>
      <w:r/>
    </w:p>
    <w:p>
      <w:pPr>
        <w:pStyle w:val="1374"/>
        <w:rPr>
          <w:rFonts w:ascii="Times New Roman"/>
        </w:rPr>
      </w:pPr>
      <w:r>
        <w:rPr>
          <w:rFonts w:ascii="Times New Roman"/>
        </w:rPr>
      </w:r>
      <w:r/>
    </w:p>
    <w:p>
      <w:pPr>
        <w:pStyle w:val="1344"/>
        <w:jc w:val="center"/>
        <w:spacing w:line="440" w:lineRule="exact"/>
        <w:rPr>
          <w:b/>
        </w:rPr>
      </w:pPr>
      <w:r>
        <w:rPr>
          <w:b/>
        </w:rPr>
      </w:r>
      <w:r/>
    </w:p>
    <w:p>
      <w:pPr>
        <w:pStyle w:val="1344"/>
        <w:jc w:val="center"/>
        <w:spacing w:line="440" w:lineRule="exact"/>
        <w:rPr>
          <w:b/>
        </w:rPr>
      </w:pPr>
      <w:r>
        <w:rPr>
          <w:b/>
        </w:rPr>
      </w:r>
      <w:r/>
    </w:p>
    <w:p>
      <w:pPr>
        <w:pStyle w:val="1344"/>
        <w:spacing w:line="440" w:lineRule="exact"/>
        <w:rPr>
          <w:b/>
        </w:rPr>
      </w:pPr>
      <w:r>
        <w:rPr>
          <w:b/>
        </w:rPr>
      </w:r>
      <w:r/>
    </w:p>
    <w:p>
      <w:pPr>
        <w:pStyle w:val="1344"/>
        <w:spacing w:line="440" w:lineRule="exact"/>
        <w:rPr>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411" w:name="_Toc14445"/>
      <w:r>
        <w:rPr>
          <w:b/>
          <w:bCs/>
          <w:sz w:val="24"/>
          <w:szCs w:val="22"/>
        </w:rPr>
      </w:r>
      <w:r/>
    </w:p>
    <w:p>
      <w:pPr>
        <w:pStyle w:val="1344"/>
        <w:spacing w:line="440" w:lineRule="exact"/>
        <w:rPr>
          <w:b/>
          <w:bCs/>
          <w:sz w:val="24"/>
          <w:szCs w:val="22"/>
        </w:rPr>
        <w:outlineLvl w:val="1"/>
      </w:pPr>
      <w:r/>
      <w:bookmarkEnd w:id="411"/>
      <w:r/>
      <w:bookmarkStart w:id="412" w:name="_Toc7726"/>
      <w:r/>
      <w:bookmarkStart w:id="413" w:name="_Toc2903"/>
      <w:r>
        <w:rPr>
          <w:b/>
          <w:bCs/>
          <w:sz w:val="24"/>
          <w:szCs w:val="22"/>
        </w:rPr>
        <w:t xml:space="preserve">附件三 分项报价表</w:t>
      </w:r>
      <w:bookmarkEnd w:id="412"/>
      <w:r/>
      <w:bookmarkEnd w:id="413"/>
      <w:r>
        <w:rPr>
          <w:b/>
          <w:bCs/>
          <w:sz w:val="24"/>
          <w:szCs w:val="22"/>
        </w:rPr>
      </w:r>
      <w:r/>
    </w:p>
    <w:p>
      <w:pPr>
        <w:pStyle w:val="1344"/>
        <w:jc w:val="center"/>
        <w:spacing w:line="440" w:lineRule="exact"/>
        <w:rPr>
          <w:rFonts w:hint="eastAsia"/>
          <w:b/>
          <w:sz w:val="28"/>
          <w:szCs w:val="22"/>
        </w:rPr>
      </w:pPr>
      <w:r/>
      <w:bookmarkStart w:id="414" w:name="_Toc8446"/>
      <w:r>
        <w:rPr>
          <w:b/>
          <w:sz w:val="28"/>
          <w:szCs w:val="22"/>
        </w:rPr>
        <w:t xml:space="preserve">分项报价表</w:t>
      </w:r>
      <w:bookmarkEnd w:id="414"/>
      <w:r>
        <w:rPr>
          <w:rFonts w:hint="eastAsia"/>
          <w:b/>
          <w:sz w:val="28"/>
          <w:szCs w:val="22"/>
        </w:rPr>
      </w:r>
      <w:r/>
    </w:p>
    <w:p>
      <w:pPr>
        <w:pStyle w:val="1359"/>
        <w:ind w:firstLine="0"/>
        <w:rPr>
          <w:sz w:val="21"/>
          <w:szCs w:val="21"/>
        </w:rPr>
      </w:pPr>
      <w:r>
        <w:rPr>
          <w:sz w:val="21"/>
          <w:szCs w:val="21"/>
        </w:rPr>
      </w:r>
      <w:r/>
    </w:p>
    <w:p>
      <w:pPr>
        <w:pStyle w:val="1344"/>
        <w:ind w:firstLine="525"/>
        <w:spacing w:after="156" w:line="440" w:lineRule="exact"/>
        <w:rPr>
          <w:rFonts w:hint="eastAsia" w:ascii="宋体" w:cs="宋体"/>
        </w:rPr>
      </w:pPr>
      <w:r>
        <w:rPr>
          <w:rFonts w:hint="eastAsia" w:ascii="宋体" w:cs="宋体"/>
          <w:szCs w:val="21"/>
        </w:rPr>
        <w:t xml:space="preserve">项目名称：</w:t>
      </w:r>
      <w:r>
        <w:rPr>
          <w:rFonts w:hint="eastAsia" w:ascii="宋体" w:cs="宋体"/>
          <w:szCs w:val="21"/>
          <w:u w:val="single"/>
        </w:rPr>
        <w:t xml:space="preserve">                  </w:t>
      </w:r>
      <w:r>
        <w:rPr>
          <w:rFonts w:hint="eastAsia" w:ascii="宋体" w:cs="宋体"/>
        </w:rPr>
        <w:t xml:space="preserve">招标编号：</w:t>
      </w:r>
      <w:r>
        <w:rPr>
          <w:rFonts w:hint="eastAsia" w:ascii="宋体" w:cs="宋体"/>
          <w:u w:val="single"/>
        </w:rPr>
        <w:t xml:space="preserve">                     </w:t>
      </w:r>
      <w:r>
        <w:rPr>
          <w:rFonts w:hint="eastAsia" w:ascii="宋体" w:cs="宋体"/>
        </w:rPr>
        <w:t xml:space="preserve"> 包号： </w:t>
      </w:r>
      <w:r>
        <w:rPr>
          <w:rFonts w:hint="eastAsia" w:ascii="宋体" w:cs="宋体"/>
          <w:u w:val="single"/>
        </w:rPr>
        <w:t xml:space="preserve">               </w:t>
      </w:r>
      <w:r>
        <w:rPr>
          <w:rFonts w:hint="eastAsia" w:ascii="宋体" w:cs="宋体"/>
        </w:rPr>
        <w:t xml:space="preserve">                  </w:t>
      </w:r>
      <w:r>
        <w:rPr>
          <w:rFonts w:hint="eastAsia" w:ascii="宋体" w:cs="宋体"/>
          <w:u w:val="single"/>
        </w:rPr>
        <w:t xml:space="preserve">  </w:t>
      </w:r>
      <w:r>
        <w:rPr>
          <w:rFonts w:hint="eastAsia" w:ascii="宋体" w:cs="宋体"/>
        </w:rPr>
      </w:r>
      <w:r/>
    </w:p>
    <w:tbl>
      <w:tblPr>
        <w:tblW w:w="4990"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515"/>
        <w:gridCol w:w="1473"/>
        <w:gridCol w:w="1191"/>
        <w:gridCol w:w="762"/>
        <w:gridCol w:w="1295"/>
        <w:gridCol w:w="1582"/>
        <w:gridCol w:w="1590"/>
      </w:tblGrid>
      <w:tr>
        <w:trPr/>
        <w:tc>
          <w:tcPr>
            <w:tcW w:w="426" w:type="dxa"/>
            <w:vAlign w:val="center"/>
            <w:textDirection w:val="lrTb"/>
            <w:noWrap w:val="false"/>
          </w:tcPr>
          <w:p>
            <w:pPr>
              <w:pStyle w:val="1344"/>
              <w:jc w:val="center"/>
              <w:spacing w:line="44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516" w:type="dxa"/>
            <w:vAlign w:val="center"/>
            <w:textDirection w:val="lrTb"/>
            <w:noWrap w:val="false"/>
          </w:tcPr>
          <w:p>
            <w:pPr>
              <w:pStyle w:val="1344"/>
              <w:jc w:val="center"/>
              <w:rPr>
                <w:rFonts w:hint="eastAsia"/>
              </w:rPr>
            </w:pPr>
            <w:r>
              <w:rPr>
                <w:rFonts w:hint="eastAsia"/>
              </w:rPr>
              <w:t xml:space="preserve">名 称</w:t>
            </w:r>
            <w:r>
              <w:rPr>
                <w:rFonts w:hint="eastAsia"/>
              </w:rPr>
            </w:r>
            <w:r/>
          </w:p>
        </w:tc>
        <w:tc>
          <w:tcPr>
            <w:tcW w:w="1474" w:type="dxa"/>
            <w:vAlign w:val="center"/>
            <w:textDirection w:val="lrTb"/>
            <w:noWrap w:val="false"/>
          </w:tcPr>
          <w:p>
            <w:pPr>
              <w:pStyle w:val="1344"/>
              <w:jc w:val="center"/>
              <w:rPr>
                <w:rFonts w:hint="eastAsia"/>
              </w:rPr>
            </w:pPr>
            <w:r>
              <w:rPr>
                <w:rFonts w:hint="eastAsia"/>
              </w:rPr>
              <w:t xml:space="preserve">品牌、型号</w:t>
            </w:r>
            <w:r>
              <w:rPr>
                <w:rFonts w:hint="eastAsia"/>
              </w:rPr>
            </w:r>
            <w:r/>
          </w:p>
        </w:tc>
        <w:tc>
          <w:tcPr>
            <w:tcW w:w="1191" w:type="dxa"/>
            <w:vAlign w:val="center"/>
            <w:textDirection w:val="lrTb"/>
            <w:noWrap w:val="false"/>
          </w:tcPr>
          <w:p>
            <w:pPr>
              <w:pStyle w:val="1344"/>
              <w:jc w:val="center"/>
              <w:rPr>
                <w:rFonts w:hint="eastAsia"/>
              </w:rPr>
            </w:pPr>
            <w:r>
              <w:rPr>
                <w:rFonts w:hint="eastAsia"/>
              </w:rPr>
              <w:t xml:space="preserve">数量</w:t>
            </w:r>
            <w:r>
              <w:rPr>
                <w:rFonts w:hint="eastAsia"/>
              </w:rPr>
            </w:r>
            <w:r/>
          </w:p>
        </w:tc>
        <w:tc>
          <w:tcPr>
            <w:tcW w:w="762" w:type="dxa"/>
            <w:vAlign w:val="center"/>
            <w:textDirection w:val="lrTb"/>
            <w:noWrap w:val="false"/>
          </w:tcPr>
          <w:p>
            <w:pPr>
              <w:pStyle w:val="1344"/>
              <w:jc w:val="center"/>
              <w:rPr>
                <w:rFonts w:hint="eastAsia"/>
              </w:rPr>
            </w:pPr>
            <w:r>
              <w:rPr>
                <w:rFonts w:hint="eastAsia"/>
              </w:rPr>
              <w:t xml:space="preserve">是否进口</w:t>
            </w:r>
            <w:r>
              <w:rPr>
                <w:rFonts w:hint="eastAsia"/>
              </w:rPr>
            </w:r>
            <w:r/>
          </w:p>
        </w:tc>
        <w:tc>
          <w:tcPr>
            <w:tcW w:w="1295" w:type="dxa"/>
            <w:vAlign w:val="center"/>
            <w:textDirection w:val="lrTb"/>
            <w:noWrap w:val="false"/>
          </w:tcPr>
          <w:p>
            <w:pPr>
              <w:pStyle w:val="1344"/>
              <w:jc w:val="center"/>
              <w:rPr>
                <w:rFonts w:hint="eastAsia"/>
              </w:rPr>
            </w:pPr>
            <w:r>
              <w:rPr>
                <w:rFonts w:hint="eastAsia"/>
              </w:rPr>
              <w:t xml:space="preserve">是否定制</w:t>
            </w:r>
            <w:r>
              <w:rPr>
                <w:rFonts w:hint="eastAsia"/>
              </w:rPr>
            </w:r>
            <w:r/>
          </w:p>
        </w:tc>
        <w:tc>
          <w:tcPr>
            <w:tcW w:w="1582" w:type="dxa"/>
            <w:vAlign w:val="center"/>
            <w:textDirection w:val="lrTb"/>
            <w:noWrap w:val="false"/>
          </w:tcPr>
          <w:p>
            <w:pPr>
              <w:pStyle w:val="1344"/>
              <w:jc w:val="center"/>
              <w:rPr>
                <w:rFonts w:hint="eastAsia"/>
              </w:rPr>
            </w:pPr>
            <w:r>
              <w:rPr>
                <w:rFonts w:hint="eastAsia"/>
              </w:rPr>
              <w:t xml:space="preserve">单项金额</w:t>
            </w:r>
            <w:r>
              <w:rPr>
                <w:rFonts w:hint="eastAsia"/>
              </w:rPr>
            </w:r>
            <w:r/>
          </w:p>
        </w:tc>
        <w:tc>
          <w:tcPr>
            <w:tcW w:w="1590" w:type="dxa"/>
            <w:vAlign w:val="center"/>
            <w:textDirection w:val="lrTb"/>
            <w:noWrap w:val="false"/>
          </w:tcPr>
          <w:p>
            <w:pPr>
              <w:pStyle w:val="1344"/>
              <w:jc w:val="center"/>
              <w:rPr>
                <w:rFonts w:hint="eastAsia"/>
              </w:rPr>
            </w:pPr>
            <w:r>
              <w:rPr>
                <w:rFonts w:hint="eastAsia"/>
              </w:rPr>
              <w:t xml:space="preserve">总价金额</w:t>
            </w:r>
            <w:r>
              <w:rPr>
                <w:rFonts w:hint="eastAsia"/>
              </w:rPr>
            </w:r>
            <w:r/>
          </w:p>
        </w:tc>
      </w:tr>
      <w:tr>
        <w:trPr/>
        <w:tc>
          <w:tcPr>
            <w:tcW w:w="426" w:type="dxa"/>
            <w:vAlign w:val="top"/>
            <w:textDirection w:val="lrTb"/>
            <w:noWrap w:val="false"/>
          </w:tcPr>
          <w:p>
            <w:pPr>
              <w:pStyle w:val="1344"/>
              <w:jc w:val="center"/>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516" w:type="dxa"/>
            <w:vAlign w:val="top"/>
            <w:textDirection w:val="lrTb"/>
            <w:noWrap w:val="false"/>
          </w:tcPr>
          <w:p>
            <w:pPr>
              <w:pStyle w:val="1344"/>
              <w:spacing w:line="440" w:lineRule="exact"/>
              <w:rPr>
                <w:rFonts w:hint="eastAsia" w:ascii="宋体" w:hAnsi="宋体" w:cs="宋体"/>
                <w:szCs w:val="21"/>
              </w:rPr>
            </w:pPr>
            <w:r>
              <w:rPr>
                <w:rFonts w:hint="eastAsia" w:ascii="宋体" w:hAnsi="宋体" w:cs="宋体"/>
                <w:szCs w:val="21"/>
              </w:rPr>
            </w:r>
            <w:r/>
          </w:p>
        </w:tc>
        <w:tc>
          <w:tcPr>
            <w:tcW w:w="1474" w:type="dxa"/>
            <w:vAlign w:val="center"/>
            <w:textDirection w:val="lrTb"/>
            <w:noWrap w:val="false"/>
          </w:tcPr>
          <w:p>
            <w:pPr>
              <w:pStyle w:val="1344"/>
              <w:jc w:val="center"/>
              <w:rPr>
                <w:rFonts w:hint="eastAsia" w:ascii="宋体" w:hAnsi="宋体" w:cs="宋体"/>
              </w:rPr>
            </w:pPr>
            <w:r>
              <w:rPr>
                <w:rFonts w:hint="eastAsia" w:ascii="宋体" w:hAnsi="宋体" w:cs="宋体"/>
              </w:rPr>
            </w:r>
            <w:r/>
          </w:p>
        </w:tc>
        <w:tc>
          <w:tcPr>
            <w:tcW w:w="1191" w:type="dxa"/>
            <w:vAlign w:val="top"/>
            <w:textDirection w:val="lrTb"/>
            <w:noWrap w:val="false"/>
          </w:tcPr>
          <w:p>
            <w:pPr>
              <w:pStyle w:val="1344"/>
              <w:spacing w:line="440" w:lineRule="exact"/>
              <w:rPr>
                <w:rFonts w:hint="eastAsia" w:ascii="宋体" w:hAnsi="宋体" w:cs="宋体"/>
                <w:szCs w:val="21"/>
              </w:rPr>
            </w:pPr>
            <w:r>
              <w:rPr>
                <w:rFonts w:hint="eastAsia" w:ascii="宋体" w:hAnsi="宋体" w:cs="宋体"/>
                <w:szCs w:val="21"/>
              </w:rPr>
            </w:r>
            <w:r/>
          </w:p>
        </w:tc>
        <w:tc>
          <w:tcPr>
            <w:tcW w:w="762" w:type="dxa"/>
            <w:vAlign w:val="top"/>
            <w:textDirection w:val="lrTb"/>
            <w:noWrap w:val="false"/>
          </w:tcPr>
          <w:p>
            <w:pPr>
              <w:pStyle w:val="1344"/>
              <w:spacing w:line="440" w:lineRule="exact"/>
              <w:rPr>
                <w:rFonts w:hint="eastAsia" w:ascii="宋体" w:hAnsi="宋体" w:cs="宋体"/>
                <w:szCs w:val="21"/>
              </w:rPr>
            </w:pPr>
            <w:r>
              <w:rPr>
                <w:rFonts w:hint="eastAsia" w:ascii="宋体" w:hAnsi="宋体" w:cs="宋体"/>
                <w:szCs w:val="21"/>
              </w:rPr>
            </w:r>
            <w:r/>
          </w:p>
        </w:tc>
        <w:tc>
          <w:tcPr>
            <w:tcW w:w="1295" w:type="dxa"/>
            <w:vAlign w:val="top"/>
            <w:textDirection w:val="lrTb"/>
            <w:noWrap w:val="false"/>
          </w:tcPr>
          <w:p>
            <w:pPr>
              <w:pStyle w:val="1344"/>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344"/>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344"/>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344"/>
              <w:jc w:val="center"/>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516" w:type="dxa"/>
            <w:vAlign w:val="top"/>
            <w:textDirection w:val="lrTb"/>
            <w:noWrap w:val="false"/>
          </w:tcPr>
          <w:p>
            <w:pPr>
              <w:pStyle w:val="1344"/>
              <w:spacing w:line="440" w:lineRule="exact"/>
              <w:rPr>
                <w:rFonts w:hint="eastAsia" w:ascii="宋体" w:hAnsi="宋体" w:cs="宋体"/>
                <w:szCs w:val="21"/>
              </w:rPr>
            </w:pPr>
            <w:r>
              <w:rPr>
                <w:rFonts w:hint="eastAsia" w:ascii="宋体" w:hAnsi="宋体" w:cs="宋体"/>
                <w:szCs w:val="21"/>
              </w:rPr>
            </w:r>
            <w:r/>
          </w:p>
        </w:tc>
        <w:tc>
          <w:tcPr>
            <w:tcW w:w="1474" w:type="dxa"/>
            <w:vAlign w:val="center"/>
            <w:textDirection w:val="lrTb"/>
            <w:noWrap w:val="false"/>
          </w:tcPr>
          <w:p>
            <w:pPr>
              <w:pStyle w:val="1344"/>
              <w:jc w:val="center"/>
              <w:rPr>
                <w:rFonts w:hint="eastAsia" w:ascii="宋体" w:hAnsi="宋体" w:cs="宋体"/>
              </w:rPr>
            </w:pPr>
            <w:r>
              <w:rPr>
                <w:rFonts w:hint="eastAsia" w:ascii="宋体" w:hAnsi="宋体" w:cs="宋体"/>
              </w:rPr>
            </w:r>
            <w:r/>
          </w:p>
        </w:tc>
        <w:tc>
          <w:tcPr>
            <w:tcW w:w="1191" w:type="dxa"/>
            <w:vAlign w:val="top"/>
            <w:textDirection w:val="lrTb"/>
            <w:noWrap w:val="false"/>
          </w:tcPr>
          <w:p>
            <w:pPr>
              <w:pStyle w:val="1344"/>
              <w:spacing w:line="440" w:lineRule="exact"/>
              <w:rPr>
                <w:rFonts w:hint="eastAsia" w:ascii="宋体" w:hAnsi="宋体" w:cs="宋体"/>
                <w:szCs w:val="21"/>
              </w:rPr>
            </w:pPr>
            <w:r>
              <w:rPr>
                <w:rFonts w:hint="eastAsia" w:ascii="宋体" w:hAnsi="宋体" w:cs="宋体"/>
                <w:szCs w:val="21"/>
              </w:rPr>
            </w:r>
            <w:r/>
          </w:p>
        </w:tc>
        <w:tc>
          <w:tcPr>
            <w:tcW w:w="762" w:type="dxa"/>
            <w:vAlign w:val="top"/>
            <w:textDirection w:val="lrTb"/>
            <w:noWrap w:val="false"/>
          </w:tcPr>
          <w:p>
            <w:pPr>
              <w:pStyle w:val="1344"/>
              <w:spacing w:line="440" w:lineRule="exact"/>
              <w:rPr>
                <w:rFonts w:hint="eastAsia" w:ascii="宋体" w:hAnsi="宋体" w:cs="宋体"/>
                <w:szCs w:val="21"/>
              </w:rPr>
            </w:pPr>
            <w:r>
              <w:rPr>
                <w:rFonts w:hint="eastAsia" w:ascii="宋体" w:hAnsi="宋体" w:cs="宋体"/>
                <w:szCs w:val="21"/>
              </w:rPr>
            </w:r>
            <w:r/>
          </w:p>
        </w:tc>
        <w:tc>
          <w:tcPr>
            <w:tcW w:w="1295" w:type="dxa"/>
            <w:vAlign w:val="top"/>
            <w:textDirection w:val="lrTb"/>
            <w:noWrap w:val="false"/>
          </w:tcPr>
          <w:p>
            <w:pPr>
              <w:pStyle w:val="1344"/>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344"/>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344"/>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344"/>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516" w:type="dxa"/>
            <w:vAlign w:val="top"/>
            <w:textDirection w:val="lrTb"/>
            <w:noWrap w:val="false"/>
          </w:tcPr>
          <w:p>
            <w:pPr>
              <w:pStyle w:val="1344"/>
              <w:ind w:left="-827" w:firstLine="827"/>
              <w:spacing w:line="440" w:lineRule="exact"/>
              <w:rPr>
                <w:rFonts w:hint="eastAsia" w:ascii="宋体" w:hAnsi="宋体" w:cs="宋体"/>
                <w:szCs w:val="21"/>
              </w:rPr>
            </w:pPr>
            <w:r>
              <w:rPr>
                <w:rFonts w:hint="eastAsia" w:ascii="宋体" w:hAnsi="宋体" w:cs="宋体"/>
                <w:szCs w:val="21"/>
              </w:rPr>
            </w:r>
            <w:r/>
          </w:p>
        </w:tc>
        <w:tc>
          <w:tcPr>
            <w:tcW w:w="1474" w:type="dxa"/>
            <w:vAlign w:val="top"/>
            <w:textDirection w:val="lrTb"/>
            <w:noWrap w:val="false"/>
          </w:tcPr>
          <w:p>
            <w:pPr>
              <w:pStyle w:val="1344"/>
              <w:spacing w:line="440" w:lineRule="exact"/>
              <w:rPr>
                <w:rFonts w:hint="eastAsia" w:ascii="宋体" w:hAnsi="宋体" w:cs="宋体"/>
                <w:szCs w:val="21"/>
              </w:rPr>
            </w:pPr>
            <w:r>
              <w:rPr>
                <w:rFonts w:hint="eastAsia" w:ascii="宋体" w:hAnsi="宋体" w:cs="宋体"/>
                <w:szCs w:val="21"/>
              </w:rPr>
            </w:r>
            <w:r/>
          </w:p>
        </w:tc>
        <w:tc>
          <w:tcPr>
            <w:tcW w:w="1191" w:type="dxa"/>
            <w:vAlign w:val="top"/>
            <w:textDirection w:val="lrTb"/>
            <w:noWrap w:val="false"/>
          </w:tcPr>
          <w:p>
            <w:pPr>
              <w:pStyle w:val="1344"/>
              <w:spacing w:line="440" w:lineRule="exact"/>
              <w:rPr>
                <w:rFonts w:hint="eastAsia" w:ascii="宋体" w:hAnsi="宋体" w:cs="宋体"/>
                <w:szCs w:val="21"/>
              </w:rPr>
            </w:pPr>
            <w:r>
              <w:rPr>
                <w:rFonts w:hint="eastAsia" w:ascii="宋体" w:hAnsi="宋体" w:cs="宋体"/>
                <w:szCs w:val="21"/>
              </w:rPr>
            </w:r>
            <w:r/>
          </w:p>
        </w:tc>
        <w:tc>
          <w:tcPr>
            <w:tcW w:w="762" w:type="dxa"/>
            <w:vAlign w:val="top"/>
            <w:textDirection w:val="lrTb"/>
            <w:noWrap w:val="false"/>
          </w:tcPr>
          <w:p>
            <w:pPr>
              <w:pStyle w:val="1344"/>
              <w:spacing w:line="440" w:lineRule="exact"/>
              <w:rPr>
                <w:rFonts w:hint="eastAsia" w:ascii="宋体" w:hAnsi="宋体" w:cs="宋体"/>
                <w:szCs w:val="21"/>
              </w:rPr>
            </w:pPr>
            <w:r>
              <w:rPr>
                <w:rFonts w:hint="eastAsia" w:ascii="宋体" w:hAnsi="宋体" w:cs="宋体"/>
                <w:szCs w:val="21"/>
              </w:rPr>
            </w:r>
            <w:r/>
          </w:p>
        </w:tc>
        <w:tc>
          <w:tcPr>
            <w:tcW w:w="1295" w:type="dxa"/>
            <w:vAlign w:val="top"/>
            <w:textDirection w:val="lrTb"/>
            <w:noWrap w:val="false"/>
          </w:tcPr>
          <w:p>
            <w:pPr>
              <w:pStyle w:val="1344"/>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344"/>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344"/>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344"/>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516" w:type="dxa"/>
            <w:vAlign w:val="top"/>
            <w:textDirection w:val="lrTb"/>
            <w:noWrap w:val="false"/>
          </w:tcPr>
          <w:p>
            <w:pPr>
              <w:pStyle w:val="1344"/>
              <w:spacing w:line="440" w:lineRule="exact"/>
              <w:rPr>
                <w:rFonts w:hint="eastAsia" w:ascii="宋体" w:hAnsi="宋体" w:cs="宋体"/>
                <w:szCs w:val="21"/>
              </w:rPr>
            </w:pPr>
            <w:r>
              <w:rPr>
                <w:rFonts w:hint="eastAsia" w:ascii="宋体" w:hAnsi="宋体" w:cs="宋体"/>
                <w:szCs w:val="21"/>
              </w:rPr>
            </w:r>
            <w:r/>
          </w:p>
        </w:tc>
        <w:tc>
          <w:tcPr>
            <w:tcW w:w="1474" w:type="dxa"/>
            <w:vAlign w:val="top"/>
            <w:textDirection w:val="lrTb"/>
            <w:noWrap w:val="false"/>
          </w:tcPr>
          <w:p>
            <w:pPr>
              <w:pStyle w:val="1344"/>
              <w:spacing w:line="440" w:lineRule="exact"/>
              <w:rPr>
                <w:rFonts w:hint="eastAsia" w:ascii="宋体" w:hAnsi="宋体" w:cs="宋体"/>
                <w:szCs w:val="21"/>
              </w:rPr>
            </w:pPr>
            <w:r>
              <w:rPr>
                <w:rFonts w:hint="eastAsia" w:ascii="宋体" w:hAnsi="宋体" w:cs="宋体"/>
                <w:szCs w:val="21"/>
              </w:rPr>
            </w:r>
            <w:r/>
          </w:p>
        </w:tc>
        <w:tc>
          <w:tcPr>
            <w:tcW w:w="1191" w:type="dxa"/>
            <w:vAlign w:val="top"/>
            <w:textDirection w:val="lrTb"/>
            <w:noWrap w:val="false"/>
          </w:tcPr>
          <w:p>
            <w:pPr>
              <w:pStyle w:val="1344"/>
              <w:spacing w:line="440" w:lineRule="exact"/>
              <w:rPr>
                <w:rFonts w:hint="eastAsia" w:ascii="宋体" w:hAnsi="宋体" w:cs="宋体"/>
                <w:szCs w:val="21"/>
              </w:rPr>
            </w:pPr>
            <w:r>
              <w:rPr>
                <w:rFonts w:hint="eastAsia" w:ascii="宋体" w:hAnsi="宋体" w:cs="宋体"/>
                <w:szCs w:val="21"/>
              </w:rPr>
            </w:r>
            <w:r/>
          </w:p>
        </w:tc>
        <w:tc>
          <w:tcPr>
            <w:tcW w:w="762" w:type="dxa"/>
            <w:vAlign w:val="top"/>
            <w:textDirection w:val="lrTb"/>
            <w:noWrap w:val="false"/>
          </w:tcPr>
          <w:p>
            <w:pPr>
              <w:pStyle w:val="1344"/>
              <w:spacing w:line="440" w:lineRule="exact"/>
              <w:rPr>
                <w:rFonts w:hint="eastAsia" w:ascii="宋体" w:hAnsi="宋体" w:cs="宋体"/>
                <w:szCs w:val="21"/>
              </w:rPr>
            </w:pPr>
            <w:r>
              <w:rPr>
                <w:rFonts w:hint="eastAsia" w:ascii="宋体" w:hAnsi="宋体" w:cs="宋体"/>
                <w:szCs w:val="21"/>
              </w:rPr>
            </w:r>
            <w:r/>
          </w:p>
        </w:tc>
        <w:tc>
          <w:tcPr>
            <w:tcW w:w="1295" w:type="dxa"/>
            <w:vAlign w:val="top"/>
            <w:textDirection w:val="lrTb"/>
            <w:noWrap w:val="false"/>
          </w:tcPr>
          <w:p>
            <w:pPr>
              <w:pStyle w:val="1344"/>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344"/>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344"/>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344"/>
              <w:jc w:val="center"/>
              <w:spacing w:line="44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516" w:type="dxa"/>
            <w:vAlign w:val="top"/>
            <w:textDirection w:val="lrTb"/>
            <w:noWrap w:val="false"/>
          </w:tcPr>
          <w:p>
            <w:pPr>
              <w:pStyle w:val="1344"/>
              <w:spacing w:line="440" w:lineRule="exact"/>
              <w:rPr>
                <w:rFonts w:hint="eastAsia" w:ascii="宋体" w:hAnsi="宋体" w:cs="宋体"/>
                <w:szCs w:val="21"/>
              </w:rPr>
            </w:pPr>
            <w:r>
              <w:rPr>
                <w:rFonts w:hint="eastAsia" w:ascii="宋体" w:hAnsi="宋体" w:cs="宋体"/>
                <w:szCs w:val="21"/>
              </w:rPr>
            </w:r>
            <w:r/>
          </w:p>
        </w:tc>
        <w:tc>
          <w:tcPr>
            <w:tcW w:w="1474" w:type="dxa"/>
            <w:vAlign w:val="top"/>
            <w:textDirection w:val="lrTb"/>
            <w:noWrap w:val="false"/>
          </w:tcPr>
          <w:p>
            <w:pPr>
              <w:pStyle w:val="1344"/>
              <w:spacing w:line="440" w:lineRule="exact"/>
              <w:rPr>
                <w:rFonts w:hint="eastAsia" w:ascii="宋体" w:hAnsi="宋体" w:cs="宋体"/>
                <w:szCs w:val="21"/>
              </w:rPr>
            </w:pPr>
            <w:r>
              <w:rPr>
                <w:rFonts w:hint="eastAsia" w:ascii="宋体" w:hAnsi="宋体" w:cs="宋体"/>
                <w:szCs w:val="21"/>
              </w:rPr>
            </w:r>
            <w:r/>
          </w:p>
        </w:tc>
        <w:tc>
          <w:tcPr>
            <w:tcW w:w="1191" w:type="dxa"/>
            <w:vAlign w:val="top"/>
            <w:textDirection w:val="lrTb"/>
            <w:noWrap w:val="false"/>
          </w:tcPr>
          <w:p>
            <w:pPr>
              <w:pStyle w:val="1344"/>
              <w:spacing w:line="440" w:lineRule="exact"/>
              <w:rPr>
                <w:rFonts w:hint="eastAsia" w:ascii="宋体" w:hAnsi="宋体" w:cs="宋体"/>
                <w:szCs w:val="21"/>
              </w:rPr>
            </w:pPr>
            <w:r>
              <w:rPr>
                <w:rFonts w:hint="eastAsia" w:ascii="宋体" w:hAnsi="宋体" w:cs="宋体"/>
                <w:szCs w:val="21"/>
              </w:rPr>
            </w:r>
            <w:r/>
          </w:p>
        </w:tc>
        <w:tc>
          <w:tcPr>
            <w:tcW w:w="762" w:type="dxa"/>
            <w:vAlign w:val="top"/>
            <w:textDirection w:val="lrTb"/>
            <w:noWrap w:val="false"/>
          </w:tcPr>
          <w:p>
            <w:pPr>
              <w:pStyle w:val="1344"/>
              <w:spacing w:line="440" w:lineRule="exact"/>
              <w:rPr>
                <w:rFonts w:hint="eastAsia" w:ascii="宋体" w:hAnsi="宋体" w:cs="宋体"/>
                <w:szCs w:val="21"/>
              </w:rPr>
            </w:pPr>
            <w:r>
              <w:rPr>
                <w:rFonts w:hint="eastAsia" w:ascii="宋体" w:hAnsi="宋体" w:cs="宋体"/>
                <w:szCs w:val="21"/>
              </w:rPr>
            </w:r>
            <w:r/>
          </w:p>
        </w:tc>
        <w:tc>
          <w:tcPr>
            <w:tcW w:w="1295" w:type="dxa"/>
            <w:vAlign w:val="top"/>
            <w:textDirection w:val="lrTb"/>
            <w:noWrap w:val="false"/>
          </w:tcPr>
          <w:p>
            <w:pPr>
              <w:pStyle w:val="1344"/>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344"/>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344"/>
              <w:spacing w:line="440" w:lineRule="exact"/>
              <w:rPr>
                <w:rFonts w:hint="eastAsia" w:ascii="宋体" w:hAnsi="宋体" w:cs="宋体"/>
                <w:szCs w:val="21"/>
              </w:rPr>
            </w:pPr>
            <w:r>
              <w:rPr>
                <w:rFonts w:hint="eastAsia" w:ascii="宋体" w:hAnsi="宋体" w:cs="宋体"/>
                <w:szCs w:val="21"/>
              </w:rPr>
            </w:r>
            <w:r/>
          </w:p>
        </w:tc>
      </w:tr>
      <w:tr>
        <w:trPr/>
        <w:tc>
          <w:tcPr>
            <w:tcW w:w="426" w:type="dxa"/>
            <w:vAlign w:val="top"/>
            <w:textDirection w:val="lrTb"/>
            <w:noWrap w:val="false"/>
          </w:tcPr>
          <w:p>
            <w:pPr>
              <w:pStyle w:val="1344"/>
              <w:jc w:val="center"/>
              <w:spacing w:line="44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516" w:type="dxa"/>
            <w:vAlign w:val="top"/>
            <w:textDirection w:val="lrTb"/>
            <w:noWrap w:val="false"/>
          </w:tcPr>
          <w:p>
            <w:pPr>
              <w:pStyle w:val="1344"/>
              <w:spacing w:line="440" w:lineRule="exact"/>
              <w:rPr>
                <w:rFonts w:hint="eastAsia" w:ascii="宋体" w:hAnsi="宋体" w:cs="宋体"/>
                <w:szCs w:val="21"/>
              </w:rPr>
            </w:pPr>
            <w:r>
              <w:rPr>
                <w:rFonts w:hint="eastAsia" w:ascii="宋体" w:hAnsi="宋体" w:cs="宋体"/>
                <w:szCs w:val="21"/>
              </w:rPr>
            </w:r>
            <w:r/>
          </w:p>
        </w:tc>
        <w:tc>
          <w:tcPr>
            <w:tcW w:w="1474" w:type="dxa"/>
            <w:vAlign w:val="top"/>
            <w:textDirection w:val="lrTb"/>
            <w:noWrap w:val="false"/>
          </w:tcPr>
          <w:p>
            <w:pPr>
              <w:pStyle w:val="1344"/>
              <w:spacing w:line="440" w:lineRule="exact"/>
              <w:rPr>
                <w:rFonts w:hint="eastAsia" w:ascii="宋体" w:hAnsi="宋体" w:cs="宋体"/>
                <w:szCs w:val="21"/>
              </w:rPr>
            </w:pPr>
            <w:r>
              <w:rPr>
                <w:rFonts w:hint="eastAsia" w:ascii="宋体" w:hAnsi="宋体" w:cs="宋体"/>
                <w:szCs w:val="21"/>
              </w:rPr>
            </w:r>
            <w:r/>
          </w:p>
        </w:tc>
        <w:tc>
          <w:tcPr>
            <w:tcW w:w="1191" w:type="dxa"/>
            <w:vAlign w:val="top"/>
            <w:textDirection w:val="lrTb"/>
            <w:noWrap w:val="false"/>
          </w:tcPr>
          <w:p>
            <w:pPr>
              <w:pStyle w:val="1344"/>
              <w:spacing w:line="440" w:lineRule="exact"/>
              <w:rPr>
                <w:rFonts w:hint="eastAsia" w:ascii="宋体" w:hAnsi="宋体" w:cs="宋体"/>
                <w:szCs w:val="21"/>
              </w:rPr>
            </w:pPr>
            <w:r>
              <w:rPr>
                <w:rFonts w:hint="eastAsia" w:ascii="宋体" w:hAnsi="宋体" w:cs="宋体"/>
                <w:szCs w:val="21"/>
              </w:rPr>
            </w:r>
            <w:r/>
          </w:p>
        </w:tc>
        <w:tc>
          <w:tcPr>
            <w:tcW w:w="762" w:type="dxa"/>
            <w:vAlign w:val="top"/>
            <w:textDirection w:val="lrTb"/>
            <w:noWrap w:val="false"/>
          </w:tcPr>
          <w:p>
            <w:pPr>
              <w:pStyle w:val="1344"/>
              <w:spacing w:line="440" w:lineRule="exact"/>
              <w:rPr>
                <w:rFonts w:hint="eastAsia" w:ascii="宋体" w:hAnsi="宋体" w:cs="宋体"/>
                <w:szCs w:val="21"/>
              </w:rPr>
            </w:pPr>
            <w:r>
              <w:rPr>
                <w:rFonts w:hint="eastAsia" w:ascii="宋体" w:hAnsi="宋体" w:cs="宋体"/>
                <w:szCs w:val="21"/>
              </w:rPr>
            </w:r>
            <w:r/>
          </w:p>
        </w:tc>
        <w:tc>
          <w:tcPr>
            <w:tcW w:w="1295" w:type="dxa"/>
            <w:vAlign w:val="top"/>
            <w:textDirection w:val="lrTb"/>
            <w:noWrap w:val="false"/>
          </w:tcPr>
          <w:p>
            <w:pPr>
              <w:pStyle w:val="1344"/>
              <w:spacing w:line="440" w:lineRule="exact"/>
              <w:rPr>
                <w:rFonts w:hint="eastAsia" w:ascii="宋体" w:hAnsi="宋体" w:cs="宋体"/>
                <w:szCs w:val="21"/>
              </w:rPr>
            </w:pPr>
            <w:r>
              <w:rPr>
                <w:rFonts w:hint="eastAsia" w:ascii="宋体" w:hAnsi="宋体" w:cs="宋体"/>
                <w:szCs w:val="21"/>
              </w:rPr>
            </w:r>
            <w:r/>
          </w:p>
        </w:tc>
        <w:tc>
          <w:tcPr>
            <w:tcW w:w="1582" w:type="dxa"/>
            <w:vAlign w:val="top"/>
            <w:textDirection w:val="lrTb"/>
            <w:noWrap w:val="false"/>
          </w:tcPr>
          <w:p>
            <w:pPr>
              <w:pStyle w:val="1344"/>
              <w:spacing w:line="440" w:lineRule="exact"/>
              <w:rPr>
                <w:rFonts w:hint="eastAsia" w:ascii="宋体" w:hAnsi="宋体" w:cs="宋体"/>
                <w:szCs w:val="21"/>
              </w:rPr>
            </w:pPr>
            <w:r>
              <w:rPr>
                <w:rFonts w:hint="eastAsia" w:ascii="宋体" w:hAnsi="宋体" w:cs="宋体"/>
                <w:szCs w:val="21"/>
              </w:rPr>
            </w:r>
            <w:r/>
          </w:p>
        </w:tc>
        <w:tc>
          <w:tcPr>
            <w:tcW w:w="1590" w:type="dxa"/>
            <w:vAlign w:val="top"/>
            <w:textDirection w:val="lrTb"/>
            <w:noWrap w:val="false"/>
          </w:tcPr>
          <w:p>
            <w:pPr>
              <w:pStyle w:val="1344"/>
              <w:spacing w:line="440" w:lineRule="exact"/>
              <w:rPr>
                <w:rFonts w:hint="eastAsia" w:ascii="宋体" w:hAnsi="宋体" w:cs="宋体"/>
                <w:szCs w:val="21"/>
              </w:rPr>
            </w:pPr>
            <w:r>
              <w:rPr>
                <w:rFonts w:hint="eastAsia" w:ascii="宋体" w:hAnsi="宋体" w:cs="宋体"/>
                <w:szCs w:val="21"/>
              </w:rPr>
            </w:r>
            <w:r/>
          </w:p>
        </w:tc>
      </w:tr>
      <w:tr>
        <w:trPr/>
        <w:tc>
          <w:tcPr>
            <w:gridSpan w:val="3"/>
            <w:tcW w:w="3416" w:type="dxa"/>
            <w:vAlign w:val="top"/>
            <w:textDirection w:val="lrTb"/>
            <w:noWrap w:val="false"/>
          </w:tcPr>
          <w:p>
            <w:pPr>
              <w:pStyle w:val="1344"/>
              <w:jc w:val="center"/>
              <w:spacing w:line="440" w:lineRule="exact"/>
              <w:rPr>
                <w:rFonts w:hint="eastAsia" w:ascii="宋体" w:hAnsi="宋体" w:cs="宋体"/>
                <w:szCs w:val="21"/>
              </w:rPr>
            </w:pPr>
            <w:r>
              <w:rPr>
                <w:rFonts w:hint="eastAsia" w:ascii="宋体" w:hAnsi="宋体" w:cs="宋体"/>
                <w:szCs w:val="21"/>
              </w:rPr>
              <w:t xml:space="preserve">投标总价合计：</w:t>
            </w:r>
            <w:r>
              <w:rPr>
                <w:rFonts w:hint="eastAsia" w:ascii="宋体" w:hAnsi="宋体" w:cs="宋体"/>
                <w:szCs w:val="21"/>
              </w:rPr>
            </w:r>
            <w:r/>
          </w:p>
        </w:tc>
        <w:tc>
          <w:tcPr>
            <w:gridSpan w:val="5"/>
            <w:tcW w:w="6420" w:type="dxa"/>
            <w:vAlign w:val="top"/>
            <w:textDirection w:val="lrTb"/>
            <w:noWrap w:val="false"/>
          </w:tcPr>
          <w:p>
            <w:pPr>
              <w:pStyle w:val="1344"/>
              <w:spacing w:line="440" w:lineRule="exact"/>
              <w:rPr>
                <w:rFonts w:hint="eastAsia" w:ascii="宋体" w:hAnsi="宋体" w:cs="宋体"/>
                <w:szCs w:val="21"/>
              </w:rPr>
            </w:pPr>
            <w:r>
              <w:rPr>
                <w:rFonts w:hint="eastAsia" w:ascii="宋体" w:hAnsi="宋体" w:cs="宋体"/>
                <w:szCs w:val="21"/>
              </w:rPr>
            </w:r>
            <w:r/>
          </w:p>
        </w:tc>
      </w:tr>
    </w:tbl>
    <w:p>
      <w:pPr>
        <w:pStyle w:val="1344"/>
        <w:spacing w:line="440" w:lineRule="exact"/>
        <w:rPr>
          <w:rFonts w:hint="eastAsia" w:ascii="宋体" w:cs="宋体"/>
          <w:szCs w:val="21"/>
        </w:rPr>
      </w:pPr>
      <w:r>
        <w:rPr>
          <w:rFonts w:hint="eastAsia" w:ascii="宋体" w:cs="宋体"/>
          <w:szCs w:val="21"/>
        </w:rPr>
      </w:r>
      <w:r/>
    </w:p>
    <w:p>
      <w:pPr>
        <w:pStyle w:val="1344"/>
        <w:spacing w:line="440" w:lineRule="exact"/>
        <w:rPr>
          <w:rFonts w:hint="eastAsia" w:ascii="宋体" w:cs="宋体"/>
          <w:szCs w:val="21"/>
        </w:rPr>
      </w:pPr>
      <w:r>
        <w:rPr>
          <w:rFonts w:hint="eastAsia" w:ascii="宋体" w:cs="宋体"/>
          <w:szCs w:val="21"/>
        </w:rPr>
        <w:t xml:space="preserve">供应商名称（公章）：</w:t>
      </w:r>
      <w:r>
        <w:rPr>
          <w:rFonts w:hint="eastAsia" w:ascii="宋体" w:cs="宋体"/>
          <w:szCs w:val="21"/>
        </w:rPr>
      </w:r>
      <w:r/>
    </w:p>
    <w:p>
      <w:pPr>
        <w:pStyle w:val="1344"/>
        <w:spacing w:line="440" w:lineRule="exact"/>
        <w:rPr>
          <w:rFonts w:hint="eastAsia" w:ascii="宋体" w:cs="宋体"/>
          <w:szCs w:val="21"/>
        </w:rPr>
      </w:pPr>
      <w:r>
        <w:rPr>
          <w:rFonts w:hint="eastAsia" w:ascii="宋体" w:cs="宋体"/>
          <w:szCs w:val="21"/>
        </w:rPr>
        <w:t xml:space="preserve">授权代表（签字）：</w:t>
      </w:r>
      <w:r>
        <w:rPr>
          <w:rFonts w:hint="eastAsia" w:ascii="宋体" w:cs="宋体"/>
          <w:szCs w:val="21"/>
        </w:rPr>
      </w:r>
      <w:r/>
    </w:p>
    <w:p>
      <w:pPr>
        <w:pStyle w:val="1344"/>
        <w:spacing w:line="440" w:lineRule="exact"/>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p>
      <w:pPr>
        <w:pStyle w:val="1344"/>
        <w:spacing w:line="440" w:lineRule="exact"/>
        <w:rPr>
          <w:rFonts w:hint="eastAsia" w:ascii="宋体" w:hAnsi="宋体" w:cs="宋体"/>
        </w:rPr>
      </w:pPr>
      <w:r>
        <w:rPr>
          <w:rFonts w:hint="eastAsia" w:ascii="宋体" w:hAnsi="宋体" w:cs="宋体"/>
        </w:rPr>
        <w:t xml:space="preserve">注：1、供应商应根据其所投标的情况，提供详细分项报价。供应商应对上述每项内容列明组成的详细分项价格。</w:t>
      </w:r>
      <w:r>
        <w:rPr>
          <w:rFonts w:hint="eastAsia" w:ascii="宋体" w:hAnsi="宋体" w:cs="宋体"/>
          <w:b/>
          <w:bCs/>
        </w:rPr>
        <w:t xml:space="preserve">具体明细内容可在</w:t>
      </w:r>
      <w:r>
        <w:rPr>
          <w:rFonts w:hint="eastAsia" w:ascii="宋体" w:hAnsi="宋体" w:cs="宋体"/>
          <w:b/>
          <w:bCs/>
          <w:szCs w:val="21"/>
        </w:rPr>
        <w:t xml:space="preserve">投标产品配置清单及技术说明中填列完全。</w:t>
      </w:r>
      <w:r>
        <w:rPr>
          <w:rFonts w:hint="eastAsia" w:ascii="宋体" w:hAnsi="宋体" w:cs="宋体"/>
        </w:rPr>
      </w:r>
      <w:r/>
    </w:p>
    <w:p>
      <w:pPr>
        <w:pStyle w:val="1344"/>
        <w:ind w:firstLine="420"/>
        <w:spacing w:line="440" w:lineRule="exact"/>
        <w:rPr>
          <w:rFonts w:hint="eastAsia" w:ascii="宋体" w:hAnsi="宋体" w:cs="宋体"/>
        </w:rPr>
      </w:pPr>
      <w:r>
        <w:rPr>
          <w:rFonts w:hint="eastAsia" w:ascii="宋体" w:hAnsi="宋体" w:cs="宋体"/>
        </w:rPr>
        <w:t xml:space="preserve">2、如果不提供分项报价将视为没有实质性响应招标文件。</w:t>
      </w:r>
      <w:r>
        <w:rPr>
          <w:rFonts w:hint="eastAsia" w:ascii="宋体" w:hAnsi="宋体" w:cs="宋体"/>
        </w:rPr>
      </w:r>
      <w:r/>
    </w:p>
    <w:p>
      <w:pPr>
        <w:pStyle w:val="1344"/>
        <w:ind w:firstLine="420"/>
        <w:spacing w:line="440" w:lineRule="exact"/>
        <w:rPr>
          <w:rFonts w:hint="eastAsia" w:ascii="宋体" w:hAnsi="宋体" w:cs="宋体"/>
        </w:rPr>
      </w:pPr>
      <w:r>
        <w:rPr>
          <w:rFonts w:hint="eastAsia" w:ascii="宋体" w:hAnsi="宋体" w:cs="宋体"/>
        </w:rPr>
        <w:t xml:space="preserve">3、表中表格行数可自行添加。</w:t>
      </w:r>
      <w:r>
        <w:rPr>
          <w:rFonts w:hint="eastAsia" w:ascii="宋体" w:hAnsi="宋体" w:cs="宋体"/>
        </w:rPr>
      </w:r>
      <w:r/>
    </w:p>
    <w:p>
      <w:pPr>
        <w:pStyle w:val="1344"/>
        <w:spacing w:line="440" w:lineRule="exact"/>
        <w:rPr>
          <w:szCs w:val="21"/>
        </w:rPr>
      </w:pPr>
      <w:r>
        <w:rPr>
          <w:szCs w:val="21"/>
        </w:rPr>
      </w:r>
      <w:r/>
    </w:p>
    <w:p>
      <w:pPr>
        <w:pStyle w:val="1344"/>
        <w:spacing w:line="440" w:lineRule="exact"/>
        <w:rPr>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zCs w:val="21"/>
        </w:rPr>
      </w:r>
      <w:r/>
    </w:p>
    <w:p>
      <w:pPr>
        <w:pStyle w:val="1344"/>
        <w:spacing w:line="440" w:lineRule="exact"/>
        <w:rPr>
          <w:sz w:val="24"/>
        </w:rPr>
      </w:pPr>
      <w:r>
        <w:rPr>
          <w:sz w:val="24"/>
        </w:rPr>
      </w:r>
      <w:r/>
    </w:p>
    <w:p>
      <w:pPr>
        <w:pStyle w:val="1344"/>
        <w:spacing w:after="156" w:line="440" w:lineRule="exact"/>
        <w:rPr>
          <w:b/>
          <w:bCs/>
          <w:sz w:val="24"/>
          <w:szCs w:val="22"/>
        </w:rPr>
        <w:outlineLvl w:val="1"/>
      </w:pPr>
      <w:r/>
      <w:bookmarkStart w:id="415" w:name="_Toc31558"/>
      <w:r/>
      <w:bookmarkStart w:id="416" w:name="_Toc3694"/>
      <w:r/>
      <w:bookmarkStart w:id="417" w:name="_Toc11080"/>
      <w:r>
        <w:rPr>
          <w:b/>
          <w:bCs/>
          <w:sz w:val="24"/>
          <w:szCs w:val="22"/>
        </w:rPr>
        <w:t xml:space="preserve">附件四 商务条款偏离表</w:t>
      </w:r>
      <w:bookmarkEnd w:id="415"/>
      <w:r/>
      <w:bookmarkEnd w:id="416"/>
      <w:r/>
      <w:bookmarkEnd w:id="417"/>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trHeight w:val="642"/>
        </w:trPr>
        <w:tc>
          <w:tcPr>
            <w:tcW w:w="849" w:type="dxa"/>
            <w:vAlign w:val="top"/>
            <w:textDirection w:val="lrTb"/>
            <w:noWrap w:val="false"/>
          </w:tcPr>
          <w:p>
            <w:pPr>
              <w:pStyle w:val="1344"/>
              <w:jc w:val="center"/>
              <w:spacing w:before="156" w:line="440" w:lineRule="exact"/>
              <w:rPr>
                <w:szCs w:val="21"/>
              </w:rPr>
            </w:pPr>
            <w:r>
              <w:rPr>
                <w:szCs w:val="21"/>
              </w:rPr>
              <w:t xml:space="preserve">序号</w:t>
            </w:r>
            <w:r>
              <w:rPr>
                <w:szCs w:val="21"/>
              </w:rPr>
            </w:r>
            <w:r/>
          </w:p>
        </w:tc>
        <w:tc>
          <w:tcPr>
            <w:tcW w:w="3551" w:type="dxa"/>
            <w:vAlign w:val="top"/>
            <w:textDirection w:val="lrTb"/>
            <w:noWrap w:val="false"/>
          </w:tcPr>
          <w:p>
            <w:pPr>
              <w:pStyle w:val="1344"/>
              <w:jc w:val="center"/>
              <w:spacing w:before="156" w:line="440" w:lineRule="exact"/>
              <w:rPr>
                <w:szCs w:val="21"/>
              </w:rPr>
            </w:pPr>
            <w:r>
              <w:rPr>
                <w:szCs w:val="21"/>
              </w:rPr>
              <w:t xml:space="preserve">招标文件的商务条款</w:t>
            </w:r>
            <w:r>
              <w:rPr>
                <w:szCs w:val="21"/>
              </w:rPr>
            </w:r>
            <w:r/>
          </w:p>
        </w:tc>
        <w:tc>
          <w:tcPr>
            <w:tcW w:w="1996" w:type="dxa"/>
            <w:vAlign w:val="top"/>
            <w:textDirection w:val="lrTb"/>
            <w:noWrap w:val="false"/>
          </w:tcPr>
          <w:p>
            <w:pPr>
              <w:pStyle w:val="1344"/>
              <w:jc w:val="center"/>
              <w:spacing w:before="156" w:line="440" w:lineRule="exact"/>
              <w:rPr>
                <w:szCs w:val="21"/>
              </w:rPr>
            </w:pPr>
            <w:r>
              <w:rPr>
                <w:szCs w:val="21"/>
              </w:rPr>
              <w:t xml:space="preserve">投标文件响应</w:t>
            </w:r>
            <w:r>
              <w:rPr>
                <w:szCs w:val="21"/>
              </w:rPr>
            </w:r>
            <w:r/>
          </w:p>
        </w:tc>
        <w:tc>
          <w:tcPr>
            <w:tcW w:w="3454" w:type="dxa"/>
            <w:vAlign w:val="top"/>
            <w:textDirection w:val="lrTb"/>
            <w:noWrap w:val="false"/>
          </w:tcPr>
          <w:p>
            <w:pPr>
              <w:pStyle w:val="1344"/>
              <w:jc w:val="center"/>
              <w:spacing w:before="156" w:line="440" w:lineRule="exact"/>
              <w:rPr>
                <w:szCs w:val="21"/>
              </w:rPr>
            </w:pPr>
            <w:r>
              <w:rPr>
                <w:szCs w:val="21"/>
              </w:rPr>
              <w:t xml:space="preserve">供应商的承诺或说明</w:t>
            </w:r>
            <w:r>
              <w:rPr>
                <w:szCs w:val="21"/>
              </w:rPr>
            </w:r>
            <w:r/>
          </w:p>
        </w:tc>
      </w:tr>
      <w:tr>
        <w:trPr>
          <w:trHeight w:val="469"/>
        </w:trPr>
        <w:tc>
          <w:tcPr>
            <w:tcW w:w="849" w:type="dxa"/>
            <w:vAlign w:val="top"/>
            <w:textDirection w:val="lrTb"/>
            <w:noWrap w:val="false"/>
          </w:tcPr>
          <w:p>
            <w:pPr>
              <w:pStyle w:val="1344"/>
              <w:spacing w:before="156" w:line="440" w:lineRule="exact"/>
              <w:rPr>
                <w:szCs w:val="21"/>
              </w:rPr>
            </w:pPr>
            <w:r>
              <w:rPr>
                <w:szCs w:val="21"/>
              </w:rPr>
            </w:r>
            <w:r/>
          </w:p>
        </w:tc>
        <w:tc>
          <w:tcPr>
            <w:tcW w:w="3551" w:type="dxa"/>
            <w:vAlign w:val="center"/>
            <w:textDirection w:val="lrTb"/>
            <w:noWrap w:val="false"/>
          </w:tcPr>
          <w:p>
            <w:pPr>
              <w:pStyle w:val="1344"/>
              <w:jc w:val="center"/>
              <w:spacing w:before="156" w:line="440" w:lineRule="exact"/>
              <w:rPr>
                <w:rFonts w:ascii="Arial" w:hAnsi="Arial" w:cs="Arial"/>
                <w:szCs w:val="21"/>
              </w:rPr>
            </w:pPr>
            <w:r>
              <w:rPr>
                <w:rFonts w:ascii="Arial" w:hAnsi="Arial" w:cs="Arial"/>
                <w:b/>
                <w:szCs w:val="21"/>
              </w:rPr>
              <w:t xml:space="preserve">合同履行期限</w:t>
            </w:r>
            <w:r>
              <w:rPr>
                <w:rFonts w:ascii="Arial" w:hAnsi="Arial" w:cs="Arial"/>
                <w:szCs w:val="21"/>
              </w:rPr>
            </w:r>
            <w:r/>
          </w:p>
        </w:tc>
        <w:tc>
          <w:tcPr>
            <w:tcW w:w="1996" w:type="dxa"/>
            <w:vAlign w:val="top"/>
            <w:textDirection w:val="lrTb"/>
            <w:noWrap w:val="false"/>
          </w:tcPr>
          <w:p>
            <w:pPr>
              <w:pStyle w:val="1344"/>
              <w:spacing w:before="156" w:line="440" w:lineRule="exact"/>
              <w:rPr>
                <w:szCs w:val="21"/>
              </w:rPr>
            </w:pPr>
            <w:r>
              <w:rPr>
                <w:szCs w:val="21"/>
              </w:rPr>
            </w:r>
            <w:r/>
          </w:p>
        </w:tc>
        <w:tc>
          <w:tcPr>
            <w:tcW w:w="3454" w:type="dxa"/>
            <w:vAlign w:val="top"/>
            <w:textDirection w:val="lrTb"/>
            <w:noWrap w:val="false"/>
          </w:tcPr>
          <w:p>
            <w:pPr>
              <w:pStyle w:val="1344"/>
              <w:spacing w:before="156" w:line="440" w:lineRule="exact"/>
              <w:rPr>
                <w:szCs w:val="21"/>
              </w:rPr>
            </w:pPr>
            <w:r>
              <w:rPr>
                <w:szCs w:val="21"/>
              </w:rPr>
            </w:r>
            <w:r/>
          </w:p>
        </w:tc>
      </w:tr>
      <w:tr>
        <w:trPr>
          <w:trHeight w:val="719"/>
        </w:trPr>
        <w:tc>
          <w:tcPr>
            <w:tcW w:w="849" w:type="dxa"/>
            <w:vAlign w:val="top"/>
            <w:textDirection w:val="lrTb"/>
            <w:noWrap w:val="false"/>
          </w:tcPr>
          <w:p>
            <w:pPr>
              <w:pStyle w:val="1344"/>
              <w:spacing w:before="156" w:line="440" w:lineRule="exact"/>
              <w:rPr>
                <w:szCs w:val="21"/>
              </w:rPr>
            </w:pPr>
            <w:r>
              <w:rPr>
                <w:szCs w:val="21"/>
              </w:rPr>
            </w:r>
            <w:r/>
          </w:p>
        </w:tc>
        <w:tc>
          <w:tcPr>
            <w:tcW w:w="3551" w:type="dxa"/>
            <w:vAlign w:val="center"/>
            <w:textDirection w:val="lrTb"/>
            <w:noWrap w:val="false"/>
          </w:tcPr>
          <w:p>
            <w:pPr>
              <w:pStyle w:val="1344"/>
              <w:jc w:val="center"/>
              <w:spacing w:before="156" w:line="440" w:lineRule="exact"/>
              <w:rPr>
                <w:rFonts w:ascii="Arial" w:hAnsi="Arial" w:cs="Arial"/>
                <w:szCs w:val="21"/>
              </w:rPr>
            </w:pPr>
            <w:r>
              <w:rPr>
                <w:rFonts w:ascii="Arial" w:hAnsi="Arial" w:cs="Arial"/>
                <w:b/>
                <w:bCs/>
                <w:szCs w:val="21"/>
                <w:lang w:bidi="ar"/>
              </w:rPr>
              <w:t xml:space="preserve">付款方式</w:t>
            </w:r>
            <w:r>
              <w:rPr>
                <w:rFonts w:ascii="Arial" w:hAnsi="Arial" w:cs="Arial"/>
                <w:szCs w:val="21"/>
              </w:rPr>
            </w:r>
            <w:r/>
          </w:p>
        </w:tc>
        <w:tc>
          <w:tcPr>
            <w:tcW w:w="1996" w:type="dxa"/>
            <w:vAlign w:val="top"/>
            <w:textDirection w:val="lrTb"/>
            <w:noWrap w:val="false"/>
          </w:tcPr>
          <w:p>
            <w:pPr>
              <w:pStyle w:val="1344"/>
              <w:spacing w:before="156" w:line="440" w:lineRule="exact"/>
              <w:rPr>
                <w:szCs w:val="21"/>
              </w:rPr>
            </w:pPr>
            <w:r>
              <w:rPr>
                <w:szCs w:val="21"/>
              </w:rPr>
            </w:r>
            <w:r/>
          </w:p>
        </w:tc>
        <w:tc>
          <w:tcPr>
            <w:tcW w:w="3454" w:type="dxa"/>
            <w:vAlign w:val="top"/>
            <w:textDirection w:val="lrTb"/>
            <w:noWrap w:val="false"/>
          </w:tcPr>
          <w:p>
            <w:pPr>
              <w:pStyle w:val="1344"/>
              <w:spacing w:before="156" w:line="440" w:lineRule="exact"/>
              <w:rPr>
                <w:szCs w:val="21"/>
              </w:rPr>
            </w:pPr>
            <w:r>
              <w:rPr>
                <w:szCs w:val="21"/>
              </w:rPr>
            </w:r>
            <w:r/>
          </w:p>
        </w:tc>
      </w:tr>
      <w:tr>
        <w:trPr>
          <w:trHeight w:val="540"/>
        </w:trPr>
        <w:tc>
          <w:tcPr>
            <w:tcW w:w="849" w:type="dxa"/>
            <w:vAlign w:val="top"/>
            <w:textDirection w:val="lrTb"/>
            <w:noWrap w:val="false"/>
          </w:tcPr>
          <w:p>
            <w:pPr>
              <w:pStyle w:val="1344"/>
              <w:spacing w:before="156" w:line="440" w:lineRule="exact"/>
              <w:rPr>
                <w:szCs w:val="21"/>
              </w:rPr>
            </w:pPr>
            <w:r>
              <w:rPr>
                <w:szCs w:val="21"/>
              </w:rPr>
            </w:r>
            <w:r/>
          </w:p>
        </w:tc>
        <w:tc>
          <w:tcPr>
            <w:tcW w:w="3551" w:type="dxa"/>
            <w:vAlign w:val="center"/>
            <w:textDirection w:val="lrTb"/>
            <w:noWrap w:val="false"/>
          </w:tcPr>
          <w:p>
            <w:pPr>
              <w:pStyle w:val="1344"/>
              <w:jc w:val="center"/>
              <w:spacing w:before="156" w:line="440" w:lineRule="exact"/>
              <w:rPr>
                <w:rFonts w:ascii="Arial" w:hAnsi="Arial" w:cs="Arial"/>
                <w:szCs w:val="21"/>
              </w:rPr>
            </w:pPr>
            <w:r>
              <w:rPr>
                <w:rFonts w:hint="eastAsia" w:ascii="Arial" w:hAnsi="Arial" w:cs="Arial"/>
                <w:b/>
                <w:bCs/>
                <w:szCs w:val="21"/>
                <w:lang w:bidi="ar"/>
              </w:rPr>
              <w:t xml:space="preserve">售后服务要求</w:t>
            </w:r>
            <w:r>
              <w:rPr>
                <w:rFonts w:ascii="Arial" w:hAnsi="Arial" w:cs="Arial"/>
                <w:szCs w:val="21"/>
              </w:rPr>
            </w:r>
            <w:r/>
          </w:p>
        </w:tc>
        <w:tc>
          <w:tcPr>
            <w:tcW w:w="1996" w:type="dxa"/>
            <w:vAlign w:val="top"/>
            <w:textDirection w:val="lrTb"/>
            <w:noWrap w:val="false"/>
          </w:tcPr>
          <w:p>
            <w:pPr>
              <w:pStyle w:val="1344"/>
              <w:ind w:left="43"/>
              <w:spacing w:before="156" w:line="440" w:lineRule="exact"/>
              <w:rPr>
                <w:szCs w:val="21"/>
              </w:rPr>
            </w:pPr>
            <w:r>
              <w:rPr>
                <w:szCs w:val="21"/>
              </w:rPr>
            </w:r>
            <w:r/>
          </w:p>
        </w:tc>
        <w:tc>
          <w:tcPr>
            <w:tcW w:w="3454" w:type="dxa"/>
            <w:vAlign w:val="top"/>
            <w:textDirection w:val="lrTb"/>
            <w:noWrap w:val="false"/>
          </w:tcPr>
          <w:p>
            <w:pPr>
              <w:pStyle w:val="1344"/>
              <w:ind w:left="43"/>
              <w:spacing w:before="156" w:line="440" w:lineRule="exact"/>
              <w:rPr>
                <w:szCs w:val="21"/>
              </w:rPr>
            </w:pPr>
            <w:r>
              <w:rPr>
                <w:szCs w:val="21"/>
              </w:rPr>
            </w:r>
            <w:r/>
          </w:p>
        </w:tc>
      </w:tr>
      <w:tr>
        <w:trPr>
          <w:trHeight w:val="440"/>
        </w:trPr>
        <w:tc>
          <w:tcPr>
            <w:tcW w:w="849" w:type="dxa"/>
            <w:vAlign w:val="top"/>
            <w:textDirection w:val="lrTb"/>
            <w:noWrap w:val="false"/>
          </w:tcPr>
          <w:p>
            <w:pPr>
              <w:pStyle w:val="1344"/>
              <w:spacing w:before="156" w:line="440" w:lineRule="exact"/>
              <w:rPr>
                <w:szCs w:val="21"/>
              </w:rPr>
            </w:pPr>
            <w:r>
              <w:rPr>
                <w:szCs w:val="21"/>
              </w:rPr>
            </w:r>
            <w:r/>
          </w:p>
        </w:tc>
        <w:tc>
          <w:tcPr>
            <w:tcW w:w="3551" w:type="dxa"/>
            <w:vAlign w:val="top"/>
            <w:textDirection w:val="lrTb"/>
            <w:noWrap w:val="false"/>
          </w:tcPr>
          <w:p>
            <w:pPr>
              <w:pStyle w:val="1344"/>
              <w:jc w:val="center"/>
              <w:spacing w:before="156" w:line="440" w:lineRule="exact"/>
              <w:rPr>
                <w:rFonts w:ascii="Arial" w:hAnsi="Arial" w:cs="Arial"/>
                <w:szCs w:val="21"/>
              </w:rPr>
            </w:pPr>
            <w:r>
              <w:rPr>
                <w:rFonts w:ascii="Arial" w:hAnsi="Arial" w:cs="Arial"/>
                <w:szCs w:val="21"/>
              </w:rPr>
            </w:r>
            <w:r/>
          </w:p>
        </w:tc>
        <w:tc>
          <w:tcPr>
            <w:tcW w:w="1996" w:type="dxa"/>
            <w:vAlign w:val="top"/>
            <w:textDirection w:val="lrTb"/>
            <w:noWrap w:val="false"/>
          </w:tcPr>
          <w:p>
            <w:pPr>
              <w:pStyle w:val="1344"/>
              <w:ind w:left="43"/>
              <w:spacing w:before="156" w:line="440" w:lineRule="exact"/>
              <w:rPr>
                <w:szCs w:val="21"/>
              </w:rPr>
            </w:pPr>
            <w:r>
              <w:rPr>
                <w:szCs w:val="21"/>
              </w:rPr>
            </w:r>
            <w:r/>
          </w:p>
        </w:tc>
        <w:tc>
          <w:tcPr>
            <w:tcW w:w="3454" w:type="dxa"/>
            <w:vAlign w:val="top"/>
            <w:textDirection w:val="lrTb"/>
            <w:noWrap w:val="false"/>
          </w:tcPr>
          <w:p>
            <w:pPr>
              <w:pStyle w:val="1344"/>
              <w:ind w:left="43"/>
              <w:spacing w:before="156" w:line="440" w:lineRule="exact"/>
              <w:rPr>
                <w:szCs w:val="21"/>
              </w:rPr>
            </w:pPr>
            <w:r>
              <w:rPr>
                <w:szCs w:val="21"/>
              </w:rPr>
            </w:r>
            <w:r/>
          </w:p>
        </w:tc>
      </w:tr>
      <w:tr>
        <w:trPr>
          <w:trHeight w:val="460"/>
        </w:trPr>
        <w:tc>
          <w:tcPr>
            <w:tcW w:w="849" w:type="dxa"/>
            <w:vAlign w:val="top"/>
            <w:textDirection w:val="lrTb"/>
            <w:noWrap w:val="false"/>
          </w:tcPr>
          <w:p>
            <w:pPr>
              <w:pStyle w:val="1344"/>
              <w:spacing w:before="156" w:line="440" w:lineRule="exact"/>
              <w:rPr>
                <w:szCs w:val="21"/>
              </w:rPr>
            </w:pPr>
            <w:r>
              <w:rPr>
                <w:szCs w:val="21"/>
              </w:rPr>
            </w:r>
            <w:r/>
          </w:p>
        </w:tc>
        <w:tc>
          <w:tcPr>
            <w:tcW w:w="3551" w:type="dxa"/>
            <w:vAlign w:val="top"/>
            <w:textDirection w:val="lrTb"/>
            <w:noWrap w:val="false"/>
          </w:tcPr>
          <w:p>
            <w:pPr>
              <w:pStyle w:val="1344"/>
              <w:jc w:val="center"/>
              <w:spacing w:before="156" w:line="440" w:lineRule="exact"/>
              <w:rPr>
                <w:rFonts w:ascii="Arial" w:hAnsi="Arial" w:cs="Arial"/>
                <w:szCs w:val="21"/>
              </w:rPr>
            </w:pPr>
            <w:r>
              <w:rPr>
                <w:rFonts w:hint="eastAsia" w:ascii="Arial" w:hAnsi="Arial" w:cs="Arial"/>
                <w:szCs w:val="21"/>
              </w:rPr>
              <w:t xml:space="preserve">......</w:t>
            </w:r>
            <w:r>
              <w:rPr>
                <w:rFonts w:ascii="Arial" w:hAnsi="Arial" w:cs="Arial"/>
                <w:szCs w:val="21"/>
              </w:rPr>
            </w:r>
            <w:r/>
          </w:p>
        </w:tc>
        <w:tc>
          <w:tcPr>
            <w:tcW w:w="1996" w:type="dxa"/>
            <w:vAlign w:val="top"/>
            <w:textDirection w:val="lrTb"/>
            <w:noWrap w:val="false"/>
          </w:tcPr>
          <w:p>
            <w:pPr>
              <w:pStyle w:val="1344"/>
              <w:ind w:left="43"/>
              <w:spacing w:before="156" w:line="440" w:lineRule="exact"/>
              <w:rPr>
                <w:szCs w:val="21"/>
              </w:rPr>
            </w:pPr>
            <w:r>
              <w:rPr>
                <w:szCs w:val="21"/>
              </w:rPr>
            </w:r>
            <w:r/>
          </w:p>
        </w:tc>
        <w:tc>
          <w:tcPr>
            <w:tcW w:w="3454" w:type="dxa"/>
            <w:vAlign w:val="top"/>
            <w:textDirection w:val="lrTb"/>
            <w:noWrap w:val="false"/>
          </w:tcPr>
          <w:p>
            <w:pPr>
              <w:pStyle w:val="1344"/>
              <w:ind w:left="43"/>
              <w:spacing w:before="156" w:line="440" w:lineRule="exact"/>
              <w:rPr>
                <w:szCs w:val="21"/>
              </w:rPr>
            </w:pPr>
            <w:r>
              <w:rPr>
                <w:szCs w:val="21"/>
              </w:rPr>
            </w:r>
            <w:r/>
          </w:p>
        </w:tc>
      </w:tr>
      <w:tr>
        <w:trPr>
          <w:trHeight w:val="820"/>
        </w:trPr>
        <w:tc>
          <w:tcPr>
            <w:tcW w:w="849" w:type="dxa"/>
            <w:vAlign w:val="top"/>
            <w:textDirection w:val="lrTb"/>
            <w:noWrap w:val="false"/>
          </w:tcPr>
          <w:p>
            <w:pPr>
              <w:pStyle w:val="1344"/>
              <w:spacing w:before="156" w:line="440" w:lineRule="exact"/>
              <w:rPr>
                <w:szCs w:val="21"/>
              </w:rPr>
            </w:pPr>
            <w:r>
              <w:rPr>
                <w:szCs w:val="21"/>
              </w:rPr>
            </w:r>
            <w:r/>
          </w:p>
        </w:tc>
        <w:tc>
          <w:tcPr>
            <w:tcW w:w="3551" w:type="dxa"/>
            <w:vAlign w:val="top"/>
            <w:textDirection w:val="lrTb"/>
            <w:noWrap w:val="false"/>
          </w:tcPr>
          <w:p>
            <w:pPr>
              <w:pStyle w:val="1344"/>
              <w:spacing w:before="156" w:line="440" w:lineRule="exact"/>
              <w:rPr>
                <w:szCs w:val="21"/>
              </w:rPr>
            </w:pPr>
            <w:r>
              <w:rPr>
                <w:szCs w:val="21"/>
              </w:rPr>
            </w:r>
            <w:r/>
          </w:p>
        </w:tc>
        <w:tc>
          <w:tcPr>
            <w:tcW w:w="1996" w:type="dxa"/>
            <w:vAlign w:val="top"/>
            <w:textDirection w:val="lrTb"/>
            <w:noWrap w:val="false"/>
          </w:tcPr>
          <w:p>
            <w:pPr>
              <w:pStyle w:val="1344"/>
              <w:spacing w:before="156" w:line="440" w:lineRule="exact"/>
              <w:rPr>
                <w:szCs w:val="21"/>
              </w:rPr>
            </w:pPr>
            <w:r>
              <w:rPr>
                <w:szCs w:val="21"/>
              </w:rPr>
            </w:r>
            <w:r/>
          </w:p>
        </w:tc>
        <w:tc>
          <w:tcPr>
            <w:tcW w:w="3454" w:type="dxa"/>
            <w:vAlign w:val="top"/>
            <w:textDirection w:val="lrTb"/>
            <w:noWrap w:val="false"/>
          </w:tcPr>
          <w:p>
            <w:pPr>
              <w:pStyle w:val="1344"/>
              <w:spacing w:before="156" w:line="440" w:lineRule="exact"/>
              <w:rPr>
                <w:szCs w:val="21"/>
              </w:rPr>
            </w:pPr>
            <w:r>
              <w:rPr>
                <w:szCs w:val="21"/>
              </w:rPr>
            </w:r>
            <w:r/>
          </w:p>
        </w:tc>
      </w:tr>
      <w:tr>
        <w:trPr>
          <w:trHeight w:val="340"/>
        </w:trPr>
        <w:tc>
          <w:tcPr>
            <w:tcW w:w="849" w:type="dxa"/>
            <w:vAlign w:val="top"/>
            <w:textDirection w:val="lrTb"/>
            <w:noWrap w:val="false"/>
          </w:tcPr>
          <w:p>
            <w:pPr>
              <w:pStyle w:val="1344"/>
              <w:spacing w:before="156" w:line="440" w:lineRule="exact"/>
              <w:rPr>
                <w:szCs w:val="21"/>
              </w:rPr>
            </w:pPr>
            <w:r>
              <w:rPr>
                <w:szCs w:val="21"/>
              </w:rPr>
            </w:r>
            <w:r/>
          </w:p>
        </w:tc>
        <w:tc>
          <w:tcPr>
            <w:tcW w:w="3551" w:type="dxa"/>
            <w:vAlign w:val="top"/>
            <w:textDirection w:val="lrTb"/>
            <w:noWrap w:val="false"/>
          </w:tcPr>
          <w:p>
            <w:pPr>
              <w:pStyle w:val="1344"/>
              <w:spacing w:before="156" w:line="440" w:lineRule="exact"/>
              <w:rPr>
                <w:szCs w:val="21"/>
              </w:rPr>
            </w:pPr>
            <w:r>
              <w:rPr>
                <w:szCs w:val="21"/>
              </w:rPr>
            </w:r>
            <w:r/>
          </w:p>
        </w:tc>
        <w:tc>
          <w:tcPr>
            <w:tcW w:w="1996" w:type="dxa"/>
            <w:vAlign w:val="top"/>
            <w:textDirection w:val="lrTb"/>
            <w:noWrap w:val="false"/>
          </w:tcPr>
          <w:p>
            <w:pPr>
              <w:pStyle w:val="1344"/>
              <w:spacing w:before="156" w:line="440" w:lineRule="exact"/>
              <w:rPr>
                <w:szCs w:val="21"/>
              </w:rPr>
            </w:pPr>
            <w:r>
              <w:rPr>
                <w:szCs w:val="21"/>
              </w:rPr>
            </w:r>
            <w:r/>
          </w:p>
        </w:tc>
        <w:tc>
          <w:tcPr>
            <w:tcW w:w="3454" w:type="dxa"/>
            <w:vAlign w:val="top"/>
            <w:textDirection w:val="lrTb"/>
            <w:noWrap w:val="false"/>
          </w:tcPr>
          <w:p>
            <w:pPr>
              <w:pStyle w:val="1344"/>
              <w:spacing w:before="156" w:line="440" w:lineRule="exact"/>
              <w:rPr>
                <w:szCs w:val="21"/>
              </w:rPr>
            </w:pPr>
            <w:r>
              <w:rPr>
                <w:szCs w:val="21"/>
              </w:rPr>
            </w:r>
            <w:r/>
          </w:p>
        </w:tc>
      </w:tr>
    </w:tbl>
    <w:p>
      <w:pPr>
        <w:pStyle w:val="1344"/>
        <w:spacing w:line="440" w:lineRule="exact"/>
        <w:rPr>
          <w:sz w:val="24"/>
        </w:rPr>
      </w:pPr>
      <w:r>
        <w:rPr>
          <w:sz w:val="24"/>
        </w:rPr>
      </w:r>
      <w:r/>
    </w:p>
    <w:p>
      <w:pPr>
        <w:pStyle w:val="1344"/>
        <w:spacing w:line="440" w:lineRule="exact"/>
        <w:rPr>
          <w:szCs w:val="21"/>
        </w:rPr>
      </w:pPr>
      <w:r>
        <w:rPr>
          <w:szCs w:val="21"/>
        </w:rPr>
        <w:t xml:space="preserve">投标人名称（公章）：</w:t>
      </w:r>
      <w:r>
        <w:rPr>
          <w:szCs w:val="21"/>
        </w:rPr>
      </w:r>
      <w:r/>
    </w:p>
    <w:p>
      <w:pPr>
        <w:pStyle w:val="1344"/>
        <w:spacing w:line="440" w:lineRule="exact"/>
        <w:rPr>
          <w:szCs w:val="21"/>
        </w:rPr>
      </w:pPr>
      <w:r>
        <w:rPr>
          <w:szCs w:val="21"/>
        </w:rPr>
        <w:t xml:space="preserve">授权代表（签字）：</w:t>
      </w:r>
      <w:r>
        <w:rPr>
          <w:szCs w:val="21"/>
        </w:rPr>
      </w:r>
      <w:r/>
    </w:p>
    <w:p>
      <w:pPr>
        <w:pStyle w:val="1344"/>
        <w:spacing w:line="440" w:lineRule="exact"/>
        <w:rPr>
          <w:szCs w:val="21"/>
        </w:rPr>
      </w:pPr>
      <w:r>
        <w:rPr>
          <w:szCs w:val="21"/>
        </w:rPr>
        <w:t xml:space="preserve">日期：</w:t>
      </w:r>
      <w:r>
        <w:rPr>
          <w:szCs w:val="21"/>
        </w:rPr>
      </w:r>
      <w:r/>
    </w:p>
    <w:p>
      <w:pPr>
        <w:pStyle w:val="1344"/>
        <w:spacing w:line="440" w:lineRule="exact"/>
        <w:rPr>
          <w:color w:val="000000"/>
          <w:szCs w:val="21"/>
        </w:rPr>
      </w:pPr>
      <w:r>
        <w:rPr>
          <w:color w:val="000000"/>
          <w:szCs w:val="21"/>
        </w:rPr>
      </w:r>
      <w:r/>
    </w:p>
    <w:p>
      <w:pPr>
        <w:pStyle w:val="1344"/>
        <w:spacing w:line="440" w:lineRule="exact"/>
        <w:rPr>
          <w:b/>
          <w:bCs/>
          <w:color w:val="000000"/>
          <w:szCs w:val="21"/>
        </w:rPr>
      </w:pPr>
      <w:r>
        <w:rPr>
          <w:color w:val="000000"/>
          <w:szCs w:val="21"/>
        </w:rPr>
        <w:t xml:space="preserve">注：1、供应商如对</w:t>
      </w:r>
      <w:r>
        <w:rPr>
          <w:szCs w:val="21"/>
        </w:rPr>
        <w:t xml:space="preserve">包括</w:t>
      </w:r>
      <w:r>
        <w:rPr>
          <w:b/>
          <w:bCs/>
          <w:szCs w:val="21"/>
        </w:rPr>
        <w:t xml:space="preserve">合同履行期限（服务期）、售后服务要求、付款方式、合同条款等</w:t>
      </w:r>
      <w:r>
        <w:rPr>
          <w:color w:val="000000"/>
          <w:szCs w:val="21"/>
        </w:rPr>
        <w:t xml:space="preserve">商务条款</w:t>
      </w:r>
      <w:r>
        <w:rPr>
          <w:b/>
          <w:bCs/>
          <w:color w:val="000000"/>
          <w:szCs w:val="21"/>
        </w:rPr>
        <w:t xml:space="preserve">逐条响应，</w:t>
      </w:r>
      <w:r>
        <w:rPr>
          <w:b/>
          <w:bCs/>
          <w:color w:val="ff0000"/>
        </w:rPr>
        <w:t xml:space="preserve">若漏项或不逐条应答视为负偏离。</w:t>
      </w:r>
      <w:r>
        <w:rPr>
          <w:b/>
          <w:bCs/>
          <w:color w:val="000000"/>
          <w:szCs w:val="21"/>
        </w:rPr>
      </w:r>
      <w:r/>
    </w:p>
    <w:p>
      <w:pPr>
        <w:pStyle w:val="1344"/>
        <w:numPr>
          <w:ilvl w:val="0"/>
          <w:numId w:val="2"/>
        </w:numPr>
        <w:ind w:firstLine="420"/>
        <w:spacing w:line="440" w:lineRule="exact"/>
        <w:rPr>
          <w:color w:val="000000"/>
          <w:szCs w:val="21"/>
        </w:rPr>
      </w:pPr>
      <w:r>
        <w:rPr>
          <w:color w:val="000000"/>
          <w:szCs w:val="21"/>
        </w:rPr>
        <w:t xml:space="preserve">“供应商的承诺或说明”栏请注明“响应/正偏离/负偏离”，正偏离指供应商的响应高于招标文件要求，负偏离指供应商的响应低于招标文件要求。</w:t>
      </w:r>
      <w:r>
        <w:rPr>
          <w:color w:val="000000"/>
          <w:szCs w:val="21"/>
        </w:rPr>
      </w:r>
      <w:r/>
    </w:p>
    <w:p>
      <w:pPr>
        <w:pStyle w:val="1344"/>
        <w:ind w:firstLine="420"/>
        <w:spacing w:line="440" w:lineRule="exact"/>
        <w:rPr>
          <w:color w:val="000000"/>
          <w:szCs w:val="21"/>
        </w:rPr>
      </w:pPr>
      <w:r>
        <w:rPr>
          <w:color w:val="000000"/>
          <w:szCs w:val="21"/>
        </w:rPr>
        <w:t xml:space="preserve">3、如果行数不够，请自行增加。</w:t>
      </w:r>
      <w:r>
        <w:rPr>
          <w:color w:val="000000"/>
          <w:szCs w:val="21"/>
        </w:rPr>
      </w:r>
      <w:r/>
    </w:p>
    <w:p>
      <w:pPr>
        <w:pStyle w:val="1344"/>
        <w:ind w:firstLine="5494"/>
        <w:spacing w:line="440" w:lineRule="exact"/>
        <w:rPr>
          <w:sz w:val="24"/>
        </w:rPr>
      </w:pPr>
      <w:r>
        <w:rPr>
          <w:sz w:val="24"/>
        </w:rPr>
      </w:r>
      <w:r/>
    </w:p>
    <w:p>
      <w:pPr>
        <w:pStyle w:val="1344"/>
        <w:spacing w:line="440" w:lineRule="exact"/>
        <w:rPr>
          <w:sz w:val="24"/>
        </w:rPr>
      </w:pPr>
      <w:r>
        <w:rPr>
          <w:sz w:val="24"/>
        </w:rPr>
      </w:r>
      <w:r/>
    </w:p>
    <w:p>
      <w:pPr>
        <w:pStyle w:val="1344"/>
        <w:ind w:right="-334"/>
        <w:spacing w:line="440" w:lineRule="exact"/>
        <w:rPr>
          <w:sz w:val="24"/>
        </w:rPr>
      </w:pPr>
      <w:r>
        <w:rPr>
          <w:sz w:val="24"/>
        </w:rPr>
      </w:r>
      <w:r/>
    </w:p>
    <w:p>
      <w:pPr>
        <w:pStyle w:val="1344"/>
        <w:ind w:right="-334"/>
        <w:spacing w:line="440" w:lineRule="exact"/>
        <w:rPr>
          <w:sz w:val="24"/>
        </w:rPr>
      </w:pPr>
      <w:r>
        <w:rPr>
          <w:sz w:val="24"/>
        </w:rPr>
      </w:r>
      <w:r/>
    </w:p>
    <w:p>
      <w:pPr>
        <w:pStyle w:val="1344"/>
        <w:ind w:right="-334"/>
        <w:spacing w:line="440" w:lineRule="exact"/>
        <w:rPr>
          <w:sz w:val="24"/>
        </w:rPr>
      </w:pPr>
      <w:r>
        <w:rPr>
          <w:sz w:val="24"/>
        </w:rPr>
      </w:r>
      <w:r/>
    </w:p>
    <w:p>
      <w:pPr>
        <w:pStyle w:val="1344"/>
        <w:ind w:right="-3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344"/>
        <w:spacing w:after="156" w:line="440" w:lineRule="exact"/>
        <w:rPr>
          <w:b/>
          <w:bCs/>
          <w:sz w:val="24"/>
          <w:szCs w:val="22"/>
        </w:rPr>
        <w:outlineLvl w:val="1"/>
      </w:pPr>
      <w:r/>
      <w:bookmarkStart w:id="418" w:name="_Toc17448"/>
      <w:r/>
      <w:bookmarkStart w:id="419" w:name="_Toc588"/>
      <w:r>
        <w:rPr>
          <w:b/>
          <w:bCs/>
          <w:sz w:val="24"/>
          <w:szCs w:val="22"/>
        </w:rPr>
        <w:t xml:space="preserve">附件五 技术条款偏离表</w:t>
      </w:r>
      <w:bookmarkEnd w:id="418"/>
      <w:r/>
      <w:bookmarkEnd w:id="419"/>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76"/>
        <w:gridCol w:w="2143"/>
      </w:tblGrid>
      <w:tr>
        <w:trPr>
          <w:cantSplit/>
          <w:trHeight w:val="540"/>
        </w:trPr>
        <w:tc>
          <w:tcPr>
            <w:tcW w:w="675" w:type="dxa"/>
            <w:vAlign w:val="center"/>
            <w:vMerge w:val="restart"/>
            <w:textDirection w:val="lrTb"/>
            <w:noWrap w:val="false"/>
          </w:tcPr>
          <w:p>
            <w:pPr>
              <w:pStyle w:val="1344"/>
              <w:jc w:val="center"/>
              <w:spacing w:line="440" w:lineRule="exact"/>
              <w:rPr>
                <w:szCs w:val="21"/>
              </w:rPr>
            </w:pPr>
            <w:r>
              <w:rPr>
                <w:szCs w:val="21"/>
              </w:rPr>
              <w:t xml:space="preserve">序号</w:t>
            </w:r>
            <w:r>
              <w:rPr>
                <w:szCs w:val="21"/>
              </w:rPr>
            </w:r>
            <w:r/>
          </w:p>
        </w:tc>
        <w:tc>
          <w:tcPr>
            <w:gridSpan w:val="2"/>
            <w:tcW w:w="2977" w:type="dxa"/>
            <w:vAlign w:val="top"/>
            <w:textDirection w:val="lrTb"/>
            <w:noWrap w:val="false"/>
          </w:tcPr>
          <w:p>
            <w:pPr>
              <w:pStyle w:val="1344"/>
              <w:jc w:val="center"/>
              <w:spacing w:line="440" w:lineRule="exact"/>
              <w:rPr>
                <w:szCs w:val="21"/>
              </w:rPr>
            </w:pPr>
            <w:r>
              <w:rPr>
                <w:szCs w:val="21"/>
              </w:rPr>
              <w:t xml:space="preserve">招标文件</w:t>
            </w:r>
            <w:r>
              <w:rPr>
                <w:szCs w:val="21"/>
              </w:rPr>
            </w:r>
            <w:r/>
          </w:p>
        </w:tc>
        <w:tc>
          <w:tcPr>
            <w:tcW w:w="1843" w:type="dxa"/>
            <w:vAlign w:val="top"/>
            <w:textDirection w:val="lrTb"/>
            <w:noWrap w:val="false"/>
          </w:tcPr>
          <w:p>
            <w:pPr>
              <w:pStyle w:val="1344"/>
              <w:jc w:val="center"/>
              <w:spacing w:line="440" w:lineRule="exact"/>
              <w:rPr>
                <w:szCs w:val="21"/>
              </w:rPr>
            </w:pPr>
            <w:r>
              <w:rPr>
                <w:szCs w:val="21"/>
              </w:rPr>
              <w:t xml:space="preserve">投标文件</w:t>
            </w:r>
            <w:r>
              <w:rPr>
                <w:szCs w:val="21"/>
              </w:rPr>
            </w:r>
            <w:r/>
          </w:p>
        </w:tc>
        <w:tc>
          <w:tcPr>
            <w:tcW w:w="1776" w:type="dxa"/>
            <w:vAlign w:val="top"/>
            <w:vMerge w:val="restart"/>
            <w:textDirection w:val="lrTb"/>
            <w:noWrap w:val="false"/>
          </w:tcPr>
          <w:p>
            <w:pPr>
              <w:pStyle w:val="1344"/>
              <w:jc w:val="center"/>
              <w:spacing w:line="440" w:lineRule="exact"/>
              <w:rPr>
                <w:szCs w:val="21"/>
              </w:rPr>
            </w:pPr>
            <w:r>
              <w:rPr>
                <w:szCs w:val="21"/>
              </w:rPr>
            </w:r>
            <w:r/>
          </w:p>
          <w:p>
            <w:pPr>
              <w:pStyle w:val="1344"/>
              <w:jc w:val="center"/>
              <w:spacing w:line="440" w:lineRule="exact"/>
              <w:rPr>
                <w:szCs w:val="21"/>
              </w:rPr>
            </w:pPr>
            <w:r>
              <w:rPr>
                <w:szCs w:val="21"/>
              </w:rPr>
              <w:t xml:space="preserve">说明</w:t>
            </w:r>
            <w:r>
              <w:rPr>
                <w:szCs w:val="21"/>
              </w:rPr>
            </w:r>
            <w:r/>
          </w:p>
        </w:tc>
        <w:tc>
          <w:tcPr>
            <w:tcW w:w="2143" w:type="dxa"/>
            <w:vAlign w:val="top"/>
            <w:vMerge w:val="restart"/>
            <w:textDirection w:val="lrTb"/>
            <w:noWrap w:val="false"/>
          </w:tcPr>
          <w:p>
            <w:pPr>
              <w:pStyle w:val="1344"/>
              <w:jc w:val="center"/>
              <w:spacing w:line="440" w:lineRule="exact"/>
              <w:rPr>
                <w:szCs w:val="21"/>
              </w:rPr>
            </w:pPr>
            <w:r>
              <w:rPr>
                <w:rFonts w:hint="eastAsia"/>
                <w:szCs w:val="21"/>
              </w:rPr>
              <w:t xml:space="preserve">“</w:t>
            </w:r>
            <w:r>
              <w:rPr>
                <w:szCs w:val="21"/>
              </w:rPr>
              <w:t xml:space="preserve">★</w:t>
            </w:r>
            <w:r>
              <w:rPr>
                <w:rFonts w:hint="eastAsia"/>
                <w:szCs w:val="21"/>
              </w:rPr>
              <w:t xml:space="preserve">”“</w:t>
            </w:r>
            <w:r>
              <w:rPr>
                <w:rFonts w:hint="eastAsia" w:ascii="仿宋" w:hAnsi="仿宋" w:eastAsia="仿宋" w:cs="仿宋"/>
                <w:szCs w:val="21"/>
              </w:rPr>
              <w:t xml:space="preserve">▲</w:t>
            </w:r>
            <w:r>
              <w:rPr>
                <w:rFonts w:hint="eastAsia"/>
                <w:szCs w:val="21"/>
              </w:rPr>
              <w:t xml:space="preserve">”</w:t>
            </w:r>
            <w:r>
              <w:rPr>
                <w:szCs w:val="21"/>
              </w:rPr>
              <w:t xml:space="preserve">技术规格响应证明文件的具体位置</w:t>
            </w:r>
            <w:r>
              <w:rPr>
                <w:szCs w:val="21"/>
              </w:rPr>
            </w:r>
            <w:r/>
          </w:p>
        </w:tc>
      </w:tr>
      <w:tr>
        <w:trPr>
          <w:cantSplit/>
        </w:trPr>
        <w:tc>
          <w:tcPr>
            <w:tcW w:w="675" w:type="dxa"/>
            <w:vAlign w:val="center"/>
            <w:vMerge w:val="continue"/>
            <w:textDirection w:val="lrTb"/>
            <w:noWrap w:val="false"/>
          </w:tcPr>
          <w:p>
            <w:pPr>
              <w:pStyle w:val="1344"/>
              <w:jc w:val="left"/>
              <w:spacing w:line="440" w:lineRule="exact"/>
              <w:widowControl/>
              <w:rPr>
                <w:szCs w:val="21"/>
              </w:rPr>
            </w:pPr>
            <w:r>
              <w:rPr>
                <w:szCs w:val="21"/>
              </w:rPr>
            </w:r>
            <w:r/>
          </w:p>
        </w:tc>
        <w:tc>
          <w:tcPr>
            <w:tcW w:w="1134" w:type="dxa"/>
            <w:vAlign w:val="center"/>
            <w:textDirection w:val="lrTb"/>
            <w:noWrap w:val="false"/>
          </w:tcPr>
          <w:p>
            <w:pPr>
              <w:pStyle w:val="1344"/>
              <w:jc w:val="center"/>
              <w:spacing w:line="440" w:lineRule="exact"/>
              <w:rPr>
                <w:szCs w:val="21"/>
              </w:rPr>
            </w:pPr>
            <w:r>
              <w:rPr>
                <w:szCs w:val="21"/>
              </w:rPr>
              <w:t xml:space="preserve">条目号</w:t>
            </w:r>
            <w:r>
              <w:rPr>
                <w:szCs w:val="21"/>
              </w:rPr>
            </w:r>
            <w:r/>
          </w:p>
        </w:tc>
        <w:tc>
          <w:tcPr>
            <w:tcW w:w="1843" w:type="dxa"/>
            <w:vAlign w:val="center"/>
            <w:textDirection w:val="lrTb"/>
            <w:noWrap w:val="false"/>
          </w:tcPr>
          <w:p>
            <w:pPr>
              <w:pStyle w:val="1344"/>
              <w:jc w:val="center"/>
              <w:spacing w:line="440" w:lineRule="exact"/>
              <w:rPr>
                <w:szCs w:val="21"/>
              </w:rPr>
            </w:pPr>
            <w:r>
              <w:rPr>
                <w:color w:val="000000"/>
                <w:szCs w:val="21"/>
              </w:rPr>
              <w:t xml:space="preserve">采购要求规格</w:t>
            </w:r>
            <w:r>
              <w:rPr>
                <w:szCs w:val="21"/>
              </w:rPr>
            </w:r>
            <w:r/>
          </w:p>
        </w:tc>
        <w:tc>
          <w:tcPr>
            <w:tcW w:w="1843" w:type="dxa"/>
            <w:vAlign w:val="center"/>
            <w:textDirection w:val="lrTb"/>
            <w:noWrap w:val="false"/>
          </w:tcPr>
          <w:p>
            <w:pPr>
              <w:pStyle w:val="1344"/>
              <w:jc w:val="center"/>
              <w:spacing w:line="440" w:lineRule="exact"/>
              <w:rPr>
                <w:szCs w:val="21"/>
              </w:rPr>
            </w:pPr>
            <w:r>
              <w:rPr>
                <w:szCs w:val="21"/>
              </w:rPr>
              <w:t xml:space="preserve">响应具体情况</w:t>
            </w:r>
            <w:r>
              <w:rPr>
                <w:szCs w:val="21"/>
              </w:rPr>
            </w:r>
            <w:r/>
          </w:p>
        </w:tc>
        <w:tc>
          <w:tcPr>
            <w:tcW w:w="1776" w:type="dxa"/>
            <w:vAlign w:val="top"/>
            <w:vMerge w:val="continue"/>
            <w:textDirection w:val="lrTb"/>
            <w:noWrap w:val="false"/>
          </w:tcPr>
          <w:p>
            <w:pPr>
              <w:pStyle w:val="1344"/>
              <w:jc w:val="center"/>
              <w:spacing w:line="440" w:lineRule="exact"/>
              <w:rPr>
                <w:szCs w:val="21"/>
              </w:rPr>
            </w:pPr>
            <w:r>
              <w:rPr>
                <w:szCs w:val="21"/>
              </w:rPr>
            </w:r>
            <w:r/>
          </w:p>
        </w:tc>
        <w:tc>
          <w:tcPr>
            <w:tcW w:w="2143" w:type="dxa"/>
            <w:vAlign w:val="top"/>
            <w:vMerge w:val="continue"/>
            <w:textDirection w:val="lrTb"/>
            <w:noWrap w:val="false"/>
          </w:tcPr>
          <w:p>
            <w:pPr>
              <w:pStyle w:val="1344"/>
              <w:jc w:val="center"/>
              <w:spacing w:line="440" w:lineRule="exact"/>
              <w:rPr>
                <w:szCs w:val="21"/>
              </w:rPr>
            </w:pPr>
            <w:r>
              <w:rPr>
                <w:szCs w:val="21"/>
              </w:rPr>
            </w:r>
            <w:r/>
          </w:p>
        </w:tc>
      </w:tr>
      <w:tr>
        <w:trPr/>
        <w:tc>
          <w:tcPr>
            <w:tcW w:w="675" w:type="dxa"/>
            <w:vAlign w:val="top"/>
            <w:textDirection w:val="lrTb"/>
            <w:noWrap w:val="false"/>
          </w:tcPr>
          <w:p>
            <w:pPr>
              <w:pStyle w:val="1344"/>
              <w:spacing w:line="440" w:lineRule="exact"/>
              <w:rPr>
                <w:szCs w:val="21"/>
              </w:rPr>
            </w:pPr>
            <w:r>
              <w:rPr>
                <w:szCs w:val="21"/>
              </w:rPr>
            </w:r>
            <w:r/>
          </w:p>
        </w:tc>
        <w:tc>
          <w:tcPr>
            <w:tcW w:w="1134" w:type="dxa"/>
            <w:vAlign w:val="top"/>
            <w:textDirection w:val="lrTb"/>
            <w:noWrap w:val="false"/>
          </w:tcPr>
          <w:p>
            <w:pPr>
              <w:pStyle w:val="1344"/>
              <w:spacing w:line="440" w:lineRule="exact"/>
              <w:rPr>
                <w:szCs w:val="21"/>
              </w:rPr>
            </w:pPr>
            <w:r>
              <w:rPr>
                <w:szCs w:val="21"/>
              </w:rPr>
            </w:r>
            <w:r/>
          </w:p>
        </w:tc>
        <w:tc>
          <w:tcPr>
            <w:tcW w:w="1843" w:type="dxa"/>
            <w:vAlign w:val="top"/>
            <w:textDirection w:val="lrTb"/>
            <w:noWrap w:val="false"/>
          </w:tcPr>
          <w:p>
            <w:pPr>
              <w:pStyle w:val="1344"/>
              <w:spacing w:line="440" w:lineRule="exact"/>
              <w:rPr>
                <w:szCs w:val="21"/>
              </w:rPr>
            </w:pPr>
            <w:r>
              <w:rPr>
                <w:szCs w:val="21"/>
              </w:rPr>
            </w:r>
            <w:r/>
          </w:p>
        </w:tc>
        <w:tc>
          <w:tcPr>
            <w:tcW w:w="1843" w:type="dxa"/>
            <w:vAlign w:val="top"/>
            <w:textDirection w:val="lrTb"/>
            <w:noWrap w:val="false"/>
          </w:tcPr>
          <w:p>
            <w:pPr>
              <w:pStyle w:val="1344"/>
              <w:spacing w:line="440" w:lineRule="exact"/>
              <w:rPr>
                <w:szCs w:val="21"/>
              </w:rPr>
            </w:pPr>
            <w:r>
              <w:rPr>
                <w:szCs w:val="21"/>
              </w:rPr>
            </w:r>
            <w:r/>
          </w:p>
        </w:tc>
        <w:tc>
          <w:tcPr>
            <w:tcW w:w="1776" w:type="dxa"/>
            <w:vAlign w:val="top"/>
            <w:textDirection w:val="lrTb"/>
            <w:noWrap w:val="false"/>
          </w:tcPr>
          <w:p>
            <w:pPr>
              <w:pStyle w:val="1344"/>
              <w:spacing w:line="440" w:lineRule="exact"/>
              <w:rPr>
                <w:szCs w:val="21"/>
              </w:rPr>
            </w:pPr>
            <w:r>
              <w:rPr>
                <w:szCs w:val="21"/>
              </w:rPr>
            </w:r>
            <w:r/>
          </w:p>
        </w:tc>
        <w:tc>
          <w:tcPr>
            <w:tcW w:w="2143" w:type="dxa"/>
            <w:vAlign w:val="top"/>
            <w:textDirection w:val="lrTb"/>
            <w:noWrap w:val="false"/>
          </w:tcPr>
          <w:p>
            <w:pPr>
              <w:pStyle w:val="1344"/>
              <w:spacing w:line="440" w:lineRule="exact"/>
              <w:rPr>
                <w:szCs w:val="21"/>
              </w:rPr>
            </w:pPr>
            <w:r>
              <w:rPr>
                <w:szCs w:val="21"/>
              </w:rPr>
            </w:r>
            <w:r/>
          </w:p>
        </w:tc>
      </w:tr>
      <w:tr>
        <w:trPr/>
        <w:tc>
          <w:tcPr>
            <w:tcW w:w="675" w:type="dxa"/>
            <w:vAlign w:val="top"/>
            <w:textDirection w:val="lrTb"/>
            <w:noWrap w:val="false"/>
          </w:tcPr>
          <w:p>
            <w:pPr>
              <w:pStyle w:val="1344"/>
              <w:spacing w:line="440" w:lineRule="exact"/>
              <w:rPr>
                <w:szCs w:val="21"/>
              </w:rPr>
            </w:pPr>
            <w:r>
              <w:rPr>
                <w:szCs w:val="21"/>
              </w:rPr>
            </w:r>
            <w:r/>
          </w:p>
        </w:tc>
        <w:tc>
          <w:tcPr>
            <w:tcW w:w="1134" w:type="dxa"/>
            <w:vAlign w:val="top"/>
            <w:textDirection w:val="lrTb"/>
            <w:noWrap w:val="false"/>
          </w:tcPr>
          <w:p>
            <w:pPr>
              <w:pStyle w:val="1344"/>
              <w:spacing w:line="440" w:lineRule="exact"/>
              <w:rPr>
                <w:szCs w:val="21"/>
              </w:rPr>
            </w:pPr>
            <w:r>
              <w:rPr>
                <w:szCs w:val="21"/>
              </w:rPr>
            </w:r>
            <w:r/>
          </w:p>
        </w:tc>
        <w:tc>
          <w:tcPr>
            <w:tcW w:w="1843" w:type="dxa"/>
            <w:vAlign w:val="top"/>
            <w:textDirection w:val="lrTb"/>
            <w:noWrap w:val="false"/>
          </w:tcPr>
          <w:p>
            <w:pPr>
              <w:pStyle w:val="1344"/>
              <w:spacing w:line="440" w:lineRule="exact"/>
              <w:rPr>
                <w:szCs w:val="21"/>
              </w:rPr>
            </w:pPr>
            <w:r>
              <w:rPr>
                <w:szCs w:val="21"/>
              </w:rPr>
            </w:r>
            <w:r/>
          </w:p>
        </w:tc>
        <w:tc>
          <w:tcPr>
            <w:tcW w:w="1843" w:type="dxa"/>
            <w:vAlign w:val="top"/>
            <w:textDirection w:val="lrTb"/>
            <w:noWrap w:val="false"/>
          </w:tcPr>
          <w:p>
            <w:pPr>
              <w:pStyle w:val="1344"/>
              <w:spacing w:line="440" w:lineRule="exact"/>
              <w:rPr>
                <w:szCs w:val="21"/>
              </w:rPr>
            </w:pPr>
            <w:r>
              <w:rPr>
                <w:szCs w:val="21"/>
              </w:rPr>
            </w:r>
            <w:r/>
          </w:p>
        </w:tc>
        <w:tc>
          <w:tcPr>
            <w:tcW w:w="1776" w:type="dxa"/>
            <w:vAlign w:val="top"/>
            <w:textDirection w:val="lrTb"/>
            <w:noWrap w:val="false"/>
          </w:tcPr>
          <w:p>
            <w:pPr>
              <w:pStyle w:val="1344"/>
              <w:spacing w:line="440" w:lineRule="exact"/>
              <w:rPr>
                <w:szCs w:val="21"/>
              </w:rPr>
            </w:pPr>
            <w:r>
              <w:rPr>
                <w:szCs w:val="21"/>
              </w:rPr>
            </w:r>
            <w:r/>
          </w:p>
        </w:tc>
        <w:tc>
          <w:tcPr>
            <w:tcW w:w="2143" w:type="dxa"/>
            <w:vAlign w:val="top"/>
            <w:textDirection w:val="lrTb"/>
            <w:noWrap w:val="false"/>
          </w:tcPr>
          <w:p>
            <w:pPr>
              <w:pStyle w:val="1344"/>
              <w:spacing w:line="440" w:lineRule="exact"/>
              <w:rPr>
                <w:szCs w:val="21"/>
              </w:rPr>
            </w:pPr>
            <w:r>
              <w:rPr>
                <w:szCs w:val="21"/>
              </w:rPr>
            </w:r>
            <w:r/>
          </w:p>
        </w:tc>
      </w:tr>
      <w:tr>
        <w:trPr/>
        <w:tc>
          <w:tcPr>
            <w:tcW w:w="675" w:type="dxa"/>
            <w:vAlign w:val="top"/>
            <w:textDirection w:val="lrTb"/>
            <w:noWrap w:val="false"/>
          </w:tcPr>
          <w:p>
            <w:pPr>
              <w:pStyle w:val="1344"/>
              <w:spacing w:line="440" w:lineRule="exact"/>
              <w:rPr>
                <w:szCs w:val="21"/>
              </w:rPr>
            </w:pPr>
            <w:r>
              <w:rPr>
                <w:szCs w:val="21"/>
              </w:rPr>
            </w:r>
            <w:r/>
          </w:p>
        </w:tc>
        <w:tc>
          <w:tcPr>
            <w:tcW w:w="1134" w:type="dxa"/>
            <w:vAlign w:val="top"/>
            <w:textDirection w:val="lrTb"/>
            <w:noWrap w:val="false"/>
          </w:tcPr>
          <w:p>
            <w:pPr>
              <w:pStyle w:val="1344"/>
              <w:spacing w:line="440" w:lineRule="exact"/>
              <w:rPr>
                <w:szCs w:val="21"/>
              </w:rPr>
            </w:pPr>
            <w:r>
              <w:rPr>
                <w:szCs w:val="21"/>
              </w:rPr>
            </w:r>
            <w:r/>
          </w:p>
        </w:tc>
        <w:tc>
          <w:tcPr>
            <w:tcW w:w="1843" w:type="dxa"/>
            <w:vAlign w:val="top"/>
            <w:textDirection w:val="lrTb"/>
            <w:noWrap w:val="false"/>
          </w:tcPr>
          <w:p>
            <w:pPr>
              <w:pStyle w:val="1344"/>
              <w:spacing w:line="440" w:lineRule="exact"/>
              <w:rPr>
                <w:szCs w:val="21"/>
              </w:rPr>
            </w:pPr>
            <w:r>
              <w:rPr>
                <w:szCs w:val="21"/>
              </w:rPr>
            </w:r>
            <w:r/>
          </w:p>
        </w:tc>
        <w:tc>
          <w:tcPr>
            <w:tcW w:w="1843" w:type="dxa"/>
            <w:vAlign w:val="top"/>
            <w:textDirection w:val="lrTb"/>
            <w:noWrap w:val="false"/>
          </w:tcPr>
          <w:p>
            <w:pPr>
              <w:pStyle w:val="1344"/>
              <w:spacing w:line="440" w:lineRule="exact"/>
              <w:rPr>
                <w:szCs w:val="21"/>
              </w:rPr>
            </w:pPr>
            <w:r>
              <w:rPr>
                <w:szCs w:val="21"/>
              </w:rPr>
            </w:r>
            <w:r/>
          </w:p>
        </w:tc>
        <w:tc>
          <w:tcPr>
            <w:tcW w:w="1776" w:type="dxa"/>
            <w:vAlign w:val="top"/>
            <w:textDirection w:val="lrTb"/>
            <w:noWrap w:val="false"/>
          </w:tcPr>
          <w:p>
            <w:pPr>
              <w:pStyle w:val="1344"/>
              <w:spacing w:line="440" w:lineRule="exact"/>
              <w:rPr>
                <w:szCs w:val="21"/>
              </w:rPr>
            </w:pPr>
            <w:r>
              <w:rPr>
                <w:szCs w:val="21"/>
              </w:rPr>
            </w:r>
            <w:r/>
          </w:p>
        </w:tc>
        <w:tc>
          <w:tcPr>
            <w:tcW w:w="2143" w:type="dxa"/>
            <w:vAlign w:val="top"/>
            <w:textDirection w:val="lrTb"/>
            <w:noWrap w:val="false"/>
          </w:tcPr>
          <w:p>
            <w:pPr>
              <w:pStyle w:val="1344"/>
              <w:spacing w:line="440" w:lineRule="exact"/>
              <w:rPr>
                <w:szCs w:val="21"/>
              </w:rPr>
            </w:pPr>
            <w:r>
              <w:rPr>
                <w:szCs w:val="21"/>
              </w:rPr>
            </w:r>
            <w:r/>
          </w:p>
        </w:tc>
      </w:tr>
      <w:tr>
        <w:trPr/>
        <w:tc>
          <w:tcPr>
            <w:tcW w:w="675" w:type="dxa"/>
            <w:vAlign w:val="top"/>
            <w:textDirection w:val="lrTb"/>
            <w:noWrap w:val="false"/>
          </w:tcPr>
          <w:p>
            <w:pPr>
              <w:pStyle w:val="1344"/>
              <w:spacing w:line="440" w:lineRule="exact"/>
              <w:rPr>
                <w:szCs w:val="21"/>
              </w:rPr>
            </w:pPr>
            <w:r>
              <w:rPr>
                <w:szCs w:val="21"/>
              </w:rPr>
            </w:r>
            <w:r/>
          </w:p>
        </w:tc>
        <w:tc>
          <w:tcPr>
            <w:tcW w:w="1134" w:type="dxa"/>
            <w:vAlign w:val="top"/>
            <w:textDirection w:val="lrTb"/>
            <w:noWrap w:val="false"/>
          </w:tcPr>
          <w:p>
            <w:pPr>
              <w:pStyle w:val="1344"/>
              <w:spacing w:line="440" w:lineRule="exact"/>
              <w:rPr>
                <w:szCs w:val="21"/>
              </w:rPr>
            </w:pPr>
            <w:r>
              <w:rPr>
                <w:szCs w:val="21"/>
              </w:rPr>
            </w:r>
            <w:r/>
          </w:p>
        </w:tc>
        <w:tc>
          <w:tcPr>
            <w:tcW w:w="1843" w:type="dxa"/>
            <w:vAlign w:val="top"/>
            <w:textDirection w:val="lrTb"/>
            <w:noWrap w:val="false"/>
          </w:tcPr>
          <w:p>
            <w:pPr>
              <w:pStyle w:val="1344"/>
              <w:spacing w:line="440" w:lineRule="exact"/>
              <w:rPr>
                <w:szCs w:val="21"/>
              </w:rPr>
            </w:pPr>
            <w:r>
              <w:rPr>
                <w:szCs w:val="21"/>
              </w:rPr>
            </w:r>
            <w:r/>
          </w:p>
        </w:tc>
        <w:tc>
          <w:tcPr>
            <w:tcW w:w="1843" w:type="dxa"/>
            <w:vAlign w:val="top"/>
            <w:textDirection w:val="lrTb"/>
            <w:noWrap w:val="false"/>
          </w:tcPr>
          <w:p>
            <w:pPr>
              <w:pStyle w:val="1344"/>
              <w:spacing w:line="440" w:lineRule="exact"/>
              <w:rPr>
                <w:szCs w:val="21"/>
              </w:rPr>
            </w:pPr>
            <w:r>
              <w:rPr>
                <w:szCs w:val="21"/>
              </w:rPr>
            </w:r>
            <w:r/>
          </w:p>
        </w:tc>
        <w:tc>
          <w:tcPr>
            <w:tcW w:w="1776" w:type="dxa"/>
            <w:vAlign w:val="top"/>
            <w:textDirection w:val="lrTb"/>
            <w:noWrap w:val="false"/>
          </w:tcPr>
          <w:p>
            <w:pPr>
              <w:pStyle w:val="1344"/>
              <w:spacing w:line="440" w:lineRule="exact"/>
              <w:rPr>
                <w:szCs w:val="21"/>
              </w:rPr>
            </w:pPr>
            <w:r>
              <w:rPr>
                <w:szCs w:val="21"/>
              </w:rPr>
            </w:r>
            <w:r/>
          </w:p>
        </w:tc>
        <w:tc>
          <w:tcPr>
            <w:tcW w:w="2143" w:type="dxa"/>
            <w:vAlign w:val="top"/>
            <w:textDirection w:val="lrTb"/>
            <w:noWrap w:val="false"/>
          </w:tcPr>
          <w:p>
            <w:pPr>
              <w:pStyle w:val="1344"/>
              <w:spacing w:line="440" w:lineRule="exact"/>
              <w:rPr>
                <w:szCs w:val="21"/>
              </w:rPr>
            </w:pPr>
            <w:r>
              <w:rPr>
                <w:szCs w:val="21"/>
              </w:rPr>
            </w:r>
            <w:r/>
          </w:p>
        </w:tc>
      </w:tr>
      <w:tr>
        <w:trPr/>
        <w:tc>
          <w:tcPr>
            <w:tcW w:w="675" w:type="dxa"/>
            <w:vAlign w:val="top"/>
            <w:textDirection w:val="lrTb"/>
            <w:noWrap w:val="false"/>
          </w:tcPr>
          <w:p>
            <w:pPr>
              <w:pStyle w:val="1344"/>
              <w:spacing w:line="440" w:lineRule="exact"/>
              <w:rPr>
                <w:szCs w:val="21"/>
              </w:rPr>
            </w:pPr>
            <w:r>
              <w:rPr>
                <w:szCs w:val="21"/>
              </w:rPr>
            </w:r>
            <w:r/>
          </w:p>
        </w:tc>
        <w:tc>
          <w:tcPr>
            <w:tcW w:w="1134" w:type="dxa"/>
            <w:vAlign w:val="top"/>
            <w:textDirection w:val="lrTb"/>
            <w:noWrap w:val="false"/>
          </w:tcPr>
          <w:p>
            <w:pPr>
              <w:pStyle w:val="1344"/>
              <w:spacing w:line="440" w:lineRule="exact"/>
              <w:rPr>
                <w:szCs w:val="21"/>
              </w:rPr>
            </w:pPr>
            <w:r>
              <w:rPr>
                <w:szCs w:val="21"/>
              </w:rPr>
            </w:r>
            <w:r/>
          </w:p>
        </w:tc>
        <w:tc>
          <w:tcPr>
            <w:tcW w:w="1843" w:type="dxa"/>
            <w:vAlign w:val="top"/>
            <w:textDirection w:val="lrTb"/>
            <w:noWrap w:val="false"/>
          </w:tcPr>
          <w:p>
            <w:pPr>
              <w:pStyle w:val="1344"/>
              <w:spacing w:line="440" w:lineRule="exact"/>
              <w:rPr>
                <w:szCs w:val="21"/>
              </w:rPr>
            </w:pPr>
            <w:r>
              <w:rPr>
                <w:szCs w:val="21"/>
              </w:rPr>
            </w:r>
            <w:r/>
          </w:p>
        </w:tc>
        <w:tc>
          <w:tcPr>
            <w:tcW w:w="1843" w:type="dxa"/>
            <w:vAlign w:val="top"/>
            <w:textDirection w:val="lrTb"/>
            <w:noWrap w:val="false"/>
          </w:tcPr>
          <w:p>
            <w:pPr>
              <w:pStyle w:val="1344"/>
              <w:spacing w:line="440" w:lineRule="exact"/>
              <w:rPr>
                <w:szCs w:val="21"/>
              </w:rPr>
            </w:pPr>
            <w:r>
              <w:rPr>
                <w:szCs w:val="21"/>
              </w:rPr>
            </w:r>
            <w:r/>
          </w:p>
        </w:tc>
        <w:tc>
          <w:tcPr>
            <w:tcW w:w="1776" w:type="dxa"/>
            <w:vAlign w:val="top"/>
            <w:textDirection w:val="lrTb"/>
            <w:noWrap w:val="false"/>
          </w:tcPr>
          <w:p>
            <w:pPr>
              <w:pStyle w:val="1344"/>
              <w:spacing w:line="440" w:lineRule="exact"/>
              <w:rPr>
                <w:szCs w:val="21"/>
              </w:rPr>
            </w:pPr>
            <w:r>
              <w:rPr>
                <w:szCs w:val="21"/>
              </w:rPr>
            </w:r>
            <w:r/>
          </w:p>
        </w:tc>
        <w:tc>
          <w:tcPr>
            <w:tcW w:w="2143" w:type="dxa"/>
            <w:vAlign w:val="top"/>
            <w:textDirection w:val="lrTb"/>
            <w:noWrap w:val="false"/>
          </w:tcPr>
          <w:p>
            <w:pPr>
              <w:pStyle w:val="1344"/>
              <w:spacing w:line="440" w:lineRule="exact"/>
              <w:rPr>
                <w:szCs w:val="21"/>
              </w:rPr>
            </w:pPr>
            <w:r>
              <w:rPr>
                <w:szCs w:val="21"/>
              </w:rPr>
            </w:r>
            <w:r/>
          </w:p>
        </w:tc>
      </w:tr>
      <w:tr>
        <w:trPr/>
        <w:tc>
          <w:tcPr>
            <w:tcW w:w="675" w:type="dxa"/>
            <w:vAlign w:val="top"/>
            <w:textDirection w:val="lrTb"/>
            <w:noWrap w:val="false"/>
          </w:tcPr>
          <w:p>
            <w:pPr>
              <w:pStyle w:val="1344"/>
              <w:spacing w:line="440" w:lineRule="exact"/>
              <w:rPr>
                <w:szCs w:val="21"/>
              </w:rPr>
            </w:pPr>
            <w:r>
              <w:rPr>
                <w:szCs w:val="21"/>
              </w:rPr>
            </w:r>
            <w:r/>
          </w:p>
        </w:tc>
        <w:tc>
          <w:tcPr>
            <w:tcW w:w="1134" w:type="dxa"/>
            <w:vAlign w:val="top"/>
            <w:textDirection w:val="lrTb"/>
            <w:noWrap w:val="false"/>
          </w:tcPr>
          <w:p>
            <w:pPr>
              <w:pStyle w:val="1344"/>
              <w:spacing w:line="440" w:lineRule="exact"/>
              <w:rPr>
                <w:szCs w:val="21"/>
              </w:rPr>
            </w:pPr>
            <w:r>
              <w:rPr>
                <w:szCs w:val="21"/>
              </w:rPr>
            </w:r>
            <w:r/>
          </w:p>
        </w:tc>
        <w:tc>
          <w:tcPr>
            <w:tcW w:w="1843" w:type="dxa"/>
            <w:vAlign w:val="top"/>
            <w:textDirection w:val="lrTb"/>
            <w:noWrap w:val="false"/>
          </w:tcPr>
          <w:p>
            <w:pPr>
              <w:pStyle w:val="1344"/>
              <w:spacing w:line="440" w:lineRule="exact"/>
              <w:rPr>
                <w:szCs w:val="21"/>
              </w:rPr>
            </w:pPr>
            <w:r>
              <w:rPr>
                <w:szCs w:val="21"/>
              </w:rPr>
            </w:r>
            <w:r/>
          </w:p>
        </w:tc>
        <w:tc>
          <w:tcPr>
            <w:tcW w:w="1843" w:type="dxa"/>
            <w:vAlign w:val="top"/>
            <w:textDirection w:val="lrTb"/>
            <w:noWrap w:val="false"/>
          </w:tcPr>
          <w:p>
            <w:pPr>
              <w:pStyle w:val="1344"/>
              <w:spacing w:line="440" w:lineRule="exact"/>
              <w:rPr>
                <w:szCs w:val="21"/>
              </w:rPr>
            </w:pPr>
            <w:r>
              <w:rPr>
                <w:szCs w:val="21"/>
              </w:rPr>
            </w:r>
            <w:r/>
          </w:p>
        </w:tc>
        <w:tc>
          <w:tcPr>
            <w:tcW w:w="1776" w:type="dxa"/>
            <w:vAlign w:val="top"/>
            <w:textDirection w:val="lrTb"/>
            <w:noWrap w:val="false"/>
          </w:tcPr>
          <w:p>
            <w:pPr>
              <w:pStyle w:val="1344"/>
              <w:spacing w:line="440" w:lineRule="exact"/>
              <w:rPr>
                <w:szCs w:val="21"/>
              </w:rPr>
            </w:pPr>
            <w:r>
              <w:rPr>
                <w:szCs w:val="21"/>
              </w:rPr>
            </w:r>
            <w:r/>
          </w:p>
        </w:tc>
        <w:tc>
          <w:tcPr>
            <w:tcW w:w="2143" w:type="dxa"/>
            <w:vAlign w:val="top"/>
            <w:textDirection w:val="lrTb"/>
            <w:noWrap w:val="false"/>
          </w:tcPr>
          <w:p>
            <w:pPr>
              <w:pStyle w:val="1344"/>
              <w:spacing w:line="440" w:lineRule="exact"/>
              <w:rPr>
                <w:szCs w:val="21"/>
              </w:rPr>
            </w:pPr>
            <w:r>
              <w:rPr>
                <w:szCs w:val="21"/>
              </w:rPr>
            </w:r>
            <w:r/>
          </w:p>
        </w:tc>
      </w:tr>
      <w:tr>
        <w:trPr/>
        <w:tc>
          <w:tcPr>
            <w:tcW w:w="675" w:type="dxa"/>
            <w:vAlign w:val="top"/>
            <w:textDirection w:val="lrTb"/>
            <w:noWrap w:val="false"/>
          </w:tcPr>
          <w:p>
            <w:pPr>
              <w:pStyle w:val="1344"/>
              <w:spacing w:line="440" w:lineRule="exact"/>
              <w:rPr>
                <w:szCs w:val="21"/>
              </w:rPr>
            </w:pPr>
            <w:r>
              <w:rPr>
                <w:szCs w:val="21"/>
              </w:rPr>
            </w:r>
            <w:r/>
          </w:p>
        </w:tc>
        <w:tc>
          <w:tcPr>
            <w:tcW w:w="1134" w:type="dxa"/>
            <w:vAlign w:val="top"/>
            <w:textDirection w:val="lrTb"/>
            <w:noWrap w:val="false"/>
          </w:tcPr>
          <w:p>
            <w:pPr>
              <w:pStyle w:val="1344"/>
              <w:spacing w:line="440" w:lineRule="exact"/>
              <w:rPr>
                <w:szCs w:val="21"/>
              </w:rPr>
            </w:pPr>
            <w:r>
              <w:rPr>
                <w:szCs w:val="21"/>
              </w:rPr>
            </w:r>
            <w:r/>
          </w:p>
        </w:tc>
        <w:tc>
          <w:tcPr>
            <w:tcW w:w="1843" w:type="dxa"/>
            <w:vAlign w:val="top"/>
            <w:textDirection w:val="lrTb"/>
            <w:noWrap w:val="false"/>
          </w:tcPr>
          <w:p>
            <w:pPr>
              <w:pStyle w:val="1344"/>
              <w:spacing w:line="440" w:lineRule="exact"/>
              <w:rPr>
                <w:szCs w:val="21"/>
              </w:rPr>
            </w:pPr>
            <w:r>
              <w:rPr>
                <w:szCs w:val="21"/>
              </w:rPr>
            </w:r>
            <w:r/>
          </w:p>
        </w:tc>
        <w:tc>
          <w:tcPr>
            <w:tcW w:w="1843" w:type="dxa"/>
            <w:vAlign w:val="top"/>
            <w:textDirection w:val="lrTb"/>
            <w:noWrap w:val="false"/>
          </w:tcPr>
          <w:p>
            <w:pPr>
              <w:pStyle w:val="1344"/>
              <w:spacing w:line="440" w:lineRule="exact"/>
              <w:rPr>
                <w:szCs w:val="21"/>
              </w:rPr>
            </w:pPr>
            <w:r>
              <w:rPr>
                <w:szCs w:val="21"/>
              </w:rPr>
            </w:r>
            <w:r/>
          </w:p>
        </w:tc>
        <w:tc>
          <w:tcPr>
            <w:tcW w:w="1776" w:type="dxa"/>
            <w:vAlign w:val="top"/>
            <w:textDirection w:val="lrTb"/>
            <w:noWrap w:val="false"/>
          </w:tcPr>
          <w:p>
            <w:pPr>
              <w:pStyle w:val="1344"/>
              <w:spacing w:line="440" w:lineRule="exact"/>
              <w:rPr>
                <w:szCs w:val="21"/>
              </w:rPr>
            </w:pPr>
            <w:r>
              <w:rPr>
                <w:szCs w:val="21"/>
              </w:rPr>
            </w:r>
            <w:r/>
          </w:p>
        </w:tc>
        <w:tc>
          <w:tcPr>
            <w:tcW w:w="2143" w:type="dxa"/>
            <w:vAlign w:val="top"/>
            <w:textDirection w:val="lrTb"/>
            <w:noWrap w:val="false"/>
          </w:tcPr>
          <w:p>
            <w:pPr>
              <w:pStyle w:val="1344"/>
              <w:spacing w:line="440" w:lineRule="exact"/>
              <w:rPr>
                <w:szCs w:val="21"/>
              </w:rPr>
            </w:pPr>
            <w:r>
              <w:rPr>
                <w:szCs w:val="21"/>
              </w:rPr>
            </w:r>
            <w:r/>
          </w:p>
        </w:tc>
      </w:tr>
      <w:tr>
        <w:trPr/>
        <w:tc>
          <w:tcPr>
            <w:tcW w:w="675" w:type="dxa"/>
            <w:vAlign w:val="top"/>
            <w:textDirection w:val="lrTb"/>
            <w:noWrap w:val="false"/>
          </w:tcPr>
          <w:p>
            <w:pPr>
              <w:pStyle w:val="1344"/>
              <w:spacing w:line="440" w:lineRule="exact"/>
              <w:rPr>
                <w:szCs w:val="21"/>
              </w:rPr>
            </w:pPr>
            <w:r>
              <w:rPr>
                <w:szCs w:val="21"/>
              </w:rPr>
            </w:r>
            <w:r/>
          </w:p>
        </w:tc>
        <w:tc>
          <w:tcPr>
            <w:tcW w:w="1134" w:type="dxa"/>
            <w:vAlign w:val="top"/>
            <w:textDirection w:val="lrTb"/>
            <w:noWrap w:val="false"/>
          </w:tcPr>
          <w:p>
            <w:pPr>
              <w:pStyle w:val="1344"/>
              <w:spacing w:line="440" w:lineRule="exact"/>
              <w:rPr>
                <w:szCs w:val="21"/>
              </w:rPr>
            </w:pPr>
            <w:r>
              <w:rPr>
                <w:szCs w:val="21"/>
              </w:rPr>
            </w:r>
            <w:r/>
          </w:p>
        </w:tc>
        <w:tc>
          <w:tcPr>
            <w:tcW w:w="1843" w:type="dxa"/>
            <w:vAlign w:val="top"/>
            <w:textDirection w:val="lrTb"/>
            <w:noWrap w:val="false"/>
          </w:tcPr>
          <w:p>
            <w:pPr>
              <w:pStyle w:val="1344"/>
              <w:spacing w:line="440" w:lineRule="exact"/>
              <w:rPr>
                <w:szCs w:val="21"/>
              </w:rPr>
            </w:pPr>
            <w:r>
              <w:rPr>
                <w:szCs w:val="21"/>
              </w:rPr>
            </w:r>
            <w:r/>
          </w:p>
        </w:tc>
        <w:tc>
          <w:tcPr>
            <w:tcW w:w="1843" w:type="dxa"/>
            <w:vAlign w:val="top"/>
            <w:textDirection w:val="lrTb"/>
            <w:noWrap w:val="false"/>
          </w:tcPr>
          <w:p>
            <w:pPr>
              <w:pStyle w:val="1344"/>
              <w:spacing w:line="440" w:lineRule="exact"/>
              <w:rPr>
                <w:szCs w:val="21"/>
              </w:rPr>
            </w:pPr>
            <w:r>
              <w:rPr>
                <w:szCs w:val="21"/>
              </w:rPr>
            </w:r>
            <w:r/>
          </w:p>
        </w:tc>
        <w:tc>
          <w:tcPr>
            <w:tcW w:w="1776" w:type="dxa"/>
            <w:vAlign w:val="top"/>
            <w:textDirection w:val="lrTb"/>
            <w:noWrap w:val="false"/>
          </w:tcPr>
          <w:p>
            <w:pPr>
              <w:pStyle w:val="1344"/>
              <w:spacing w:line="440" w:lineRule="exact"/>
              <w:rPr>
                <w:szCs w:val="21"/>
              </w:rPr>
            </w:pPr>
            <w:r>
              <w:rPr>
                <w:szCs w:val="21"/>
              </w:rPr>
            </w:r>
            <w:r/>
          </w:p>
        </w:tc>
        <w:tc>
          <w:tcPr>
            <w:tcW w:w="2143" w:type="dxa"/>
            <w:vAlign w:val="top"/>
            <w:textDirection w:val="lrTb"/>
            <w:noWrap w:val="false"/>
          </w:tcPr>
          <w:p>
            <w:pPr>
              <w:pStyle w:val="1344"/>
              <w:spacing w:line="440" w:lineRule="exact"/>
              <w:rPr>
                <w:szCs w:val="21"/>
              </w:rPr>
            </w:pPr>
            <w:r>
              <w:rPr>
                <w:szCs w:val="21"/>
              </w:rPr>
            </w:r>
            <w:r/>
          </w:p>
        </w:tc>
      </w:tr>
      <w:tr>
        <w:trPr/>
        <w:tc>
          <w:tcPr>
            <w:tcW w:w="675" w:type="dxa"/>
            <w:vAlign w:val="top"/>
            <w:textDirection w:val="lrTb"/>
            <w:noWrap w:val="false"/>
          </w:tcPr>
          <w:p>
            <w:pPr>
              <w:pStyle w:val="1344"/>
              <w:spacing w:line="440" w:lineRule="exact"/>
              <w:rPr>
                <w:szCs w:val="21"/>
              </w:rPr>
            </w:pPr>
            <w:r>
              <w:rPr>
                <w:szCs w:val="21"/>
              </w:rPr>
            </w:r>
            <w:r/>
          </w:p>
        </w:tc>
        <w:tc>
          <w:tcPr>
            <w:tcW w:w="1134" w:type="dxa"/>
            <w:vAlign w:val="top"/>
            <w:textDirection w:val="lrTb"/>
            <w:noWrap w:val="false"/>
          </w:tcPr>
          <w:p>
            <w:pPr>
              <w:pStyle w:val="1344"/>
              <w:spacing w:line="440" w:lineRule="exact"/>
              <w:rPr>
                <w:szCs w:val="21"/>
              </w:rPr>
            </w:pPr>
            <w:r>
              <w:rPr>
                <w:szCs w:val="21"/>
              </w:rPr>
            </w:r>
            <w:r/>
          </w:p>
        </w:tc>
        <w:tc>
          <w:tcPr>
            <w:tcW w:w="1843" w:type="dxa"/>
            <w:vAlign w:val="top"/>
            <w:textDirection w:val="lrTb"/>
            <w:noWrap w:val="false"/>
          </w:tcPr>
          <w:p>
            <w:pPr>
              <w:pStyle w:val="1344"/>
              <w:spacing w:line="440" w:lineRule="exact"/>
              <w:rPr>
                <w:szCs w:val="21"/>
              </w:rPr>
            </w:pPr>
            <w:r>
              <w:rPr>
                <w:szCs w:val="21"/>
              </w:rPr>
            </w:r>
            <w:r/>
          </w:p>
        </w:tc>
        <w:tc>
          <w:tcPr>
            <w:tcW w:w="1843" w:type="dxa"/>
            <w:vAlign w:val="top"/>
            <w:textDirection w:val="lrTb"/>
            <w:noWrap w:val="false"/>
          </w:tcPr>
          <w:p>
            <w:pPr>
              <w:pStyle w:val="1344"/>
              <w:spacing w:line="440" w:lineRule="exact"/>
              <w:rPr>
                <w:szCs w:val="21"/>
              </w:rPr>
            </w:pPr>
            <w:r>
              <w:rPr>
                <w:szCs w:val="21"/>
              </w:rPr>
            </w:r>
            <w:r/>
          </w:p>
        </w:tc>
        <w:tc>
          <w:tcPr>
            <w:tcW w:w="1776" w:type="dxa"/>
            <w:vAlign w:val="top"/>
            <w:textDirection w:val="lrTb"/>
            <w:noWrap w:val="false"/>
          </w:tcPr>
          <w:p>
            <w:pPr>
              <w:pStyle w:val="1344"/>
              <w:spacing w:line="440" w:lineRule="exact"/>
              <w:rPr>
                <w:szCs w:val="21"/>
              </w:rPr>
            </w:pPr>
            <w:r>
              <w:rPr>
                <w:szCs w:val="21"/>
              </w:rPr>
            </w:r>
            <w:r/>
          </w:p>
        </w:tc>
        <w:tc>
          <w:tcPr>
            <w:tcW w:w="2143" w:type="dxa"/>
            <w:vAlign w:val="top"/>
            <w:textDirection w:val="lrTb"/>
            <w:noWrap w:val="false"/>
          </w:tcPr>
          <w:p>
            <w:pPr>
              <w:pStyle w:val="1344"/>
              <w:spacing w:line="440" w:lineRule="exact"/>
              <w:rPr>
                <w:szCs w:val="21"/>
              </w:rPr>
            </w:pPr>
            <w:r>
              <w:rPr>
                <w:szCs w:val="21"/>
              </w:rPr>
            </w:r>
            <w:r/>
          </w:p>
        </w:tc>
      </w:tr>
      <w:tr>
        <w:trPr/>
        <w:tc>
          <w:tcPr>
            <w:tcW w:w="675" w:type="dxa"/>
            <w:vAlign w:val="top"/>
            <w:textDirection w:val="lrTb"/>
            <w:noWrap w:val="false"/>
          </w:tcPr>
          <w:p>
            <w:pPr>
              <w:pStyle w:val="1344"/>
              <w:spacing w:line="440" w:lineRule="exact"/>
              <w:rPr>
                <w:szCs w:val="21"/>
              </w:rPr>
            </w:pPr>
            <w:r>
              <w:rPr>
                <w:szCs w:val="21"/>
              </w:rPr>
            </w:r>
            <w:r/>
          </w:p>
        </w:tc>
        <w:tc>
          <w:tcPr>
            <w:tcW w:w="1134" w:type="dxa"/>
            <w:vAlign w:val="top"/>
            <w:textDirection w:val="lrTb"/>
            <w:noWrap w:val="false"/>
          </w:tcPr>
          <w:p>
            <w:pPr>
              <w:pStyle w:val="1344"/>
              <w:spacing w:line="440" w:lineRule="exact"/>
              <w:rPr>
                <w:szCs w:val="21"/>
              </w:rPr>
            </w:pPr>
            <w:r>
              <w:rPr>
                <w:szCs w:val="21"/>
              </w:rPr>
            </w:r>
            <w:r/>
          </w:p>
        </w:tc>
        <w:tc>
          <w:tcPr>
            <w:tcW w:w="1843" w:type="dxa"/>
            <w:vAlign w:val="top"/>
            <w:textDirection w:val="lrTb"/>
            <w:noWrap w:val="false"/>
          </w:tcPr>
          <w:p>
            <w:pPr>
              <w:pStyle w:val="1344"/>
              <w:spacing w:line="440" w:lineRule="exact"/>
              <w:rPr>
                <w:szCs w:val="21"/>
              </w:rPr>
            </w:pPr>
            <w:r>
              <w:rPr>
                <w:szCs w:val="21"/>
              </w:rPr>
            </w:r>
            <w:r/>
          </w:p>
        </w:tc>
        <w:tc>
          <w:tcPr>
            <w:tcW w:w="1843" w:type="dxa"/>
            <w:vAlign w:val="top"/>
            <w:textDirection w:val="lrTb"/>
            <w:noWrap w:val="false"/>
          </w:tcPr>
          <w:p>
            <w:pPr>
              <w:pStyle w:val="1344"/>
              <w:spacing w:line="440" w:lineRule="exact"/>
              <w:rPr>
                <w:szCs w:val="21"/>
              </w:rPr>
            </w:pPr>
            <w:r>
              <w:rPr>
                <w:szCs w:val="21"/>
              </w:rPr>
            </w:r>
            <w:r/>
          </w:p>
        </w:tc>
        <w:tc>
          <w:tcPr>
            <w:tcW w:w="1776" w:type="dxa"/>
            <w:vAlign w:val="top"/>
            <w:textDirection w:val="lrTb"/>
            <w:noWrap w:val="false"/>
          </w:tcPr>
          <w:p>
            <w:pPr>
              <w:pStyle w:val="1344"/>
              <w:spacing w:line="440" w:lineRule="exact"/>
              <w:rPr>
                <w:szCs w:val="21"/>
              </w:rPr>
            </w:pPr>
            <w:r>
              <w:rPr>
                <w:szCs w:val="21"/>
              </w:rPr>
            </w:r>
            <w:r/>
          </w:p>
        </w:tc>
        <w:tc>
          <w:tcPr>
            <w:tcW w:w="2143" w:type="dxa"/>
            <w:vAlign w:val="top"/>
            <w:textDirection w:val="lrTb"/>
            <w:noWrap w:val="false"/>
          </w:tcPr>
          <w:p>
            <w:pPr>
              <w:pStyle w:val="1344"/>
              <w:spacing w:line="440" w:lineRule="exact"/>
              <w:rPr>
                <w:szCs w:val="21"/>
              </w:rPr>
            </w:pPr>
            <w:r>
              <w:rPr>
                <w:szCs w:val="21"/>
              </w:rPr>
            </w:r>
            <w:r/>
          </w:p>
        </w:tc>
      </w:tr>
    </w:tbl>
    <w:p>
      <w:pPr>
        <w:pStyle w:val="1344"/>
        <w:spacing w:line="440" w:lineRule="exact"/>
        <w:rPr>
          <w:szCs w:val="21"/>
        </w:rPr>
      </w:pPr>
      <w:r>
        <w:rPr>
          <w:szCs w:val="21"/>
        </w:rPr>
        <w:t xml:space="preserve">投标人名称（公章）：</w:t>
      </w:r>
      <w:r>
        <w:rPr>
          <w:szCs w:val="21"/>
        </w:rPr>
      </w:r>
      <w:r/>
    </w:p>
    <w:p>
      <w:pPr>
        <w:pStyle w:val="1344"/>
        <w:spacing w:line="440" w:lineRule="exact"/>
        <w:rPr>
          <w:szCs w:val="21"/>
        </w:rPr>
      </w:pPr>
      <w:r>
        <w:rPr>
          <w:szCs w:val="21"/>
        </w:rPr>
        <w:t xml:space="preserve">授权代表（签字）：</w:t>
      </w:r>
      <w:r>
        <w:rPr>
          <w:szCs w:val="21"/>
        </w:rPr>
      </w:r>
      <w:r/>
    </w:p>
    <w:p>
      <w:pPr>
        <w:pStyle w:val="1344"/>
        <w:spacing w:line="440" w:lineRule="exact"/>
        <w:rPr>
          <w:szCs w:val="21"/>
        </w:rPr>
      </w:pPr>
      <w:r>
        <w:rPr>
          <w:szCs w:val="21"/>
        </w:rPr>
        <w:t xml:space="preserve">日期：</w:t>
      </w:r>
      <w:r>
        <w:rPr>
          <w:szCs w:val="21"/>
        </w:rPr>
      </w:r>
      <w:r/>
    </w:p>
    <w:p>
      <w:pPr>
        <w:pStyle w:val="1344"/>
        <w:spacing w:line="440" w:lineRule="exact"/>
        <w:rPr>
          <w:color w:val="000000"/>
          <w:szCs w:val="21"/>
        </w:rPr>
      </w:pPr>
      <w:r>
        <w:rPr>
          <w:color w:val="000000"/>
          <w:szCs w:val="21"/>
        </w:rPr>
      </w:r>
      <w:r/>
    </w:p>
    <w:p>
      <w:pPr>
        <w:pStyle w:val="1344"/>
        <w:spacing w:line="440" w:lineRule="exact"/>
        <w:rPr>
          <w:color w:val="000000"/>
          <w:szCs w:val="21"/>
        </w:rPr>
      </w:pPr>
      <w:r>
        <w:rPr>
          <w:color w:val="000000"/>
          <w:szCs w:val="21"/>
        </w:rPr>
        <w:t xml:space="preserve">注：1、供应商应对招标文件第四章招标技术规格及要求的内容给予</w:t>
      </w:r>
      <w:r>
        <w:rPr>
          <w:b/>
          <w:bCs/>
          <w:color w:val="000000"/>
          <w:szCs w:val="21"/>
        </w:rPr>
        <w:t xml:space="preserve">逐条响应</w:t>
      </w:r>
      <w:r>
        <w:rPr>
          <w:color w:val="000000"/>
          <w:szCs w:val="21"/>
        </w:rPr>
        <w:t xml:space="preserve">，</w:t>
      </w:r>
      <w:r>
        <w:rPr>
          <w:b/>
          <w:bCs/>
          <w:color w:val="ff0000"/>
        </w:rPr>
        <w:t xml:space="preserve">若漏项或不逐条应答视为负偏离。</w:t>
      </w:r>
      <w:r>
        <w:rPr>
          <w:color w:val="000000"/>
          <w:szCs w:val="21"/>
        </w:rPr>
        <w:t xml:space="preserve">以投标产品和服务所能达到的内容予以填写，而</w:t>
      </w:r>
      <w:r>
        <w:rPr>
          <w:b/>
          <w:bCs/>
          <w:color w:val="000000"/>
          <w:szCs w:val="21"/>
        </w:rPr>
        <w:t xml:space="preserve">不应通过简单拷贝招标文件技术要求作为响应内容。 </w:t>
      </w:r>
      <w:r>
        <w:rPr>
          <w:color w:val="000000"/>
          <w:szCs w:val="21"/>
        </w:rPr>
      </w:r>
      <w:r/>
    </w:p>
    <w:p>
      <w:pPr>
        <w:pStyle w:val="1344"/>
        <w:ind w:firstLine="420"/>
        <w:spacing w:line="440" w:lineRule="exact"/>
        <w:rPr>
          <w:b/>
          <w:bCs/>
          <w:szCs w:val="21"/>
        </w:rPr>
      </w:pPr>
      <w:r>
        <w:rPr>
          <w:color w:val="000000"/>
          <w:szCs w:val="21"/>
        </w:rPr>
        <w:t xml:space="preserve">2、投标文件“</w:t>
      </w:r>
      <w:r>
        <w:rPr>
          <w:szCs w:val="21"/>
        </w:rPr>
        <w:t xml:space="preserve">响应具体情况",指所投</w:t>
      </w:r>
      <w:r>
        <w:rPr>
          <w:color w:val="000000"/>
          <w:szCs w:val="21"/>
        </w:rPr>
        <w:t xml:space="preserve">产品和服务</w:t>
      </w:r>
      <w:r>
        <w:rPr>
          <w:szCs w:val="21"/>
        </w:rPr>
        <w:t xml:space="preserve">的技术应答情况。“说明”栏请注明“响应/正偏离/负偏离”，并且标注针对</w:t>
      </w:r>
      <w:r>
        <w:rPr>
          <w:rFonts w:hint="eastAsia"/>
          <w:szCs w:val="21"/>
        </w:rPr>
        <w:t xml:space="preserve">“</w:t>
      </w:r>
      <w:r>
        <w:rPr>
          <w:szCs w:val="21"/>
        </w:rPr>
        <w:t xml:space="preserve">★</w:t>
      </w:r>
      <w:r>
        <w:rPr>
          <w:rFonts w:hint="eastAsia"/>
          <w:szCs w:val="21"/>
        </w:rPr>
        <w:t xml:space="preserve">”“</w:t>
      </w:r>
      <w:r>
        <w:rPr>
          <w:rFonts w:hint="eastAsia" w:ascii="仿宋" w:hAnsi="仿宋" w:eastAsia="仿宋" w:cs="仿宋"/>
          <w:szCs w:val="21"/>
        </w:rPr>
        <w:t xml:space="preserve">▲</w:t>
      </w:r>
      <w:r>
        <w:rPr>
          <w:rFonts w:hint="eastAsia"/>
          <w:szCs w:val="21"/>
        </w:rPr>
        <w:t xml:space="preserve">”</w:t>
      </w:r>
      <w:r>
        <w:rPr>
          <w:szCs w:val="21"/>
        </w:rPr>
        <w:t xml:space="preserve">技术规格响应的证明文件在投标文件中的页码及具体位置。</w:t>
      </w:r>
      <w:r>
        <w:rPr>
          <w:b/>
          <w:bCs/>
          <w:szCs w:val="21"/>
        </w:rPr>
      </w:r>
      <w:r/>
    </w:p>
    <w:p>
      <w:pPr>
        <w:pStyle w:val="1344"/>
        <w:ind w:firstLine="420"/>
        <w:spacing w:line="440" w:lineRule="exact"/>
        <w:rPr>
          <w:szCs w:val="21"/>
        </w:rPr>
      </w:pPr>
      <w:r>
        <w:rPr>
          <w:szCs w:val="21"/>
        </w:rPr>
        <w:t xml:space="preserve">3、</w:t>
      </w:r>
      <w:r>
        <w:rPr>
          <w:b/>
          <w:bCs/>
          <w:szCs w:val="21"/>
        </w:rPr>
        <w:t xml:space="preserve">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r>
        <w:rPr>
          <w:szCs w:val="21"/>
        </w:rPr>
      </w:r>
      <w:r/>
    </w:p>
    <w:p>
      <w:pPr>
        <w:pStyle w:val="1344"/>
        <w:ind w:firstLine="420"/>
        <w:spacing w:line="440" w:lineRule="exact"/>
        <w:rPr>
          <w:szCs w:val="21"/>
        </w:rPr>
      </w:pPr>
      <w:r>
        <w:rPr>
          <w:szCs w:val="21"/>
        </w:rPr>
        <w:t xml:space="preserve">4、如果行数不够，请自行增加。</w:t>
      </w:r>
      <w:r>
        <w:rPr>
          <w:szCs w:val="21"/>
        </w:rPr>
      </w:r>
      <w:r/>
    </w:p>
    <w:p>
      <w:pPr>
        <w:pStyle w:val="1344"/>
        <w:ind w:firstLine="482"/>
        <w:spacing w:line="360" w:lineRule="auto"/>
        <w:tabs>
          <w:tab w:val="left" w:pos="960" w:leader="none"/>
        </w:tabs>
        <w:rPr>
          <w:color w:val="ff0000"/>
          <w:szCs w:val="21"/>
        </w:rPr>
      </w:pPr>
      <w:r>
        <w:rPr>
          <w:color w:val="ff0000"/>
          <w:szCs w:val="21"/>
        </w:rPr>
      </w:r>
      <w:r/>
    </w:p>
    <w:p>
      <w:pPr>
        <w:pStyle w:val="1344"/>
        <w:spacing w:after="156" w:line="440" w:lineRule="exact"/>
        <w:rPr>
          <w:b/>
          <w:bCs/>
          <w:sz w:val="24"/>
          <w:szCs w:val="22"/>
        </w:rPr>
        <w:outlineLvl w:val="1"/>
      </w:pPr>
      <w:r/>
      <w:bookmarkStart w:id="420" w:name="_Toc20842"/>
      <w:r>
        <w:rPr>
          <w:b/>
          <w:bCs/>
          <w:sz w:val="24"/>
          <w:szCs w:val="22"/>
        </w:rPr>
        <w:br w:type="page" w:clear="all"/>
      </w:r>
      <w:bookmarkStart w:id="421" w:name="_Toc21048"/>
      <w:r/>
      <w:bookmarkStart w:id="422" w:name="_Toc18731"/>
      <w:r>
        <w:rPr>
          <w:b/>
          <w:bCs/>
          <w:sz w:val="24"/>
          <w:szCs w:val="22"/>
        </w:rPr>
        <w:t xml:space="preserve">附件六 政府采购政策</w:t>
      </w:r>
      <w:bookmarkEnd w:id="420"/>
      <w:r/>
      <w:bookmarkEnd w:id="421"/>
      <w:r/>
      <w:bookmarkEnd w:id="422"/>
      <w:r>
        <w:rPr>
          <w:b/>
          <w:bCs/>
          <w:sz w:val="24"/>
          <w:szCs w:val="22"/>
        </w:rPr>
      </w:r>
      <w:r/>
    </w:p>
    <w:p>
      <w:pPr>
        <w:pStyle w:val="1344"/>
        <w:numPr>
          <w:ilvl w:val="0"/>
          <w:numId w:val="3"/>
        </w:numPr>
        <w:jc w:val="center"/>
        <w:widowControl/>
        <w:rPr>
          <w:rFonts w:ascii="Arial" w:hAnsi="Arial" w:cs="Arial"/>
          <w:b/>
          <w:bCs/>
          <w:szCs w:val="21"/>
        </w:rPr>
        <w:outlineLvl w:val="2"/>
      </w:pPr>
      <w:r/>
      <w:bookmarkStart w:id="423" w:name="_Toc32276"/>
      <w:r/>
      <w:bookmarkStart w:id="424" w:name="_Toc15908"/>
      <w:r/>
      <w:bookmarkStart w:id="425" w:name="_Toc21802"/>
      <w:r/>
      <w:bookmarkStart w:id="426" w:name="_Toc13248"/>
      <w:r/>
      <w:bookmarkStart w:id="427" w:name="_Toc16035"/>
      <w:r/>
      <w:bookmarkStart w:id="428" w:name="_Toc17125"/>
      <w:r/>
      <w:bookmarkStart w:id="429" w:name="_Toc14499"/>
      <w:r/>
      <w:bookmarkStart w:id="430" w:name="_Toc24699"/>
      <w:r/>
      <w:bookmarkStart w:id="431" w:name="_Toc15638"/>
      <w:r>
        <w:rPr>
          <w:rFonts w:ascii="Arial" w:hAnsi="Arial" w:cs="Arial"/>
          <w:b/>
          <w:bCs/>
          <w:szCs w:val="21"/>
        </w:rPr>
        <w:t xml:space="preserve">《中小企业声明函》</w:t>
      </w:r>
      <w:bookmarkEnd w:id="423"/>
      <w:r/>
      <w:bookmarkEnd w:id="424"/>
      <w:r/>
      <w:bookmarkEnd w:id="425"/>
      <w:r/>
      <w:bookmarkEnd w:id="426"/>
      <w:r/>
      <w:bookmarkEnd w:id="427"/>
      <w:r/>
      <w:bookmarkEnd w:id="428"/>
      <w:r/>
      <w:bookmarkEnd w:id="429"/>
      <w:r/>
      <w:bookmarkEnd w:id="430"/>
      <w:r/>
      <w:bookmarkEnd w:id="431"/>
      <w:r>
        <w:rPr>
          <w:rFonts w:ascii="Arial" w:hAnsi="Arial" w:cs="Arial"/>
          <w:b/>
          <w:bCs/>
          <w:szCs w:val="21"/>
        </w:rPr>
      </w:r>
      <w:r/>
    </w:p>
    <w:p>
      <w:pPr>
        <w:pStyle w:val="1344"/>
        <w:ind w:left="425"/>
        <w:jc w:val="center"/>
        <w:widowControl/>
        <w:rPr>
          <w:rFonts w:hint="eastAsia" w:ascii="Arial" w:hAnsi="Arial" w:cs="Arial"/>
          <w:b/>
          <w:color w:val="ff0000"/>
          <w:sz w:val="30"/>
          <w:szCs w:val="30"/>
          <w:lang w:bidi="ar"/>
        </w:rPr>
      </w:pPr>
      <w:r>
        <w:rPr>
          <w:rFonts w:ascii="Arial" w:hAnsi="Arial" w:cs="Arial"/>
          <w:b/>
          <w:color w:val="ff0000"/>
          <w:sz w:val="30"/>
          <w:szCs w:val="30"/>
          <w:lang w:bidi="ar"/>
        </w:rPr>
        <w:t xml:space="preserve">【不属于小微企业的无需填写、递交】</w:t>
      </w:r>
      <w:r>
        <w:rPr>
          <w:rFonts w:hint="eastAsia" w:ascii="Arial" w:hAnsi="Arial" w:cs="Arial"/>
          <w:b/>
          <w:color w:val="ff0000"/>
          <w:sz w:val="30"/>
          <w:szCs w:val="30"/>
          <w:lang w:bidi="ar"/>
        </w:rPr>
      </w:r>
      <w:r/>
    </w:p>
    <w:p>
      <w:pPr>
        <w:pStyle w:val="1344"/>
        <w:ind w:left="425"/>
        <w:jc w:val="center"/>
        <w:spacing w:line="360" w:lineRule="auto"/>
        <w:widowControl/>
        <w:rPr>
          <w:b/>
          <w:bCs/>
          <w:sz w:val="24"/>
          <w:szCs w:val="24"/>
        </w:rPr>
      </w:pPr>
      <w:r>
        <w:rPr>
          <w:b/>
          <w:bCs/>
          <w:sz w:val="24"/>
          <w:szCs w:val="24"/>
        </w:rPr>
      </w:r>
      <w:r/>
    </w:p>
    <w:p>
      <w:pPr>
        <w:pStyle w:val="1344"/>
        <w:ind w:left="425"/>
        <w:jc w:val="center"/>
        <w:spacing w:line="360" w:lineRule="auto"/>
        <w:widowControl/>
        <w:rPr>
          <w:b/>
          <w:bCs/>
          <w:sz w:val="24"/>
          <w:szCs w:val="24"/>
        </w:rPr>
      </w:pPr>
      <w:r>
        <w:rPr>
          <w:b/>
          <w:bCs/>
          <w:sz w:val="24"/>
          <w:szCs w:val="24"/>
        </w:rPr>
        <w:t xml:space="preserve">中小企业声明函（货物）</w:t>
      </w:r>
      <w:r>
        <w:rPr>
          <w:b/>
          <w:bCs/>
          <w:sz w:val="24"/>
          <w:szCs w:val="24"/>
        </w:rPr>
      </w:r>
      <w:r/>
    </w:p>
    <w:p>
      <w:pPr>
        <w:pStyle w:val="1344"/>
        <w:ind w:left="36" w:right="236" w:firstLine="640"/>
        <w:spacing w:before="199" w:line="360" w:lineRule="auto"/>
        <w:rPr>
          <w:spacing w:val="-4"/>
          <w:szCs w:val="21"/>
        </w:rPr>
      </w:pPr>
      <w:r>
        <w:rPr>
          <w:spacing w:val="-4"/>
          <w:szCs w:val="21"/>
        </w:rPr>
        <w:t xml:space="preserve">本公司（联合体）郑重声明 ，根据《政府采购促进中小企业发展管理办法》（财库﹝2020 ﹞46号）的规定，本公司（联合体）参加</w:t>
      </w:r>
      <w:r>
        <w:rPr>
          <w:spacing w:val="-4"/>
          <w:szCs w:val="21"/>
          <w:u w:val="single"/>
        </w:rPr>
        <w:t xml:space="preserve">（单位名称）</w:t>
      </w:r>
      <w:r>
        <w:rPr>
          <w:spacing w:val="-4"/>
          <w:szCs w:val="21"/>
        </w:rPr>
        <w:t xml:space="preserve">的</w:t>
      </w:r>
      <w:r>
        <w:rPr>
          <w:spacing w:val="-4"/>
          <w:szCs w:val="21"/>
          <w:u w:val="single"/>
        </w:rPr>
        <w:t xml:space="preserve">（项目名称）</w:t>
      </w:r>
      <w:r>
        <w:rPr>
          <w:spacing w:val="-4"/>
          <w:szCs w:val="21"/>
        </w:rPr>
        <w:t xml:space="preserve">采购活动，提供的货物</w:t>
      </w:r>
      <w:r>
        <w:rPr>
          <w:b/>
          <w:bCs/>
          <w:spacing w:val="-4"/>
          <w:szCs w:val="21"/>
        </w:rPr>
        <w:t xml:space="preserve">全部</w:t>
      </w:r>
      <w:r>
        <w:rPr>
          <w:spacing w:val="-4"/>
          <w:szCs w:val="21"/>
        </w:rPr>
        <w:t xml:space="preserve">由符合政策要求的中小企业制造。相关企业（含联合体中的中小企业、签订分包意向协议的中小企业）的具体情况如下 ：</w:t>
      </w:r>
      <w:r>
        <w:rPr>
          <w:spacing w:val="-4"/>
          <w:szCs w:val="21"/>
        </w:rPr>
      </w:r>
      <w:r/>
    </w:p>
    <w:p>
      <w:pPr>
        <w:pStyle w:val="1344"/>
        <w:ind w:left="36" w:right="236" w:firstLine="640"/>
        <w:spacing w:before="199" w:line="360" w:lineRule="auto"/>
        <w:rPr>
          <w:spacing w:val="-4"/>
          <w:szCs w:val="21"/>
        </w:rPr>
      </w:pPr>
      <w:r>
        <w:rPr>
          <w:spacing w:val="-4"/>
          <w:szCs w:val="21"/>
        </w:rPr>
        <w:t xml:space="preserve">1、</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万元，属于</w:t>
      </w:r>
      <w:r>
        <w:rPr>
          <w:sz w:val="22"/>
          <w:szCs w:val="22"/>
          <w:u w:val="single"/>
        </w:rPr>
        <w:t xml:space="preserve">（□</w:t>
      </w:r>
      <w:r>
        <w:rPr>
          <w:szCs w:val="21"/>
          <w:u w:val="single"/>
        </w:rPr>
        <w:t xml:space="preserve">中型企业</w:t>
      </w:r>
      <w:r>
        <w:rPr>
          <w:sz w:val="22"/>
          <w:szCs w:val="22"/>
          <w:u w:val="single"/>
        </w:rPr>
        <w:t xml:space="preserve"> □</w:t>
      </w:r>
      <w:r>
        <w:rPr>
          <w:szCs w:val="21"/>
          <w:u w:val="single"/>
        </w:rPr>
        <w:t xml:space="preserve">小型企业</w:t>
      </w:r>
      <w:r>
        <w:rPr>
          <w:sz w:val="22"/>
          <w:szCs w:val="22"/>
          <w:u w:val="single"/>
        </w:rPr>
        <w:t xml:space="preserve"> □</w:t>
      </w:r>
      <w:r>
        <w:rPr>
          <w:szCs w:val="21"/>
          <w:u w:val="single"/>
        </w:rPr>
        <w:t xml:space="preserve">微型企业</w:t>
      </w:r>
      <w:r>
        <w:rPr>
          <w:sz w:val="22"/>
          <w:szCs w:val="22"/>
          <w:u w:val="single"/>
        </w:rPr>
        <w:t xml:space="preserve">）</w:t>
      </w:r>
      <w:r>
        <w:rPr>
          <w:spacing w:val="-4"/>
          <w:szCs w:val="21"/>
        </w:rPr>
        <w:t xml:space="preserve">；</w:t>
      </w:r>
      <w:r>
        <w:rPr>
          <w:spacing w:val="-4"/>
          <w:szCs w:val="21"/>
        </w:rPr>
      </w:r>
      <w:r/>
    </w:p>
    <w:p>
      <w:pPr>
        <w:pStyle w:val="1344"/>
        <w:ind w:left="36" w:right="236" w:firstLine="640"/>
        <w:spacing w:before="199" w:line="360" w:lineRule="auto"/>
        <w:rPr>
          <w:spacing w:val="-4"/>
          <w:szCs w:val="21"/>
        </w:rPr>
      </w:pPr>
      <w:r>
        <w:rPr>
          <w:spacing w:val="-4"/>
          <w:szCs w:val="21"/>
        </w:rPr>
        <w:t xml:space="preserve">2、</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 ，属于</w:t>
      </w:r>
      <w:r>
        <w:rPr>
          <w:sz w:val="22"/>
          <w:szCs w:val="22"/>
          <w:u w:val="single"/>
        </w:rPr>
        <w:t xml:space="preserve">（□</w:t>
      </w:r>
      <w:r>
        <w:rPr>
          <w:szCs w:val="21"/>
          <w:u w:val="single"/>
        </w:rPr>
        <w:t xml:space="preserve">中型企业</w:t>
      </w:r>
      <w:r>
        <w:rPr>
          <w:sz w:val="22"/>
          <w:szCs w:val="22"/>
          <w:u w:val="single"/>
        </w:rPr>
        <w:t xml:space="preserve"> □</w:t>
      </w:r>
      <w:r>
        <w:rPr>
          <w:szCs w:val="21"/>
          <w:u w:val="single"/>
        </w:rPr>
        <w:t xml:space="preserve">小型企业</w:t>
      </w:r>
      <w:r>
        <w:rPr>
          <w:sz w:val="22"/>
          <w:szCs w:val="22"/>
          <w:u w:val="single"/>
        </w:rPr>
        <w:t xml:space="preserve"> □</w:t>
      </w:r>
      <w:r>
        <w:rPr>
          <w:szCs w:val="21"/>
          <w:u w:val="single"/>
        </w:rPr>
        <w:t xml:space="preserve">微型企业</w:t>
      </w:r>
      <w:r>
        <w:rPr>
          <w:sz w:val="22"/>
          <w:szCs w:val="22"/>
          <w:u w:val="single"/>
        </w:rPr>
        <w:t xml:space="preserve">）</w:t>
      </w:r>
      <w:r>
        <w:rPr>
          <w:spacing w:val="-4"/>
          <w:szCs w:val="21"/>
        </w:rPr>
        <w:t xml:space="preserve">；</w:t>
      </w:r>
      <w:r>
        <w:rPr>
          <w:spacing w:val="-4"/>
          <w:szCs w:val="21"/>
        </w:rPr>
      </w:r>
      <w:r/>
    </w:p>
    <w:p>
      <w:pPr>
        <w:pStyle w:val="1344"/>
        <w:ind w:firstLine="688"/>
        <w:spacing w:before="132" w:line="360" w:lineRule="auto"/>
        <w:rPr>
          <w:szCs w:val="21"/>
        </w:rPr>
      </w:pPr>
      <w:r>
        <w:rPr>
          <w:spacing w:val="-18"/>
          <w:position w:val="-7"/>
          <w:szCs w:val="21"/>
        </w:rPr>
        <w:t xml:space="preserve">……</w:t>
      </w:r>
      <w:r>
        <w:rPr>
          <w:szCs w:val="21"/>
        </w:rPr>
      </w:r>
      <w:r/>
    </w:p>
    <w:p>
      <w:pPr>
        <w:pStyle w:val="1344"/>
        <w:ind w:firstLine="594"/>
        <w:spacing w:line="360" w:lineRule="auto"/>
        <w:rPr>
          <w:spacing w:val="-6"/>
          <w:szCs w:val="21"/>
        </w:rPr>
      </w:pPr>
      <w:r>
        <w:rPr>
          <w:spacing w:val="-6"/>
          <w:szCs w:val="21"/>
        </w:rPr>
        <w:t xml:space="preserve">以上企业，不属于大企业的分支机构，不存在控股股东为大企业的情形，也不存在与大企业的负责人为同一人的情形。</w:t>
      </w:r>
      <w:r>
        <w:rPr>
          <w:spacing w:val="-6"/>
          <w:szCs w:val="21"/>
        </w:rPr>
      </w:r>
      <w:r/>
    </w:p>
    <w:p>
      <w:pPr>
        <w:pStyle w:val="1344"/>
        <w:ind w:firstLine="594"/>
        <w:spacing w:line="360" w:lineRule="auto"/>
        <w:rPr>
          <w:spacing w:val="-6"/>
          <w:szCs w:val="21"/>
        </w:rPr>
      </w:pPr>
      <w:r>
        <w:rPr>
          <w:spacing w:val="-6"/>
          <w:szCs w:val="21"/>
        </w:rPr>
      </w:r>
      <w:r/>
    </w:p>
    <w:p>
      <w:pPr>
        <w:pStyle w:val="1344"/>
        <w:ind w:firstLine="594"/>
        <w:spacing w:line="360" w:lineRule="auto"/>
        <w:rPr>
          <w:b/>
          <w:bCs/>
          <w:szCs w:val="21"/>
        </w:rPr>
      </w:pPr>
      <w:r>
        <w:rPr>
          <w:spacing w:val="-6"/>
          <w:szCs w:val="21"/>
        </w:rPr>
        <w:t xml:space="preserve">本企业对上述声明内容的真实性负责</w:t>
      </w:r>
      <w:r>
        <w:rPr>
          <w:spacing w:val="-105"/>
          <w:szCs w:val="21"/>
        </w:rPr>
        <w:t xml:space="preserve"> </w:t>
      </w:r>
      <w:r>
        <w:rPr>
          <w:spacing w:val="-6"/>
          <w:szCs w:val="21"/>
        </w:rPr>
        <w:t xml:space="preserve">。如有虚假</w:t>
      </w:r>
      <w:r>
        <w:rPr>
          <w:spacing w:val="-116"/>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rPr>
          <w:b/>
          <w:bCs/>
          <w:szCs w:val="21"/>
        </w:rPr>
      </w:r>
      <w:r/>
    </w:p>
    <w:p>
      <w:pPr>
        <w:pStyle w:val="1344"/>
        <w:ind w:right="1560" w:firstLine="444"/>
        <w:jc w:val="center"/>
        <w:spacing w:line="360" w:lineRule="auto"/>
        <w:tabs>
          <w:tab w:val="left" w:pos="4860" w:leader="none"/>
        </w:tabs>
        <w:rPr>
          <w:spacing w:val="6"/>
          <w:szCs w:val="21"/>
        </w:rPr>
      </w:pPr>
      <w:r>
        <w:rPr>
          <w:spacing w:val="6"/>
          <w:szCs w:val="21"/>
        </w:rPr>
      </w:r>
      <w:r/>
    </w:p>
    <w:p>
      <w:pPr>
        <w:pStyle w:val="1344"/>
        <w:ind w:right="1560" w:firstLine="444"/>
        <w:jc w:val="center"/>
        <w:spacing w:line="360" w:lineRule="auto"/>
        <w:tabs>
          <w:tab w:val="left" w:pos="4860" w:leader="none"/>
        </w:tabs>
        <w:rPr>
          <w:spacing w:val="6"/>
          <w:szCs w:val="21"/>
        </w:rPr>
      </w:pPr>
      <w:r>
        <w:rPr>
          <w:spacing w:val="6"/>
          <w:szCs w:val="21"/>
        </w:rPr>
      </w:r>
      <w:r/>
    </w:p>
    <w:p>
      <w:pPr>
        <w:pStyle w:val="1344"/>
        <w:ind w:right="1560" w:firstLine="444"/>
        <w:jc w:val="right"/>
        <w:spacing w:line="360" w:lineRule="auto"/>
        <w:tabs>
          <w:tab w:val="left" w:pos="4860" w:leader="none"/>
        </w:tabs>
        <w:rPr>
          <w:spacing w:val="6"/>
          <w:szCs w:val="21"/>
        </w:rPr>
      </w:pPr>
      <w:r>
        <w:rPr>
          <w:spacing w:val="6"/>
          <w:szCs w:val="21"/>
        </w:rPr>
        <w:t xml:space="preserve">            企业名称（盖章）：</w:t>
      </w:r>
      <w:r>
        <w:rPr>
          <w:spacing w:val="6"/>
          <w:szCs w:val="21"/>
        </w:rPr>
      </w:r>
      <w:r/>
    </w:p>
    <w:p>
      <w:pPr>
        <w:pStyle w:val="1344"/>
        <w:ind w:right="1560" w:firstLine="444"/>
        <w:jc w:val="right"/>
        <w:spacing w:line="360" w:lineRule="auto"/>
        <w:tabs>
          <w:tab w:val="left" w:pos="4860" w:leader="none"/>
        </w:tabs>
        <w:rPr>
          <w:spacing w:val="6"/>
          <w:szCs w:val="21"/>
        </w:rPr>
      </w:pPr>
      <w:r>
        <w:rPr>
          <w:spacing w:val="6"/>
          <w:szCs w:val="21"/>
        </w:rPr>
        <w:t xml:space="preserve">         日  期：</w:t>
      </w:r>
      <w:r>
        <w:rPr>
          <w:spacing w:val="6"/>
          <w:szCs w:val="21"/>
        </w:rPr>
      </w:r>
      <w:r/>
    </w:p>
    <w:p>
      <w:pPr>
        <w:pStyle w:val="1344"/>
        <w:ind w:right="-20"/>
        <w:spacing w:line="360" w:lineRule="auto"/>
        <w:rPr>
          <w:rFonts w:hint="eastAsia" w:ascii="宋体" w:hAnsi="宋体" w:cs="宋体"/>
          <w:position w:val="-2"/>
          <w:sz w:val="22"/>
          <w:vertAlign w:val="superscript"/>
        </w:rPr>
      </w:pPr>
      <w:r>
        <w:rPr>
          <w:rFonts w:hint="eastAsia" w:ascii="宋体" w:hAnsi="宋体" w:cs="宋体"/>
          <w:position w:val="-2"/>
          <w:sz w:val="22"/>
          <w:vertAlign w:val="superscript"/>
        </w:rPr>
      </w:r>
      <w:r/>
    </w:p>
    <w:p>
      <w:pPr>
        <w:pStyle w:val="1344"/>
        <w:ind w:right="-20"/>
        <w:spacing w:line="360" w:lineRule="auto"/>
        <w:rPr>
          <w:rFonts w:hint="eastAsia" w:ascii="宋体" w:hAnsi="宋体" w:cs="宋体"/>
          <w:position w:val="-2"/>
          <w:sz w:val="22"/>
        </w:rPr>
      </w:pPr>
      <w:r>
        <w:rPr>
          <w:rFonts w:hint="eastAsia" w:ascii="宋体" w:hAnsi="宋体" w:cs="宋体"/>
          <w:position w:val="-2"/>
          <w:sz w:val="22"/>
          <w:vertAlign w:val="superscript"/>
        </w:rPr>
        <w:t xml:space="preserve">1</w:t>
      </w:r>
      <w:r>
        <w:rPr>
          <w:rFonts w:hint="eastAsia" w:ascii="宋体" w:hAnsi="宋体" w:cs="宋体"/>
          <w:position w:val="-2"/>
          <w:sz w:val="22"/>
        </w:rPr>
        <w:t xml:space="preserve">从业人员、营业收入、资产总额填报上一年度数据，无上一年度数据的新成立企业可不填报。</w:t>
      </w:r>
      <w:r>
        <w:rPr>
          <w:rFonts w:hint="eastAsia" w:ascii="宋体" w:hAnsi="宋体" w:cs="宋体"/>
          <w:position w:val="-2"/>
          <w:sz w:val="22"/>
        </w:rPr>
      </w:r>
      <w:r/>
    </w:p>
    <w:p>
      <w:pPr>
        <w:pStyle w:val="1344"/>
        <w:spacing w:line="360" w:lineRule="auto"/>
        <w:rPr>
          <w:b/>
          <w:bCs/>
          <w:szCs w:val="21"/>
        </w:rPr>
      </w:pPr>
      <w:r>
        <w:rPr>
          <w:b/>
          <w:bCs/>
          <w:szCs w:val="21"/>
        </w:rPr>
      </w:r>
      <w:r/>
    </w:p>
    <w:p>
      <w:pPr>
        <w:pStyle w:val="1344"/>
        <w:spacing w:line="360" w:lineRule="auto"/>
        <w:rPr>
          <w:b/>
          <w:bCs/>
          <w:szCs w:val="21"/>
        </w:rPr>
      </w:pPr>
      <w:r>
        <w:rPr>
          <w:b/>
          <w:bCs/>
          <w:szCs w:val="21"/>
        </w:rPr>
        <w:t xml:space="preserve">备注：</w:t>
      </w:r>
      <w:r>
        <w:rPr>
          <w:b/>
          <w:bCs/>
          <w:szCs w:val="21"/>
        </w:rPr>
      </w:r>
      <w:r/>
    </w:p>
    <w:p>
      <w:pPr>
        <w:pStyle w:val="1344"/>
        <w:ind w:firstLine="420"/>
        <w:jc w:val="left"/>
        <w:spacing w:line="360" w:lineRule="auto"/>
        <w:tabs>
          <w:tab w:val="left" w:pos="312" w:leader="none"/>
        </w:tabs>
        <w:rPr>
          <w:szCs w:val="21"/>
        </w:rPr>
      </w:pPr>
      <w:r>
        <w:rPr>
          <w:rFonts w:hint="eastAsia"/>
          <w:szCs w:val="21"/>
        </w:rPr>
        <w:t xml:space="preserve">1</w:t>
      </w:r>
      <w:r>
        <w:rPr>
          <w:szCs w:val="21"/>
        </w:rPr>
        <w:t xml:space="preserve">.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rPr>
          <w:szCs w:val="21"/>
        </w:rPr>
      </w:r>
      <w:r/>
    </w:p>
    <w:p>
      <w:pPr>
        <w:pStyle w:val="1344"/>
        <w:ind w:firstLine="420"/>
        <w:spacing w:line="360" w:lineRule="auto"/>
        <w:rPr>
          <w:szCs w:val="21"/>
        </w:rPr>
      </w:pPr>
      <w:r>
        <w:rPr>
          <w:rFonts w:hint="eastAsia"/>
          <w:szCs w:val="21"/>
        </w:rPr>
        <w:t xml:space="preserve">2.</w:t>
      </w:r>
      <w:r>
        <w:rPr>
          <w:szCs w:val="21"/>
        </w:rPr>
        <w:t xml:space="preserve">供应商提供的货物全部由符合政策要求的中小企业制造的参加本次政府采购项目需提供此声明函。</w:t>
      </w:r>
      <w:r>
        <w:rPr>
          <w:szCs w:val="21"/>
        </w:rPr>
      </w:r>
      <w:r/>
    </w:p>
    <w:p>
      <w:pPr>
        <w:pStyle w:val="1344"/>
        <w:ind w:firstLine="420"/>
        <w:spacing w:line="360" w:lineRule="auto"/>
        <w:rPr>
          <w:szCs w:val="21"/>
        </w:rPr>
      </w:pPr>
      <w:r>
        <w:rPr>
          <w:rFonts w:hint="eastAsia"/>
          <w:szCs w:val="21"/>
        </w:rPr>
        <w:t xml:space="preserve">3.</w:t>
      </w:r>
      <w:r>
        <w:rPr>
          <w:szCs w:val="21"/>
        </w:rPr>
        <w:t xml:space="preserve">专门面向中小微型企业采购的项目，供应商如不提供此声明函，则不能通过资格审查；非专门面向中小微型企业采购的项目，供应商如未按上述要求提供声明函的，价格将不做相应扣除。</w:t>
      </w:r>
      <w:r>
        <w:rPr>
          <w:szCs w:val="21"/>
        </w:rPr>
      </w:r>
      <w:r/>
    </w:p>
    <w:p>
      <w:pPr>
        <w:pStyle w:val="1344"/>
        <w:ind w:firstLine="420"/>
        <w:jc w:val="left"/>
        <w:spacing w:line="360" w:lineRule="auto"/>
        <w:tabs>
          <w:tab w:val="left" w:pos="312" w:leader="none"/>
        </w:tabs>
        <w:rPr>
          <w:szCs w:val="21"/>
        </w:rPr>
      </w:pPr>
      <w:r>
        <w:rPr>
          <w:rFonts w:hint="eastAsia"/>
          <w:szCs w:val="21"/>
        </w:rPr>
        <w:t xml:space="preserve">4.</w:t>
      </w:r>
      <w:r>
        <w:rPr>
          <w:szCs w:val="21"/>
        </w:rPr>
        <w:t xml:space="preserve">在货物采购项目中，供应商提供的货物既有中小企业制造货物，也有大型企业制造货物的，不享受本办法规定的中小企业扶持政策。</w:t>
      </w:r>
      <w:r>
        <w:rPr>
          <w:szCs w:val="21"/>
        </w:rPr>
      </w:r>
      <w:r/>
    </w:p>
    <w:p>
      <w:pPr>
        <w:pStyle w:val="1344"/>
        <w:ind w:firstLine="420"/>
        <w:jc w:val="left"/>
        <w:spacing w:line="360" w:lineRule="auto"/>
        <w:tabs>
          <w:tab w:val="left" w:pos="312" w:leader="none"/>
        </w:tabs>
        <w:rPr>
          <w:b/>
          <w:bCs/>
          <w:szCs w:val="21"/>
        </w:rPr>
      </w:pPr>
      <w:r>
        <w:rPr>
          <w:rFonts w:hint="eastAsia"/>
          <w:szCs w:val="21"/>
        </w:rPr>
        <w:t xml:space="preserve">5.</w:t>
      </w:r>
      <w:r>
        <w:rPr>
          <w:szCs w:val="21"/>
        </w:rPr>
        <w:t xml:space="preserve">中标、成交供应商享受本办法规定的中小企业扶持政策的，《中小企业声明函》将随中标、成交结果公开，</w:t>
      </w:r>
      <w:r>
        <w:rPr>
          <w:b/>
          <w:bCs/>
          <w:szCs w:val="21"/>
        </w:rPr>
        <w:t xml:space="preserve">中小企业应对其声明内容的真实性负责，声明函内容不实的，属于提供虚假材料谋取中标、成交，将依照《中华人民共和国政府采购法》等国家有关规定追究相应责任</w:t>
      </w:r>
      <w:r>
        <w:rPr>
          <w:szCs w:val="21"/>
        </w:rPr>
        <w:t xml:space="preserve">。</w:t>
      </w:r>
      <w:r>
        <w:rPr>
          <w:b/>
          <w:bCs/>
          <w:szCs w:val="21"/>
        </w:rPr>
      </w:r>
      <w:r/>
    </w:p>
    <w:p>
      <w:pPr>
        <w:pStyle w:val="1344"/>
        <w:jc w:val="left"/>
        <w:spacing w:line="360" w:lineRule="auto"/>
        <w:tabs>
          <w:tab w:val="left" w:pos="312" w:leader="none"/>
        </w:tabs>
        <w:rPr>
          <w:b/>
          <w:bCs/>
          <w:color w:val="000000"/>
          <w:sz w:val="24"/>
          <w:szCs w:val="24"/>
        </w:rPr>
        <w:sectPr>
          <w:footerReference w:type="first" r:id="rId24"/>
          <w:footnotePr/>
          <w:endnotePr/>
          <w:type w:val="nextPage"/>
          <w:pgSz w:w="11906" w:h="16838" w:orient="portrait"/>
          <w:pgMar w:top="1440" w:right="1080" w:bottom="1440" w:left="1080" w:header="851" w:footer="992" w:gutter="0"/>
          <w:cols w:num="1" w:sep="0" w:space="1701" w:equalWidth="1"/>
          <w:docGrid w:linePitch="360"/>
          <w:titlePg/>
        </w:sectPr>
      </w:pPr>
      <w:r>
        <w:rPr>
          <w:b/>
          <w:bCs/>
          <w:color w:val="000000"/>
          <w:sz w:val="24"/>
          <w:szCs w:val="24"/>
        </w:rPr>
      </w:r>
      <w:r/>
    </w:p>
    <w:p>
      <w:pPr>
        <w:pStyle w:val="1344"/>
        <w:ind w:firstLine="422"/>
        <w:jc w:val="center"/>
        <w:spacing w:line="360" w:lineRule="auto"/>
        <w:rPr>
          <w:b/>
          <w:bCs/>
          <w:color w:val="000000"/>
          <w:szCs w:val="21"/>
        </w:rPr>
        <w:outlineLvl w:val="2"/>
      </w:pPr>
      <w:r/>
      <w:bookmarkStart w:id="432" w:name="_Toc27312"/>
      <w:r/>
      <w:bookmarkStart w:id="433" w:name="_Toc19693"/>
      <w:r/>
      <w:bookmarkStart w:id="434" w:name="_Toc12269"/>
      <w:r/>
      <w:bookmarkStart w:id="435" w:name="_Toc22161"/>
      <w:r>
        <w:rPr>
          <w:b/>
          <w:bCs/>
          <w:color w:val="000000"/>
          <w:szCs w:val="21"/>
        </w:rPr>
        <w:t xml:space="preserve">（二）残疾人福利性单位声明函</w:t>
      </w:r>
      <w:bookmarkEnd w:id="432"/>
      <w:r/>
      <w:bookmarkEnd w:id="433"/>
      <w:r/>
      <w:bookmarkEnd w:id="434"/>
      <w:r/>
      <w:bookmarkEnd w:id="435"/>
      <w:r>
        <w:rPr>
          <w:b/>
          <w:bCs/>
          <w:color w:val="000000"/>
          <w:szCs w:val="21"/>
        </w:rPr>
      </w:r>
      <w:r/>
    </w:p>
    <w:p>
      <w:pPr>
        <w:pStyle w:val="1344"/>
        <w:ind w:firstLine="444"/>
        <w:jc w:val="left"/>
        <w:spacing w:line="360" w:lineRule="auto"/>
        <w:tabs>
          <w:tab w:val="left" w:pos="4860" w:leader="none"/>
        </w:tabs>
        <w:rPr>
          <w:color w:val="000000"/>
          <w:spacing w:val="6"/>
          <w:szCs w:val="21"/>
        </w:rPr>
      </w:pPr>
      <w:r>
        <w:rPr>
          <w:color w:val="000000"/>
          <w:spacing w:val="6"/>
          <w:szCs w:val="21"/>
        </w:rPr>
      </w:r>
      <w:r/>
    </w:p>
    <w:p>
      <w:pPr>
        <w:pStyle w:val="1344"/>
        <w:ind w:firstLine="444"/>
        <w:jc w:val="left"/>
        <w:spacing w:line="360" w:lineRule="auto"/>
        <w:tabs>
          <w:tab w:val="left" w:pos="4860" w:leader="none"/>
        </w:tabs>
        <w:rPr>
          <w:color w:val="000000"/>
          <w:spacing w:val="6"/>
          <w:szCs w:val="21"/>
        </w:rPr>
      </w:pPr>
      <w:r>
        <w:rPr>
          <w:color w:val="000000"/>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color w:val="000000"/>
          <w:spacing w:val="6"/>
          <w:szCs w:val="21"/>
          <w:u w:val="single"/>
        </w:rPr>
        <w:t xml:space="preserve">     </w:t>
      </w:r>
      <w:r>
        <w:rPr>
          <w:color w:val="000000"/>
          <w:spacing w:val="6"/>
          <w:szCs w:val="21"/>
        </w:rPr>
        <w:t xml:space="preserve">单位的</w:t>
      </w:r>
      <w:r>
        <w:rPr>
          <w:color w:val="000000"/>
          <w:spacing w:val="6"/>
          <w:szCs w:val="21"/>
          <w:u w:val="single"/>
        </w:rPr>
        <w:t xml:space="preserve">     </w:t>
      </w:r>
      <w:r>
        <w:rPr>
          <w:color w:val="000000"/>
          <w:spacing w:val="6"/>
          <w:szCs w:val="21"/>
        </w:rPr>
        <w:t xml:space="preserve">项目采购活动提供本单位制造的货物（由本单位承担工程/提供服务），或者提供其他残疾人福利性单位制造的货物（不包括使用非残疾人福利性单位注册商标的货物）。</w:t>
      </w:r>
      <w:r>
        <w:rPr>
          <w:color w:val="000000"/>
          <w:spacing w:val="6"/>
          <w:szCs w:val="21"/>
        </w:rPr>
      </w:r>
      <w:r/>
    </w:p>
    <w:p>
      <w:pPr>
        <w:pStyle w:val="1344"/>
        <w:ind w:firstLine="444"/>
        <w:jc w:val="left"/>
        <w:spacing w:line="360" w:lineRule="auto"/>
        <w:tabs>
          <w:tab w:val="left" w:pos="4860" w:leader="none"/>
        </w:tabs>
        <w:rPr>
          <w:color w:val="000000"/>
          <w:spacing w:val="6"/>
          <w:szCs w:val="21"/>
        </w:rPr>
      </w:pPr>
      <w:r>
        <w:rPr>
          <w:color w:val="000000"/>
          <w:spacing w:val="6"/>
          <w:szCs w:val="21"/>
        </w:rPr>
        <w:t xml:space="preserve">本单位对上述声明的真实性负责。如有虚假，将依法承担相应责任。</w:t>
      </w:r>
      <w:r>
        <w:rPr>
          <w:color w:val="000000"/>
          <w:spacing w:val="6"/>
          <w:szCs w:val="21"/>
        </w:rPr>
      </w:r>
      <w:r/>
    </w:p>
    <w:p>
      <w:pPr>
        <w:pStyle w:val="1344"/>
        <w:ind w:firstLine="444"/>
        <w:jc w:val="center"/>
        <w:spacing w:line="360" w:lineRule="auto"/>
        <w:tabs>
          <w:tab w:val="left" w:pos="4860" w:leader="none"/>
        </w:tabs>
        <w:rPr>
          <w:color w:val="000000"/>
          <w:spacing w:val="6"/>
          <w:szCs w:val="21"/>
        </w:rPr>
      </w:pPr>
      <w:r>
        <w:rPr>
          <w:color w:val="000000"/>
          <w:spacing w:val="6"/>
          <w:szCs w:val="21"/>
        </w:rPr>
      </w:r>
      <w:r/>
    </w:p>
    <w:p>
      <w:pPr>
        <w:pStyle w:val="1344"/>
        <w:ind w:firstLine="444"/>
        <w:jc w:val="center"/>
        <w:spacing w:line="360" w:lineRule="auto"/>
        <w:tabs>
          <w:tab w:val="left" w:pos="4860" w:leader="none"/>
        </w:tabs>
        <w:rPr>
          <w:color w:val="000000"/>
          <w:spacing w:val="6"/>
          <w:szCs w:val="21"/>
        </w:rPr>
      </w:pPr>
      <w:r>
        <w:rPr>
          <w:color w:val="000000"/>
          <w:spacing w:val="6"/>
          <w:szCs w:val="21"/>
        </w:rPr>
      </w:r>
      <w:r/>
    </w:p>
    <w:p>
      <w:pPr>
        <w:pStyle w:val="1344"/>
        <w:ind w:firstLine="444"/>
        <w:jc w:val="center"/>
        <w:spacing w:line="360" w:lineRule="auto"/>
        <w:tabs>
          <w:tab w:val="left" w:pos="4860" w:leader="none"/>
        </w:tabs>
        <w:rPr>
          <w:color w:val="000000"/>
          <w:spacing w:val="6"/>
          <w:szCs w:val="21"/>
        </w:rPr>
      </w:pPr>
      <w:r>
        <w:rPr>
          <w:color w:val="000000"/>
          <w:spacing w:val="6"/>
          <w:szCs w:val="21"/>
        </w:rPr>
      </w:r>
      <w:r/>
    </w:p>
    <w:p>
      <w:pPr>
        <w:pStyle w:val="1344"/>
        <w:ind w:firstLine="444"/>
        <w:jc w:val="right"/>
        <w:spacing w:line="360" w:lineRule="auto"/>
        <w:tabs>
          <w:tab w:val="left" w:pos="4860" w:leader="none"/>
        </w:tabs>
        <w:rPr>
          <w:color w:val="000000"/>
          <w:spacing w:val="6"/>
          <w:szCs w:val="21"/>
        </w:rPr>
      </w:pPr>
      <w:r>
        <w:rPr>
          <w:color w:val="000000"/>
          <w:spacing w:val="6"/>
          <w:szCs w:val="21"/>
        </w:rPr>
        <w:t xml:space="preserve">单位名称（盖章）：</w:t>
      </w:r>
      <w:r>
        <w:rPr>
          <w:color w:val="000000"/>
          <w:spacing w:val="6"/>
          <w:szCs w:val="21"/>
        </w:rPr>
      </w:r>
      <w:r/>
    </w:p>
    <w:p>
      <w:pPr>
        <w:pStyle w:val="1344"/>
        <w:ind w:firstLine="444"/>
        <w:jc w:val="right"/>
        <w:spacing w:line="360" w:lineRule="auto"/>
        <w:tabs>
          <w:tab w:val="left" w:pos="4860" w:leader="none"/>
        </w:tabs>
        <w:rPr>
          <w:color w:val="000000"/>
          <w:spacing w:val="6"/>
          <w:szCs w:val="21"/>
        </w:rPr>
      </w:pPr>
      <w:r>
        <w:rPr>
          <w:color w:val="000000"/>
          <w:spacing w:val="6"/>
          <w:szCs w:val="21"/>
        </w:rPr>
        <w:t xml:space="preserve">日 期：    </w:t>
      </w:r>
      <w:r>
        <w:rPr>
          <w:color w:val="000000"/>
          <w:spacing w:val="6"/>
          <w:szCs w:val="21"/>
        </w:rPr>
      </w:r>
      <w:r/>
    </w:p>
    <w:p>
      <w:pPr>
        <w:pStyle w:val="1344"/>
        <w:ind w:right="1560" w:firstLine="504"/>
        <w:jc w:val="center"/>
        <w:spacing w:line="360" w:lineRule="auto"/>
        <w:tabs>
          <w:tab w:val="left" w:pos="4860" w:leader="none"/>
        </w:tabs>
        <w:rPr>
          <w:color w:val="000000"/>
          <w:spacing w:val="6"/>
          <w:sz w:val="24"/>
          <w:szCs w:val="24"/>
        </w:rPr>
      </w:pPr>
      <w:r>
        <w:rPr>
          <w:color w:val="000000"/>
          <w:spacing w:val="6"/>
          <w:sz w:val="24"/>
          <w:szCs w:val="24"/>
        </w:rPr>
      </w:r>
      <w:r/>
    </w:p>
    <w:p>
      <w:pPr>
        <w:pStyle w:val="1344"/>
        <w:ind w:right="1560" w:firstLine="504"/>
        <w:jc w:val="center"/>
        <w:spacing w:line="360" w:lineRule="auto"/>
        <w:tabs>
          <w:tab w:val="left" w:pos="4860" w:leader="none"/>
        </w:tabs>
        <w:rPr>
          <w:color w:val="000000"/>
          <w:spacing w:val="6"/>
          <w:sz w:val="24"/>
          <w:szCs w:val="24"/>
        </w:rPr>
        <w:sectPr>
          <w:footnotePr/>
          <w:endnotePr/>
          <w:type w:val="nextPage"/>
          <w:pgSz w:w="11906" w:h="16838" w:orient="portrait"/>
          <w:pgMar w:top="1440" w:right="1080" w:bottom="1440" w:left="1080" w:header="851" w:footer="992" w:gutter="0"/>
          <w:cols w:num="1" w:sep="0" w:space="1701" w:equalWidth="1"/>
          <w:docGrid w:linePitch="360"/>
          <w:titlePg/>
        </w:sectPr>
      </w:pPr>
      <w:r>
        <w:rPr>
          <w:color w:val="000000"/>
          <w:spacing w:val="6"/>
          <w:sz w:val="24"/>
          <w:szCs w:val="24"/>
        </w:rPr>
      </w:r>
      <w:r/>
    </w:p>
    <w:p>
      <w:pPr>
        <w:pStyle w:val="1344"/>
        <w:jc w:val="center"/>
        <w:spacing w:line="360" w:lineRule="auto"/>
        <w:rPr>
          <w:rFonts w:hint="eastAsia"/>
          <w:b/>
          <w:bCs/>
          <w:szCs w:val="21"/>
        </w:rPr>
      </w:pPr>
      <w:r>
        <w:rPr>
          <w:rFonts w:hint="eastAsia"/>
          <w:b/>
          <w:bCs/>
          <w:szCs w:val="21"/>
        </w:rPr>
        <w:t xml:space="preserve">（三）采购本国产品的支持政策</w:t>
      </w:r>
      <w:r>
        <w:rPr>
          <w:rFonts w:hint="eastAsia"/>
          <w:b/>
          <w:bCs/>
          <w:szCs w:val="21"/>
        </w:rPr>
      </w:r>
      <w:r/>
    </w:p>
    <w:p>
      <w:pPr>
        <w:pStyle w:val="1344"/>
        <w:jc w:val="center"/>
        <w:keepLines/>
        <w:keepNext/>
        <w:spacing w:line="360" w:lineRule="auto"/>
        <w:rPr>
          <w:rFonts w:hint="eastAsia" w:ascii="宋体" w:hAnsi="宋体" w:cs="宋体"/>
          <w:b/>
          <w:sz w:val="24"/>
        </w:rPr>
      </w:pPr>
      <w:r>
        <w:rPr>
          <w:rFonts w:hint="eastAsia" w:ascii="宋体" w:hAnsi="宋体" w:cs="宋体"/>
          <w:b/>
          <w:sz w:val="24"/>
        </w:rPr>
      </w:r>
      <w:r/>
    </w:p>
    <w:p>
      <w:pPr>
        <w:pStyle w:val="1344"/>
        <w:jc w:val="center"/>
        <w:keepLines/>
        <w:keepNext/>
        <w:spacing w:line="360" w:lineRule="auto"/>
        <w:rPr>
          <w:rFonts w:hint="eastAsia" w:ascii="宋体" w:hAnsi="宋体" w:cs="宋体"/>
          <w:b/>
          <w:sz w:val="24"/>
        </w:rPr>
      </w:pPr>
      <w:r>
        <w:rPr>
          <w:rFonts w:hint="eastAsia" w:ascii="宋体" w:hAnsi="宋体" w:cs="宋体"/>
          <w:b/>
          <w:sz w:val="24"/>
        </w:rPr>
        <w:t xml:space="preserve">关于符合本国产品标准的声明函</w:t>
      </w:r>
      <w:r>
        <w:rPr>
          <w:rFonts w:hint="eastAsia" w:ascii="宋体" w:hAnsi="宋体" w:cs="宋体"/>
          <w:b/>
          <w:sz w:val="24"/>
        </w:rPr>
      </w:r>
      <w:r/>
    </w:p>
    <w:p>
      <w:pPr>
        <w:pStyle w:val="1344"/>
        <w:ind w:firstLine="420"/>
        <w:jc w:val="left"/>
        <w:spacing w:line="360" w:lineRule="auto"/>
        <w:widowControl/>
        <w:rPr>
          <w:rFonts w:hint="eastAsia" w:ascii="宋体" w:hAnsi="宋体" w:cs="宋体"/>
          <w:szCs w:val="21"/>
        </w:rPr>
      </w:pPr>
      <w:r>
        <w:rPr>
          <w:rFonts w:hint="eastAsia" w:ascii="宋体" w:hAnsi="宋体" w:cs="宋体"/>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szCs w:val="21"/>
        </w:rPr>
      </w:r>
      <w:r/>
    </w:p>
    <w:p>
      <w:pPr>
        <w:pStyle w:val="1344"/>
        <w:ind w:firstLine="420"/>
        <w:jc w:val="left"/>
        <w:spacing w:before="30" w:after="30" w:line="360" w:lineRule="auto"/>
        <w:widowControl/>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-57784</wp:posOffset>
                </wp:positionH>
                <wp:positionV relativeFrom="paragraph">
                  <wp:posOffset>730250</wp:posOffset>
                </wp:positionV>
                <wp:extent cx="771525" cy="97155"/>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42;o:allowoverlap:true;o:allowincell:true;mso-position-horizontal-relative:text;margin-left:-4.5pt;mso-position-horizontal:absolute;mso-position-vertical-relative:text;margin-top:57.5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5041900</wp:posOffset>
                </wp:positionH>
                <wp:positionV relativeFrom="paragraph">
                  <wp:posOffset>392430</wp:posOffset>
                </wp:positionV>
                <wp:extent cx="603250" cy="101600"/>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41;o:allowoverlap:true;o:allowincell:true;mso-position-horizontal-relative:text;margin-left:397.0pt;mso-position-horizontal:absolute;mso-position-vertical-relative:text;margin-top:30.9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1111885</wp:posOffset>
                </wp:positionH>
                <wp:positionV relativeFrom="paragraph">
                  <wp:posOffset>369570</wp:posOffset>
                </wp:positionV>
                <wp:extent cx="565785" cy="13081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251658249;o:allowoverlap:true;o:allowincell:true;mso-position-horizontal-relative:text;margin-left:87.5pt;mso-position-horizontal:absolute;mso-position-vertical-relative:text;margin-top:29.1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4387850</wp:posOffset>
                </wp:positionH>
                <wp:positionV relativeFrom="paragraph">
                  <wp:posOffset>119380</wp:posOffset>
                </wp:positionV>
                <wp:extent cx="577215" cy="92075"/>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58246;o:allowoverlap:true;o:allowincell:true;mso-position-horizontal-relative:text;margin-left:345.5pt;mso-position-horizontal:absolute;mso-position-vertical-relative:text;margin-top:9.4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2967990</wp:posOffset>
                </wp:positionH>
                <wp:positionV relativeFrom="paragraph">
                  <wp:posOffset>371475</wp:posOffset>
                </wp:positionV>
                <wp:extent cx="739140" cy="134620"/>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 o:spid="_x0000_s24" style="position:absolute;z-index:251658248;o:allowoverlap:true;o:allowincell:true;mso-position-horizontal-relative:text;margin-left:233.7pt;mso-position-horizontal:absolute;mso-position-vertical-relative:text;margin-top:29.2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2042795</wp:posOffset>
                </wp:positionH>
                <wp:positionV relativeFrom="paragraph">
                  <wp:posOffset>419100</wp:posOffset>
                </wp:positionV>
                <wp:extent cx="364490" cy="97790"/>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 o:spid="_x0000_s25" style="position:absolute;z-index:251658247;o:allowoverlap:true;o:allowincell:true;mso-position-horizontal-relative:text;margin-left:160.8pt;mso-position-horizontal:absolute;mso-position-vertical-relative:text;margin-top:33.0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shd w:val="clear" w:color="auto" w:fill="ffffff"/>
        </w:rPr>
        <w:t xml:space="preserve">1.</w:t>
      </w:r>
      <w:r>
        <w:rPr>
          <w:rStyle w:val="1418"/>
          <w:rFonts w:hint="eastAsia" w:ascii="宋体" w:hAnsi="宋体" w:cs="宋体"/>
          <w:i w:val="0"/>
          <w:szCs w:val="21"/>
          <w:u w:val="single"/>
          <w:shd w:val="clear" w:color="auto" w:fill="ffffff"/>
        </w:rPr>
        <w:t xml:space="preserve">（产品名称1）</w:t>
      </w:r>
      <w:r>
        <w:rPr>
          <w:rStyle w:val="1418"/>
          <w:rFonts w:hint="eastAsia" w:ascii="宋体" w:hAnsi="宋体" w:cs="宋体"/>
          <w:i w:val="0"/>
          <w:szCs w:val="21"/>
          <w:shd w:val="clear" w:color="auto" w:fill="ffffff"/>
          <w:vertAlign w:val="superscript"/>
        </w:rPr>
        <w:t xml:space="preserve">1</w:t>
      </w:r>
      <w:r>
        <w:rPr>
          <w:rFonts w:hint="eastAsia" w:ascii="宋体" w:hAnsi="宋体" w:cs="宋体"/>
          <w:szCs w:val="21"/>
          <w:shd w:val="clear" w:color="auto" w:fill="ffffff"/>
        </w:rPr>
        <w:t xml:space="preserve">，生产厂为</w:t>
      </w:r>
      <w:r>
        <w:rPr>
          <w:rStyle w:val="1418"/>
          <w:rFonts w:hint="eastAsia" w:ascii="宋体" w:hAnsi="宋体" w:cs="宋体"/>
          <w:i w:val="0"/>
          <w:szCs w:val="21"/>
          <w:u w:val="single"/>
          <w:shd w:val="clear" w:color="auto" w:fill="ffffff"/>
        </w:rPr>
        <w:t xml:space="preserve">（厂名）</w:t>
      </w:r>
      <w:r>
        <w:rPr>
          <w:rStyle w:val="1418"/>
          <w:rFonts w:hint="eastAsia" w:ascii="宋体" w:hAnsi="宋体" w:cs="宋体"/>
          <w:i w:val="0"/>
          <w:szCs w:val="21"/>
          <w:shd w:val="clear" w:color="auto" w:fill="ffffff"/>
          <w:vertAlign w:val="superscript"/>
        </w:rPr>
        <w:t xml:space="preserve">2</w:t>
      </w:r>
      <w:r>
        <w:rPr>
          <w:rFonts w:hint="eastAsia" w:ascii="宋体" w:hAnsi="宋体" w:cs="宋体"/>
          <w:szCs w:val="21"/>
          <w:shd w:val="clear" w:color="auto" w:fill="ffffff"/>
        </w:rPr>
        <w:t xml:space="preserve">，厂址为</w:t>
      </w:r>
      <w:r>
        <w:rPr>
          <w:rStyle w:val="1418"/>
          <w:rFonts w:hint="eastAsia" w:ascii="宋体" w:hAnsi="宋体" w:cs="宋体"/>
          <w:i w:val="0"/>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Style w:val="1418"/>
          <w:rFonts w:hint="eastAsia" w:ascii="宋体" w:hAnsi="宋体" w:cs="宋体"/>
          <w:i w:val="0"/>
          <w:szCs w:val="21"/>
          <w:u w:val="single"/>
          <w:shd w:val="clear" w:color="auto" w:fill="ffffff"/>
        </w:rPr>
        <w:t xml:space="preserve">（产品名称1） </w:t>
      </w:r>
      <w:r>
        <w:rPr>
          <w:rFonts w:hint="eastAsia" w:ascii="宋体" w:hAnsi="宋体" w:cs="宋体"/>
          <w:szCs w:val="21"/>
          <w:shd w:val="clear" w:color="auto" w:fill="ffffff"/>
        </w:rPr>
        <w:t xml:space="preserve">的中国境内生产的组件成本占比≥</w:t>
      </w:r>
      <w:r>
        <w:rPr>
          <w:rStyle w:val="1418"/>
          <w:rFonts w:hint="eastAsia" w:ascii="宋体" w:hAnsi="宋体" w:cs="宋体"/>
          <w:i w:val="0"/>
          <w:szCs w:val="21"/>
          <w:u w:val="single"/>
          <w:shd w:val="clear" w:color="auto" w:fill="ffffff"/>
        </w:rPr>
        <w:t xml:space="preserve">（规定比例）</w:t>
      </w:r>
      <w:r>
        <w:rPr>
          <w:rStyle w:val="1418"/>
          <w:rFonts w:hint="eastAsia" w:ascii="宋体" w:hAnsi="宋体" w:cs="宋体"/>
          <w:i w:val="0"/>
          <w:szCs w:val="21"/>
          <w:shd w:val="clear" w:color="auto" w:fill="ffffff"/>
          <w:vertAlign w:val="superscript"/>
        </w:rPr>
        <w:t xml:space="preserve">3</w:t>
      </w:r>
      <w:r>
        <w:rPr>
          <w:rFonts w:hint="eastAsia" w:ascii="宋体" w:hAnsi="宋体" w:cs="宋体"/>
          <w:szCs w:val="21"/>
          <w:shd w:val="clear" w:color="auto" w:fill="ffffff"/>
        </w:rPr>
        <w:t xml:space="preserve">。</w:t>
      </w:r>
      <w:r>
        <w:rPr>
          <w:rStyle w:val="1418"/>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418"/>
          <w:rFonts w:hint="eastAsia" w:ascii="宋体" w:hAnsi="宋体" w:cs="宋体"/>
          <w:i w:val="0"/>
          <w:szCs w:val="21"/>
          <w:u w:val="single"/>
          <w:shd w:val="clear" w:color="auto" w:fill="ffffff"/>
        </w:rPr>
        <w:t xml:space="preserve">（关键组件）</w:t>
      </w:r>
      <w:r>
        <w:rPr>
          <w:rStyle w:val="1418"/>
          <w:rFonts w:hint="eastAsia" w:ascii="宋体" w:hAnsi="宋体" w:cs="宋体"/>
          <w:i w:val="0"/>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Style w:val="1418"/>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418"/>
          <w:rFonts w:hint="eastAsia" w:ascii="宋体" w:hAnsi="宋体" w:cs="宋体"/>
          <w:i w:val="0"/>
          <w:szCs w:val="21"/>
          <w:u w:val="single"/>
          <w:shd w:val="clear" w:color="auto" w:fill="ffffff"/>
        </w:rPr>
        <w:t xml:space="preserve">（关键工序）</w:t>
      </w:r>
      <w:r>
        <w:rPr>
          <w:rStyle w:val="1418"/>
          <w:rFonts w:hint="eastAsia" w:ascii="宋体" w:hAnsi="宋体" w:cs="宋体"/>
          <w:i w:val="0"/>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rPr>
          <w:rFonts w:hint="eastAsia" w:ascii="宋体" w:hAnsi="宋体" w:cs="宋体"/>
          <w:szCs w:val="21"/>
        </w:rPr>
      </w:r>
      <w:r/>
    </w:p>
    <w:p>
      <w:pPr>
        <w:pStyle w:val="1344"/>
        <w:ind w:firstLine="420"/>
        <w:jc w:val="left"/>
        <w:spacing w:before="30" w:after="30" w:line="360" w:lineRule="auto"/>
        <w:widowControl/>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4867275</wp:posOffset>
                </wp:positionH>
                <wp:positionV relativeFrom="paragraph">
                  <wp:posOffset>387985</wp:posOffset>
                </wp:positionV>
                <wp:extent cx="506095" cy="85090"/>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6" o:spid="_x0000_s26" style="position:absolute;z-index:251658243;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2913380</wp:posOffset>
                </wp:positionH>
                <wp:positionV relativeFrom="paragraph">
                  <wp:posOffset>377190</wp:posOffset>
                </wp:positionV>
                <wp:extent cx="488950" cy="96520"/>
                <wp:effectExtent l="0" t="0" r="0" b="0"/>
                <wp:wrapNone/>
                <wp:docPr id="28"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7" o:spid="_x0000_s27" style="position:absolute;z-index:251658245;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1831340</wp:posOffset>
                </wp:positionH>
                <wp:positionV relativeFrom="paragraph">
                  <wp:posOffset>377190</wp:posOffset>
                </wp:positionV>
                <wp:extent cx="678180" cy="105410"/>
                <wp:effectExtent l="0" t="0" r="0" b="0"/>
                <wp:wrapNone/>
                <wp:docPr id="29"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8" o:spid="_x0000_s28" style="position:absolute;z-index:251658244;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981710</wp:posOffset>
                </wp:positionH>
                <wp:positionV relativeFrom="paragraph">
                  <wp:posOffset>381000</wp:posOffset>
                </wp:positionV>
                <wp:extent cx="424815" cy="112395"/>
                <wp:effectExtent l="0" t="0" r="0" b="0"/>
                <wp:wrapNone/>
                <wp:docPr id="30"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9" o:spid="_x0000_s29" style="position:absolute;z-index:251658251;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4105910</wp:posOffset>
                </wp:positionH>
                <wp:positionV relativeFrom="paragraph">
                  <wp:posOffset>92075</wp:posOffset>
                </wp:positionV>
                <wp:extent cx="718185" cy="97790"/>
                <wp:effectExtent l="0" t="0" r="0" b="0"/>
                <wp:wrapNone/>
                <wp:docPr id="3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0" o:spid="_x0000_s30" style="position:absolute;z-index:251658250;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32"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1" o:spid="_x0000_s31" style="position:absolute;z-index:524288;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shd w:val="clear" w:color="auto" w:fill="ffffff"/>
        </w:rPr>
        <w:t xml:space="preserve">2.</w:t>
      </w:r>
      <w:r>
        <w:rPr>
          <w:rStyle w:val="1418"/>
          <w:rFonts w:hint="eastAsia" w:ascii="宋体" w:hAnsi="宋体" w:cs="宋体"/>
          <w:i w:val="0"/>
          <w:szCs w:val="21"/>
          <w:u w:val="single"/>
          <w:shd w:val="clear" w:color="auto" w:fill="ffffff"/>
        </w:rPr>
        <w:t xml:space="preserve">（产品名称2）</w:t>
      </w:r>
      <w:r>
        <w:rPr>
          <w:rFonts w:hint="eastAsia" w:ascii="宋体" w:hAnsi="宋体" w:cs="宋体"/>
          <w:szCs w:val="21"/>
          <w:shd w:val="clear" w:color="auto" w:fill="ffffff"/>
        </w:rPr>
        <w:t xml:space="preserve">，生产厂为</w:t>
      </w:r>
      <w:r>
        <w:rPr>
          <w:rStyle w:val="1418"/>
          <w:rFonts w:hint="eastAsia" w:ascii="宋体" w:hAnsi="宋体" w:cs="宋体"/>
          <w:i w:val="0"/>
          <w:szCs w:val="21"/>
          <w:u w:val="single"/>
          <w:shd w:val="clear" w:color="auto" w:fill="ffffff"/>
        </w:rPr>
        <w:t xml:space="preserve">（厂名）</w:t>
      </w:r>
      <w:r>
        <w:rPr>
          <w:rFonts w:hint="eastAsia" w:ascii="宋体" w:hAnsi="宋体" w:cs="宋体"/>
          <w:szCs w:val="21"/>
          <w:shd w:val="clear" w:color="auto" w:fill="ffffff"/>
        </w:rPr>
        <w:t xml:space="preserve">，厂址为</w:t>
      </w:r>
      <w:r>
        <w:rPr>
          <w:rStyle w:val="1418"/>
          <w:rFonts w:hint="eastAsia" w:ascii="宋体" w:hAnsi="宋体" w:cs="宋体"/>
          <w:i w:val="0"/>
          <w:szCs w:val="21"/>
          <w:u w:val="single"/>
          <w:shd w:val="clear" w:color="auto" w:fill="ffffff"/>
        </w:rPr>
        <w:t xml:space="preserve">（生产厂址）</w:t>
      </w:r>
      <w:r>
        <w:rPr>
          <w:rFonts w:hint="eastAsia" w:ascii="宋体" w:hAnsi="宋体" w:cs="宋体"/>
          <w:szCs w:val="21"/>
          <w:shd w:val="clear" w:color="auto" w:fill="ffffff"/>
        </w:rPr>
        <w:t xml:space="preserve">。</w:t>
      </w:r>
      <w:r>
        <w:rPr>
          <w:rStyle w:val="1418"/>
          <w:rFonts w:hint="eastAsia" w:ascii="宋体" w:hAnsi="宋体" w:cs="宋体"/>
          <w:i w:val="0"/>
          <w:szCs w:val="21"/>
          <w:u w:val="single"/>
          <w:shd w:val="clear" w:color="auto" w:fill="ffffff"/>
        </w:rPr>
        <w:t xml:space="preserve">（产品名称2）</w:t>
      </w:r>
      <w:r>
        <w:rPr>
          <w:rFonts w:hint="eastAsia" w:ascii="宋体" w:hAnsi="宋体" w:cs="宋体"/>
          <w:szCs w:val="21"/>
          <w:shd w:val="clear" w:color="auto" w:fill="ffffff"/>
        </w:rPr>
        <w:t xml:space="preserve">的中国境内生产的组件成本占比≥</w:t>
      </w:r>
      <w:r>
        <w:rPr>
          <w:rStyle w:val="1418"/>
          <w:rFonts w:hint="eastAsia" w:ascii="宋体" w:hAnsi="宋体" w:cs="宋体"/>
          <w:i w:val="0"/>
          <w:szCs w:val="21"/>
          <w:u w:val="single"/>
          <w:shd w:val="clear" w:color="auto" w:fill="ffffff"/>
        </w:rPr>
        <w:t xml:space="preserve">（规定比例）</w:t>
      </w:r>
      <w:r>
        <w:rPr>
          <w:rFonts w:hint="eastAsia" w:ascii="宋体" w:hAnsi="宋体" w:cs="宋体"/>
          <w:szCs w:val="21"/>
          <w:shd w:val="clear" w:color="auto" w:fill="ffffff"/>
        </w:rPr>
        <w:t xml:space="preserve">。</w:t>
      </w:r>
      <w:r>
        <w:rPr>
          <w:rStyle w:val="1418"/>
          <w:rFonts w:hint="eastAsia" w:ascii="宋体" w:hAnsi="宋体" w:cs="宋体"/>
          <w:i w:val="0"/>
          <w:szCs w:val="21"/>
          <w:u w:val="single"/>
          <w:shd w:val="clear" w:color="auto" w:fill="ffffff"/>
        </w:rPr>
        <w:t xml:space="preserve">（产品名称2）</w:t>
      </w:r>
      <w:r>
        <w:rPr>
          <w:rFonts w:hint="eastAsia" w:ascii="宋体" w:hAnsi="宋体" w:cs="宋体"/>
          <w:szCs w:val="21"/>
          <w:shd w:val="clear" w:color="auto" w:fill="ffffff"/>
        </w:rPr>
        <w:t xml:space="preserve">的</w:t>
      </w:r>
      <w:r>
        <w:rPr>
          <w:rStyle w:val="1418"/>
          <w:rFonts w:hint="eastAsia" w:ascii="宋体" w:hAnsi="宋体" w:cs="宋体"/>
          <w:i w:val="0"/>
          <w:szCs w:val="21"/>
          <w:u w:val="single"/>
          <w:shd w:val="clear" w:color="auto" w:fill="ffffff"/>
        </w:rPr>
        <w:t xml:space="preserve">（关键组件）</w:t>
      </w:r>
      <w:r>
        <w:rPr>
          <w:rFonts w:hint="eastAsia" w:ascii="宋体" w:hAnsi="宋体" w:cs="宋体"/>
          <w:szCs w:val="21"/>
          <w:shd w:val="clear" w:color="auto" w:fill="ffffff"/>
        </w:rPr>
        <w:t xml:space="preserve">在中国境内生产。</w:t>
      </w:r>
      <w:r>
        <w:rPr>
          <w:rStyle w:val="1418"/>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418"/>
          <w:rFonts w:hint="eastAsia" w:ascii="宋体" w:hAnsi="宋体" w:cs="宋体"/>
          <w:i w:val="0"/>
          <w:szCs w:val="21"/>
          <w:u w:val="single"/>
          <w:shd w:val="clear" w:color="auto" w:fill="ffffff"/>
        </w:rPr>
        <w:t xml:space="preserve">（关键工序）</w:t>
      </w:r>
      <w:r>
        <w:rPr>
          <w:rFonts w:hint="eastAsia" w:ascii="宋体" w:hAnsi="宋体" w:cs="宋体"/>
          <w:szCs w:val="21"/>
          <w:shd w:val="clear" w:color="auto" w:fill="ffffff"/>
        </w:rPr>
        <w:t xml:space="preserve">在中国境内完成。</w:t>
      </w:r>
      <w:r>
        <w:rPr>
          <w:rFonts w:hint="eastAsia" w:ascii="宋体" w:hAnsi="宋体" w:cs="宋体"/>
          <w:szCs w:val="21"/>
        </w:rPr>
      </w:r>
      <w:r/>
    </w:p>
    <w:p>
      <w:pPr>
        <w:pStyle w:val="1344"/>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w:t>
      </w:r>
      <w:r>
        <w:rPr>
          <w:rFonts w:hint="eastAsia" w:ascii="宋体" w:hAnsi="宋体" w:cs="宋体"/>
          <w:szCs w:val="21"/>
        </w:rPr>
      </w:r>
      <w:r/>
    </w:p>
    <w:p>
      <w:pPr>
        <w:pStyle w:val="1344"/>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本公司（单位）对上述声明内容的真实性负责。如有虚假，愿承担相应法律责任。</w:t>
      </w:r>
      <w:r>
        <w:rPr>
          <w:rFonts w:hint="eastAsia" w:ascii="宋体" w:hAnsi="宋体" w:cs="宋体"/>
          <w:szCs w:val="21"/>
        </w:rPr>
      </w:r>
      <w:r/>
    </w:p>
    <w:p>
      <w:pPr>
        <w:pStyle w:val="1344"/>
        <w:jc w:val="left"/>
        <w:spacing w:before="30" w:after="30" w:line="360" w:lineRule="auto"/>
        <w:widowControl/>
        <w:rPr>
          <w:rFonts w:hint="eastAsia" w:ascii="宋体" w:hAnsi="宋体" w:cs="宋体"/>
          <w:szCs w:val="21"/>
        </w:rPr>
      </w:pPr>
      <w:r>
        <w:rPr>
          <w:rFonts w:hint="eastAsia" w:ascii="宋体" w:hAnsi="宋体" w:cs="宋体"/>
          <w:szCs w:val="21"/>
        </w:rPr>
      </w:r>
      <w:r/>
    </w:p>
    <w:p>
      <w:pPr>
        <w:pStyle w:val="1344"/>
        <w:ind w:right="480" w:firstLine="3255"/>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公司（单位）名称（盖章）：　        </w:t>
      </w:r>
      <w:r>
        <w:rPr>
          <w:rFonts w:hint="eastAsia" w:ascii="宋体" w:hAnsi="宋体" w:cs="宋体"/>
          <w:szCs w:val="21"/>
        </w:rPr>
      </w:r>
      <w:r/>
    </w:p>
    <w:p>
      <w:pPr>
        <w:pStyle w:val="1344"/>
        <w:jc w:val="center"/>
        <w:spacing w:before="30" w:after="30" w:line="360" w:lineRule="auto"/>
        <w:widowControl/>
        <w:rPr>
          <w:rFonts w:hint="eastAsia" w:ascii="宋体" w:hAnsi="宋体" w:cs="宋体"/>
          <w:sz w:val="24"/>
          <w:szCs w:val="24"/>
        </w:rPr>
      </w:pPr>
      <w:r>
        <w:rPr>
          <w:rFonts w:hint="eastAsia" w:ascii="宋体" w:hAnsi="宋体" w:cs="宋体"/>
          <w:szCs w:val="21"/>
          <w:shd w:val="clear" w:color="auto" w:fill="ffffff"/>
        </w:rPr>
        <w:t xml:space="preserve">                                日期：　   年　  月　  日</w:t>
      </w:r>
      <w:r>
        <w:rPr>
          <w:rFonts w:hint="eastAsia" w:ascii="宋体" w:hAnsi="宋体" w:cs="宋体"/>
          <w:sz w:val="24"/>
          <w:szCs w:val="24"/>
          <w:shd w:val="clear" w:color="auto" w:fill="ffffff"/>
        </w:rPr>
        <w:t xml:space="preserve">         </w:t>
      </w:r>
      <w:r>
        <w:rPr>
          <w:rFonts w:hint="eastAsia" w:ascii="宋体" w:hAnsi="宋体" w:cs="宋体"/>
          <w:sz w:val="24"/>
          <w:szCs w:val="24"/>
        </w:rPr>
      </w:r>
      <w:r/>
    </w:p>
    <w:p>
      <w:pPr>
        <w:pStyle w:val="1344"/>
        <w:jc w:val="left"/>
        <w:spacing w:before="30" w:after="30" w:line="360" w:lineRule="auto"/>
        <w:widowControl/>
        <w:rPr>
          <w:sz w:val="24"/>
          <w:szCs w:val="24"/>
        </w:rPr>
      </w:pPr>
      <w:r>
        <w:rPr>
          <w:sz w:val="24"/>
          <w:szCs w:val="24"/>
          <w:shd w:val="clear" w:color="auto" w:fill="ffffff"/>
        </w:rPr>
        <w:t xml:space="preserve">__________________</w:t>
      </w:r>
      <w:r>
        <w:rPr>
          <w:sz w:val="24"/>
          <w:szCs w:val="24"/>
        </w:rPr>
      </w:r>
      <w:r/>
    </w:p>
    <w:p>
      <w:pPr>
        <w:pStyle w:val="1344"/>
        <w:jc w:val="left"/>
        <w:spacing w:line="400" w:lineRule="exact"/>
        <w:widowControl/>
        <w:rPr>
          <w:sz w:val="22"/>
          <w:szCs w:val="24"/>
        </w:rPr>
      </w:pPr>
      <w:r>
        <w:rPr>
          <w:sz w:val="22"/>
          <w:szCs w:val="24"/>
          <w:shd w:val="clear" w:color="auto" w:fill="ffffff"/>
        </w:rPr>
        <w:t xml:space="preserve">1.产品如有型号，请在“产品名称”栏一并填写。</w:t>
      </w:r>
      <w:r>
        <w:rPr>
          <w:sz w:val="22"/>
          <w:szCs w:val="24"/>
        </w:rPr>
      </w:r>
      <w:r/>
    </w:p>
    <w:p>
      <w:pPr>
        <w:pStyle w:val="1344"/>
        <w:jc w:val="left"/>
        <w:spacing w:line="400" w:lineRule="exact"/>
        <w:widowControl/>
        <w:rPr>
          <w:sz w:val="22"/>
          <w:szCs w:val="24"/>
        </w:rPr>
      </w:pPr>
      <w:r>
        <w:rPr>
          <w:sz w:val="22"/>
          <w:szCs w:val="24"/>
          <w:shd w:val="clear" w:color="auto" w:fill="ffffff"/>
        </w:rPr>
        <w:t xml:space="preserve">2.生产厂名与厂址应与生产厂营业执照载明的相关信息保持一致。</w:t>
      </w:r>
      <w:r>
        <w:rPr>
          <w:sz w:val="22"/>
          <w:szCs w:val="24"/>
        </w:rPr>
      </w:r>
      <w:r/>
    </w:p>
    <w:p>
      <w:pPr>
        <w:pStyle w:val="1344"/>
        <w:jc w:val="left"/>
        <w:spacing w:line="400" w:lineRule="exact"/>
        <w:widowControl/>
        <w:rPr>
          <w:sz w:val="22"/>
          <w:szCs w:val="24"/>
        </w:rPr>
      </w:pPr>
      <w:r>
        <w:rPr>
          <w:sz w:val="22"/>
          <w:szCs w:val="24"/>
          <w:shd w:val="clear" w:color="auto" w:fill="ffffff"/>
        </w:rPr>
        <w:t xml:space="preserve">3.该产品的中国境内生产的组件成本占比相关要求实施前，“规定比例”栏可不填，下同。</w:t>
      </w:r>
      <w:r>
        <w:rPr>
          <w:sz w:val="22"/>
          <w:szCs w:val="24"/>
        </w:rPr>
      </w:r>
      <w:r/>
    </w:p>
    <w:p>
      <w:pPr>
        <w:pStyle w:val="1344"/>
        <w:jc w:val="left"/>
        <w:spacing w:line="400" w:lineRule="exact"/>
        <w:widowControl/>
        <w:rPr>
          <w:sz w:val="22"/>
          <w:szCs w:val="24"/>
        </w:rPr>
      </w:pPr>
      <w:r>
        <w:rPr>
          <w:sz w:val="22"/>
          <w:szCs w:val="24"/>
          <w:shd w:val="clear" w:color="auto" w:fill="ffffff"/>
        </w:rPr>
        <w:t xml:space="preserve">4.该产品的关键组件要求实施前，“关键组件”栏可不填，下同。</w:t>
      </w:r>
      <w:r>
        <w:rPr>
          <w:sz w:val="22"/>
          <w:szCs w:val="24"/>
        </w:rPr>
      </w:r>
      <w:r/>
    </w:p>
    <w:p>
      <w:pPr>
        <w:pStyle w:val="1344"/>
        <w:jc w:val="left"/>
        <w:spacing w:line="400" w:lineRule="exact"/>
        <w:widowControl/>
        <w:rPr>
          <w:sz w:val="22"/>
          <w:szCs w:val="24"/>
          <w:shd w:val="clear" w:color="auto" w:fill="ffffff"/>
        </w:rPr>
      </w:pPr>
      <w:r>
        <w:rPr>
          <w:sz w:val="22"/>
          <w:szCs w:val="24"/>
          <w:shd w:val="clear" w:color="auto" w:fill="ffffff"/>
        </w:rPr>
        <w:t xml:space="preserve">5.该产品的关键工序要求实施前，“关键工序”栏可不填，下同。</w:t>
      </w:r>
      <w:r>
        <w:rPr>
          <w:sz w:val="22"/>
          <w:szCs w:val="24"/>
          <w:shd w:val="clear" w:color="auto" w:fill="ffffff"/>
        </w:rPr>
      </w:r>
      <w:r/>
    </w:p>
    <w:p>
      <w:pPr>
        <w:pStyle w:val="1344"/>
        <w:jc w:val="left"/>
        <w:spacing w:line="400" w:lineRule="exact"/>
        <w:widowControl/>
        <w:rPr>
          <w:sz w:val="22"/>
          <w:szCs w:val="24"/>
          <w:shd w:val="clear" w:color="auto" w:fill="ffffff"/>
        </w:rPr>
      </w:pPr>
      <w:r>
        <w:rPr>
          <w:sz w:val="22"/>
          <w:szCs w:val="24"/>
          <w:shd w:val="clear" w:color="auto" w:fill="ffffff"/>
        </w:rPr>
        <w:t xml:space="preserve">6.用斜线划除的地方无需填写。</w:t>
      </w:r>
      <w:r>
        <w:rPr>
          <w:sz w:val="22"/>
          <w:szCs w:val="24"/>
          <w:shd w:val="clear" w:color="auto" w:fill="ffffff"/>
        </w:rPr>
      </w:r>
      <w:r/>
    </w:p>
    <w:p>
      <w:pPr>
        <w:pStyle w:val="1344"/>
        <w:jc w:val="left"/>
        <w:spacing w:line="400" w:lineRule="exact"/>
        <w:widowControl/>
        <w:rPr>
          <w:sz w:val="22"/>
          <w:szCs w:val="24"/>
          <w:shd w:val="clear" w:color="auto" w:fill="ffffff"/>
        </w:rPr>
      </w:pPr>
      <w:r>
        <w:rPr>
          <w:sz w:val="22"/>
          <w:szCs w:val="24"/>
          <w:shd w:val="clear" w:color="auto" w:fill="ffffff"/>
        </w:rPr>
        <w:t xml:space="preserve">7.供应商提供虚假《声明函》、虚假证明文件谋取中标、成交的，依照《中华人民共和国政府采购法》等法律法规规定追究相应责任。</w:t>
      </w:r>
      <w:r>
        <w:rPr>
          <w:sz w:val="22"/>
          <w:szCs w:val="24"/>
          <w:shd w:val="clear" w:color="auto" w:fill="ffffff"/>
        </w:rPr>
      </w:r>
      <w:r/>
    </w:p>
    <w:p>
      <w:pPr>
        <w:pStyle w:val="1344"/>
        <w:ind w:right="-5"/>
        <w:spacing w:line="360" w:lineRule="auto"/>
        <w:rPr>
          <w:spacing w:val="6"/>
          <w:sz w:val="24"/>
          <w:szCs w:val="24"/>
        </w:rPr>
        <w:sectPr>
          <w:footerReference w:type="first" r:id="rId25"/>
          <w:footnotePr/>
          <w:endnotePr/>
          <w:type w:val="nextPage"/>
          <w:pgSz w:w="11906" w:h="16838" w:orient="portrait"/>
          <w:pgMar w:top="1134" w:right="1134" w:bottom="1134" w:left="1134" w:header="851" w:footer="992" w:gutter="0"/>
          <w:cols w:num="1" w:sep="0" w:space="1701" w:equalWidth="1"/>
          <w:docGrid w:linePitch="360"/>
          <w:titlePg/>
        </w:sectPr>
      </w:pPr>
      <w:r>
        <w:rPr>
          <w:sz w:val="22"/>
          <w:shd w:val="clear" w:color="auto" w:fill="ffffff"/>
        </w:rPr>
        <w:t xml:space="preserve">8.中标、成交供应商提供的《声明函》或有关证明文件将随中标、成交结果同时公告。</w:t>
      </w:r>
      <w:r>
        <w:rPr>
          <w:spacing w:val="6"/>
          <w:sz w:val="24"/>
          <w:szCs w:val="24"/>
        </w:rPr>
        <w:t xml:space="preserve"> </w:t>
      </w:r>
      <w:r>
        <w:rPr>
          <w:spacing w:val="6"/>
          <w:sz w:val="24"/>
          <w:szCs w:val="24"/>
        </w:rPr>
      </w:r>
      <w:r/>
    </w:p>
    <w:p>
      <w:pPr>
        <w:pStyle w:val="1344"/>
        <w:spacing w:after="156" w:line="440" w:lineRule="exact"/>
        <w:rPr>
          <w:rFonts w:hint="eastAsia"/>
          <w:b/>
          <w:bCs/>
          <w:sz w:val="24"/>
          <w:szCs w:val="22"/>
          <w:lang w:val="zh-TW"/>
        </w:rPr>
        <w:outlineLvl w:val="1"/>
      </w:pPr>
      <w:r/>
      <w:bookmarkStart w:id="436" w:name="_Toc27191"/>
      <w:r/>
      <w:bookmarkStart w:id="437" w:name="_Toc1269"/>
      <w:r>
        <w:rPr>
          <w:rFonts w:hint="eastAsia"/>
          <w:b/>
          <w:bCs/>
          <w:sz w:val="24"/>
          <w:szCs w:val="22"/>
        </w:rPr>
        <w:t xml:space="preserve">附：</w:t>
      </w:r>
      <w:r>
        <w:rPr>
          <w:b/>
          <w:bCs/>
          <w:sz w:val="24"/>
          <w:szCs w:val="22"/>
          <w:lang w:val="zh-TW"/>
        </w:rPr>
        <w:t xml:space="preserve">成本比例声明函（如适用）</w:t>
      </w:r>
      <w:bookmarkEnd w:id="436"/>
      <w:r/>
      <w:bookmarkEnd w:id="437"/>
      <w:r>
        <w:rPr>
          <w:b/>
          <w:bCs/>
          <w:sz w:val="24"/>
          <w:szCs w:val="22"/>
          <w:lang w:val="zh-TW"/>
        </w:rPr>
        <w:t xml:space="preserve"> </w:t>
      </w:r>
      <w:r>
        <w:rPr>
          <w:rFonts w:hint="eastAsia"/>
          <w:b/>
          <w:bCs/>
          <w:sz w:val="24"/>
          <w:szCs w:val="22"/>
          <w:lang w:val="zh-TW"/>
        </w:rPr>
      </w:r>
      <w:r/>
    </w:p>
    <w:p>
      <w:pPr>
        <w:pStyle w:val="1344"/>
        <w:jc w:val="left"/>
        <w:spacing w:line="360" w:lineRule="auto"/>
        <w:rPr>
          <w:szCs w:val="21"/>
        </w:rPr>
      </w:pPr>
      <w:r>
        <w:rPr>
          <w:rFonts w:ascii="宋体" w:hAnsi="宋体" w:cs="宋体"/>
          <w:szCs w:val="21"/>
        </w:rPr>
        <w:t xml:space="preserve">（适用于</w:t>
      </w:r>
      <w:r>
        <w:rPr>
          <w:szCs w:val="21"/>
        </w:rPr>
        <w:t xml:space="preserve">采购项目或者采购包中含有多种产品时，不提供或者提供声明的比例达不到要求时，不享受价格扣除） </w:t>
      </w:r>
      <w:r>
        <w:rPr>
          <w:szCs w:val="21"/>
        </w:rPr>
      </w:r>
      <w:r/>
    </w:p>
    <w:p>
      <w:pPr>
        <w:pStyle w:val="1344"/>
        <w:jc w:val="center"/>
        <w:spacing w:line="360" w:lineRule="auto"/>
        <w:rPr>
          <w:sz w:val="24"/>
          <w:szCs w:val="24"/>
        </w:rPr>
      </w:pPr>
      <w:r>
        <w:rPr>
          <w:b/>
          <w:bCs/>
          <w:sz w:val="24"/>
          <w:szCs w:val="24"/>
        </w:rPr>
        <w:t xml:space="preserve">成本比例声明函</w:t>
      </w:r>
      <w:r>
        <w:rPr>
          <w:sz w:val="24"/>
          <w:szCs w:val="24"/>
        </w:rPr>
      </w:r>
      <w:r/>
    </w:p>
    <w:p>
      <w:pPr>
        <w:pStyle w:val="1344"/>
        <w:ind w:firstLine="420"/>
        <w:jc w:val="left"/>
        <w:spacing w:line="360" w:lineRule="auto"/>
        <w:rPr>
          <w:szCs w:val="21"/>
        </w:rPr>
      </w:pPr>
      <w:r>
        <w:rPr>
          <w:szCs w:val="21"/>
        </w:rPr>
      </w:r>
      <w:r/>
    </w:p>
    <w:p>
      <w:pPr>
        <w:pStyle w:val="1344"/>
        <w:ind w:firstLine="420"/>
        <w:jc w:val="left"/>
        <w:spacing w:line="360" w:lineRule="auto"/>
        <w:widowControl/>
        <w:rPr>
          <w:szCs w:val="21"/>
        </w:rPr>
      </w:pPr>
      <w:r>
        <w:rPr>
          <w:szCs w:val="21"/>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szCs w:val="21"/>
          <w:u w:val="single"/>
        </w:rPr>
        <w:t xml:space="preserve">       </w:t>
      </w:r>
      <w:r>
        <w:rPr>
          <w:szCs w:val="21"/>
        </w:rPr>
        <w:t xml:space="preserve">（填写具体百分比）。 </w:t>
      </w:r>
      <w:r>
        <w:rPr>
          <w:szCs w:val="21"/>
        </w:rPr>
      </w:r>
      <w:r/>
    </w:p>
    <w:p>
      <w:pPr>
        <w:pStyle w:val="1344"/>
        <w:ind w:firstLine="420"/>
        <w:jc w:val="left"/>
        <w:spacing w:line="360" w:lineRule="auto"/>
        <w:widowControl/>
        <w:rPr>
          <w:szCs w:val="21"/>
        </w:rPr>
      </w:pPr>
      <w:r>
        <w:rPr>
          <w:szCs w:val="21"/>
        </w:rPr>
        <w:t xml:space="preserve">本公司（单位）对上述声明内容的真实性负责。如有虚假，愿承担相应法律责任。 </w:t>
      </w:r>
      <w:r>
        <w:rPr>
          <w:szCs w:val="21"/>
        </w:rPr>
      </w:r>
      <w:r/>
    </w:p>
    <w:p>
      <w:pPr>
        <w:pStyle w:val="1344"/>
        <w:ind w:left="562" w:firstLine="420"/>
        <w:jc w:val="center"/>
        <w:spacing w:line="360" w:lineRule="auto"/>
        <w:widowControl/>
        <w:rPr>
          <w:szCs w:val="21"/>
        </w:rPr>
      </w:pPr>
      <w:r>
        <w:rPr>
          <w:szCs w:val="21"/>
        </w:rPr>
      </w:r>
      <w:r/>
    </w:p>
    <w:p>
      <w:pPr>
        <w:pStyle w:val="1344"/>
        <w:ind w:left="562" w:firstLine="420"/>
        <w:jc w:val="center"/>
        <w:spacing w:line="360" w:lineRule="auto"/>
        <w:widowControl/>
        <w:rPr>
          <w:szCs w:val="21"/>
        </w:rPr>
      </w:pPr>
      <w:r>
        <w:rPr>
          <w:szCs w:val="21"/>
        </w:rPr>
        <w:t xml:space="preserve">公司（单位）名称（盖章）：</w:t>
      </w:r>
      <w:r>
        <w:rPr>
          <w:szCs w:val="21"/>
        </w:rPr>
      </w:r>
      <w:r/>
    </w:p>
    <w:p>
      <w:pPr>
        <w:pStyle w:val="1344"/>
        <w:ind w:left="562" w:firstLine="420"/>
        <w:jc w:val="center"/>
        <w:spacing w:line="360" w:lineRule="auto"/>
        <w:widowControl/>
        <w:rPr>
          <w:szCs w:val="21"/>
        </w:rPr>
      </w:pPr>
      <w:r>
        <w:rPr>
          <w:szCs w:val="21"/>
        </w:rPr>
        <w:t xml:space="preserve">日期： 年 月 日</w:t>
      </w:r>
      <w:r>
        <w:rPr>
          <w:szCs w:val="21"/>
        </w:rPr>
      </w:r>
      <w:r/>
    </w:p>
    <w:p>
      <w:pPr>
        <w:pStyle w:val="1344"/>
        <w:ind w:left="562" w:firstLine="420"/>
        <w:jc w:val="left"/>
        <w:spacing w:line="360" w:lineRule="auto"/>
        <w:rPr>
          <w:szCs w:val="21"/>
        </w:rPr>
      </w:pPr>
      <w:r>
        <w:rPr>
          <w:szCs w:val="21"/>
        </w:rPr>
      </w:r>
      <w:r/>
    </w:p>
    <w:p>
      <w:pPr>
        <w:pStyle w:val="1344"/>
        <w:ind w:left="562" w:firstLine="420"/>
        <w:jc w:val="left"/>
        <w:spacing w:line="360" w:lineRule="auto"/>
        <w:rPr>
          <w:szCs w:val="21"/>
        </w:rPr>
      </w:pPr>
      <w:r>
        <w:rPr>
          <w:szCs w:val="21"/>
        </w:rPr>
      </w:r>
      <w:r/>
    </w:p>
    <w:p>
      <w:pPr>
        <w:pStyle w:val="1344"/>
        <w:ind w:firstLine="420"/>
        <w:jc w:val="left"/>
        <w:spacing w:before="229" w:line="360" w:lineRule="auto"/>
        <w:rPr>
          <w:szCs w:val="21"/>
          <w:lang w:val="zh-TW"/>
        </w:rPr>
      </w:pPr>
      <w:r>
        <w:rPr>
          <w:szCs w:val="21"/>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szCs w:val="21"/>
          <w:lang w:val="zh-TW"/>
        </w:rPr>
      </w:r>
      <w:r/>
    </w:p>
    <w:p>
      <w:pPr>
        <w:pStyle w:val="1344"/>
        <w:spacing w:line="440" w:lineRule="exact"/>
        <w:rPr>
          <w:rFonts w:hint="eastAsia"/>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rPr>
      </w:r>
      <w:r/>
    </w:p>
    <w:p>
      <w:pPr>
        <w:pStyle w:val="1344"/>
        <w:spacing w:after="156" w:line="440" w:lineRule="exact"/>
        <w:rPr>
          <w:b/>
        </w:rPr>
        <w:outlineLvl w:val="1"/>
      </w:pPr>
      <w:r/>
      <w:bookmarkStart w:id="438" w:name="_Toc3450"/>
      <w:r/>
      <w:bookmarkStart w:id="439" w:name="_Toc17365"/>
      <w:r/>
      <w:bookmarkStart w:id="440" w:name="_Toc1006"/>
      <w:r>
        <w:rPr>
          <w:b/>
          <w:bCs/>
          <w:sz w:val="24"/>
          <w:szCs w:val="22"/>
          <w:lang w:val="zh-CN"/>
        </w:rPr>
        <w:t xml:space="preserve">附件</w:t>
      </w:r>
      <w:r>
        <w:rPr>
          <w:rFonts w:hint="eastAsia"/>
          <w:b/>
          <w:bCs/>
          <w:sz w:val="24"/>
          <w:szCs w:val="22"/>
        </w:rPr>
        <w:t xml:space="preserve">七</w:t>
      </w:r>
      <w:r>
        <w:rPr>
          <w:b/>
          <w:bCs/>
          <w:sz w:val="24"/>
          <w:szCs w:val="22"/>
        </w:rPr>
        <w:t xml:space="preserve"> </w:t>
      </w:r>
      <w:r>
        <w:rPr>
          <w:b/>
          <w:bCs/>
          <w:sz w:val="24"/>
          <w:szCs w:val="22"/>
          <w:lang w:val="zh-CN"/>
        </w:rPr>
        <w:t xml:space="preserve">资格证明文件</w:t>
      </w:r>
      <w:bookmarkEnd w:id="438"/>
      <w:r/>
      <w:bookmarkEnd w:id="439"/>
      <w:r/>
      <w:bookmarkEnd w:id="440"/>
      <w:r>
        <w:rPr>
          <w:b/>
        </w:rPr>
      </w:r>
      <w:r/>
    </w:p>
    <w:p>
      <w:pPr>
        <w:pStyle w:val="1344"/>
        <w:jc w:val="left"/>
        <w:spacing w:line="360" w:lineRule="auto"/>
        <w:rPr>
          <w:b/>
          <w:bCs/>
          <w:szCs w:val="21"/>
          <w:lang w:val="zh-CN"/>
        </w:rPr>
        <w:outlineLvl w:val="2"/>
      </w:pPr>
      <w:r/>
      <w:bookmarkStart w:id="441" w:name="_Toc28163"/>
      <w:r/>
      <w:bookmarkStart w:id="442" w:name="_Toc27229"/>
      <w:r/>
      <w:bookmarkStart w:id="443" w:name="_Toc15706"/>
      <w:r>
        <w:rPr>
          <w:b/>
          <w:bCs/>
          <w:szCs w:val="21"/>
          <w:lang w:val="zh-CN"/>
        </w:rPr>
        <w:t xml:space="preserve">1、法人或其他组织的营业执照等证明文件（复印件加盖公章）</w:t>
      </w:r>
      <w:bookmarkEnd w:id="441"/>
      <w:r/>
      <w:bookmarkEnd w:id="442"/>
      <w:r/>
      <w:bookmarkEnd w:id="443"/>
      <w:r>
        <w:rPr>
          <w:b/>
          <w:bCs/>
          <w:szCs w:val="21"/>
          <w:lang w:val="zh-CN"/>
        </w:rPr>
      </w:r>
      <w:r/>
    </w:p>
    <w:p>
      <w:pPr>
        <w:pStyle w:val="1344"/>
        <w:spacing w:line="360" w:lineRule="auto"/>
        <w:rPr>
          <w:szCs w:val="21"/>
        </w:rPr>
      </w:pPr>
      <w:r>
        <w:rPr>
          <w:szCs w:val="21"/>
        </w:rPr>
        <w:t xml:space="preserve">注：投标人为法人单位的需提交有效的营业执照并加盖公章，投标人为其他组织的需提供有效的证明文件并加盖有效印章。 </w:t>
      </w:r>
      <w:r>
        <w:rPr>
          <w:szCs w:val="21"/>
        </w:rPr>
      </w:r>
      <w:r/>
    </w:p>
    <w:p>
      <w:pPr>
        <w:pStyle w:val="1344"/>
        <w:spacing w:line="440" w:lineRule="exact"/>
        <w:rPr>
          <w:sz w:val="24"/>
          <w:szCs w:val="24"/>
        </w:rPr>
      </w:pPr>
      <w:r>
        <w:rPr>
          <w:sz w:val="24"/>
          <w:szCs w:val="24"/>
        </w:rPr>
      </w:r>
      <w:r/>
    </w:p>
    <w:p>
      <w:pPr>
        <w:pStyle w:val="1344"/>
        <w:spacing w:line="440" w:lineRule="exact"/>
        <w:rPr>
          <w:sz w:val="24"/>
          <w:szCs w:val="24"/>
        </w:rPr>
      </w:pPr>
      <w:r>
        <w:rPr>
          <w:sz w:val="24"/>
          <w:szCs w:val="24"/>
        </w:rPr>
      </w:r>
      <w:r/>
    </w:p>
    <w:p>
      <w:pPr>
        <w:pStyle w:val="1344"/>
        <w:spacing w:line="440" w:lineRule="exact"/>
        <w:rPr>
          <w:sz w:val="24"/>
          <w:szCs w:val="24"/>
        </w:rPr>
      </w:pPr>
      <w:r>
        <w:rPr>
          <w:sz w:val="24"/>
          <w:szCs w:val="24"/>
        </w:rPr>
      </w:r>
      <w:r/>
    </w:p>
    <w:p>
      <w:pPr>
        <w:pStyle w:val="1344"/>
        <w:spacing w:line="440" w:lineRule="exact"/>
        <w:rPr>
          <w:sz w:val="24"/>
          <w:szCs w:val="24"/>
        </w:rPr>
      </w:pPr>
      <w:r>
        <w:rPr>
          <w:sz w:val="24"/>
          <w:szCs w:val="24"/>
        </w:rPr>
      </w:r>
      <w:r/>
    </w:p>
    <w:p>
      <w:pPr>
        <w:pStyle w:val="1344"/>
        <w:spacing w:line="440" w:lineRule="exact"/>
        <w:rPr>
          <w:szCs w:val="21"/>
        </w:rPr>
      </w:pPr>
      <w:r>
        <w:rPr>
          <w:szCs w:val="21"/>
        </w:rPr>
        <w:t xml:space="preserve">投标人名称（公章）：</w:t>
      </w:r>
      <w:r>
        <w:rPr>
          <w:szCs w:val="21"/>
        </w:rPr>
      </w:r>
      <w:r/>
    </w:p>
    <w:p>
      <w:pPr>
        <w:pStyle w:val="1344"/>
        <w:spacing w:line="440" w:lineRule="exact"/>
        <w:rPr>
          <w:szCs w:val="21"/>
        </w:rPr>
      </w:pPr>
      <w:r>
        <w:rPr>
          <w:szCs w:val="21"/>
        </w:rPr>
        <w:t xml:space="preserve">授权代表（签字）：</w:t>
      </w:r>
      <w:r>
        <w:rPr>
          <w:szCs w:val="21"/>
        </w:rPr>
      </w:r>
      <w:r/>
    </w:p>
    <w:p>
      <w:pPr>
        <w:pStyle w:val="1344"/>
        <w:spacing w:line="440" w:lineRule="exact"/>
        <w:rPr>
          <w:szCs w:val="21"/>
        </w:rPr>
      </w:pPr>
      <w:r>
        <w:rPr>
          <w:szCs w:val="21"/>
        </w:rPr>
        <w:t xml:space="preserve">日期：</w:t>
      </w:r>
      <w:r>
        <w:rPr>
          <w:szCs w:val="21"/>
        </w:rPr>
      </w:r>
      <w:r/>
    </w:p>
    <w:p>
      <w:pPr>
        <w:pStyle w:val="1344"/>
        <w:spacing w:line="440" w:lineRule="exact"/>
        <w:rPr>
          <w:sz w:val="24"/>
          <w:szCs w:val="24"/>
        </w:rPr>
      </w:pPr>
      <w:r>
        <w:rPr>
          <w:sz w:val="24"/>
          <w:szCs w:val="24"/>
        </w:rPr>
      </w:r>
      <w:r/>
    </w:p>
    <w:p>
      <w:pPr>
        <w:pStyle w:val="1344"/>
        <w:spacing w:line="440" w:lineRule="exact"/>
        <w:rPr>
          <w:sz w:val="24"/>
          <w:szCs w:val="24"/>
        </w:rPr>
      </w:pPr>
      <w:r>
        <w:rPr>
          <w:sz w:val="24"/>
          <w:szCs w:val="24"/>
        </w:rPr>
      </w:r>
      <w:r/>
    </w:p>
    <w:p>
      <w:pPr>
        <w:pStyle w:val="1344"/>
        <w:spacing w:line="440" w:lineRule="exact"/>
        <w:rPr>
          <w:sz w:val="24"/>
          <w:szCs w:val="24"/>
        </w:rPr>
      </w:pPr>
      <w:r>
        <w:rPr>
          <w:sz w:val="24"/>
          <w:szCs w:val="24"/>
        </w:rPr>
      </w:r>
      <w:r/>
    </w:p>
    <w:p>
      <w:pPr>
        <w:pStyle w:val="1344"/>
        <w:spacing w:line="440" w:lineRule="exact"/>
        <w:rPr>
          <w:sz w:val="24"/>
          <w:szCs w:val="24"/>
        </w:rPr>
      </w:pPr>
      <w:r>
        <w:rPr>
          <w:sz w:val="24"/>
          <w:szCs w:val="24"/>
        </w:rPr>
      </w:r>
      <w:r/>
    </w:p>
    <w:p>
      <w:pPr>
        <w:pStyle w:val="1344"/>
        <w:spacing w:line="440" w:lineRule="exact"/>
        <w:rPr>
          <w:sz w:val="24"/>
          <w:szCs w:val="24"/>
        </w:rPr>
      </w:pPr>
      <w:r>
        <w:rPr>
          <w:sz w:val="24"/>
          <w:szCs w:val="24"/>
        </w:rPr>
      </w:r>
      <w:r/>
    </w:p>
    <w:p>
      <w:pPr>
        <w:pStyle w:val="1344"/>
        <w:jc w:val="left"/>
        <w:spacing w:line="360" w:lineRule="auto"/>
        <w:rPr>
          <w:b/>
          <w:bCs/>
          <w:szCs w:val="21"/>
          <w:lang w:val="zh-CN"/>
        </w:rPr>
        <w:sectPr>
          <w:footerReference w:type="first" r:id="rId26"/>
          <w:footnotePr/>
          <w:endnotePr/>
          <w:type w:val="nextPage"/>
          <w:pgSz w:w="11906" w:h="16838" w:orient="portrait"/>
          <w:pgMar w:top="1134" w:right="1134" w:bottom="1134" w:left="1134" w:header="851" w:footer="992" w:gutter="0"/>
          <w:cols w:num="1" w:sep="0" w:space="1701" w:equalWidth="1"/>
          <w:docGrid w:linePitch="360"/>
          <w:titlePg/>
        </w:sectPr>
        <w:outlineLvl w:val="2"/>
      </w:pPr>
      <w:r>
        <w:rPr>
          <w:b/>
          <w:bCs/>
          <w:szCs w:val="21"/>
          <w:lang w:val="zh-CN"/>
        </w:rPr>
      </w:r>
      <w:r/>
    </w:p>
    <w:p>
      <w:pPr>
        <w:pStyle w:val="1344"/>
        <w:jc w:val="left"/>
        <w:spacing w:line="360" w:lineRule="auto"/>
        <w:rPr>
          <w:b/>
          <w:bCs/>
          <w:szCs w:val="21"/>
          <w:lang w:val="zh-CN"/>
        </w:rPr>
        <w:outlineLvl w:val="2"/>
      </w:pPr>
      <w:r/>
      <w:bookmarkStart w:id="444" w:name="_Toc20681"/>
      <w:r/>
      <w:bookmarkStart w:id="445" w:name="_Toc24024"/>
      <w:r/>
      <w:bookmarkStart w:id="446" w:name="_Toc3569"/>
      <w:r>
        <w:rPr>
          <w:b/>
          <w:bCs/>
          <w:szCs w:val="21"/>
          <w:lang w:val="zh-CN"/>
        </w:rPr>
        <w:t xml:space="preserve">2、法人代表授权书</w:t>
      </w:r>
      <w:bookmarkEnd w:id="444"/>
      <w:r/>
      <w:bookmarkEnd w:id="445"/>
      <w:r/>
      <w:bookmarkEnd w:id="446"/>
      <w:r>
        <w:rPr>
          <w:b/>
          <w:bCs/>
          <w:szCs w:val="21"/>
          <w:lang w:val="zh-CN"/>
        </w:rPr>
      </w:r>
      <w:r/>
    </w:p>
    <w:p>
      <w:pPr>
        <w:pStyle w:val="1344"/>
        <w:spacing w:line="360" w:lineRule="auto"/>
        <w:rPr>
          <w:b/>
        </w:rPr>
      </w:pPr>
      <w:r>
        <w:rPr>
          <w:b/>
        </w:rPr>
        <w:t xml:space="preserve">致江苏苏美达仪器设备有限公司：</w:t>
      </w:r>
      <w:r>
        <w:rPr>
          <w:b/>
        </w:rPr>
      </w:r>
      <w:r/>
    </w:p>
    <w:p>
      <w:pPr>
        <w:pStyle w:val="1344"/>
        <w:spacing w:line="360" w:lineRule="auto"/>
        <w:rPr>
          <w:szCs w:val="21"/>
        </w:rPr>
      </w:pPr>
      <w:r>
        <w:rPr>
          <w:b/>
        </w:rPr>
        <w:t xml:space="preserve">   </w:t>
      </w:r>
      <w:r>
        <w:rPr>
          <w:szCs w:val="21"/>
        </w:rPr>
        <w:t xml:space="preserve">本授权委托书声明：注册于</w:t>
      </w:r>
      <w:r>
        <w:rPr>
          <w:szCs w:val="21"/>
          <w:u w:val="single"/>
        </w:rPr>
        <w:t xml:space="preserve">                </w:t>
      </w:r>
      <w:r>
        <w:rPr>
          <w:szCs w:val="21"/>
        </w:rPr>
        <w:t xml:space="preserve">（供应商住址）的</w:t>
      </w:r>
      <w:r>
        <w:rPr>
          <w:b/>
          <w:szCs w:val="21"/>
          <w:u w:val="single"/>
        </w:rPr>
        <w:t xml:space="preserve">              </w:t>
      </w:r>
      <w:r>
        <w:rPr>
          <w:szCs w:val="21"/>
        </w:rPr>
        <w:t xml:space="preserve">（供应商名称）法定代表人</w:t>
      </w:r>
      <w:r>
        <w:rPr>
          <w:szCs w:val="21"/>
          <w:u w:val="single"/>
        </w:rPr>
        <w:t xml:space="preserve"> </w:t>
      </w:r>
      <w:r>
        <w:rPr>
          <w:b/>
          <w:szCs w:val="21"/>
          <w:u w:val="single"/>
        </w:rPr>
        <w:t xml:space="preserve">          </w:t>
      </w:r>
      <w:r>
        <w:rPr>
          <w:szCs w:val="21"/>
        </w:rPr>
        <w:t xml:space="preserve">（法定代表人姓名、职务）代表本公司授权在下面签字的</w:t>
      </w:r>
      <w:r>
        <w:rPr>
          <w:szCs w:val="21"/>
          <w:u w:val="single"/>
        </w:rPr>
        <w:t xml:space="preserve">         </w:t>
      </w:r>
      <w:r>
        <w:rPr>
          <w:szCs w:val="21"/>
        </w:rPr>
        <w:t xml:space="preserve">（供应商代表姓名、职务）为本公司的合法代理人，就贵方组织的</w:t>
      </w:r>
      <w:r>
        <w:rPr>
          <w:szCs w:val="21"/>
          <w:u w:val="single"/>
        </w:rPr>
        <w:t xml:space="preserve">         </w:t>
      </w:r>
      <w:r>
        <w:rPr>
          <w:szCs w:val="21"/>
        </w:rPr>
        <w:t xml:space="preserve">（项目名称）</w:t>
      </w:r>
      <w:r>
        <w:rPr>
          <w:szCs w:val="21"/>
          <w:u w:val="single"/>
        </w:rPr>
        <w:t xml:space="preserve">            </w:t>
      </w:r>
      <w:r>
        <w:rPr>
          <w:szCs w:val="21"/>
        </w:rPr>
        <w:t xml:space="preserve">（项目编号）投标，以本公司名义处理一切与之有关的事务。</w:t>
      </w:r>
      <w:r>
        <w:rPr>
          <w:szCs w:val="21"/>
        </w:rPr>
      </w:r>
      <w:r/>
    </w:p>
    <w:p>
      <w:pPr>
        <w:pStyle w:val="1344"/>
        <w:ind w:firstLine="420"/>
        <w:spacing w:line="360" w:lineRule="auto"/>
        <w:rPr>
          <w:szCs w:val="21"/>
        </w:rPr>
      </w:pPr>
      <w:r>
        <w:rPr>
          <w:szCs w:val="21"/>
        </w:rPr>
        <w:t xml:space="preserve">本授权书于</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日签字生效，特此声明。</w:t>
      </w:r>
      <w:r>
        <w:rPr>
          <w:szCs w:val="21"/>
        </w:rPr>
      </w:r>
      <w:r/>
    </w:p>
    <w:p>
      <w:pPr>
        <w:pStyle w:val="1344"/>
        <w:spacing w:line="360" w:lineRule="auto"/>
        <w:rPr>
          <w:szCs w:val="21"/>
        </w:rPr>
      </w:pPr>
      <w:r>
        <w:rPr>
          <w:szCs w:val="21"/>
        </w:rPr>
      </w:r>
      <w:r/>
    </w:p>
    <w:p>
      <w:pPr>
        <w:pStyle w:val="1344"/>
        <w:spacing w:line="360" w:lineRule="auto"/>
        <w:rPr>
          <w:szCs w:val="21"/>
        </w:rPr>
      </w:pPr>
      <w:r>
        <w:rPr>
          <w:szCs w:val="21"/>
        </w:rPr>
        <w:t xml:space="preserve">法定代表人（签字或盖章）： </w:t>
      </w:r>
      <w:r>
        <w:rPr>
          <w:szCs w:val="21"/>
        </w:rPr>
      </w:r>
      <w:r/>
    </w:p>
    <w:p>
      <w:pPr>
        <w:pStyle w:val="1344"/>
        <w:spacing w:line="360" w:lineRule="auto"/>
        <w:rPr>
          <w:szCs w:val="21"/>
        </w:rPr>
      </w:pPr>
      <w:r>
        <w:rPr>
          <w:szCs w:val="21"/>
        </w:rPr>
        <w:t xml:space="preserve">授权代表（签字）： </w:t>
      </w:r>
      <w:r>
        <w:rPr>
          <w:szCs w:val="21"/>
        </w:rPr>
      </w:r>
      <w:r/>
    </w:p>
    <w:p>
      <w:pPr>
        <w:pStyle w:val="1344"/>
        <w:spacing w:line="360" w:lineRule="auto"/>
        <w:rPr>
          <w:color w:val="000000"/>
          <w:sz w:val="23"/>
        </w:rPr>
      </w:pPr>
      <w:r>
        <w:rPr>
          <w:szCs w:val="21"/>
        </w:rPr>
        <w:t xml:space="preserve">投标人名称（公章）：</w:t>
      </w:r>
      <w:r>
        <w:rPr>
          <w:color w:val="000000"/>
          <w:sz w:val="23"/>
        </w:rPr>
        <w:t xml:space="preserve"> </w:t>
      </w:r>
      <w:r>
        <w:rPr>
          <w:color w:val="000000"/>
          <w:sz w:val="23"/>
        </w:rPr>
      </w:r>
      <w:r/>
    </w:p>
    <w:p>
      <w:pPr>
        <w:pStyle w:val="1344"/>
        <w:spacing w:line="440" w:lineRule="exact"/>
        <w:rPr>
          <w:szCs w:val="21"/>
        </w:rPr>
      </w:pPr>
      <w:r>
        <w:rPr>
          <w:szCs w:val="21"/>
        </w:rPr>
        <w:t xml:space="preserve">日期：</w:t>
      </w:r>
      <w:r>
        <w:rPr>
          <w:szCs w:val="21"/>
        </w:rPr>
      </w:r>
      <w:r/>
    </w:p>
    <w:p>
      <w:pPr>
        <w:pStyle w:val="1344"/>
        <w:spacing w:line="360" w:lineRule="auto"/>
        <w:rPr>
          <w:b/>
          <w:szCs w:val="21"/>
        </w:rPr>
      </w:pPr>
      <w:r>
        <w:rPr>
          <w:color w:val="000000"/>
          <w:sz w:val="23"/>
        </w:rPr>
        <w:t xml:space="preserve"> </w:t>
      </w:r>
      <w:r>
        <w:rPr>
          <w:b/>
          <w:szCs w:val="21"/>
        </w:rPr>
      </w:r>
      <w:r/>
    </w:p>
    <w:p>
      <w:pPr>
        <w:pStyle w:val="1344"/>
        <w:spacing w:line="360" w:lineRule="auto"/>
        <w:rPr>
          <w:b/>
          <w:bCs/>
          <w:szCs w:val="21"/>
        </w:rPr>
      </w:pPr>
      <w:r>
        <w:rPr>
          <w:b/>
          <w:bCs/>
          <w:szCs w:val="21"/>
        </w:rPr>
        <w:t xml:space="preserve">附：法定代表人、供应商授权代表的身份证复印件</w:t>
      </w:r>
      <w:r>
        <w:rPr>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344"/>
              <w:spacing w:line="440" w:lineRule="exact"/>
              <w:rPr>
                <w:b/>
              </w:rPr>
            </w:pPr>
            <w:r>
              <w:rPr>
                <w:b/>
              </w:rPr>
            </w:r>
            <w:r/>
          </w:p>
        </w:tc>
      </w:tr>
    </w:tbl>
    <w:p>
      <w:pPr>
        <w:pStyle w:val="1344"/>
        <w:spacing w:line="440" w:lineRule="exact"/>
        <w:rPr>
          <w:b/>
        </w:rPr>
      </w:pPr>
      <w:r>
        <w:rPr>
          <w:b/>
        </w:rPr>
      </w:r>
      <w:r/>
    </w:p>
    <w:p>
      <w:pPr>
        <w:pStyle w:val="1344"/>
        <w:ind w:firstLine="284"/>
        <w:spacing w:line="360" w:lineRule="auto"/>
        <w:shd w:val="clear" w:color="auto" w:fill="ffffff"/>
        <w:widowControl/>
        <w:rPr>
          <w:color w:val="0000ff"/>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ff"/>
          <w:szCs w:val="21"/>
        </w:rPr>
      </w:r>
      <w:r/>
    </w:p>
    <w:p>
      <w:pPr>
        <w:pStyle w:val="1344"/>
        <w:ind w:right="-5"/>
        <w:spacing w:line="360" w:lineRule="auto"/>
        <w:rPr>
          <w:b/>
          <w:bCs/>
          <w:szCs w:val="21"/>
          <w:lang w:val="zh-CN"/>
        </w:rPr>
        <w:outlineLvl w:val="2"/>
      </w:pPr>
      <w:r/>
      <w:bookmarkStart w:id="447" w:name="_Toc24273"/>
      <w:r/>
      <w:bookmarkStart w:id="448" w:name="_Toc5456"/>
      <w:r/>
      <w:bookmarkStart w:id="449" w:name="_Toc28466"/>
      <w:r>
        <w:rPr>
          <w:b/>
          <w:bCs/>
          <w:szCs w:val="21"/>
        </w:rPr>
        <w:t xml:space="preserve">3</w:t>
      </w:r>
      <w:r>
        <w:rPr>
          <w:b/>
          <w:bCs/>
          <w:szCs w:val="21"/>
          <w:lang w:val="zh-CN"/>
        </w:rPr>
        <w:t xml:space="preserve">、具有良好的商业信誉和健全的财务会计制度</w:t>
      </w:r>
      <w:bookmarkEnd w:id="447"/>
      <w:r/>
      <w:bookmarkEnd w:id="448"/>
      <w:r/>
      <w:bookmarkEnd w:id="449"/>
      <w:r>
        <w:rPr>
          <w:b/>
          <w:bCs/>
          <w:szCs w:val="21"/>
          <w:lang w:val="zh-CN"/>
        </w:rPr>
      </w:r>
      <w:r/>
    </w:p>
    <w:p>
      <w:pPr>
        <w:pStyle w:val="1344"/>
        <w:ind w:left="-2" w:right="-5"/>
        <w:spacing w:line="440" w:lineRule="exact"/>
        <w:rPr>
          <w:sz w:val="24"/>
        </w:rPr>
      </w:pPr>
      <w:r>
        <w:rPr>
          <w:sz w:val="24"/>
        </w:rPr>
      </w:r>
      <w:r/>
    </w:p>
    <w:p>
      <w:pPr>
        <w:pStyle w:val="1344"/>
        <w:ind w:left="-2" w:right="-5"/>
        <w:spacing w:line="440" w:lineRule="exact"/>
        <w:rPr>
          <w:sz w:val="24"/>
        </w:rPr>
      </w:pPr>
      <w:r>
        <w:rPr>
          <w:szCs w:val="21"/>
        </w:rPr>
        <w:t xml:space="preserve">提供</w:t>
      </w:r>
      <w:r>
        <w:t xml:space="preserve">距开标时间六个月内任意一月份的</w:t>
      </w:r>
      <w:r>
        <w:rPr>
          <w:szCs w:val="21"/>
        </w:rPr>
        <w:t xml:space="preserve">财务状况报告（</w:t>
      </w:r>
      <w:r>
        <w:rPr>
          <w:b/>
          <w:szCs w:val="21"/>
          <w:u w:val="single"/>
        </w:rPr>
        <w:t xml:space="preserve">至少包括资产负债表和利润表</w:t>
      </w:r>
      <w:r>
        <w:rPr>
          <w:szCs w:val="21"/>
        </w:rPr>
        <w:t xml:space="preserve">）（法人或者其他组织成立未满三个月的可以不提供），或其银行出具的资信证书（复印件）（开标前六个月内），或其</w:t>
      </w:r>
      <w:r>
        <w:rPr>
          <w:rFonts w:hint="eastAsia"/>
          <w:szCs w:val="21"/>
        </w:rPr>
        <w:t xml:space="preserve">2025</w:t>
      </w:r>
      <w:r>
        <w:rPr>
          <w:szCs w:val="21"/>
        </w:rPr>
        <w:t xml:space="preserve">年度经审计的财务报告复印件加盖公章</w:t>
      </w:r>
      <w:r>
        <w:rPr>
          <w:sz w:val="24"/>
        </w:rPr>
      </w:r>
      <w:r/>
    </w:p>
    <w:p>
      <w:pPr>
        <w:pStyle w:val="1344"/>
        <w:ind w:left="-2" w:right="-5"/>
        <w:spacing w:line="440" w:lineRule="exact"/>
        <w:rPr>
          <w:sz w:val="24"/>
        </w:rPr>
      </w:pPr>
      <w:r>
        <w:rPr>
          <w:sz w:val="24"/>
        </w:rPr>
      </w:r>
      <w:r/>
    </w:p>
    <w:p>
      <w:pPr>
        <w:pStyle w:val="1344"/>
        <w:spacing w:line="440" w:lineRule="exact"/>
        <w:rPr>
          <w:szCs w:val="21"/>
        </w:rPr>
      </w:pPr>
      <w:r>
        <w:rPr>
          <w:szCs w:val="21"/>
        </w:rPr>
        <w:t xml:space="preserve">投标人名称（公章）：</w:t>
      </w:r>
      <w:r>
        <w:rPr>
          <w:szCs w:val="21"/>
        </w:rPr>
      </w:r>
      <w:r/>
    </w:p>
    <w:p>
      <w:pPr>
        <w:pStyle w:val="1344"/>
        <w:spacing w:line="440" w:lineRule="exact"/>
        <w:rPr>
          <w:szCs w:val="21"/>
        </w:rPr>
      </w:pPr>
      <w:r>
        <w:rPr>
          <w:szCs w:val="21"/>
        </w:rPr>
        <w:t xml:space="preserve">授权代表（签字）：</w:t>
      </w:r>
      <w:r>
        <w:rPr>
          <w:szCs w:val="21"/>
        </w:rPr>
      </w:r>
      <w:r/>
    </w:p>
    <w:p>
      <w:pPr>
        <w:pStyle w:val="1344"/>
        <w:spacing w:line="440" w:lineRule="exact"/>
        <w:rPr>
          <w:szCs w:val="21"/>
        </w:rPr>
      </w:pPr>
      <w:r>
        <w:rPr>
          <w:szCs w:val="21"/>
        </w:rPr>
        <w:t xml:space="preserve">日期：</w:t>
      </w:r>
      <w:r>
        <w:rPr>
          <w:szCs w:val="21"/>
        </w:rPr>
      </w:r>
      <w:r/>
    </w:p>
    <w:p>
      <w:pPr>
        <w:pStyle w:val="1344"/>
        <w:ind w:left="-2" w:right="-5"/>
        <w:spacing w:line="440" w:lineRule="exact"/>
        <w:rPr>
          <w:sz w:val="24"/>
        </w:rPr>
      </w:pPr>
      <w:r>
        <w:rPr>
          <w:sz w:val="24"/>
        </w:rPr>
      </w:r>
      <w:r/>
    </w:p>
    <w:p>
      <w:pPr>
        <w:pStyle w:val="1344"/>
        <w:ind w:left="-2" w:right="-5"/>
        <w:spacing w:line="440" w:lineRule="exact"/>
        <w:rPr>
          <w:sz w:val="24"/>
        </w:rPr>
      </w:pPr>
      <w:r>
        <w:rPr>
          <w:sz w:val="24"/>
        </w:rPr>
      </w:r>
      <w:r/>
    </w:p>
    <w:p>
      <w:pPr>
        <w:pStyle w:val="1344"/>
        <w:ind w:left="-2" w:right="-5"/>
        <w:spacing w:line="440" w:lineRule="exact"/>
        <w:rPr>
          <w:szCs w:val="21"/>
        </w:rPr>
      </w:pPr>
      <w:r>
        <w:rPr>
          <w:szCs w:val="21"/>
        </w:rPr>
        <w:t xml:space="preserve">说明： </w:t>
      </w:r>
      <w:r>
        <w:rPr>
          <w:szCs w:val="21"/>
        </w:rPr>
      </w:r>
      <w:r/>
    </w:p>
    <w:p>
      <w:pPr>
        <w:pStyle w:val="1344"/>
        <w:ind w:left="-2" w:right="-5"/>
        <w:spacing w:line="440" w:lineRule="exact"/>
        <w:rPr>
          <w:szCs w:val="21"/>
        </w:rPr>
      </w:pPr>
      <w:r>
        <w:rPr>
          <w:szCs w:val="21"/>
        </w:rPr>
        <w:t xml:space="preserve">1、审计报告复印件至少应包括资产负债表、利润表、现金流量表及其附注、</w:t>
      </w:r>
      <w:r>
        <w:rPr>
          <w:color w:val="ff0000"/>
          <w:szCs w:val="21"/>
        </w:rPr>
        <w:t xml:space="preserve">加盖会计师事务所公章页。</w:t>
      </w:r>
      <w:r>
        <w:rPr>
          <w:szCs w:val="21"/>
        </w:rPr>
        <w:t xml:space="preserve"> </w:t>
      </w:r>
      <w:r>
        <w:rPr>
          <w:szCs w:val="21"/>
        </w:rPr>
      </w:r>
      <w:r/>
    </w:p>
    <w:p>
      <w:pPr>
        <w:pStyle w:val="1344"/>
        <w:ind w:left="-2" w:right="-5"/>
        <w:spacing w:line="440" w:lineRule="exact"/>
        <w:rPr>
          <w:szCs w:val="21"/>
        </w:rPr>
      </w:pPr>
      <w:r>
        <w:rPr>
          <w:szCs w:val="21"/>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rPr>
          <w:szCs w:val="21"/>
        </w:rPr>
      </w:r>
      <w:r/>
    </w:p>
    <w:p>
      <w:pPr>
        <w:pStyle w:val="1344"/>
        <w:ind w:left="-2" w:right="-5"/>
        <w:spacing w:line="440" w:lineRule="exact"/>
        <w:rPr>
          <w:szCs w:val="21"/>
        </w:rPr>
      </w:pPr>
      <w:r>
        <w:rPr>
          <w:szCs w:val="21"/>
        </w:rPr>
        <w:t xml:space="preserve">3、银行资信证明可以是复印件并加盖投标人公章，评标委员会保留审核原件的权利。 </w:t>
      </w:r>
      <w:r>
        <w:rPr>
          <w:szCs w:val="21"/>
        </w:rPr>
      </w:r>
      <w:r/>
    </w:p>
    <w:p>
      <w:pPr>
        <w:pStyle w:val="1344"/>
        <w:ind w:left="-2" w:right="-5"/>
        <w:spacing w:line="440" w:lineRule="exact"/>
        <w:rPr>
          <w:szCs w:val="21"/>
        </w:rPr>
      </w:pPr>
      <w:r>
        <w:rPr>
          <w:szCs w:val="21"/>
        </w:rPr>
        <w:t xml:space="preserve">4、银行资信证明应能说明该投标人与银行之间业务往来正常，无不良记录，企业信誉良好等。</w:t>
      </w:r>
      <w:r>
        <w:rPr>
          <w:color w:val="ff0000"/>
          <w:szCs w:val="21"/>
        </w:rPr>
        <w:t xml:space="preserve">银行出具的存款证明不能作为银行资信证明。 </w:t>
      </w:r>
      <w:r>
        <w:rPr>
          <w:szCs w:val="21"/>
        </w:rPr>
      </w:r>
      <w:r/>
    </w:p>
    <w:p>
      <w:pPr>
        <w:pStyle w:val="1344"/>
        <w:ind w:left="-2" w:right="-5"/>
        <w:spacing w:line="440" w:lineRule="exact"/>
        <w:rPr>
          <w:sz w:val="24"/>
        </w:rPr>
      </w:pPr>
      <w:r>
        <w:rPr>
          <w:sz w:val="24"/>
        </w:rPr>
      </w:r>
      <w:r/>
    </w:p>
    <w:p>
      <w:pPr>
        <w:pStyle w:val="1344"/>
        <w:ind w:left="-2" w:right="-5"/>
        <w:spacing w:line="440" w:lineRule="exact"/>
        <w:rPr>
          <w:sz w:val="24"/>
        </w:rPr>
      </w:pPr>
      <w:r>
        <w:rPr>
          <w:sz w:val="24"/>
        </w:rPr>
      </w:r>
      <w:r/>
    </w:p>
    <w:p>
      <w:pPr>
        <w:pStyle w:val="1344"/>
        <w:ind w:left="-2" w:right="-5"/>
        <w:spacing w:line="440" w:lineRule="exact"/>
        <w:rPr>
          <w:sz w:val="24"/>
        </w:rPr>
      </w:pPr>
      <w:r>
        <w:rPr>
          <w:sz w:val="24"/>
        </w:rPr>
      </w:r>
      <w:r/>
    </w:p>
    <w:p>
      <w:pPr>
        <w:pStyle w:val="1344"/>
        <w:ind w:left="-2" w:right="-5"/>
        <w:spacing w:line="440" w:lineRule="exact"/>
        <w:rPr>
          <w:sz w:val="24"/>
        </w:rPr>
      </w:pPr>
      <w:r>
        <w:rPr>
          <w:sz w:val="24"/>
        </w:rPr>
      </w:r>
      <w:r/>
    </w:p>
    <w:p>
      <w:pPr>
        <w:pStyle w:val="1344"/>
        <w:ind w:left="-2" w:right="-5"/>
        <w:spacing w:line="440" w:lineRule="exact"/>
        <w:rPr>
          <w:sz w:val="24"/>
        </w:rPr>
      </w:pPr>
      <w:r>
        <w:rPr>
          <w:sz w:val="24"/>
        </w:rPr>
      </w:r>
      <w:r/>
    </w:p>
    <w:p>
      <w:pPr>
        <w:pStyle w:val="1344"/>
        <w:ind w:left="-2" w:right="-5"/>
        <w:spacing w:line="440" w:lineRule="exact"/>
        <w:rPr>
          <w:sz w:val="24"/>
        </w:rPr>
      </w:pPr>
      <w:r>
        <w:rPr>
          <w:sz w:val="24"/>
        </w:rPr>
      </w:r>
      <w:r/>
    </w:p>
    <w:p>
      <w:pPr>
        <w:pStyle w:val="1344"/>
        <w:ind w:left="-2" w:right="-5"/>
        <w:spacing w:line="440" w:lineRule="exact"/>
        <w:rPr>
          <w:sz w:val="24"/>
        </w:rPr>
      </w:pPr>
      <w:r>
        <w:rPr>
          <w:sz w:val="24"/>
        </w:rPr>
      </w:r>
      <w:r/>
    </w:p>
    <w:p>
      <w:pPr>
        <w:pStyle w:val="1344"/>
        <w:ind w:left="-2" w:right="-5"/>
        <w:spacing w:line="440" w:lineRule="exact"/>
        <w:rPr>
          <w:sz w:val="24"/>
        </w:rPr>
      </w:pPr>
      <w:r>
        <w:rPr>
          <w:sz w:val="24"/>
        </w:rPr>
      </w:r>
      <w:r/>
    </w:p>
    <w:p>
      <w:pPr>
        <w:pStyle w:val="1344"/>
        <w:ind w:left="-2" w:right="-5"/>
        <w:spacing w:line="440" w:lineRule="exact"/>
        <w:rPr>
          <w:sz w:val="24"/>
        </w:rPr>
      </w:pPr>
      <w:r>
        <w:rPr>
          <w:sz w:val="24"/>
        </w:rPr>
      </w:r>
      <w:r/>
    </w:p>
    <w:p>
      <w:pPr>
        <w:pStyle w:val="1344"/>
        <w:ind w:left="-2" w:right="-5"/>
        <w:spacing w:line="440" w:lineRule="exact"/>
        <w:rPr>
          <w:sz w:val="24"/>
        </w:rPr>
      </w:pPr>
      <w:r>
        <w:rPr>
          <w:sz w:val="24"/>
        </w:rPr>
      </w:r>
      <w:r/>
    </w:p>
    <w:p>
      <w:pPr>
        <w:pStyle w:val="1344"/>
        <w:ind w:left="-2" w:right="-5"/>
        <w:spacing w:line="440" w:lineRule="exact"/>
        <w:rPr>
          <w:sz w:val="24"/>
        </w:rPr>
      </w:pPr>
      <w:r>
        <w:rPr>
          <w:sz w:val="24"/>
        </w:rPr>
      </w:r>
      <w:r/>
    </w:p>
    <w:p>
      <w:pPr>
        <w:pStyle w:val="1344"/>
        <w:ind w:right="-5"/>
        <w:spacing w:line="440" w:lineRule="exact"/>
        <w:rPr>
          <w:sz w:val="24"/>
        </w:rPr>
      </w:pPr>
      <w:r>
        <w:rPr>
          <w:sz w:val="24"/>
        </w:rPr>
      </w:r>
      <w:r/>
    </w:p>
    <w:p>
      <w:pPr>
        <w:pStyle w:val="1344"/>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344"/>
        <w:jc w:val="left"/>
        <w:spacing w:line="360" w:lineRule="auto"/>
        <w:rPr>
          <w:b/>
          <w:bCs/>
          <w:szCs w:val="21"/>
          <w:lang w:val="zh-CN"/>
        </w:rPr>
        <w:outlineLvl w:val="2"/>
      </w:pPr>
      <w:r/>
      <w:bookmarkStart w:id="450" w:name="_Toc26222"/>
      <w:r/>
      <w:bookmarkStart w:id="451" w:name="_Toc16330"/>
      <w:r/>
      <w:bookmarkStart w:id="452" w:name="_Toc15262"/>
      <w:r>
        <w:rPr>
          <w:b/>
          <w:bCs/>
          <w:szCs w:val="21"/>
        </w:rPr>
        <w:t xml:space="preserve">4、</w:t>
      </w:r>
      <w:r>
        <w:rPr>
          <w:b/>
          <w:bCs/>
          <w:szCs w:val="21"/>
          <w:lang w:val="zh-CN"/>
        </w:rPr>
        <w:t xml:space="preserve">具有履行合同所必需的设备和专业技术能力</w:t>
      </w:r>
      <w:bookmarkEnd w:id="450"/>
      <w:r/>
      <w:bookmarkEnd w:id="451"/>
      <w:r/>
      <w:bookmarkEnd w:id="452"/>
      <w:r>
        <w:rPr>
          <w:b/>
          <w:bCs/>
          <w:szCs w:val="21"/>
          <w:lang w:val="zh-CN"/>
        </w:rPr>
      </w:r>
      <w:r/>
    </w:p>
    <w:p>
      <w:pPr>
        <w:pStyle w:val="1344"/>
        <w:jc w:val="left"/>
        <w:spacing w:line="440" w:lineRule="exact"/>
      </w:pPr>
      <w:r>
        <w:t xml:space="preserve">根据项目需求提供履行合同所必需的设备和专业技术能力的证明材料</w:t>
      </w:r>
      <w:r>
        <w:rPr>
          <w:color w:val="ff0000"/>
        </w:rPr>
        <w:t xml:space="preserve">或</w:t>
      </w:r>
      <w:r>
        <w:t xml:space="preserve">相关加盖公章的承诺函，承诺函自行编写</w:t>
      </w:r>
      <w:r/>
    </w:p>
    <w:p>
      <w:pPr>
        <w:pStyle w:val="1413"/>
        <w:ind w:firstLine="280"/>
      </w:pPr>
      <w:r/>
      <w:r/>
    </w:p>
    <w:p>
      <w:pPr>
        <w:pStyle w:val="1344"/>
        <w:jc w:val="left"/>
        <w:spacing w:line="440" w:lineRule="exact"/>
      </w:pPr>
      <w:r>
        <w:t xml:space="preserve">承诺函参考格式：</w:t>
      </w:r>
      <w:r/>
    </w:p>
    <w:p>
      <w:pPr>
        <w:pStyle w:val="1413"/>
        <w:ind w:firstLine="321"/>
        <w:jc w:val="center"/>
        <w:rPr>
          <w:b/>
          <w:sz w:val="32"/>
          <w:szCs w:val="32"/>
        </w:rPr>
      </w:pPr>
      <w:r>
        <w:rPr>
          <w:b/>
          <w:sz w:val="32"/>
          <w:szCs w:val="32"/>
        </w:rPr>
        <w:t xml:space="preserve">承  诺  函</w:t>
      </w:r>
      <w:r>
        <w:rPr>
          <w:b/>
          <w:sz w:val="32"/>
          <w:szCs w:val="32"/>
        </w:rPr>
      </w:r>
      <w:r/>
    </w:p>
    <w:p>
      <w:pPr>
        <w:pStyle w:val="1413"/>
        <w:ind w:firstLine="210"/>
        <w:rPr>
          <w:sz w:val="21"/>
        </w:rPr>
      </w:pPr>
      <w:r>
        <w:rPr>
          <w:sz w:val="21"/>
        </w:rPr>
        <w:t xml:space="preserve">我单位承诺：</w:t>
      </w:r>
      <w:r>
        <w:rPr>
          <w:bCs/>
          <w:sz w:val="21"/>
          <w:lang w:val="zh-CN"/>
        </w:rPr>
        <w:t xml:space="preserve">具有履行合同所必需的设备和专业技术能力。</w:t>
      </w:r>
      <w:r>
        <w:rPr>
          <w:sz w:val="21"/>
        </w:rPr>
      </w:r>
      <w:r/>
    </w:p>
    <w:p>
      <w:pPr>
        <w:pStyle w:val="1344"/>
        <w:jc w:val="left"/>
        <w:spacing w:line="440" w:lineRule="exact"/>
        <w:rPr>
          <w:sz w:val="24"/>
          <w:szCs w:val="24"/>
        </w:rPr>
      </w:pPr>
      <w:r>
        <w:rPr>
          <w:sz w:val="24"/>
          <w:szCs w:val="24"/>
        </w:rPr>
      </w:r>
      <w:r/>
    </w:p>
    <w:p>
      <w:pPr>
        <w:pStyle w:val="1344"/>
        <w:jc w:val="left"/>
        <w:spacing w:line="440" w:lineRule="exact"/>
        <w:rPr>
          <w:sz w:val="24"/>
          <w:szCs w:val="24"/>
        </w:rPr>
      </w:pPr>
      <w:r>
        <w:rPr>
          <w:sz w:val="24"/>
          <w:szCs w:val="24"/>
        </w:rPr>
      </w:r>
      <w:r/>
    </w:p>
    <w:p>
      <w:pPr>
        <w:pStyle w:val="1344"/>
        <w:spacing w:line="440" w:lineRule="exact"/>
        <w:rPr>
          <w:szCs w:val="21"/>
        </w:rPr>
      </w:pPr>
      <w:r>
        <w:rPr>
          <w:szCs w:val="21"/>
        </w:rPr>
        <w:t xml:space="preserve">投标人名称（公章）：</w:t>
      </w:r>
      <w:r>
        <w:rPr>
          <w:szCs w:val="21"/>
        </w:rPr>
      </w:r>
      <w:r/>
    </w:p>
    <w:p>
      <w:pPr>
        <w:pStyle w:val="1344"/>
        <w:spacing w:line="440" w:lineRule="exact"/>
        <w:rPr>
          <w:szCs w:val="21"/>
        </w:rPr>
      </w:pPr>
      <w:r>
        <w:rPr>
          <w:szCs w:val="21"/>
        </w:rPr>
        <w:t xml:space="preserve">授权代表（签字）：</w:t>
      </w:r>
      <w:r>
        <w:rPr>
          <w:szCs w:val="21"/>
        </w:rPr>
      </w:r>
      <w:r/>
    </w:p>
    <w:p>
      <w:pPr>
        <w:pStyle w:val="1344"/>
        <w:spacing w:line="440" w:lineRule="exact"/>
        <w:rPr>
          <w:szCs w:val="21"/>
        </w:rPr>
      </w:pPr>
      <w:r>
        <w:rPr>
          <w:szCs w:val="21"/>
        </w:rPr>
        <w:t xml:space="preserve">日期：</w:t>
      </w:r>
      <w:r>
        <w:rPr>
          <w:szCs w:val="21"/>
        </w:rPr>
      </w:r>
      <w:r/>
    </w:p>
    <w:p>
      <w:pPr>
        <w:pStyle w:val="1344"/>
        <w:jc w:val="left"/>
        <w:spacing w:line="440" w:lineRule="exact"/>
        <w:rPr>
          <w:sz w:val="24"/>
          <w:szCs w:val="24"/>
        </w:rPr>
      </w:pPr>
      <w:r>
        <w:rPr>
          <w:sz w:val="24"/>
          <w:szCs w:val="24"/>
        </w:rPr>
      </w:r>
      <w:r/>
    </w:p>
    <w:p>
      <w:pPr>
        <w:pStyle w:val="1344"/>
        <w:jc w:val="left"/>
        <w:spacing w:line="440" w:lineRule="exact"/>
        <w:rPr>
          <w:sz w:val="24"/>
          <w:szCs w:val="24"/>
        </w:rPr>
      </w:pPr>
      <w:r>
        <w:rPr>
          <w:sz w:val="24"/>
          <w:szCs w:val="24"/>
        </w:rPr>
      </w:r>
      <w:r/>
    </w:p>
    <w:p>
      <w:pPr>
        <w:pStyle w:val="1344"/>
        <w:jc w:val="left"/>
        <w:spacing w:line="440" w:lineRule="exact"/>
        <w:rPr>
          <w:sz w:val="24"/>
          <w:szCs w:val="24"/>
        </w:rPr>
      </w:pPr>
      <w:r>
        <w:rPr>
          <w:sz w:val="24"/>
          <w:szCs w:val="24"/>
        </w:rPr>
      </w:r>
      <w:r/>
    </w:p>
    <w:p>
      <w:pPr>
        <w:pStyle w:val="1344"/>
        <w:jc w:val="left"/>
        <w:spacing w:line="440" w:lineRule="exact"/>
        <w:rPr>
          <w:sz w:val="24"/>
          <w:szCs w:val="24"/>
        </w:rPr>
      </w:pPr>
      <w:r>
        <w:rPr>
          <w:sz w:val="24"/>
          <w:szCs w:val="24"/>
        </w:rPr>
      </w:r>
      <w:r/>
    </w:p>
    <w:p>
      <w:pPr>
        <w:pStyle w:val="1344"/>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344"/>
        <w:jc w:val="left"/>
        <w:spacing w:line="360" w:lineRule="auto"/>
        <w:rPr>
          <w:b/>
          <w:bCs/>
          <w:szCs w:val="21"/>
        </w:rPr>
        <w:outlineLvl w:val="2"/>
      </w:pPr>
      <w:r/>
      <w:bookmarkStart w:id="453" w:name="_Toc1099"/>
      <w:r/>
      <w:bookmarkStart w:id="454" w:name="_Toc10033"/>
      <w:r/>
      <w:bookmarkStart w:id="455" w:name="_Toc26811"/>
      <w:r>
        <w:rPr>
          <w:b/>
          <w:bCs/>
          <w:szCs w:val="21"/>
        </w:rPr>
        <w:t xml:space="preserve">5、</w:t>
      </w:r>
      <w:bookmarkEnd w:id="453"/>
      <w:r/>
      <w:bookmarkEnd w:id="454"/>
      <w:r>
        <w:rPr>
          <w:b/>
          <w:bCs/>
          <w:szCs w:val="21"/>
        </w:rPr>
        <w:t xml:space="preserve">参加政府采购活动近三年内（成立时间不足三年的、自成立时间起），在经营活动中没有重大违法记录</w:t>
      </w:r>
      <w:bookmarkEnd w:id="455"/>
      <w:r>
        <w:rPr>
          <w:b/>
          <w:bCs/>
          <w:szCs w:val="21"/>
        </w:rPr>
      </w:r>
      <w:r/>
    </w:p>
    <w:p>
      <w:pPr>
        <w:pStyle w:val="1344"/>
        <w:spacing w:line="440" w:lineRule="exact"/>
        <w:tabs>
          <w:tab w:val="left" w:pos="972" w:leader="none"/>
        </w:tabs>
        <w:rPr>
          <w:szCs w:val="21"/>
        </w:rPr>
      </w:pPr>
      <w:r>
        <w:rPr>
          <w:szCs w:val="21"/>
        </w:rPr>
        <w:t xml:space="preserve">参考格式：</w:t>
      </w:r>
      <w:r>
        <w:rPr>
          <w:szCs w:val="21"/>
        </w:rPr>
        <w:tab/>
      </w:r>
      <w:r>
        <w:rPr>
          <w:szCs w:val="21"/>
        </w:rPr>
      </w:r>
      <w:r/>
    </w:p>
    <w:p>
      <w:pPr>
        <w:pStyle w:val="1344"/>
        <w:jc w:val="center"/>
        <w:rPr>
          <w:b/>
          <w:sz w:val="32"/>
          <w:szCs w:val="32"/>
        </w:rPr>
      </w:pPr>
      <w:r>
        <w:rPr>
          <w:b/>
          <w:sz w:val="32"/>
          <w:szCs w:val="32"/>
        </w:rPr>
        <w:t xml:space="preserve">无重大违法记录声明</w:t>
      </w:r>
      <w:r>
        <w:rPr>
          <w:b/>
          <w:sz w:val="32"/>
          <w:szCs w:val="32"/>
        </w:rPr>
      </w:r>
      <w:r/>
    </w:p>
    <w:p>
      <w:pPr>
        <w:pStyle w:val="1344"/>
        <w:rPr>
          <w:sz w:val="30"/>
          <w:szCs w:val="30"/>
        </w:rPr>
      </w:pPr>
      <w:r>
        <w:rPr>
          <w:sz w:val="30"/>
          <w:szCs w:val="30"/>
        </w:rPr>
      </w:r>
      <w:r/>
    </w:p>
    <w:p>
      <w:pPr>
        <w:pStyle w:val="1344"/>
        <w:ind w:firstLine="420"/>
        <w:spacing w:line="360" w:lineRule="auto"/>
      </w:pPr>
      <w:r>
        <w:rPr>
          <w:szCs w:val="21"/>
        </w:rPr>
        <w:t xml:space="preserve">江苏苏美达仪器设备有限公司</w:t>
      </w:r>
      <w:r>
        <w:t xml:space="preserve">：</w:t>
      </w:r>
      <w:r/>
    </w:p>
    <w:p>
      <w:pPr>
        <w:pStyle w:val="1344"/>
        <w:ind w:firstLine="420"/>
        <w:spacing w:line="360" w:lineRule="auto"/>
      </w:pPr>
      <w:r/>
      <w:r/>
    </w:p>
    <w:p>
      <w:pPr>
        <w:pStyle w:val="1344"/>
        <w:ind w:firstLine="420"/>
        <w:spacing w:line="360" w:lineRule="auto"/>
      </w:pPr>
      <w:r>
        <w:t xml:space="preserve">我单位</w:t>
      </w:r>
      <w:r>
        <w:rPr>
          <w:u w:val="single"/>
        </w:rPr>
        <w:t xml:space="preserve">                </w:t>
      </w:r>
      <w:r>
        <w:t xml:space="preserve">（供应商名称）郑重声明：</w:t>
      </w:r>
      <w:r/>
    </w:p>
    <w:p>
      <w:pPr>
        <w:pStyle w:val="1344"/>
        <w:ind w:firstLine="420"/>
        <w:spacing w:line="360" w:lineRule="auto"/>
      </w:pPr>
      <w:r>
        <w:t xml:space="preserve">参加政府采购活动前3年内在经营活动中</w:t>
      </w:r>
      <w:r>
        <w:rPr>
          <w:u w:val="single"/>
        </w:rPr>
        <w:t xml:space="preserve">        </w:t>
      </w:r>
      <w:r>
        <w:t xml:space="preserve">（在下划线上如实填写：</w:t>
      </w:r>
      <w:r>
        <w:rPr>
          <w:u w:val="single"/>
        </w:rPr>
        <w:t xml:space="preserve">有</w:t>
      </w:r>
      <w:r>
        <w:t xml:space="preserve">或</w:t>
      </w:r>
      <w:r>
        <w:rPr>
          <w:u w:val="single"/>
        </w:rPr>
        <w:t xml:space="preserve">没有</w:t>
      </w:r>
      <w:r>
        <w:t xml:space="preserve">）重大违法记录。</w:t>
      </w:r>
      <w:r/>
    </w:p>
    <w:p>
      <w:pPr>
        <w:pStyle w:val="1344"/>
        <w:spacing w:line="440" w:lineRule="exact"/>
        <w:rPr>
          <w:sz w:val="24"/>
          <w:szCs w:val="24"/>
        </w:rPr>
      </w:pPr>
      <w:r>
        <w:t xml:space="preserve">    （说明：重大违法记录，是指供应商因违法经营受到刑事处罚或者责令停产停业、吊销许可证或者执照、较大数额罚款等行政处罚。）</w:t>
      </w:r>
      <w:r>
        <w:rPr>
          <w:sz w:val="24"/>
          <w:szCs w:val="24"/>
        </w:rPr>
      </w:r>
      <w:r/>
    </w:p>
    <w:p>
      <w:pPr>
        <w:pStyle w:val="1344"/>
        <w:jc w:val="left"/>
        <w:spacing w:line="440" w:lineRule="exact"/>
        <w:rPr>
          <w:sz w:val="24"/>
          <w:szCs w:val="24"/>
        </w:rPr>
      </w:pPr>
      <w:r>
        <w:rPr>
          <w:sz w:val="24"/>
          <w:szCs w:val="24"/>
        </w:rPr>
      </w:r>
      <w:r/>
    </w:p>
    <w:p>
      <w:pPr>
        <w:pStyle w:val="1344"/>
        <w:jc w:val="left"/>
        <w:spacing w:line="440" w:lineRule="exact"/>
        <w:rPr>
          <w:sz w:val="24"/>
          <w:szCs w:val="24"/>
        </w:rPr>
      </w:pPr>
      <w:r>
        <w:rPr>
          <w:sz w:val="24"/>
          <w:szCs w:val="24"/>
        </w:rPr>
      </w:r>
      <w:r/>
    </w:p>
    <w:p>
      <w:pPr>
        <w:pStyle w:val="1344"/>
        <w:spacing w:line="440" w:lineRule="exact"/>
        <w:rPr>
          <w:szCs w:val="21"/>
        </w:rPr>
      </w:pPr>
      <w:r>
        <w:rPr>
          <w:szCs w:val="21"/>
        </w:rPr>
        <w:t xml:space="preserve">投标人名称（公章）：</w:t>
      </w:r>
      <w:r>
        <w:rPr>
          <w:szCs w:val="21"/>
        </w:rPr>
      </w:r>
      <w:r/>
    </w:p>
    <w:p>
      <w:pPr>
        <w:pStyle w:val="1344"/>
        <w:spacing w:line="440" w:lineRule="exact"/>
        <w:rPr>
          <w:szCs w:val="21"/>
        </w:rPr>
      </w:pPr>
      <w:r>
        <w:rPr>
          <w:szCs w:val="21"/>
        </w:rPr>
        <w:t xml:space="preserve">授权代表（签字）：</w:t>
      </w:r>
      <w:r>
        <w:rPr>
          <w:szCs w:val="21"/>
        </w:rPr>
      </w:r>
      <w:r/>
    </w:p>
    <w:p>
      <w:pPr>
        <w:pStyle w:val="1344"/>
        <w:spacing w:line="440" w:lineRule="exact"/>
        <w:rPr>
          <w:sz w:val="24"/>
          <w:szCs w:val="24"/>
        </w:rPr>
      </w:pPr>
      <w:r>
        <w:rPr>
          <w:szCs w:val="21"/>
        </w:rPr>
        <w:t xml:space="preserve">日期：</w:t>
      </w:r>
      <w:r>
        <w:rPr>
          <w:sz w:val="24"/>
          <w:szCs w:val="24"/>
        </w:rPr>
      </w:r>
      <w:r/>
    </w:p>
    <w:p>
      <w:pPr>
        <w:pStyle w:val="1344"/>
        <w:spacing w:line="440" w:lineRule="exact"/>
        <w:rPr>
          <w:sz w:val="24"/>
          <w:szCs w:val="24"/>
        </w:rPr>
      </w:pPr>
      <w:r>
        <w:rPr>
          <w:sz w:val="24"/>
          <w:szCs w:val="24"/>
        </w:rPr>
      </w:r>
      <w:r/>
    </w:p>
    <w:p>
      <w:pPr>
        <w:pStyle w:val="1344"/>
        <w:spacing w:line="440" w:lineRule="exact"/>
        <w:rPr>
          <w:szCs w:val="21"/>
        </w:rPr>
      </w:pPr>
      <w:r>
        <w:rPr>
          <w:szCs w:val="21"/>
        </w:rPr>
      </w:r>
      <w:r/>
    </w:p>
    <w:p>
      <w:pPr>
        <w:pStyle w:val="1344"/>
        <w:spacing w:line="440" w:lineRule="exact"/>
        <w:rPr>
          <w:szCs w:val="21"/>
        </w:rPr>
      </w:pPr>
      <w:r>
        <w:rPr>
          <w:szCs w:val="21"/>
        </w:rPr>
      </w:r>
      <w:r/>
    </w:p>
    <w:p>
      <w:pPr>
        <w:pStyle w:val="1344"/>
        <w:spacing w:line="440" w:lineRule="exact"/>
        <w:rPr>
          <w:szCs w:val="21"/>
        </w:rPr>
      </w:pPr>
      <w:r>
        <w:rPr>
          <w:szCs w:val="21"/>
        </w:rPr>
      </w:r>
      <w:r/>
    </w:p>
    <w:p>
      <w:pPr>
        <w:pStyle w:val="1344"/>
        <w:spacing w:line="440" w:lineRule="exact"/>
        <w:rPr>
          <w:szCs w:val="21"/>
        </w:rPr>
      </w:pPr>
      <w:r>
        <w:rPr>
          <w:szCs w:val="21"/>
        </w:rPr>
        <w:t xml:space="preserve">注：</w:t>
      </w:r>
      <w:r>
        <w:rPr>
          <w:szCs w:val="21"/>
        </w:rPr>
        <w:fldChar w:fldCharType="begin"/>
      </w:r>
      <w:r>
        <w:rPr>
          <w:szCs w:val="21"/>
        </w:rPr>
        <w:instrText xml:space="preserve"> HYPERLINK "http://www.creditchina.gov.cn/" \h </w:instrText>
      </w:r>
      <w:r>
        <w:rPr>
          <w:szCs w:val="21"/>
        </w:rPr>
        <w:fldChar w:fldCharType="separate"/>
      </w:r>
      <w:r>
        <w:rPr>
          <w:szCs w:val="21"/>
        </w:rPr>
        <w:t xml:space="preserve">1、信用信息查询渠道：信用中国网站（www.creditchina.gov.cn</w:t>
      </w:r>
      <w:r>
        <w:rPr>
          <w:szCs w:val="21"/>
        </w:rPr>
        <w:fldChar w:fldCharType="end"/>
      </w:r>
      <w:r>
        <w:rPr>
          <w:szCs w:val="21"/>
        </w:rPr>
        <w:t xml:space="preserve">）、中国政府采购网-</w:t>
      </w:r>
      <w:r>
        <w:rPr>
          <w:szCs w:val="21"/>
        </w:rPr>
      </w:r>
      <w:r/>
    </w:p>
    <w:p>
      <w:pPr>
        <w:pStyle w:val="1344"/>
        <w:spacing w:line="440" w:lineRule="exact"/>
        <w:rPr>
          <w:szCs w:val="21"/>
        </w:rPr>
      </w:pPr>
      <w:r>
        <w:rPr>
          <w:szCs w:val="21"/>
        </w:rPr>
        <w:t xml:space="preserve">政府采购严重违法失信行为信息记录（</w:t>
      </w:r>
      <w:r>
        <w:rPr>
          <w:szCs w:val="21"/>
        </w:rPr>
        <w:fldChar w:fldCharType="begin"/>
      </w:r>
      <w:r>
        <w:rPr>
          <w:szCs w:val="21"/>
        </w:rPr>
        <w:instrText xml:space="preserve"> HYPERLINK "http://www.ccgp.gov.cn/cr/list" \h </w:instrText>
      </w:r>
      <w:r>
        <w:rPr>
          <w:szCs w:val="21"/>
        </w:rPr>
        <w:fldChar w:fldCharType="separate"/>
      </w:r>
      <w:r>
        <w:rPr>
          <w:szCs w:val="21"/>
        </w:rPr>
        <w:t xml:space="preserve">http://www.ccgp.gov.cn</w:t>
      </w:r>
      <w:r>
        <w:rPr>
          <w:szCs w:val="21"/>
        </w:rPr>
        <w:fldChar w:fldCharType="end"/>
      </w:r>
      <w:r>
        <w:rPr>
          <w:szCs w:val="21"/>
        </w:rPr>
        <w:t xml:space="preserve">）； </w:t>
      </w:r>
      <w:r>
        <w:rPr>
          <w:szCs w:val="21"/>
        </w:rPr>
      </w:r>
      <w:r/>
    </w:p>
    <w:p>
      <w:pPr>
        <w:pStyle w:val="1344"/>
        <w:spacing w:line="440" w:lineRule="exact"/>
        <w:rPr>
          <w:color w:val="0000ff"/>
          <w:szCs w:val="21"/>
        </w:rPr>
      </w:pPr>
      <w:r>
        <w:rPr>
          <w:szCs w:val="21"/>
        </w:rPr>
        <w:t xml:space="preserve">2、信用信息查询截止时点：递交投标文件截止之日24时前</w:t>
      </w:r>
      <w:r>
        <w:rPr>
          <w:color w:val="0000ff"/>
        </w:rPr>
        <w:t xml:space="preserve">。</w:t>
      </w:r>
      <w:r>
        <w:rPr>
          <w:color w:val="0000ff"/>
          <w:szCs w:val="21"/>
        </w:rPr>
        <w:t xml:space="preserve"> </w:t>
      </w:r>
      <w:r>
        <w:rPr>
          <w:color w:val="0000ff"/>
          <w:szCs w:val="21"/>
        </w:rPr>
      </w:r>
      <w:r/>
    </w:p>
    <w:p>
      <w:pPr>
        <w:pStyle w:val="1344"/>
        <w:spacing w:line="440" w:lineRule="exact"/>
        <w:rPr>
          <w:sz w:val="24"/>
          <w:szCs w:val="24"/>
        </w:rPr>
      </w:pPr>
      <w:r>
        <w:rPr>
          <w:sz w:val="24"/>
          <w:szCs w:val="24"/>
        </w:rPr>
      </w:r>
      <w:r/>
    </w:p>
    <w:p>
      <w:pPr>
        <w:pStyle w:val="1344"/>
        <w:spacing w:line="440" w:lineRule="exact"/>
        <w:rPr>
          <w:sz w:val="24"/>
          <w:szCs w:val="24"/>
        </w:rPr>
      </w:pPr>
      <w:r>
        <w:rPr>
          <w:sz w:val="24"/>
          <w:szCs w:val="24"/>
        </w:rPr>
      </w:r>
      <w:r/>
    </w:p>
    <w:p>
      <w:pPr>
        <w:pStyle w:val="1344"/>
        <w:ind w:left="-2" w:right="-5"/>
        <w:spacing w:line="440" w:lineRule="exact"/>
        <w:rPr>
          <w:sz w:val="24"/>
        </w:rPr>
      </w:pPr>
      <w:r>
        <w:rPr>
          <w:sz w:val="24"/>
        </w:rPr>
      </w:r>
      <w:r/>
    </w:p>
    <w:p>
      <w:pPr>
        <w:pStyle w:val="1344"/>
        <w:ind w:left="-2" w:right="-5"/>
        <w:spacing w:line="440" w:lineRule="exact"/>
        <w:rPr>
          <w:sz w:val="24"/>
        </w:rPr>
      </w:pPr>
      <w:r>
        <w:rPr>
          <w:sz w:val="24"/>
        </w:rPr>
      </w:r>
      <w:r/>
    </w:p>
    <w:p>
      <w:pPr>
        <w:pStyle w:val="1344"/>
        <w:ind w:left="-2" w:right="-5"/>
        <w:spacing w:line="440" w:lineRule="exact"/>
        <w:rPr>
          <w:sz w:val="24"/>
        </w:rPr>
      </w:pPr>
      <w:r>
        <w:rPr>
          <w:sz w:val="24"/>
        </w:rPr>
      </w:r>
      <w:r/>
    </w:p>
    <w:p>
      <w:pPr>
        <w:pStyle w:val="1344"/>
        <w:ind w:left="-2" w:right="-5"/>
        <w:spacing w:line="440" w:lineRule="exact"/>
        <w:rPr>
          <w:sz w:val="24"/>
        </w:rPr>
      </w:pPr>
      <w:r>
        <w:rPr>
          <w:sz w:val="24"/>
        </w:rPr>
      </w:r>
      <w:r/>
    </w:p>
    <w:p>
      <w:pPr>
        <w:pStyle w:val="1344"/>
        <w:ind w:left="-2" w:right="-5"/>
        <w:spacing w:line="440" w:lineRule="exact"/>
        <w:rPr>
          <w:sz w:val="24"/>
        </w:rPr>
      </w:pPr>
      <w:r>
        <w:rPr>
          <w:sz w:val="24"/>
        </w:rPr>
      </w:r>
      <w:r/>
    </w:p>
    <w:p>
      <w:pPr>
        <w:pStyle w:val="1344"/>
        <w:ind w:right="-5"/>
        <w:spacing w:line="440" w:lineRule="exact"/>
        <w:rPr>
          <w:sz w:val="24"/>
        </w:rPr>
      </w:pPr>
      <w:r>
        <w:rPr>
          <w:sz w:val="24"/>
        </w:rPr>
      </w:r>
      <w:r/>
    </w:p>
    <w:p>
      <w:pPr>
        <w:pStyle w:val="1344"/>
        <w:jc w:val="left"/>
        <w:spacing w:line="360" w:lineRule="auto"/>
        <w:rPr>
          <w:b/>
          <w:bCs/>
          <w:szCs w:val="21"/>
        </w:rPr>
        <w:sectPr>
          <w:footerReference w:type="first" r:id="rId27"/>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456" w:name="_Toc13811"/>
      <w:r>
        <w:rPr>
          <w:b/>
          <w:bCs/>
          <w:szCs w:val="21"/>
        </w:rPr>
      </w:r>
      <w:r/>
    </w:p>
    <w:p>
      <w:pPr>
        <w:pStyle w:val="1344"/>
        <w:jc w:val="left"/>
        <w:spacing w:line="360" w:lineRule="auto"/>
        <w:rPr>
          <w:b/>
          <w:bCs/>
          <w:szCs w:val="21"/>
        </w:rPr>
        <w:outlineLvl w:val="2"/>
      </w:pPr>
      <w:r/>
      <w:bookmarkStart w:id="457" w:name="_Toc14470"/>
      <w:r/>
      <w:bookmarkStart w:id="458" w:name="_Toc810"/>
      <w:r>
        <w:rPr>
          <w:b/>
          <w:bCs/>
          <w:szCs w:val="21"/>
        </w:rPr>
        <w:t xml:space="preserve">6、依法缴纳税收的记录</w:t>
      </w:r>
      <w:bookmarkEnd w:id="456"/>
      <w:r/>
      <w:bookmarkEnd w:id="457"/>
      <w:r/>
      <w:bookmarkEnd w:id="458"/>
      <w:r>
        <w:rPr>
          <w:b/>
          <w:bCs/>
          <w:szCs w:val="21"/>
        </w:rPr>
      </w:r>
      <w:r/>
    </w:p>
    <w:p>
      <w:pPr>
        <w:pStyle w:val="1344"/>
        <w:spacing w:after="120" w:line="440" w:lineRule="exact"/>
        <w:rPr>
          <w:b/>
          <w:u w:val="single"/>
        </w:rPr>
      </w:pPr>
      <w:r>
        <w:t xml:space="preserve">提供距开标时间六个月内任意一</w:t>
      </w:r>
      <w:r>
        <w:rPr>
          <w:rFonts w:hint="eastAsia"/>
          <w:szCs w:val="21"/>
        </w:rPr>
        <w:t xml:space="preserve">个</w:t>
      </w:r>
      <w:r>
        <w:t xml:space="preserve">月份的纳税</w:t>
      </w:r>
      <w:r>
        <w:rPr>
          <w:rFonts w:hint="eastAsia"/>
        </w:rPr>
        <w:t xml:space="preserve">（企业代缴的个人所得税除外）</w:t>
      </w:r>
      <w:r>
        <w:t xml:space="preserve">凭据复印件加盖公章（依法免税的应提供相应文件说明）</w:t>
      </w:r>
      <w:r>
        <w:rPr>
          <w:szCs w:val="21"/>
          <w:lang w:bidi="en-US"/>
        </w:rPr>
        <w:t xml:space="preserve">；</w:t>
      </w:r>
      <w:r>
        <w:rPr>
          <w:b/>
          <w:u w:val="single"/>
        </w:rPr>
      </w:r>
      <w:r/>
    </w:p>
    <w:p>
      <w:pPr>
        <w:pStyle w:val="1344"/>
        <w:spacing w:line="440" w:lineRule="exact"/>
        <w:rPr>
          <w:sz w:val="24"/>
        </w:rPr>
      </w:pPr>
      <w:r>
        <w:rPr>
          <w:sz w:val="24"/>
        </w:rPr>
      </w:r>
      <w:r/>
    </w:p>
    <w:p>
      <w:pPr>
        <w:pStyle w:val="1344"/>
        <w:spacing w:line="440" w:lineRule="exact"/>
        <w:rPr>
          <w:sz w:val="24"/>
        </w:rPr>
      </w:pPr>
      <w:r>
        <w:rPr>
          <w:sz w:val="24"/>
        </w:rPr>
      </w:r>
      <w:r/>
    </w:p>
    <w:p>
      <w:pPr>
        <w:pStyle w:val="1344"/>
        <w:spacing w:line="440" w:lineRule="exact"/>
        <w:rPr>
          <w:sz w:val="24"/>
        </w:rPr>
      </w:pPr>
      <w:r>
        <w:rPr>
          <w:sz w:val="24"/>
        </w:rPr>
      </w:r>
      <w:r/>
    </w:p>
    <w:p>
      <w:pPr>
        <w:pStyle w:val="1344"/>
        <w:spacing w:line="440" w:lineRule="exact"/>
        <w:rPr>
          <w:szCs w:val="21"/>
        </w:rPr>
      </w:pPr>
      <w:r>
        <w:rPr>
          <w:szCs w:val="21"/>
        </w:rPr>
        <w:t xml:space="preserve">投标人名称（公章）：</w:t>
      </w:r>
      <w:r>
        <w:rPr>
          <w:szCs w:val="21"/>
        </w:rPr>
      </w:r>
      <w:r/>
    </w:p>
    <w:p>
      <w:pPr>
        <w:pStyle w:val="1344"/>
        <w:spacing w:line="440" w:lineRule="exact"/>
        <w:rPr>
          <w:szCs w:val="21"/>
        </w:rPr>
      </w:pPr>
      <w:r>
        <w:rPr>
          <w:szCs w:val="21"/>
        </w:rPr>
        <w:t xml:space="preserve">授权代表（签字）：</w:t>
      </w:r>
      <w:r>
        <w:rPr>
          <w:szCs w:val="21"/>
        </w:rPr>
      </w:r>
      <w:r/>
    </w:p>
    <w:p>
      <w:pPr>
        <w:pStyle w:val="1344"/>
        <w:spacing w:line="440" w:lineRule="exact"/>
        <w:rPr>
          <w:sz w:val="24"/>
          <w:szCs w:val="24"/>
        </w:rPr>
      </w:pPr>
      <w:r>
        <w:rPr>
          <w:szCs w:val="21"/>
        </w:rPr>
        <w:t xml:space="preserve">日期：</w:t>
      </w:r>
      <w:r>
        <w:rPr>
          <w:sz w:val="24"/>
          <w:szCs w:val="24"/>
        </w:rPr>
      </w:r>
      <w:r/>
    </w:p>
    <w:p>
      <w:pPr>
        <w:pStyle w:val="1344"/>
        <w:spacing w:line="440" w:lineRule="exact"/>
        <w:rPr>
          <w:sz w:val="24"/>
        </w:rPr>
      </w:pPr>
      <w:r>
        <w:rPr>
          <w:sz w:val="24"/>
        </w:rPr>
      </w:r>
      <w:r/>
    </w:p>
    <w:p>
      <w:pPr>
        <w:pStyle w:val="1344"/>
        <w:spacing w:line="440" w:lineRule="exact"/>
        <w:rPr>
          <w:sz w:val="24"/>
        </w:rPr>
      </w:pPr>
      <w:r>
        <w:rPr>
          <w:sz w:val="24"/>
        </w:rPr>
      </w:r>
      <w:r/>
    </w:p>
    <w:p>
      <w:pPr>
        <w:pStyle w:val="1344"/>
        <w:spacing w:line="440" w:lineRule="exact"/>
        <w:rPr>
          <w:sz w:val="24"/>
        </w:rPr>
      </w:pPr>
      <w:r>
        <w:rPr>
          <w:sz w:val="24"/>
        </w:rPr>
      </w:r>
      <w:r/>
    </w:p>
    <w:p>
      <w:pPr>
        <w:pStyle w:val="1344"/>
        <w:spacing w:line="440" w:lineRule="exact"/>
        <w:rPr>
          <w:sz w:val="24"/>
        </w:rPr>
      </w:pPr>
      <w:r>
        <w:rPr>
          <w:sz w:val="24"/>
        </w:rPr>
      </w:r>
      <w:r/>
    </w:p>
    <w:p>
      <w:pPr>
        <w:pStyle w:val="1344"/>
        <w:spacing w:line="440" w:lineRule="exact"/>
        <w:rPr>
          <w:sz w:val="24"/>
        </w:rPr>
      </w:pPr>
      <w:r>
        <w:rPr>
          <w:sz w:val="24"/>
        </w:rPr>
      </w:r>
      <w:r/>
    </w:p>
    <w:p>
      <w:pPr>
        <w:pStyle w:val="1344"/>
        <w:spacing w:line="440" w:lineRule="exact"/>
        <w:rPr>
          <w:sz w:val="24"/>
        </w:rPr>
      </w:pPr>
      <w:r>
        <w:rPr>
          <w:sz w:val="24"/>
        </w:rPr>
      </w:r>
      <w:r/>
    </w:p>
    <w:p>
      <w:pPr>
        <w:pStyle w:val="1344"/>
        <w:spacing w:line="440" w:lineRule="exact"/>
        <w:rPr>
          <w:sz w:val="24"/>
        </w:rPr>
      </w:pPr>
      <w:r>
        <w:rPr>
          <w:sz w:val="24"/>
        </w:rPr>
      </w:r>
      <w:r/>
    </w:p>
    <w:p>
      <w:pPr>
        <w:pStyle w:val="1344"/>
        <w:spacing w:line="440" w:lineRule="exact"/>
        <w:rPr>
          <w:sz w:val="24"/>
        </w:rPr>
      </w:pPr>
      <w:r>
        <w:rPr>
          <w:sz w:val="24"/>
        </w:rPr>
      </w:r>
      <w:r/>
    </w:p>
    <w:p>
      <w:pPr>
        <w:pStyle w:val="1344"/>
        <w:spacing w:line="440" w:lineRule="exact"/>
        <w:rPr>
          <w:sz w:val="24"/>
        </w:rPr>
      </w:pPr>
      <w:r>
        <w:rPr>
          <w:sz w:val="24"/>
        </w:rPr>
      </w:r>
      <w:r/>
    </w:p>
    <w:p>
      <w:pPr>
        <w:pStyle w:val="1344"/>
        <w:spacing w:line="440" w:lineRule="exact"/>
        <w:rPr>
          <w:sz w:val="24"/>
        </w:rPr>
      </w:pPr>
      <w:r>
        <w:rPr>
          <w:sz w:val="24"/>
        </w:rPr>
      </w:r>
      <w:r/>
    </w:p>
    <w:p>
      <w:pPr>
        <w:pStyle w:val="1344"/>
        <w:spacing w:line="440" w:lineRule="exact"/>
        <w:rPr>
          <w:sz w:val="24"/>
        </w:rPr>
      </w:pPr>
      <w:r>
        <w:rPr>
          <w:sz w:val="24"/>
        </w:rPr>
      </w:r>
      <w:r/>
    </w:p>
    <w:p>
      <w:pPr>
        <w:pStyle w:val="1344"/>
        <w:spacing w:line="440" w:lineRule="exact"/>
        <w:rPr>
          <w:sz w:val="24"/>
        </w:rPr>
      </w:pPr>
      <w:r>
        <w:rPr>
          <w:sz w:val="24"/>
        </w:rPr>
      </w:r>
      <w:r/>
    </w:p>
    <w:p>
      <w:pPr>
        <w:pStyle w:val="1344"/>
        <w:spacing w:line="440" w:lineRule="exact"/>
        <w:rPr>
          <w:sz w:val="24"/>
        </w:rPr>
      </w:pPr>
      <w:r>
        <w:rPr>
          <w:sz w:val="24"/>
        </w:rPr>
      </w:r>
      <w:r/>
    </w:p>
    <w:p>
      <w:pPr>
        <w:pStyle w:val="1344"/>
        <w:spacing w:line="440" w:lineRule="exact"/>
        <w:rPr>
          <w:sz w:val="24"/>
        </w:rPr>
      </w:pPr>
      <w:r>
        <w:rPr>
          <w:sz w:val="24"/>
        </w:rPr>
      </w:r>
      <w:r/>
    </w:p>
    <w:p>
      <w:pPr>
        <w:pStyle w:val="1344"/>
        <w:spacing w:line="440" w:lineRule="exact"/>
        <w:rPr>
          <w:sz w:val="24"/>
        </w:rPr>
      </w:pPr>
      <w:r>
        <w:rPr>
          <w:sz w:val="24"/>
        </w:rPr>
      </w:r>
      <w:r/>
    </w:p>
    <w:p>
      <w:pPr>
        <w:pStyle w:val="1344"/>
        <w:spacing w:line="440" w:lineRule="exact"/>
        <w:rPr>
          <w:sz w:val="24"/>
        </w:rPr>
      </w:pPr>
      <w:r>
        <w:rPr>
          <w:sz w:val="24"/>
        </w:rPr>
      </w:r>
      <w:r/>
    </w:p>
    <w:p>
      <w:pPr>
        <w:pStyle w:val="1344"/>
        <w:spacing w:line="440" w:lineRule="exact"/>
        <w:rPr>
          <w:sz w:val="24"/>
        </w:rPr>
      </w:pPr>
      <w:r>
        <w:rPr>
          <w:sz w:val="24"/>
        </w:rPr>
      </w:r>
      <w:r/>
    </w:p>
    <w:p>
      <w:pPr>
        <w:pStyle w:val="1344"/>
        <w:spacing w:line="440" w:lineRule="exact"/>
        <w:rPr>
          <w:sz w:val="24"/>
        </w:rPr>
      </w:pPr>
      <w:r>
        <w:rPr>
          <w:sz w:val="24"/>
        </w:rPr>
      </w:r>
      <w:r/>
    </w:p>
    <w:p>
      <w:pPr>
        <w:pStyle w:val="1344"/>
        <w:spacing w:line="440" w:lineRule="exact"/>
        <w:rPr>
          <w:sz w:val="24"/>
        </w:rPr>
      </w:pPr>
      <w:r>
        <w:rPr>
          <w:sz w:val="24"/>
        </w:rPr>
      </w:r>
      <w:r/>
    </w:p>
    <w:p>
      <w:pPr>
        <w:pStyle w:val="1344"/>
        <w:spacing w:line="440" w:lineRule="exact"/>
        <w:rPr>
          <w:sz w:val="24"/>
        </w:rPr>
      </w:pPr>
      <w:r>
        <w:rPr>
          <w:sz w:val="24"/>
        </w:rPr>
      </w:r>
      <w:r/>
    </w:p>
    <w:p>
      <w:pPr>
        <w:pStyle w:val="1344"/>
        <w:spacing w:line="440" w:lineRule="exact"/>
        <w:rPr>
          <w:sz w:val="24"/>
        </w:rPr>
      </w:pPr>
      <w:r>
        <w:rPr>
          <w:sz w:val="24"/>
        </w:rPr>
      </w:r>
      <w:r/>
    </w:p>
    <w:p>
      <w:pPr>
        <w:pStyle w:val="1344"/>
        <w:jc w:val="left"/>
        <w:spacing w:line="360" w:lineRule="auto"/>
        <w:rPr>
          <w:b/>
          <w:bCs/>
          <w:szCs w:val="21"/>
        </w:rPr>
        <w:outlineLvl w:val="2"/>
      </w:pPr>
      <w:r/>
      <w:bookmarkStart w:id="459" w:name="_Toc17181"/>
      <w:r>
        <w:rPr>
          <w:b/>
          <w:bCs/>
          <w:szCs w:val="21"/>
        </w:rPr>
        <w:br w:type="page" w:clear="all"/>
      </w:r>
      <w:bookmarkStart w:id="460" w:name="_Toc31194"/>
      <w:r/>
      <w:bookmarkStart w:id="461" w:name="_Toc970"/>
      <w:r>
        <w:rPr>
          <w:b/>
          <w:bCs/>
          <w:szCs w:val="21"/>
        </w:rPr>
        <w:t xml:space="preserve">7、依法缴纳社会保障资金的记录</w:t>
      </w:r>
      <w:bookmarkEnd w:id="459"/>
      <w:r/>
      <w:bookmarkEnd w:id="460"/>
      <w:r/>
      <w:bookmarkEnd w:id="461"/>
      <w:r>
        <w:rPr>
          <w:b/>
          <w:bCs/>
          <w:szCs w:val="21"/>
        </w:rPr>
      </w:r>
      <w:r/>
    </w:p>
    <w:p>
      <w:pPr>
        <w:pStyle w:val="1344"/>
        <w:spacing w:line="440" w:lineRule="exact"/>
        <w:rPr>
          <w:sz w:val="24"/>
          <w:szCs w:val="24"/>
        </w:rPr>
      </w:pPr>
      <w:r>
        <w:t xml:space="preserve">（1）提供距开标时间六个月内任意一</w:t>
      </w:r>
      <w:r>
        <w:rPr>
          <w:rFonts w:hint="eastAsia"/>
          <w:szCs w:val="21"/>
        </w:rPr>
        <w:t xml:space="preserve">个</w:t>
      </w:r>
      <w:r>
        <w:t xml:space="preserve">月份的依法缴纳社会保障资金的凭据复印件加盖公章（凭据可以是缴费的银行单据、专用收据、社会保险缴纳清单或者所在社保机构开具的证明等，自行编写无效）；</w:t>
      </w:r>
      <w:r>
        <w:rPr>
          <w:sz w:val="24"/>
          <w:szCs w:val="24"/>
        </w:rPr>
      </w:r>
      <w:r/>
    </w:p>
    <w:p>
      <w:pPr>
        <w:pStyle w:val="1344"/>
        <w:spacing w:after="120" w:line="440" w:lineRule="exact"/>
      </w:pPr>
      <w:r>
        <w:t xml:space="preserve">（2）依法不需要缴纳社会保障资金的，应提供相应的文件证明。 </w:t>
      </w:r>
      <w:r/>
    </w:p>
    <w:p>
      <w:pPr>
        <w:pStyle w:val="1344"/>
        <w:spacing w:line="440" w:lineRule="exact"/>
        <w:rPr>
          <w:sz w:val="24"/>
        </w:rPr>
      </w:pPr>
      <w:r>
        <w:rPr>
          <w:sz w:val="24"/>
        </w:rPr>
      </w:r>
      <w:r/>
    </w:p>
    <w:p>
      <w:pPr>
        <w:pStyle w:val="1344"/>
        <w:spacing w:line="440" w:lineRule="exact"/>
        <w:rPr>
          <w:b/>
        </w:rPr>
      </w:pPr>
      <w:r>
        <w:rPr>
          <w:b/>
        </w:rPr>
        <w:t xml:space="preserve">  </w:t>
      </w:r>
      <w:r>
        <w:rPr>
          <w:b/>
        </w:rPr>
      </w:r>
      <w:r/>
    </w:p>
    <w:p>
      <w:pPr>
        <w:pStyle w:val="1344"/>
        <w:spacing w:line="440" w:lineRule="exact"/>
        <w:rPr>
          <w:b/>
        </w:rPr>
      </w:pPr>
      <w:r>
        <w:rPr>
          <w:b/>
        </w:rPr>
      </w:r>
      <w:r/>
    </w:p>
    <w:p>
      <w:pPr>
        <w:pStyle w:val="1344"/>
        <w:spacing w:line="440" w:lineRule="exact"/>
        <w:rPr>
          <w:sz w:val="24"/>
        </w:rPr>
      </w:pPr>
      <w:r>
        <w:rPr>
          <w:sz w:val="24"/>
        </w:rPr>
      </w:r>
      <w:r/>
    </w:p>
    <w:p>
      <w:pPr>
        <w:pStyle w:val="1344"/>
        <w:spacing w:line="440" w:lineRule="exact"/>
        <w:rPr>
          <w:szCs w:val="21"/>
        </w:rPr>
      </w:pPr>
      <w:r>
        <w:rPr>
          <w:szCs w:val="21"/>
        </w:rPr>
        <w:t xml:space="preserve">投标人名称（公章）：</w:t>
      </w:r>
      <w:r>
        <w:rPr>
          <w:szCs w:val="21"/>
        </w:rPr>
      </w:r>
      <w:r/>
    </w:p>
    <w:p>
      <w:pPr>
        <w:pStyle w:val="1344"/>
        <w:spacing w:line="440" w:lineRule="exact"/>
        <w:rPr>
          <w:szCs w:val="21"/>
        </w:rPr>
      </w:pPr>
      <w:r>
        <w:rPr>
          <w:szCs w:val="21"/>
        </w:rPr>
        <w:t xml:space="preserve">授权代表（签字）：</w:t>
      </w:r>
      <w:r>
        <w:rPr>
          <w:szCs w:val="21"/>
        </w:rPr>
      </w:r>
      <w:r/>
    </w:p>
    <w:p>
      <w:pPr>
        <w:pStyle w:val="1344"/>
        <w:spacing w:line="440" w:lineRule="exact"/>
        <w:rPr>
          <w:sz w:val="24"/>
          <w:szCs w:val="24"/>
        </w:rPr>
      </w:pPr>
      <w:r>
        <w:rPr>
          <w:szCs w:val="21"/>
        </w:rPr>
        <w:t xml:space="preserve">日期：</w:t>
      </w:r>
      <w:r>
        <w:rPr>
          <w:sz w:val="24"/>
          <w:szCs w:val="24"/>
        </w:rPr>
      </w:r>
      <w:r/>
    </w:p>
    <w:p>
      <w:pPr>
        <w:pStyle w:val="1344"/>
        <w:spacing w:line="440" w:lineRule="exact"/>
        <w:rPr>
          <w:sz w:val="24"/>
        </w:rPr>
      </w:pPr>
      <w:r>
        <w:rPr>
          <w:sz w:val="24"/>
        </w:rPr>
      </w:r>
      <w:r/>
    </w:p>
    <w:p>
      <w:pPr>
        <w:pStyle w:val="1344"/>
        <w:spacing w:line="440" w:lineRule="exact"/>
        <w:rPr>
          <w:b/>
        </w:rPr>
      </w:pPr>
      <w:r>
        <w:rPr>
          <w:b/>
        </w:rPr>
      </w:r>
      <w:r/>
    </w:p>
    <w:p>
      <w:pPr>
        <w:pStyle w:val="1344"/>
        <w:jc w:val="center"/>
        <w:spacing w:line="440" w:lineRule="exact"/>
      </w:pPr>
      <w:r/>
      <w:r/>
    </w:p>
    <w:p>
      <w:pPr>
        <w:pStyle w:val="1344"/>
        <w:spacing w:line="440" w:lineRule="exact"/>
        <w:rPr>
          <w:b/>
        </w:rPr>
      </w:pPr>
      <w:r>
        <w:rPr>
          <w:b/>
        </w:rPr>
      </w:r>
      <w:r/>
    </w:p>
    <w:p>
      <w:pPr>
        <w:pStyle w:val="1344"/>
        <w:ind w:right="-5"/>
        <w:spacing w:line="440" w:lineRule="exact"/>
        <w:rPr>
          <w:b/>
        </w:rPr>
      </w:pPr>
      <w:r>
        <w:rPr>
          <w:b/>
        </w:rPr>
      </w:r>
      <w:r/>
    </w:p>
    <w:p>
      <w:pPr>
        <w:pStyle w:val="1344"/>
        <w:ind w:right="-5"/>
        <w:spacing w:line="440" w:lineRule="exact"/>
        <w:rPr>
          <w:b/>
        </w:rPr>
      </w:pPr>
      <w:r>
        <w:rPr>
          <w:b/>
        </w:rPr>
      </w:r>
      <w:r/>
    </w:p>
    <w:p>
      <w:pPr>
        <w:pStyle w:val="1344"/>
        <w:ind w:right="-5"/>
        <w:spacing w:line="440" w:lineRule="exact"/>
        <w:rPr>
          <w:b/>
        </w:rPr>
      </w:pPr>
      <w:r>
        <w:rPr>
          <w:b/>
        </w:rPr>
      </w:r>
      <w:r/>
    </w:p>
    <w:p>
      <w:pPr>
        <w:pStyle w:val="1344"/>
        <w:ind w:right="-5"/>
        <w:spacing w:line="440" w:lineRule="exact"/>
        <w:rPr>
          <w:b/>
        </w:rPr>
      </w:pPr>
      <w:r>
        <w:rPr>
          <w:b/>
        </w:rPr>
      </w:r>
      <w:r/>
    </w:p>
    <w:p>
      <w:pPr>
        <w:pStyle w:val="1344"/>
        <w:ind w:right="-5"/>
        <w:spacing w:line="440" w:lineRule="exact"/>
        <w:rPr>
          <w:b/>
        </w:rPr>
        <w:sectPr>
          <w:footnotePr/>
          <w:endnotePr/>
          <w:type w:val="nextPage"/>
          <w:pgSz w:w="11906" w:h="16838" w:orient="portrait"/>
          <w:pgMar w:top="1134" w:right="1134" w:bottom="1134" w:left="1134" w:header="851" w:footer="992" w:gutter="0"/>
          <w:cols w:num="1" w:sep="0" w:space="1701" w:equalWidth="1"/>
          <w:docGrid w:linePitch="360"/>
          <w:titlePg/>
        </w:sectPr>
      </w:pPr>
      <w:r>
        <w:rPr>
          <w:b/>
        </w:rPr>
      </w:r>
      <w:r/>
    </w:p>
    <w:p>
      <w:pPr>
        <w:pStyle w:val="1344"/>
        <w:jc w:val="left"/>
        <w:spacing w:line="360" w:lineRule="auto"/>
        <w:rPr>
          <w:b/>
          <w:bCs/>
          <w:szCs w:val="21"/>
        </w:rPr>
        <w:outlineLvl w:val="2"/>
      </w:pPr>
      <w:r/>
      <w:bookmarkStart w:id="462" w:name="_Toc9645"/>
      <w:r/>
      <w:bookmarkStart w:id="463" w:name="_Toc17743"/>
      <w:r/>
      <w:bookmarkStart w:id="464" w:name="_Toc8972"/>
      <w:r>
        <w:rPr>
          <w:b/>
          <w:bCs/>
          <w:szCs w:val="21"/>
        </w:rPr>
        <w:t xml:space="preserve">8、</w:t>
      </w:r>
      <w:bookmarkEnd w:id="462"/>
      <w:r>
        <w:rPr>
          <w:b/>
          <w:bCs/>
          <w:color w:val="000000"/>
          <w:szCs w:val="21"/>
        </w:rPr>
        <w:t xml:space="preserve">针对</w:t>
      </w:r>
      <w:r>
        <w:rPr>
          <w:b/>
          <w:bCs/>
          <w:szCs w:val="21"/>
        </w:rPr>
        <w:t xml:space="preserve">本项目的特定资格要求</w:t>
      </w:r>
      <w:bookmarkEnd w:id="463"/>
      <w:r/>
      <w:bookmarkEnd w:id="464"/>
      <w:r>
        <w:rPr>
          <w:b/>
          <w:bCs/>
          <w:szCs w:val="21"/>
        </w:rPr>
      </w:r>
      <w:r/>
    </w:p>
    <w:p>
      <w:pPr>
        <w:pStyle w:val="1344"/>
        <w:spacing w:line="440" w:lineRule="exact"/>
        <w:rPr>
          <w:szCs w:val="21"/>
        </w:rPr>
      </w:pPr>
      <w:r/>
      <w:bookmarkStart w:id="465" w:name="_Toc9807"/>
      <w:r/>
      <w:bookmarkStart w:id="466" w:name="_Toc20105"/>
      <w:r>
        <w:rPr>
          <w:szCs w:val="21"/>
        </w:rPr>
        <w:br w:type="textWrapping" w:clear="all"/>
      </w:r>
      <w:r>
        <w:rPr>
          <w:szCs w:val="21"/>
        </w:rPr>
        <w:br w:type="textWrapping" w:clear="all"/>
      </w:r>
      <w:r>
        <w:rPr>
          <w:szCs w:val="21"/>
        </w:rPr>
        <w:br w:type="textWrapping" w:clear="all"/>
      </w:r>
      <w:r>
        <w:rPr>
          <w:szCs w:val="21"/>
        </w:rPr>
        <w:br w:type="textWrapping" w:clear="all"/>
      </w:r>
      <w:r>
        <w:rPr>
          <w:szCs w:val="21"/>
        </w:rPr>
        <w:br w:type="textWrapping" w:clear="all"/>
      </w:r>
      <w:r>
        <w:rPr>
          <w:szCs w:val="21"/>
        </w:rPr>
        <w:br w:type="textWrapping" w:clear="all"/>
      </w:r>
      <w:r>
        <w:rPr>
          <w:szCs w:val="21"/>
        </w:rPr>
        <w:t xml:space="preserve">投标人名称（公章）：</w:t>
      </w:r>
      <w:r>
        <w:rPr>
          <w:szCs w:val="21"/>
        </w:rPr>
      </w:r>
      <w:r/>
    </w:p>
    <w:p>
      <w:pPr>
        <w:pStyle w:val="1344"/>
        <w:spacing w:line="440" w:lineRule="exact"/>
        <w:rPr>
          <w:szCs w:val="21"/>
        </w:rPr>
      </w:pPr>
      <w:r>
        <w:rPr>
          <w:szCs w:val="21"/>
        </w:rPr>
        <w:t xml:space="preserve">授权代表（签字）：</w:t>
      </w:r>
      <w:r>
        <w:rPr>
          <w:szCs w:val="21"/>
        </w:rPr>
      </w:r>
      <w:r/>
    </w:p>
    <w:p>
      <w:pPr>
        <w:pStyle w:val="1344"/>
        <w:spacing w:line="440" w:lineRule="exact"/>
        <w:rPr>
          <w:sz w:val="24"/>
          <w:szCs w:val="24"/>
        </w:rPr>
      </w:pPr>
      <w:r>
        <w:rPr>
          <w:szCs w:val="21"/>
        </w:rPr>
        <w:t xml:space="preserve">日期：</w:t>
      </w:r>
      <w:r>
        <w:rPr>
          <w:sz w:val="24"/>
          <w:szCs w:val="24"/>
        </w:rPr>
      </w:r>
      <w:r/>
    </w:p>
    <w:p>
      <w:pPr>
        <w:pStyle w:val="1344"/>
        <w:spacing w:line="480" w:lineRule="exact"/>
        <w:widowControl/>
        <w:rPr>
          <w:rFonts w:ascii="宋体" w:hAnsi="宋体" w:cs="宋体"/>
          <w:b/>
          <w:bCs/>
          <w:szCs w:val="21"/>
        </w:rPr>
        <w:outlineLvl w:val="2"/>
      </w:pPr>
      <w:r>
        <w:rPr>
          <w:b/>
          <w:bCs/>
          <w:szCs w:val="21"/>
        </w:rPr>
        <w:br w:type="page" w:clear="all"/>
      </w:r>
      <w:bookmarkStart w:id="467" w:name="_Toc28434"/>
      <w:r>
        <w:rPr>
          <w:b/>
          <w:bCs/>
          <w:szCs w:val="21"/>
        </w:rPr>
        <w:t xml:space="preserve">9、</w:t>
      </w:r>
      <w:bookmarkEnd w:id="465"/>
      <w:r/>
      <w:bookmarkEnd w:id="466"/>
      <w:r/>
      <w:bookmarkStart w:id="468" w:name="_Toc20191"/>
      <w:r/>
      <w:bookmarkStart w:id="469" w:name="_Toc6517"/>
      <w:r>
        <w:rPr>
          <w:rFonts w:hint="eastAsia" w:ascii="宋体" w:hAnsi="宋体" w:cs="宋体"/>
          <w:b/>
          <w:bCs/>
          <w:szCs w:val="21"/>
        </w:rPr>
        <w:t xml:space="preserve">符合招标文件第一章“拒绝下述供应商参加本次采购活动的情形”中第 1）条的声明或证明材料（加盖单位公章）</w:t>
      </w:r>
      <w:bookmarkEnd w:id="467"/>
      <w:r/>
      <w:bookmarkEnd w:id="468"/>
      <w:r/>
      <w:bookmarkEnd w:id="469"/>
      <w:r>
        <w:rPr>
          <w:rFonts w:hint="eastAsia" w:ascii="宋体" w:hAnsi="宋体" w:cs="宋体"/>
          <w:b/>
          <w:bCs/>
          <w:szCs w:val="21"/>
        </w:rPr>
        <w:t xml:space="preserve"> </w:t>
      </w:r>
      <w:r>
        <w:rPr>
          <w:rFonts w:ascii="宋体" w:hAnsi="宋体" w:cs="宋体"/>
          <w:b/>
          <w:bCs/>
          <w:szCs w:val="21"/>
        </w:rPr>
      </w:r>
      <w:r/>
    </w:p>
    <w:p>
      <w:pPr>
        <w:pStyle w:val="1344"/>
        <w:jc w:val="left"/>
        <w:spacing w:line="360" w:lineRule="auto"/>
        <w:rPr>
          <w:rFonts w:ascii="宋体" w:hAnsi="宋体" w:cs="宋体"/>
          <w:szCs w:val="21"/>
        </w:rPr>
      </w:pPr>
      <w:r>
        <w:rPr>
          <w:rFonts w:ascii="宋体" w:hAnsi="宋体" w:cs="宋体"/>
          <w:szCs w:val="21"/>
        </w:rPr>
        <w:t xml:space="preserve">注：1、投标人应当根据自身存在的情形，</w:t>
      </w:r>
      <w:r>
        <w:rPr>
          <w:rFonts w:ascii="宋体" w:hAnsi="宋体" w:cs="宋体"/>
          <w:color w:val="ff0000"/>
          <w:szCs w:val="21"/>
        </w:rPr>
        <w:t xml:space="preserve">如实披露</w:t>
      </w:r>
      <w:r>
        <w:rPr>
          <w:rFonts w:ascii="宋体" w:hAnsi="宋体" w:cs="宋体"/>
          <w:szCs w:val="21"/>
        </w:rPr>
        <w:t xml:space="preserve">与本单位负责人为同一人或者存在直接控股、管理关系的供应商情况。 </w:t>
      </w:r>
      <w:r>
        <w:rPr>
          <w:rFonts w:ascii="宋体" w:hAnsi="宋体" w:cs="宋体"/>
          <w:szCs w:val="21"/>
        </w:rPr>
      </w:r>
      <w:r/>
    </w:p>
    <w:p>
      <w:pPr>
        <w:pStyle w:val="1344"/>
        <w:jc w:val="left"/>
        <w:spacing w:line="360" w:lineRule="auto"/>
        <w:rPr>
          <w:rFonts w:hint="eastAsia" w:ascii="宋体" w:hAnsi="宋体" w:cs="宋体"/>
          <w:szCs w:val="21"/>
        </w:rPr>
      </w:pPr>
      <w:r>
        <w:rPr>
          <w:rFonts w:ascii="宋体" w:hAnsi="宋体" w:cs="宋体"/>
          <w:szCs w:val="21"/>
        </w:rPr>
        <w:t xml:space="preserve">2、单位负责人为同一人或者存在直接控股、管理关系的不同供应商，同时参加本项目同一包的投标，相关投标均无效。 </w:t>
      </w:r>
      <w:r>
        <w:rPr>
          <w:rFonts w:hint="eastAsia" w:ascii="宋体" w:hAnsi="宋体" w:cs="宋体"/>
          <w:szCs w:val="21"/>
        </w:rPr>
      </w:r>
      <w:r/>
    </w:p>
    <w:p>
      <w:pPr>
        <w:pStyle w:val="1344"/>
        <w:ind w:left="1260"/>
        <w:rPr>
          <w:rFonts w:hint="eastAsia"/>
        </w:rPr>
      </w:pPr>
      <w:r>
        <w:rPr>
          <w:rFonts w:hint="eastAsia"/>
        </w:rPr>
      </w:r>
      <w:r/>
    </w:p>
    <w:p>
      <w:pPr>
        <w:pStyle w:val="1344"/>
        <w:jc w:val="left"/>
        <w:spacing w:line="360" w:lineRule="auto"/>
        <w:rPr>
          <w:rFonts w:ascii="宋体" w:hAnsi="宋体" w:cs="宋体"/>
          <w:b/>
          <w:bCs/>
          <w:szCs w:val="21"/>
        </w:rPr>
      </w:pPr>
      <w:r>
        <w:rPr>
          <w:rFonts w:ascii="宋体" w:hAnsi="宋体" w:cs="宋体"/>
          <w:b/>
          <w:bCs/>
          <w:szCs w:val="21"/>
        </w:rPr>
        <w:t xml:space="preserve">（如不存在上述情况，请提供如下声明） </w:t>
      </w:r>
      <w:r>
        <w:rPr>
          <w:rFonts w:ascii="宋体" w:hAnsi="宋体" w:cs="宋体"/>
          <w:b/>
          <w:bCs/>
          <w:szCs w:val="21"/>
        </w:rPr>
      </w:r>
      <w:r/>
    </w:p>
    <w:p>
      <w:pPr>
        <w:pStyle w:val="1344"/>
        <w:jc w:val="left"/>
        <w:spacing w:line="360" w:lineRule="auto"/>
        <w:rPr>
          <w:rFonts w:hint="eastAsia" w:ascii="宋体" w:hAnsi="宋体" w:cs="宋体"/>
          <w:b/>
          <w:bCs/>
          <w:szCs w:val="21"/>
        </w:rPr>
      </w:pPr>
      <w:r>
        <w:rPr>
          <w:rFonts w:hint="eastAsia" w:ascii="宋体" w:hAnsi="宋体" w:cs="宋体"/>
          <w:b/>
          <w:bCs/>
          <w:szCs w:val="21"/>
        </w:rPr>
      </w:r>
      <w:r/>
    </w:p>
    <w:p>
      <w:pPr>
        <w:pStyle w:val="1344"/>
        <w:jc w:val="left"/>
        <w:spacing w:line="360" w:lineRule="auto"/>
        <w:rPr>
          <w:rFonts w:ascii="宋体" w:hAnsi="宋体" w:cs="宋体"/>
          <w:b/>
          <w:bCs/>
          <w:szCs w:val="21"/>
        </w:rPr>
      </w:pPr>
      <w:r>
        <w:rPr>
          <w:rFonts w:hint="eastAsia" w:ascii="宋体" w:hAnsi="宋体" w:cs="宋体"/>
          <w:b/>
          <w:bCs/>
          <w:szCs w:val="21"/>
        </w:rPr>
        <w:t xml:space="preserve">江苏苏美达仪器设备有限公司</w:t>
      </w:r>
      <w:r>
        <w:rPr>
          <w:rFonts w:ascii="宋体" w:hAnsi="宋体" w:cs="宋体"/>
          <w:b/>
          <w:bCs/>
          <w:szCs w:val="21"/>
        </w:rPr>
        <w:t xml:space="preserve">： </w:t>
      </w:r>
      <w:r>
        <w:rPr>
          <w:rFonts w:ascii="宋体" w:hAnsi="宋体" w:cs="宋体"/>
          <w:b/>
          <w:bCs/>
          <w:szCs w:val="21"/>
        </w:rPr>
      </w:r>
      <w:r/>
    </w:p>
    <w:p>
      <w:pPr>
        <w:pStyle w:val="1344"/>
        <w:jc w:val="left"/>
        <w:spacing w:line="360" w:lineRule="auto"/>
        <w:rPr>
          <w:rFonts w:ascii="宋体" w:hAnsi="宋体" w:cs="宋体"/>
          <w:b/>
          <w:bCs/>
          <w:szCs w:val="21"/>
        </w:rPr>
      </w:pPr>
      <w:r>
        <w:rPr>
          <w:rFonts w:ascii="宋体" w:hAnsi="宋体" w:cs="宋体"/>
          <w:b/>
          <w:bCs/>
          <w:szCs w:val="21"/>
        </w:rPr>
        <w:t xml:space="preserve"> </w:t>
      </w:r>
      <w:r>
        <w:rPr>
          <w:rFonts w:ascii="宋体" w:hAnsi="宋体" w:cs="宋体"/>
          <w:b/>
          <w:bCs/>
          <w:szCs w:val="21"/>
        </w:rPr>
      </w:r>
      <w:r/>
    </w:p>
    <w:p>
      <w:pPr>
        <w:pStyle w:val="1344"/>
        <w:jc w:val="left"/>
        <w:spacing w:line="360" w:lineRule="auto"/>
        <w:rPr>
          <w:rFonts w:ascii="宋体" w:hAnsi="宋体" w:cs="宋体"/>
          <w:szCs w:val="21"/>
        </w:rPr>
      </w:pPr>
      <w:r>
        <w:rPr>
          <w:rFonts w:ascii="宋体" w:hAnsi="宋体" w:cs="宋体"/>
          <w:szCs w:val="21"/>
        </w:rPr>
        <w:t xml:space="preserve">我单位负责人</w:t>
      </w:r>
      <w:r>
        <w:rPr>
          <w:rFonts w:ascii="宋体" w:hAnsi="宋体" w:cs="宋体"/>
          <w:szCs w:val="21"/>
          <w:u w:val="single"/>
        </w:rPr>
        <w:t xml:space="preserve">（负责人姓名、身份证号）</w:t>
      </w:r>
      <w:r>
        <w:rPr>
          <w:rFonts w:ascii="宋体" w:hAnsi="宋体" w:cs="宋体"/>
          <w:szCs w:val="21"/>
        </w:rPr>
        <w:t xml:space="preserve">，与我单位存在直接控股、管理关系的单位</w:t>
      </w:r>
      <w:r>
        <w:rPr>
          <w:rFonts w:hint="eastAsia" w:ascii="宋体" w:hAnsi="宋体" w:cs="宋体"/>
          <w:szCs w:val="21"/>
        </w:rPr>
        <w:t xml:space="preserve">为</w:t>
      </w:r>
      <w:r>
        <w:rPr>
          <w:rFonts w:ascii="宋体" w:hAnsi="宋体" w:cs="宋体"/>
          <w:szCs w:val="21"/>
        </w:rPr>
      </w:r>
      <w:r/>
    </w:p>
    <w:p>
      <w:pPr>
        <w:pStyle w:val="1344"/>
        <w:jc w:val="left"/>
        <w:spacing w:line="360" w:lineRule="auto"/>
        <w:rPr>
          <w:rFonts w:ascii="宋体" w:hAnsi="宋体" w:cs="宋体"/>
          <w:szCs w:val="21"/>
        </w:rPr>
      </w:pPr>
      <w:r>
        <w:rPr>
          <w:rFonts w:ascii="宋体" w:hAnsi="宋体" w:cs="宋体"/>
          <w:szCs w:val="21"/>
          <w:u w:val="single"/>
        </w:rPr>
        <w:t xml:space="preserve">（单位名称）</w:t>
      </w:r>
      <w:r>
        <w:rPr>
          <w:rFonts w:ascii="宋体" w:hAnsi="宋体" w:cs="宋体"/>
          <w:szCs w:val="21"/>
        </w:rPr>
        <w:t xml:space="preserve">，不存在与我单位负责人为同一人或者存在直接控股、管理的不同供应商同时参加本项目同一包投标的情形。 </w:t>
      </w:r>
      <w:r>
        <w:rPr>
          <w:rFonts w:ascii="宋体" w:hAnsi="宋体" w:cs="宋体"/>
          <w:szCs w:val="21"/>
        </w:rPr>
      </w:r>
      <w:r/>
    </w:p>
    <w:p>
      <w:pPr>
        <w:pStyle w:val="1344"/>
        <w:jc w:val="left"/>
        <w:spacing w:line="360" w:lineRule="auto"/>
        <w:rPr>
          <w:rFonts w:ascii="宋体" w:hAnsi="宋体" w:cs="宋体"/>
          <w:b/>
          <w:bCs/>
          <w:szCs w:val="21"/>
        </w:rPr>
      </w:pPr>
      <w:r>
        <w:rPr>
          <w:rFonts w:ascii="宋体" w:hAnsi="宋体" w:cs="宋体"/>
          <w:b/>
          <w:bCs/>
          <w:szCs w:val="21"/>
        </w:rPr>
        <w:t xml:space="preserve"> </w:t>
      </w:r>
      <w:r>
        <w:rPr>
          <w:rFonts w:ascii="宋体" w:hAnsi="宋体" w:cs="宋体"/>
          <w:b/>
          <w:bCs/>
          <w:szCs w:val="21"/>
        </w:rPr>
      </w:r>
      <w:r/>
    </w:p>
    <w:p>
      <w:pPr>
        <w:pStyle w:val="1344"/>
        <w:jc w:val="left"/>
        <w:spacing w:line="360" w:lineRule="auto"/>
        <w:rPr>
          <w:rFonts w:ascii="宋体" w:hAnsi="宋体" w:cs="宋体"/>
          <w:b/>
          <w:bCs/>
          <w:szCs w:val="21"/>
        </w:rPr>
      </w:pPr>
      <w:r>
        <w:rPr>
          <w:rFonts w:ascii="宋体" w:hAnsi="宋体" w:cs="宋体"/>
          <w:b/>
          <w:bCs/>
          <w:szCs w:val="21"/>
        </w:rPr>
        <w:t xml:space="preserve">特此声明。 </w:t>
      </w:r>
      <w:r>
        <w:rPr>
          <w:rFonts w:ascii="宋体" w:hAnsi="宋体" w:cs="宋体"/>
          <w:b/>
          <w:bCs/>
          <w:szCs w:val="21"/>
        </w:rPr>
      </w:r>
      <w:r/>
    </w:p>
    <w:p>
      <w:pPr>
        <w:pStyle w:val="1344"/>
        <w:spacing w:line="360" w:lineRule="auto"/>
        <w:rPr>
          <w:rFonts w:hint="eastAsia" w:ascii="宋体" w:hAnsi="宋体" w:cs="宋体"/>
          <w:szCs w:val="21"/>
        </w:rPr>
      </w:pPr>
      <w:r>
        <w:rPr>
          <w:rFonts w:hint="eastAsia" w:ascii="宋体" w:hAnsi="宋体" w:cs="宋体"/>
          <w:szCs w:val="21"/>
        </w:rPr>
      </w:r>
      <w:r/>
    </w:p>
    <w:p>
      <w:pPr>
        <w:pStyle w:val="1344"/>
        <w:spacing w:line="440" w:lineRule="exact"/>
        <w:rPr>
          <w:szCs w:val="21"/>
        </w:rPr>
      </w:pPr>
      <w:r>
        <w:rPr>
          <w:szCs w:val="21"/>
        </w:rPr>
        <w:t xml:space="preserve">投标人名称（公章）：</w:t>
      </w:r>
      <w:r>
        <w:rPr>
          <w:szCs w:val="21"/>
        </w:rPr>
      </w:r>
      <w:r/>
    </w:p>
    <w:p>
      <w:pPr>
        <w:pStyle w:val="1344"/>
        <w:spacing w:line="440" w:lineRule="exact"/>
        <w:rPr>
          <w:szCs w:val="21"/>
        </w:rPr>
      </w:pPr>
      <w:r>
        <w:rPr>
          <w:szCs w:val="21"/>
        </w:rPr>
        <w:t xml:space="preserve">授权代表（签字）：</w:t>
      </w:r>
      <w:r>
        <w:rPr>
          <w:szCs w:val="21"/>
        </w:rPr>
      </w:r>
      <w:r/>
    </w:p>
    <w:p>
      <w:pPr>
        <w:pStyle w:val="1344"/>
        <w:spacing w:line="440" w:lineRule="exact"/>
        <w:rPr>
          <w:sz w:val="24"/>
          <w:szCs w:val="24"/>
        </w:rPr>
      </w:pPr>
      <w:r>
        <w:rPr>
          <w:szCs w:val="21"/>
        </w:rPr>
        <w:t xml:space="preserve">日期：</w:t>
      </w:r>
      <w:r>
        <w:rPr>
          <w:sz w:val="24"/>
          <w:szCs w:val="24"/>
        </w:rPr>
      </w:r>
      <w:r/>
    </w:p>
    <w:p>
      <w:pPr>
        <w:pStyle w:val="1344"/>
        <w:ind w:firstLine="281"/>
        <w:rPr>
          <w:rFonts w:hint="eastAsia" w:ascii="宋体" w:hAnsi="宋体" w:cs="宋体"/>
          <w:b/>
          <w:bCs/>
          <w:sz w:val="28"/>
          <w:szCs w:val="21"/>
        </w:rPr>
      </w:pPr>
      <w:r>
        <w:rPr>
          <w:rFonts w:ascii="宋体" w:hAnsi="宋体" w:cs="宋体"/>
          <w:b/>
          <w:bCs/>
          <w:sz w:val="28"/>
          <w:szCs w:val="21"/>
        </w:rPr>
        <w:t xml:space="preserve"> </w:t>
      </w:r>
      <w:r>
        <w:rPr>
          <w:rFonts w:hint="eastAsia" w:ascii="宋体" w:hAnsi="宋体" w:cs="宋体"/>
          <w:b/>
          <w:bCs/>
          <w:sz w:val="28"/>
          <w:szCs w:val="21"/>
        </w:rPr>
      </w:r>
      <w:r/>
    </w:p>
    <w:p>
      <w:pPr>
        <w:pStyle w:val="1344"/>
        <w:ind w:firstLine="281"/>
        <w:rPr>
          <w:rFonts w:hint="eastAsia" w:hAnsi="宋体" w:cs="宋体"/>
          <w:b/>
          <w:bCs/>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hAnsi="宋体" w:cs="宋体"/>
          <w:b/>
          <w:bCs/>
          <w:szCs w:val="21"/>
        </w:rPr>
      </w:r>
      <w:r/>
    </w:p>
    <w:p>
      <w:pPr>
        <w:pStyle w:val="1344"/>
        <w:rPr>
          <w:rFonts w:hint="eastAsia" w:ascii="宋体" w:hAnsi="宋体" w:cs="宋体"/>
          <w:b/>
          <w:bCs/>
          <w:szCs w:val="21"/>
        </w:rPr>
        <w:outlineLvl w:val="2"/>
      </w:pPr>
      <w:r/>
      <w:bookmarkStart w:id="470" w:name="_Toc9743"/>
      <w:r/>
      <w:bookmarkStart w:id="471" w:name="_Toc21934"/>
      <w:r/>
      <w:bookmarkStart w:id="472" w:name="_Toc10766"/>
      <w:r/>
      <w:bookmarkStart w:id="473" w:name="_Toc24244"/>
      <w:r/>
      <w:bookmarkStart w:id="474" w:name="_Toc30898"/>
      <w:r>
        <w:rPr>
          <w:rFonts w:hint="eastAsia" w:ascii="宋体" w:hAnsi="宋体" w:cs="宋体"/>
          <w:b/>
          <w:bCs/>
          <w:szCs w:val="21"/>
        </w:rPr>
        <w:t xml:space="preserve">10、符合招标文件第一章“拒绝下述供应商参加本次采购活动的情形”中第 2）条的声明（加盖单位公章）</w:t>
      </w:r>
      <w:bookmarkEnd w:id="470"/>
      <w:r/>
      <w:bookmarkEnd w:id="471"/>
      <w:r/>
      <w:bookmarkEnd w:id="472"/>
      <w:r/>
      <w:bookmarkEnd w:id="473"/>
      <w:r/>
      <w:bookmarkEnd w:id="474"/>
      <w:r>
        <w:rPr>
          <w:rFonts w:hint="eastAsia" w:ascii="宋体" w:hAnsi="宋体" w:cs="宋体"/>
          <w:b/>
          <w:bCs/>
          <w:szCs w:val="21"/>
        </w:rPr>
      </w:r>
      <w:r/>
    </w:p>
    <w:p>
      <w:pPr>
        <w:pStyle w:val="1344"/>
        <w:ind w:firstLine="210"/>
        <w:rPr>
          <w:rFonts w:hint="eastAsia" w:ascii="宋体" w:hAnsi="宋体" w:cs="宋体"/>
          <w:szCs w:val="21"/>
        </w:rPr>
      </w:pPr>
      <w:r>
        <w:rPr>
          <w:rFonts w:hint="eastAsia" w:ascii="宋体" w:hAnsi="宋体" w:cs="宋体"/>
          <w:szCs w:val="21"/>
        </w:rPr>
      </w:r>
      <w:r/>
    </w:p>
    <w:p>
      <w:pPr>
        <w:pStyle w:val="1344"/>
        <w:rPr>
          <w:rFonts w:hint="eastAsia" w:ascii="宋体" w:hAnsi="宋体" w:cs="宋体"/>
          <w:szCs w:val="21"/>
        </w:rPr>
      </w:pPr>
      <w:r>
        <w:rPr>
          <w:rFonts w:hint="eastAsia" w:ascii="宋体" w:hAnsi="宋体" w:cs="宋体"/>
          <w:szCs w:val="21"/>
        </w:rPr>
        <w:t xml:space="preserve">参考格式：</w:t>
      </w:r>
      <w:r>
        <w:rPr>
          <w:rFonts w:hint="eastAsia" w:ascii="宋体" w:hAnsi="宋体" w:cs="宋体"/>
          <w:szCs w:val="21"/>
        </w:rPr>
      </w:r>
      <w:r/>
    </w:p>
    <w:p>
      <w:pPr>
        <w:pStyle w:val="1344"/>
        <w:rPr>
          <w:rFonts w:hint="eastAsia" w:ascii="宋体" w:hAnsi="宋体" w:cs="宋体"/>
          <w:szCs w:val="21"/>
        </w:rPr>
      </w:pPr>
      <w:r>
        <w:rPr>
          <w:rFonts w:hint="eastAsia" w:ascii="宋体" w:hAnsi="宋体" w:cs="宋体"/>
          <w:szCs w:val="21"/>
        </w:rPr>
      </w:r>
      <w:r/>
    </w:p>
    <w:p>
      <w:pPr>
        <w:pStyle w:val="1344"/>
        <w:ind w:firstLine="211"/>
        <w:rPr>
          <w:rFonts w:ascii="宋体" w:hAnsi="宋体" w:cs="宋体"/>
          <w:szCs w:val="21"/>
        </w:rPr>
      </w:pPr>
      <w:r>
        <w:rPr>
          <w:rFonts w:ascii="宋体" w:hAnsi="宋体" w:cs="宋体"/>
          <w:b/>
          <w:bCs/>
          <w:szCs w:val="21"/>
        </w:rPr>
        <w:t xml:space="preserve">江苏苏美达仪器设备有限公司：</w:t>
      </w:r>
      <w:r>
        <w:rPr>
          <w:rFonts w:ascii="宋体" w:hAnsi="宋体" w:cs="宋体"/>
          <w:szCs w:val="21"/>
        </w:rPr>
      </w:r>
      <w:r/>
    </w:p>
    <w:p>
      <w:pPr>
        <w:pStyle w:val="1344"/>
        <w:ind w:firstLine="420"/>
        <w:rPr>
          <w:rFonts w:ascii="宋体" w:hAnsi="宋体" w:cs="宋体"/>
          <w:szCs w:val="21"/>
        </w:rPr>
      </w:pPr>
      <w:r>
        <w:rPr>
          <w:rFonts w:ascii="宋体" w:hAnsi="宋体" w:cs="宋体"/>
          <w:szCs w:val="21"/>
        </w:rPr>
      </w:r>
      <w:r/>
    </w:p>
    <w:p>
      <w:pPr>
        <w:pStyle w:val="1344"/>
        <w:ind w:firstLine="420"/>
        <w:rPr>
          <w:rFonts w:hint="eastAsia" w:ascii="宋体" w:hAnsi="宋体" w:cs="宋体"/>
          <w:szCs w:val="21"/>
        </w:rPr>
      </w:pPr>
      <w:r>
        <w:rPr>
          <w:rFonts w:ascii="宋体" w:hAnsi="宋体" w:cs="宋体"/>
          <w:szCs w:val="21"/>
        </w:rPr>
        <w:t xml:space="preserve">我公司不是为本项目某包提供整体设计、规范编制或者项目管理、监理、检测等服务的供应商。 </w:t>
      </w:r>
      <w:r>
        <w:rPr>
          <w:rFonts w:hint="eastAsia" w:ascii="宋体" w:hAnsi="宋体" w:cs="宋体"/>
          <w:szCs w:val="21"/>
        </w:rPr>
      </w:r>
      <w:r/>
    </w:p>
    <w:p>
      <w:pPr>
        <w:pStyle w:val="1344"/>
        <w:ind w:firstLine="420"/>
        <w:rPr>
          <w:rFonts w:ascii="宋体" w:hAnsi="宋体" w:cs="宋体"/>
          <w:szCs w:val="21"/>
        </w:rPr>
      </w:pPr>
      <w:r>
        <w:rPr>
          <w:rFonts w:ascii="宋体" w:hAnsi="宋体" w:cs="宋体"/>
          <w:szCs w:val="21"/>
        </w:rPr>
        <w:t xml:space="preserve"> </w:t>
      </w:r>
      <w:r>
        <w:rPr>
          <w:rFonts w:ascii="宋体" w:hAnsi="宋体" w:cs="宋体"/>
          <w:szCs w:val="21"/>
        </w:rPr>
      </w:r>
      <w:r/>
    </w:p>
    <w:p>
      <w:pPr>
        <w:pStyle w:val="1344"/>
        <w:ind w:firstLine="211"/>
        <w:rPr>
          <w:rFonts w:hint="eastAsia" w:ascii="宋体" w:hAnsi="宋体" w:cs="宋体"/>
          <w:b/>
          <w:bCs/>
          <w:szCs w:val="21"/>
        </w:rPr>
      </w:pPr>
      <w:r>
        <w:rPr>
          <w:rFonts w:ascii="宋体" w:hAnsi="宋体" w:cs="宋体"/>
          <w:b/>
          <w:bCs/>
          <w:szCs w:val="21"/>
        </w:rPr>
        <w:t xml:space="preserve">特此声明。 </w:t>
      </w:r>
      <w:r>
        <w:rPr>
          <w:rFonts w:hint="eastAsia" w:ascii="宋体" w:hAnsi="宋体" w:cs="宋体"/>
          <w:b/>
          <w:bCs/>
          <w:szCs w:val="21"/>
        </w:rPr>
      </w:r>
      <w:r/>
    </w:p>
    <w:p>
      <w:pPr>
        <w:pStyle w:val="1344"/>
        <w:ind w:firstLine="211"/>
        <w:rPr>
          <w:rFonts w:hint="eastAsia" w:ascii="宋体" w:hAnsi="宋体" w:cs="宋体"/>
          <w:b/>
          <w:bCs/>
          <w:szCs w:val="21"/>
        </w:rPr>
      </w:pPr>
      <w:r>
        <w:rPr>
          <w:rFonts w:hint="eastAsia" w:ascii="宋体" w:hAnsi="宋体" w:cs="宋体"/>
          <w:b/>
          <w:bCs/>
          <w:szCs w:val="21"/>
        </w:rPr>
      </w:r>
      <w:r/>
    </w:p>
    <w:p>
      <w:pPr>
        <w:pStyle w:val="1344"/>
        <w:spacing w:line="440" w:lineRule="exact"/>
        <w:rPr>
          <w:szCs w:val="21"/>
        </w:rPr>
      </w:pPr>
      <w:r/>
      <w:bookmarkStart w:id="475" w:name="_Toc25559"/>
      <w:r/>
      <w:bookmarkStart w:id="476" w:name="_Toc24775"/>
      <w:r/>
      <w:bookmarkStart w:id="477" w:name="_Toc27347"/>
      <w:r/>
      <w:bookmarkStart w:id="478" w:name="_Toc3794"/>
      <w:r/>
      <w:bookmarkStart w:id="479" w:name="_Toc5579"/>
      <w:r>
        <w:rPr>
          <w:szCs w:val="21"/>
        </w:rPr>
        <w:t xml:space="preserve">投标人名称（公章）：</w:t>
      </w:r>
      <w:r>
        <w:rPr>
          <w:szCs w:val="21"/>
        </w:rPr>
      </w:r>
      <w:r/>
    </w:p>
    <w:p>
      <w:pPr>
        <w:pStyle w:val="1344"/>
        <w:spacing w:line="440" w:lineRule="exact"/>
        <w:rPr>
          <w:szCs w:val="21"/>
        </w:rPr>
      </w:pPr>
      <w:r>
        <w:rPr>
          <w:szCs w:val="21"/>
        </w:rPr>
        <w:t xml:space="preserve">授权代表（签字）：</w:t>
      </w:r>
      <w:r>
        <w:rPr>
          <w:szCs w:val="21"/>
        </w:rPr>
      </w:r>
      <w:r/>
    </w:p>
    <w:p>
      <w:pPr>
        <w:pStyle w:val="1344"/>
        <w:spacing w:line="440" w:lineRule="exact"/>
        <w:rPr>
          <w:sz w:val="24"/>
          <w:szCs w:val="24"/>
        </w:rPr>
      </w:pPr>
      <w:r>
        <w:rPr>
          <w:szCs w:val="21"/>
        </w:rPr>
        <w:t xml:space="preserve">日期：</w:t>
      </w:r>
      <w:r>
        <w:rPr>
          <w:sz w:val="24"/>
          <w:szCs w:val="24"/>
        </w:rPr>
      </w:r>
      <w:r/>
    </w:p>
    <w:p>
      <w:pPr>
        <w:pStyle w:val="1344"/>
        <w:jc w:val="left"/>
        <w:spacing w:line="440" w:lineRule="exact"/>
        <w:rPr>
          <w:rFonts w:hint="eastAsia" w:ascii="宋体" w:hAnsi="宋体" w:cs="宋体"/>
          <w:b/>
          <w:bCs/>
          <w:szCs w:val="21"/>
        </w:rPr>
        <w:outlineLvl w:val="2"/>
      </w:pPr>
      <w:r>
        <w:rPr>
          <w:rFonts w:hint="eastAsia" w:ascii="宋体" w:hAnsi="宋体" w:cs="宋体"/>
          <w:b/>
          <w:bCs/>
          <w:szCs w:val="21"/>
        </w:rPr>
        <w:br w:type="page" w:clear="all"/>
      </w:r>
      <w:bookmarkStart w:id="480" w:name="_Toc9886"/>
      <w:r>
        <w:rPr>
          <w:rFonts w:hint="eastAsia" w:ascii="宋体" w:hAnsi="宋体" w:cs="宋体"/>
          <w:b/>
          <w:bCs/>
          <w:szCs w:val="21"/>
        </w:rPr>
        <w:t xml:space="preserve">11、本项目不接受联合体投标，中标后不允许分包、转包。</w:t>
      </w:r>
      <w:bookmarkEnd w:id="475"/>
      <w:r/>
      <w:bookmarkEnd w:id="476"/>
      <w:r/>
      <w:bookmarkEnd w:id="477"/>
      <w:r/>
      <w:bookmarkEnd w:id="478"/>
      <w:r/>
      <w:bookmarkEnd w:id="480"/>
      <w:r>
        <w:rPr>
          <w:rFonts w:hint="eastAsia" w:ascii="宋体" w:hAnsi="宋体" w:cs="宋体"/>
          <w:b/>
          <w:bCs/>
          <w:szCs w:val="21"/>
        </w:rPr>
      </w:r>
      <w:r/>
    </w:p>
    <w:p>
      <w:pPr>
        <w:pStyle w:val="1344"/>
        <w:jc w:val="left"/>
        <w:spacing w:line="440" w:lineRule="exact"/>
        <w:rPr>
          <w:rFonts w:hint="eastAsia" w:ascii="宋体" w:hAnsi="宋体" w:cs="宋体"/>
          <w:szCs w:val="21"/>
        </w:rPr>
        <w:outlineLvl w:val="2"/>
      </w:pPr>
      <w:r/>
      <w:bookmarkStart w:id="481" w:name="_Toc2936"/>
      <w:r/>
      <w:bookmarkStart w:id="482" w:name="_Toc10285"/>
      <w:r/>
      <w:bookmarkStart w:id="483" w:name="_Toc6011"/>
      <w:r/>
      <w:bookmarkStart w:id="484" w:name="_Toc22262"/>
      <w:r/>
      <w:bookmarkStart w:id="485" w:name="_Toc4172"/>
      <w:r>
        <w:rPr>
          <w:rFonts w:hint="eastAsia" w:ascii="宋体" w:hAnsi="宋体" w:cs="宋体"/>
          <w:szCs w:val="21"/>
        </w:rPr>
        <w:t xml:space="preserve">参考格式：</w:t>
      </w:r>
      <w:bookmarkEnd w:id="479"/>
      <w:r/>
      <w:bookmarkEnd w:id="481"/>
      <w:r/>
      <w:bookmarkEnd w:id="482"/>
      <w:r/>
      <w:bookmarkEnd w:id="483"/>
      <w:r/>
      <w:bookmarkEnd w:id="484"/>
      <w:r/>
      <w:bookmarkEnd w:id="485"/>
      <w:r>
        <w:rPr>
          <w:rFonts w:hint="eastAsia" w:ascii="宋体" w:hAnsi="宋体" w:cs="宋体"/>
          <w:szCs w:val="21"/>
        </w:rPr>
      </w:r>
      <w:r/>
    </w:p>
    <w:p>
      <w:pPr>
        <w:pStyle w:val="1344"/>
        <w:jc w:val="center"/>
        <w:spacing w:line="440" w:lineRule="exact"/>
        <w:rPr>
          <w:rFonts w:hint="eastAsia" w:ascii="宋体" w:hAnsi="宋体" w:cs="宋体"/>
          <w:b/>
          <w:bCs/>
          <w:color w:val="000000"/>
          <w:sz w:val="24"/>
          <w:szCs w:val="22"/>
        </w:rPr>
      </w:pPr>
      <w:r>
        <w:rPr>
          <w:rFonts w:hint="eastAsia" w:ascii="宋体" w:hAnsi="宋体" w:cs="宋体"/>
          <w:b/>
          <w:bCs/>
          <w:color w:val="000000"/>
          <w:sz w:val="24"/>
          <w:szCs w:val="22"/>
        </w:rPr>
        <w:t xml:space="preserve">承诺书</w:t>
      </w:r>
      <w:r>
        <w:rPr>
          <w:rFonts w:hint="eastAsia" w:ascii="宋体" w:hAnsi="宋体" w:cs="宋体"/>
          <w:b/>
          <w:bCs/>
          <w:color w:val="000000"/>
          <w:sz w:val="24"/>
          <w:szCs w:val="22"/>
        </w:rPr>
      </w:r>
      <w:r/>
    </w:p>
    <w:p>
      <w:pPr>
        <w:pStyle w:val="1344"/>
        <w:rPr>
          <w:rFonts w:hint="eastAsia" w:ascii="宋体" w:hAnsi="宋体" w:cs="宋体"/>
          <w:sz w:val="24"/>
          <w:szCs w:val="22"/>
        </w:rPr>
      </w:pPr>
      <w:r>
        <w:rPr>
          <w:rFonts w:hint="eastAsia" w:ascii="宋体" w:hAnsi="宋体" w:cs="宋体"/>
          <w:sz w:val="24"/>
          <w:szCs w:val="22"/>
        </w:rPr>
      </w:r>
      <w:r/>
    </w:p>
    <w:p>
      <w:pPr>
        <w:pStyle w:val="1344"/>
        <w:spacing w:line="360" w:lineRule="auto"/>
        <w:rPr>
          <w:rFonts w:hint="eastAsia" w:ascii="宋体" w:hAnsi="宋体" w:cs="宋体"/>
          <w:szCs w:val="21"/>
        </w:rPr>
      </w:pPr>
      <w:r>
        <w:rPr>
          <w:rFonts w:hint="eastAsia" w:ascii="宋体" w:hAnsi="宋体" w:cs="宋体"/>
          <w:szCs w:val="21"/>
        </w:rPr>
        <w:t xml:space="preserve">我单位承诺：</w:t>
      </w:r>
      <w:r>
        <w:rPr>
          <w:rFonts w:hint="eastAsia" w:ascii="宋体" w:hAnsi="宋体" w:cs="宋体"/>
          <w:szCs w:val="21"/>
        </w:rPr>
      </w:r>
      <w:r/>
    </w:p>
    <w:p>
      <w:pPr>
        <w:pStyle w:val="1344"/>
        <w:ind w:firstLine="420"/>
        <w:spacing w:line="360" w:lineRule="auto"/>
        <w:rPr>
          <w:rFonts w:hint="eastAsia" w:ascii="宋体" w:hAnsi="宋体" w:cs="宋体"/>
          <w:szCs w:val="21"/>
        </w:rPr>
      </w:pPr>
      <w:r>
        <w:rPr>
          <w:rFonts w:hint="eastAsia" w:ascii="宋体" w:hAnsi="宋体" w:cs="宋体"/>
          <w:szCs w:val="21"/>
        </w:rPr>
        <w:t xml:space="preserve">我单位未组成联合体投标，中标后不进行分包、转包。如发现有转包、分包的情况，采购人有权提前通知我单位解除本协议并且免于向我单位承担责任。</w:t>
      </w:r>
      <w:r>
        <w:rPr>
          <w:rFonts w:hint="eastAsia" w:ascii="宋体" w:hAnsi="宋体" w:cs="宋体"/>
          <w:szCs w:val="21"/>
        </w:rPr>
      </w:r>
      <w:r/>
    </w:p>
    <w:p>
      <w:pPr>
        <w:pStyle w:val="1344"/>
        <w:rPr>
          <w:rFonts w:hint="eastAsia" w:ascii="宋体" w:hAnsi="宋体" w:cs="宋体"/>
          <w:sz w:val="24"/>
          <w:szCs w:val="22"/>
        </w:rPr>
      </w:pPr>
      <w:r>
        <w:rPr>
          <w:rFonts w:hint="eastAsia" w:ascii="宋体" w:hAnsi="宋体" w:cs="宋体"/>
          <w:sz w:val="24"/>
          <w:szCs w:val="22"/>
        </w:rPr>
      </w:r>
      <w:r/>
    </w:p>
    <w:p>
      <w:pPr>
        <w:pStyle w:val="1344"/>
        <w:ind w:left="-2" w:right="-5"/>
        <w:spacing w:line="360" w:lineRule="auto"/>
        <w:rPr>
          <w:rFonts w:hint="eastAsia" w:ascii="宋体" w:hAnsi="宋体" w:cs="宋体"/>
          <w:szCs w:val="21"/>
        </w:rPr>
      </w:pPr>
      <w:r>
        <w:rPr>
          <w:rFonts w:hint="eastAsia" w:ascii="宋体" w:hAnsi="宋体" w:cs="宋体"/>
          <w:szCs w:val="21"/>
        </w:rPr>
      </w:r>
      <w:r/>
    </w:p>
    <w:p>
      <w:pPr>
        <w:pStyle w:val="1344"/>
        <w:ind w:left="-2" w:right="-5"/>
        <w:spacing w:line="360" w:lineRule="auto"/>
        <w:rPr>
          <w:rFonts w:hint="eastAsia" w:ascii="宋体" w:hAnsi="宋体" w:cs="宋体"/>
          <w:szCs w:val="21"/>
        </w:rPr>
      </w:pPr>
      <w:r>
        <w:rPr>
          <w:rFonts w:hint="eastAsia" w:ascii="宋体" w:hAnsi="宋体" w:cs="宋体"/>
          <w:szCs w:val="21"/>
        </w:rPr>
      </w:r>
      <w:r/>
    </w:p>
    <w:p>
      <w:pPr>
        <w:pStyle w:val="1344"/>
        <w:spacing w:line="360" w:lineRule="auto"/>
        <w:rPr>
          <w:rFonts w:hint="eastAsia" w:ascii="宋体" w:hAnsi="宋体" w:cs="宋体"/>
          <w:szCs w:val="21"/>
        </w:rPr>
      </w:pPr>
      <w:r>
        <w:rPr>
          <w:rFonts w:hint="eastAsia" w:ascii="宋体" w:hAnsi="宋体" w:cs="宋体"/>
          <w:szCs w:val="21"/>
        </w:rPr>
        <w:t xml:space="preserve">投标人名称（公章）：</w:t>
      </w:r>
      <w:r>
        <w:rPr>
          <w:rFonts w:hint="eastAsia" w:ascii="宋体" w:hAnsi="宋体" w:cs="宋体"/>
          <w:szCs w:val="21"/>
        </w:rPr>
      </w:r>
      <w:r/>
    </w:p>
    <w:p>
      <w:pPr>
        <w:pStyle w:val="1344"/>
        <w:spacing w:line="360" w:lineRule="auto"/>
        <w:rPr>
          <w:rFonts w:hint="eastAsia" w:ascii="宋体" w:hAnsi="宋体" w:cs="宋体"/>
          <w:szCs w:val="21"/>
        </w:rPr>
      </w:pPr>
      <w:r>
        <w:rPr>
          <w:rFonts w:hint="eastAsia" w:ascii="宋体" w:hAnsi="宋体" w:cs="宋体"/>
          <w:szCs w:val="21"/>
        </w:rPr>
        <w:t xml:space="preserve">授权代表（签字）：</w:t>
      </w:r>
      <w:r>
        <w:rPr>
          <w:rFonts w:hint="eastAsia" w:ascii="宋体" w:hAnsi="宋体" w:cs="宋体"/>
          <w:szCs w:val="21"/>
        </w:rPr>
      </w:r>
      <w:r/>
    </w:p>
    <w:p>
      <w:pPr>
        <w:pStyle w:val="1344"/>
        <w:jc w:val="left"/>
        <w:spacing w:line="360" w:lineRule="auto"/>
        <w:rPr>
          <w:rFonts w:hint="eastAsia" w:ascii="宋体" w:hAnsi="宋体" w:cs="宋体"/>
          <w:b/>
          <w:bCs/>
          <w:szCs w:val="21"/>
        </w:rPr>
      </w:pPr>
      <w:r>
        <w:rPr>
          <w:rFonts w:hint="eastAsia" w:ascii="宋体" w:hAnsi="宋体" w:cs="宋体"/>
          <w:szCs w:val="21"/>
        </w:rPr>
        <w:t xml:space="preserve">日期：</w:t>
      </w:r>
      <w:r>
        <w:rPr>
          <w:rFonts w:hint="eastAsia" w:ascii="宋体" w:hAnsi="宋体" w:cs="宋体"/>
          <w:b/>
          <w:bCs/>
          <w:szCs w:val="21"/>
        </w:rPr>
      </w:r>
      <w:r/>
    </w:p>
    <w:p>
      <w:pPr>
        <w:pStyle w:val="1344"/>
        <w:ind w:firstLine="280"/>
        <w:sectPr>
          <w:footnotePr/>
          <w:endnotePr/>
          <w:type w:val="nextPage"/>
          <w:pgSz w:w="11906" w:h="16838" w:orient="portrait"/>
          <w:pgMar w:top="1134" w:right="1134" w:bottom="1134" w:left="1134" w:header="851" w:footer="992" w:gutter="0"/>
          <w:cols w:num="1" w:sep="0" w:space="1701" w:equalWidth="1"/>
          <w:docGrid w:linePitch="360"/>
          <w:titlePg/>
        </w:sectPr>
      </w:pPr>
      <w:r/>
      <w:r/>
    </w:p>
    <w:p>
      <w:pPr>
        <w:pStyle w:val="1344"/>
        <w:spacing w:line="360" w:lineRule="auto"/>
        <w:rPr>
          <w:b/>
          <w:color w:val="000000"/>
          <w:sz w:val="24"/>
          <w:lang w:val="zh-CN"/>
        </w:rPr>
        <w:outlineLvl w:val="1"/>
      </w:pPr>
      <w:r/>
      <w:bookmarkStart w:id="486" w:name="_Toc9255"/>
      <w:r/>
      <w:bookmarkStart w:id="487" w:name="_Toc13144"/>
      <w:r/>
      <w:bookmarkStart w:id="488" w:name="_Toc22079"/>
      <w:r>
        <w:rPr>
          <w:b/>
          <w:bCs/>
          <w:sz w:val="24"/>
          <w:szCs w:val="22"/>
          <w:lang w:val="zh-CN"/>
        </w:rPr>
        <w:t xml:space="preserve">附件</w:t>
      </w:r>
      <w:r>
        <w:rPr>
          <w:rFonts w:hint="eastAsia"/>
          <w:b/>
          <w:bCs/>
          <w:sz w:val="24"/>
          <w:szCs w:val="22"/>
        </w:rPr>
        <w:t xml:space="preserve">八</w:t>
      </w:r>
      <w:r>
        <w:rPr>
          <w:b/>
          <w:bCs/>
          <w:sz w:val="24"/>
          <w:szCs w:val="22"/>
          <w:lang w:val="zh-CN"/>
        </w:rPr>
        <w:t xml:space="preserve"> 供应商认为应提供的其他材料</w:t>
      </w:r>
      <w:bookmarkEnd w:id="486"/>
      <w:r/>
      <w:bookmarkEnd w:id="487"/>
      <w:r/>
      <w:bookmarkEnd w:id="488"/>
      <w:r>
        <w:rPr>
          <w:b/>
          <w:color w:val="000000"/>
          <w:sz w:val="24"/>
          <w:lang w:val="zh-CN"/>
        </w:rPr>
      </w:r>
      <w:r/>
    </w:p>
    <w:p>
      <w:pPr>
        <w:pStyle w:val="1344"/>
        <w:ind w:right="-5"/>
        <w:spacing w:line="360" w:lineRule="auto"/>
        <w:rPr>
          <w:b/>
          <w:color w:val="000000"/>
          <w:szCs w:val="21"/>
          <w:lang w:val="zh-CN"/>
        </w:rPr>
      </w:pPr>
      <w:r>
        <w:rPr>
          <w:b/>
          <w:color w:val="000000"/>
          <w:szCs w:val="21"/>
          <w:lang w:val="zh-CN"/>
        </w:rPr>
        <w:t xml:space="preserve">（针对具体的评标标准提供相应其他材料）</w:t>
      </w:r>
      <w:r>
        <w:rPr>
          <w:b/>
          <w:color w:val="000000"/>
          <w:szCs w:val="21"/>
          <w:lang w:val="zh-CN"/>
        </w:rPr>
      </w:r>
      <w:r/>
    </w:p>
    <w:p>
      <w:pPr>
        <w:pStyle w:val="1344"/>
        <w:rPr>
          <w:b/>
          <w:color w:val="000000"/>
          <w:sz w:val="24"/>
          <w:lang w:val="zh-CN"/>
        </w:rPr>
      </w:pPr>
      <w:r>
        <w:rPr>
          <w:b/>
          <w:color w:val="000000"/>
          <w:sz w:val="24"/>
          <w:lang w:val="zh-CN"/>
        </w:rPr>
      </w:r>
      <w:r/>
    </w:p>
    <w:p>
      <w:pPr>
        <w:pStyle w:val="1344"/>
        <w:rPr>
          <w:rFonts w:hint="eastAsia" w:ascii="宋体"/>
          <w:szCs w:val="21"/>
        </w:rPr>
      </w:pPr>
      <w:r>
        <w:rPr>
          <w:rFonts w:hint="eastAsia" w:ascii="宋体"/>
          <w:szCs w:val="21"/>
        </w:rPr>
        <w:t xml:space="preserve">注：须授权代表签字或加盖投标单位公章</w:t>
      </w:r>
      <w:r>
        <w:rPr>
          <w:rFonts w:hint="eastAsia" w:ascii="宋体"/>
          <w:szCs w:val="21"/>
        </w:rPr>
      </w:r>
      <w:r/>
    </w:p>
    <w:p>
      <w:pPr>
        <w:pStyle w:val="1344"/>
        <w:spacing w:line="240" w:lineRule="atLeast"/>
        <w:rPr>
          <w:rFonts w:ascii="Arial" w:hAnsi="Arial" w:cs="Arial"/>
          <w:b/>
          <w:color w:val="000000"/>
          <w:sz w:val="24"/>
          <w:lang w:val="zh-CN"/>
        </w:rPr>
      </w:pPr>
      <w:r>
        <w:rPr>
          <w:rFonts w:ascii="Arial" w:hAnsi="Arial" w:cs="Arial"/>
          <w:b/>
          <w:color w:val="000000"/>
          <w:sz w:val="24"/>
          <w:lang w:val="zh-CN"/>
        </w:rPr>
      </w:r>
      <w:r/>
    </w:p>
    <w:p>
      <w:pPr>
        <w:pStyle w:val="1344"/>
        <w:spacing w:line="240" w:lineRule="atLeast"/>
        <w:rPr>
          <w:rFonts w:ascii="Arial" w:hAnsi="Arial" w:cs="Arial"/>
          <w:b/>
          <w:color w:val="000000"/>
          <w:sz w:val="24"/>
          <w:lang w:val="zh-CN"/>
        </w:rPr>
      </w:pPr>
      <w:r>
        <w:rPr>
          <w:rFonts w:ascii="Arial" w:hAnsi="Arial" w:cs="Arial"/>
          <w:b/>
          <w:color w:val="000000"/>
          <w:sz w:val="24"/>
          <w:lang w:val="zh-CN"/>
        </w:rPr>
      </w:r>
      <w:r/>
    </w:p>
    <w:p>
      <w:pPr>
        <w:pStyle w:val="1344"/>
        <w:spacing w:line="440" w:lineRule="exact"/>
        <w:rPr>
          <w:rFonts w:hint="eastAsia" w:ascii="宋体" w:hAnsi="宋体" w:cs="宋体"/>
          <w:szCs w:val="21"/>
        </w:rPr>
      </w:pPr>
      <w:r>
        <w:rPr>
          <w:rFonts w:hint="eastAsia" w:ascii="宋体" w:hAnsi="宋体" w:cs="宋体"/>
          <w:szCs w:val="21"/>
        </w:rPr>
        <w:t xml:space="preserve">1、投标产品配置清单及技术说明</w:t>
      </w:r>
      <w:r>
        <w:rPr>
          <w:rFonts w:hint="eastAsia" w:ascii="宋体" w:hAnsi="宋体" w:cs="宋体"/>
          <w:szCs w:val="21"/>
        </w:rPr>
      </w:r>
      <w:r/>
    </w:p>
    <w:tbl>
      <w:tblPr>
        <w:tblW w:w="4982"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070"/>
        <w:gridCol w:w="1666"/>
        <w:gridCol w:w="1316"/>
        <w:gridCol w:w="2053"/>
      </w:tblGrid>
      <w:tr>
        <w:trPr>
          <w:trHeight w:val="604"/>
        </w:trPr>
        <w:tc>
          <w:tcPr>
            <w:tcW w:w="620" w:type="dxa"/>
            <w:vAlign w:val="center"/>
            <w:textDirection w:val="lrTb"/>
            <w:noWrap w:val="false"/>
          </w:tcPr>
          <w:p>
            <w:pPr>
              <w:pStyle w:val="1344"/>
              <w:ind w:right="-5"/>
              <w:jc w:val="center"/>
              <w:spacing w:line="44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658" w:type="dxa"/>
            <w:vAlign w:val="center"/>
            <w:textDirection w:val="lrTb"/>
            <w:noWrap w:val="false"/>
          </w:tcPr>
          <w:p>
            <w:pPr>
              <w:pStyle w:val="1344"/>
              <w:ind w:right="-5"/>
              <w:jc w:val="center"/>
              <w:spacing w:line="440" w:lineRule="exact"/>
              <w:tabs>
                <w:tab w:val="left" w:pos="972" w:leader="none"/>
              </w:tabs>
              <w:rPr>
                <w:rFonts w:hint="eastAsia" w:ascii="宋体" w:hAnsi="宋体" w:cs="宋体"/>
                <w:szCs w:val="21"/>
              </w:rPr>
            </w:pPr>
            <w:r>
              <w:rPr>
                <w:rFonts w:hint="eastAsia" w:ascii="宋体" w:hAnsi="宋体" w:cs="宋体"/>
                <w:szCs w:val="21"/>
              </w:rPr>
              <w:t xml:space="preserve">投标产品配置情况</w:t>
            </w:r>
            <w:r>
              <w:rPr>
                <w:rFonts w:hint="eastAsia" w:ascii="宋体" w:hAnsi="宋体" w:cs="宋体"/>
                <w:szCs w:val="21"/>
              </w:rPr>
            </w:r>
            <w:r/>
          </w:p>
        </w:tc>
        <w:tc>
          <w:tcPr>
            <w:tcW w:w="900" w:type="dxa"/>
            <w:vAlign w:val="center"/>
            <w:textDirection w:val="lrTb"/>
            <w:noWrap w:val="false"/>
          </w:tcPr>
          <w:p>
            <w:pPr>
              <w:pStyle w:val="1344"/>
              <w:ind w:right="-5"/>
              <w:jc w:val="center"/>
              <w:spacing w:line="440" w:lineRule="exact"/>
              <w:rPr>
                <w:rFonts w:hint="eastAsia" w:ascii="宋体" w:hAnsi="宋体" w:cs="宋体"/>
                <w:szCs w:val="21"/>
              </w:rPr>
            </w:pPr>
            <w:r>
              <w:rPr>
                <w:rFonts w:hint="eastAsia" w:ascii="宋体" w:hAnsi="宋体" w:cs="宋体"/>
                <w:szCs w:val="21"/>
              </w:rPr>
              <w:t xml:space="preserve">型号及规格</w:t>
            </w:r>
            <w:r>
              <w:rPr>
                <w:rFonts w:hint="eastAsia" w:ascii="宋体" w:hAnsi="宋体" w:cs="宋体"/>
                <w:szCs w:val="21"/>
              </w:rPr>
            </w:r>
            <w:r/>
          </w:p>
        </w:tc>
        <w:tc>
          <w:tcPr>
            <w:tcW w:w="711" w:type="dxa"/>
            <w:vAlign w:val="center"/>
            <w:textDirection w:val="lrTb"/>
            <w:noWrap w:val="false"/>
          </w:tcPr>
          <w:p>
            <w:pPr>
              <w:pStyle w:val="1344"/>
              <w:ind w:right="-5"/>
              <w:jc w:val="center"/>
              <w:spacing w:line="440" w:lineRule="exact"/>
              <w:rPr>
                <w:rFonts w:hint="eastAsia" w:ascii="宋体" w:hAnsi="宋体" w:cs="宋体"/>
                <w:szCs w:val="21"/>
              </w:rPr>
            </w:pPr>
            <w:r>
              <w:rPr>
                <w:rFonts w:hint="eastAsia" w:ascii="宋体" w:hAnsi="宋体" w:cs="宋体"/>
                <w:szCs w:val="21"/>
              </w:rPr>
              <w:t xml:space="preserve">产地、制造商</w:t>
            </w:r>
            <w:r>
              <w:rPr>
                <w:rFonts w:hint="eastAsia" w:ascii="宋体" w:hAnsi="宋体" w:cs="宋体"/>
                <w:szCs w:val="21"/>
              </w:rPr>
            </w:r>
            <w:r/>
          </w:p>
        </w:tc>
        <w:tc>
          <w:tcPr>
            <w:tcW w:w="1109" w:type="dxa"/>
            <w:vAlign w:val="center"/>
            <w:textDirection w:val="lrTb"/>
            <w:noWrap w:val="false"/>
          </w:tcPr>
          <w:p>
            <w:pPr>
              <w:pStyle w:val="1344"/>
              <w:ind w:right="-5"/>
              <w:jc w:val="center"/>
              <w:spacing w:line="440" w:lineRule="exact"/>
              <w:rPr>
                <w:rFonts w:hint="eastAsia" w:ascii="宋体" w:hAnsi="宋体" w:cs="宋体"/>
                <w:szCs w:val="21"/>
              </w:rPr>
            </w:pPr>
            <w:r>
              <w:rPr>
                <w:rFonts w:hint="eastAsia" w:ascii="宋体" w:hAnsi="宋体" w:cs="宋体"/>
                <w:szCs w:val="21"/>
              </w:rPr>
              <w:t xml:space="preserve">数量(台)</w:t>
            </w:r>
            <w:r>
              <w:rPr>
                <w:rFonts w:hint="eastAsia" w:ascii="宋体" w:hAnsi="宋体" w:cs="宋体"/>
                <w:szCs w:val="21"/>
              </w:rPr>
            </w:r>
            <w:r/>
          </w:p>
        </w:tc>
      </w:tr>
      <w:tr>
        <w:trPr>
          <w:trHeight w:val="604"/>
        </w:trPr>
        <w:tc>
          <w:tcPr>
            <w:tcW w:w="620" w:type="dxa"/>
            <w:vAlign w:val="center"/>
            <w:textDirection w:val="lrTb"/>
            <w:noWrap w:val="false"/>
          </w:tcPr>
          <w:p>
            <w:pPr>
              <w:pStyle w:val="1344"/>
              <w:jc w:val="center"/>
              <w:spacing w:line="440" w:lineRule="exact"/>
              <w:rPr>
                <w:rFonts w:hint="eastAsia" w:ascii="宋体" w:hAnsi="宋体" w:cs="宋体"/>
                <w:szCs w:val="21"/>
              </w:rPr>
            </w:pPr>
            <w:r>
              <w:rPr>
                <w:rFonts w:hint="eastAsia" w:ascii="宋体" w:hAnsi="宋体" w:cs="宋体"/>
                <w:szCs w:val="21"/>
              </w:rPr>
            </w:r>
            <w:r/>
          </w:p>
        </w:tc>
        <w:tc>
          <w:tcPr>
            <w:tcW w:w="1658" w:type="dxa"/>
            <w:vAlign w:val="center"/>
            <w:textDirection w:val="lrTb"/>
            <w:noWrap w:val="false"/>
          </w:tcPr>
          <w:p>
            <w:pPr>
              <w:pStyle w:val="1344"/>
              <w:jc w:val="center"/>
              <w:spacing w:line="440" w:lineRule="exact"/>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344"/>
              <w:jc w:val="center"/>
              <w:keepNext/>
              <w:spacing w:line="440" w:lineRule="exact"/>
              <w:rPr>
                <w:rFonts w:ascii="宋体" w:hAnsi="宋体" w:cs="宋体"/>
                <w:szCs w:val="21"/>
              </w:rPr>
            </w:pPr>
            <w:r>
              <w:rPr>
                <w:rFonts w:ascii="宋体" w:hAnsi="宋体" w:cs="宋体"/>
                <w:szCs w:val="21"/>
              </w:rPr>
            </w:r>
            <w:r/>
          </w:p>
        </w:tc>
        <w:tc>
          <w:tcPr>
            <w:tcW w:w="711" w:type="dxa"/>
            <w:vAlign w:val="center"/>
            <w:textDirection w:val="lrTb"/>
            <w:noWrap w:val="false"/>
          </w:tcPr>
          <w:p>
            <w:pPr>
              <w:pStyle w:val="1344"/>
              <w:jc w:val="center"/>
              <w:rPr>
                <w:rFonts w:ascii="宋体" w:hAnsi="宋体" w:cs="宋体"/>
                <w:szCs w:val="21"/>
              </w:rPr>
            </w:pPr>
            <w:r>
              <w:rPr>
                <w:rFonts w:ascii="宋体" w:hAnsi="宋体" w:cs="宋体"/>
                <w:szCs w:val="21"/>
              </w:rPr>
            </w:r>
            <w:r/>
          </w:p>
        </w:tc>
        <w:tc>
          <w:tcPr>
            <w:tcW w:w="1109" w:type="dxa"/>
            <w:vAlign w:val="center"/>
            <w:textDirection w:val="lrTb"/>
            <w:noWrap w:val="false"/>
          </w:tcPr>
          <w:p>
            <w:pPr>
              <w:pStyle w:val="1344"/>
              <w:jc w:val="center"/>
              <w:keepNext/>
              <w:spacing w:line="440" w:lineRule="exact"/>
              <w:rPr>
                <w:rFonts w:hint="eastAsia" w:ascii="宋体" w:hAnsi="宋体" w:cs="宋体"/>
                <w:szCs w:val="21"/>
              </w:rPr>
            </w:pPr>
            <w:r>
              <w:rPr>
                <w:rFonts w:hint="eastAsia" w:ascii="宋体" w:hAnsi="宋体" w:cs="宋体"/>
                <w:szCs w:val="21"/>
              </w:rPr>
            </w:r>
            <w:r/>
          </w:p>
        </w:tc>
      </w:tr>
      <w:tr>
        <w:trPr>
          <w:trHeight w:val="604"/>
        </w:trPr>
        <w:tc>
          <w:tcPr>
            <w:tcW w:w="620" w:type="dxa"/>
            <w:vAlign w:val="center"/>
            <w:textDirection w:val="lrTb"/>
            <w:noWrap w:val="false"/>
          </w:tcPr>
          <w:p>
            <w:pPr>
              <w:pStyle w:val="1344"/>
              <w:jc w:val="center"/>
              <w:spacing w:line="440" w:lineRule="exact"/>
              <w:rPr>
                <w:rFonts w:hint="eastAsia" w:ascii="宋体" w:hAnsi="宋体" w:cs="宋体"/>
                <w:szCs w:val="21"/>
              </w:rPr>
            </w:pPr>
            <w:r>
              <w:rPr>
                <w:rFonts w:hint="eastAsia" w:ascii="宋体" w:hAnsi="宋体" w:cs="宋体"/>
                <w:szCs w:val="21"/>
              </w:rPr>
            </w:r>
            <w:r/>
          </w:p>
        </w:tc>
        <w:tc>
          <w:tcPr>
            <w:tcW w:w="1658" w:type="dxa"/>
            <w:vAlign w:val="center"/>
            <w:textDirection w:val="lrTb"/>
            <w:noWrap w:val="false"/>
          </w:tcPr>
          <w:p>
            <w:pPr>
              <w:pStyle w:val="1344"/>
              <w:jc w:val="center"/>
              <w:spacing w:line="440" w:lineRule="exact"/>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344"/>
              <w:jc w:val="center"/>
              <w:keepNext/>
              <w:spacing w:line="440" w:lineRule="exact"/>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344"/>
              <w:jc w:val="center"/>
              <w:rPr>
                <w:rFonts w:hint="eastAsia" w:ascii="宋体" w:hAnsi="宋体" w:cs="宋体"/>
                <w:szCs w:val="21"/>
              </w:rPr>
            </w:pPr>
            <w:r>
              <w:rPr>
                <w:rFonts w:hint="eastAsia" w:ascii="宋体" w:hAnsi="宋体" w:cs="宋体"/>
                <w:szCs w:val="21"/>
              </w:rPr>
            </w:r>
            <w:r/>
          </w:p>
        </w:tc>
        <w:tc>
          <w:tcPr>
            <w:tcW w:w="1109" w:type="dxa"/>
            <w:vAlign w:val="center"/>
            <w:textDirection w:val="lrTb"/>
            <w:noWrap w:val="false"/>
          </w:tcPr>
          <w:p>
            <w:pPr>
              <w:pStyle w:val="1344"/>
              <w:jc w:val="center"/>
              <w:keepNext/>
              <w:spacing w:line="440" w:lineRule="exact"/>
              <w:rPr>
                <w:rFonts w:hint="eastAsia" w:ascii="宋体" w:hAnsi="宋体" w:cs="宋体"/>
                <w:szCs w:val="21"/>
              </w:rPr>
            </w:pPr>
            <w:r>
              <w:rPr>
                <w:rFonts w:hint="eastAsia" w:ascii="宋体" w:hAnsi="宋体" w:cs="宋体"/>
                <w:szCs w:val="21"/>
              </w:rPr>
            </w:r>
            <w:r/>
          </w:p>
        </w:tc>
      </w:tr>
      <w:tr>
        <w:trPr>
          <w:trHeight w:val="604"/>
        </w:trPr>
        <w:tc>
          <w:tcPr>
            <w:tcW w:w="620" w:type="dxa"/>
            <w:vAlign w:val="center"/>
            <w:textDirection w:val="lrTb"/>
            <w:noWrap w:val="false"/>
          </w:tcPr>
          <w:p>
            <w:pPr>
              <w:pStyle w:val="1344"/>
              <w:jc w:val="center"/>
              <w:spacing w:line="440" w:lineRule="exact"/>
              <w:rPr>
                <w:rFonts w:hint="eastAsia" w:ascii="宋体" w:hAnsi="宋体" w:cs="宋体"/>
                <w:szCs w:val="21"/>
              </w:rPr>
            </w:pPr>
            <w:r>
              <w:rPr>
                <w:rFonts w:hint="eastAsia" w:ascii="宋体" w:hAnsi="宋体" w:cs="宋体"/>
                <w:szCs w:val="21"/>
              </w:rPr>
            </w:r>
            <w:r/>
          </w:p>
        </w:tc>
        <w:tc>
          <w:tcPr>
            <w:tcW w:w="1658" w:type="dxa"/>
            <w:vAlign w:val="center"/>
            <w:textDirection w:val="lrTb"/>
            <w:noWrap w:val="false"/>
          </w:tcPr>
          <w:p>
            <w:pPr>
              <w:pStyle w:val="1344"/>
              <w:jc w:val="center"/>
              <w:spacing w:line="440" w:lineRule="exact"/>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344"/>
              <w:jc w:val="center"/>
              <w:keepNext/>
              <w:spacing w:line="440" w:lineRule="exact"/>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344"/>
              <w:jc w:val="center"/>
              <w:rPr>
                <w:rFonts w:hint="eastAsia" w:ascii="宋体" w:hAnsi="宋体" w:cs="宋体"/>
                <w:szCs w:val="21"/>
              </w:rPr>
            </w:pPr>
            <w:r>
              <w:rPr>
                <w:rFonts w:hint="eastAsia" w:ascii="宋体" w:hAnsi="宋体" w:cs="宋体"/>
                <w:szCs w:val="21"/>
              </w:rPr>
            </w:r>
            <w:r/>
          </w:p>
        </w:tc>
        <w:tc>
          <w:tcPr>
            <w:tcW w:w="1109" w:type="dxa"/>
            <w:vAlign w:val="center"/>
            <w:textDirection w:val="lrTb"/>
            <w:noWrap w:val="false"/>
          </w:tcPr>
          <w:p>
            <w:pPr>
              <w:pStyle w:val="1344"/>
              <w:jc w:val="center"/>
              <w:keepNext/>
              <w:spacing w:line="440" w:lineRule="exact"/>
              <w:rPr>
                <w:rFonts w:hint="eastAsia" w:ascii="宋体" w:hAnsi="宋体" w:cs="宋体"/>
                <w:szCs w:val="21"/>
              </w:rPr>
            </w:pPr>
            <w:r>
              <w:rPr>
                <w:rFonts w:hint="eastAsia" w:ascii="宋体" w:hAnsi="宋体" w:cs="宋体"/>
                <w:szCs w:val="21"/>
              </w:rPr>
            </w:r>
            <w:r/>
          </w:p>
        </w:tc>
      </w:tr>
      <w:tr>
        <w:trPr>
          <w:trHeight w:val="604"/>
        </w:trPr>
        <w:tc>
          <w:tcPr>
            <w:tcW w:w="620" w:type="dxa"/>
            <w:vAlign w:val="center"/>
            <w:textDirection w:val="lrTb"/>
            <w:noWrap w:val="false"/>
          </w:tcPr>
          <w:p>
            <w:pPr>
              <w:pStyle w:val="1344"/>
              <w:jc w:val="center"/>
              <w:spacing w:line="440" w:lineRule="exact"/>
              <w:rPr>
                <w:rFonts w:hint="eastAsia" w:ascii="宋体" w:hAnsi="宋体" w:cs="宋体"/>
                <w:szCs w:val="21"/>
              </w:rPr>
            </w:pPr>
            <w:r>
              <w:rPr>
                <w:rFonts w:hint="eastAsia" w:ascii="宋体" w:hAnsi="宋体" w:cs="宋体"/>
                <w:szCs w:val="21"/>
              </w:rPr>
            </w:r>
            <w:r/>
          </w:p>
        </w:tc>
        <w:tc>
          <w:tcPr>
            <w:tcW w:w="1658" w:type="dxa"/>
            <w:vAlign w:val="center"/>
            <w:textDirection w:val="lrTb"/>
            <w:noWrap w:val="false"/>
          </w:tcPr>
          <w:p>
            <w:pPr>
              <w:pStyle w:val="1344"/>
              <w:jc w:val="center"/>
              <w:spacing w:line="440" w:lineRule="exact"/>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344"/>
              <w:jc w:val="center"/>
              <w:keepNext/>
              <w:spacing w:line="440" w:lineRule="exact"/>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344"/>
              <w:jc w:val="center"/>
              <w:rPr>
                <w:rFonts w:hint="eastAsia" w:ascii="宋体" w:hAnsi="宋体" w:cs="宋体"/>
                <w:szCs w:val="21"/>
              </w:rPr>
            </w:pPr>
            <w:r>
              <w:rPr>
                <w:rFonts w:hint="eastAsia" w:ascii="宋体" w:hAnsi="宋体" w:cs="宋体"/>
                <w:szCs w:val="21"/>
              </w:rPr>
            </w:r>
            <w:r/>
          </w:p>
        </w:tc>
        <w:tc>
          <w:tcPr>
            <w:tcW w:w="1109" w:type="dxa"/>
            <w:vAlign w:val="center"/>
            <w:textDirection w:val="lrTb"/>
            <w:noWrap w:val="false"/>
          </w:tcPr>
          <w:p>
            <w:pPr>
              <w:pStyle w:val="1344"/>
              <w:jc w:val="center"/>
              <w:keepNext/>
              <w:spacing w:line="440" w:lineRule="exact"/>
              <w:rPr>
                <w:rFonts w:hint="eastAsia" w:ascii="宋体" w:hAnsi="宋体" w:cs="宋体"/>
                <w:szCs w:val="21"/>
              </w:rPr>
            </w:pPr>
            <w:r>
              <w:rPr>
                <w:rFonts w:hint="eastAsia" w:ascii="宋体" w:hAnsi="宋体" w:cs="宋体"/>
                <w:szCs w:val="21"/>
              </w:rPr>
            </w:r>
            <w:r/>
          </w:p>
        </w:tc>
      </w:tr>
      <w:tr>
        <w:trPr>
          <w:trHeight w:val="604"/>
        </w:trPr>
        <w:tc>
          <w:tcPr>
            <w:tcW w:w="620" w:type="dxa"/>
            <w:vAlign w:val="center"/>
            <w:textDirection w:val="lrTb"/>
            <w:noWrap w:val="false"/>
          </w:tcPr>
          <w:p>
            <w:pPr>
              <w:pStyle w:val="1344"/>
              <w:jc w:val="center"/>
              <w:spacing w:line="440" w:lineRule="exact"/>
              <w:rPr>
                <w:rFonts w:hint="eastAsia" w:ascii="宋体" w:hAnsi="宋体" w:cs="宋体"/>
                <w:szCs w:val="21"/>
              </w:rPr>
            </w:pPr>
            <w:r>
              <w:rPr>
                <w:rFonts w:hint="eastAsia" w:ascii="宋体" w:hAnsi="宋体" w:cs="宋体"/>
                <w:szCs w:val="21"/>
              </w:rPr>
            </w:r>
            <w:r/>
          </w:p>
        </w:tc>
        <w:tc>
          <w:tcPr>
            <w:tcW w:w="1658" w:type="dxa"/>
            <w:vAlign w:val="center"/>
            <w:textDirection w:val="lrTb"/>
            <w:noWrap w:val="false"/>
          </w:tcPr>
          <w:p>
            <w:pPr>
              <w:pStyle w:val="1344"/>
              <w:jc w:val="center"/>
              <w:spacing w:line="440" w:lineRule="exact"/>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344"/>
              <w:jc w:val="center"/>
              <w:keepNext/>
              <w:spacing w:line="440" w:lineRule="exact"/>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344"/>
              <w:jc w:val="center"/>
              <w:rPr>
                <w:rFonts w:hint="eastAsia" w:ascii="宋体" w:hAnsi="宋体" w:cs="宋体"/>
                <w:szCs w:val="21"/>
              </w:rPr>
            </w:pPr>
            <w:r>
              <w:rPr>
                <w:rFonts w:hint="eastAsia" w:ascii="宋体" w:hAnsi="宋体" w:cs="宋体"/>
                <w:szCs w:val="21"/>
              </w:rPr>
            </w:r>
            <w:r/>
          </w:p>
        </w:tc>
        <w:tc>
          <w:tcPr>
            <w:tcW w:w="1109" w:type="dxa"/>
            <w:vAlign w:val="center"/>
            <w:textDirection w:val="lrTb"/>
            <w:noWrap w:val="false"/>
          </w:tcPr>
          <w:p>
            <w:pPr>
              <w:pStyle w:val="1344"/>
              <w:jc w:val="center"/>
              <w:keepNext/>
              <w:spacing w:line="440" w:lineRule="exact"/>
              <w:rPr>
                <w:rFonts w:hint="eastAsia" w:ascii="宋体" w:hAnsi="宋体" w:cs="宋体"/>
                <w:szCs w:val="21"/>
              </w:rPr>
            </w:pPr>
            <w:r>
              <w:rPr>
                <w:rFonts w:hint="eastAsia" w:ascii="宋体" w:hAnsi="宋体" w:cs="宋体"/>
                <w:szCs w:val="21"/>
              </w:rPr>
            </w:r>
            <w:r/>
          </w:p>
        </w:tc>
      </w:tr>
      <w:tr>
        <w:trPr>
          <w:trHeight w:val="604"/>
        </w:trPr>
        <w:tc>
          <w:tcPr>
            <w:tcW w:w="620" w:type="dxa"/>
            <w:vAlign w:val="center"/>
            <w:textDirection w:val="lrTb"/>
            <w:noWrap w:val="false"/>
          </w:tcPr>
          <w:p>
            <w:pPr>
              <w:pStyle w:val="1344"/>
              <w:jc w:val="center"/>
              <w:spacing w:line="440" w:lineRule="exact"/>
              <w:rPr>
                <w:rFonts w:hint="eastAsia" w:ascii="宋体" w:hAnsi="宋体" w:cs="宋体"/>
                <w:szCs w:val="21"/>
              </w:rPr>
            </w:pPr>
            <w:r>
              <w:rPr>
                <w:rFonts w:hint="eastAsia" w:ascii="宋体" w:hAnsi="宋体" w:cs="宋体"/>
                <w:szCs w:val="21"/>
              </w:rPr>
            </w:r>
            <w:r/>
          </w:p>
        </w:tc>
        <w:tc>
          <w:tcPr>
            <w:tcW w:w="1658" w:type="dxa"/>
            <w:vAlign w:val="center"/>
            <w:textDirection w:val="lrTb"/>
            <w:noWrap w:val="false"/>
          </w:tcPr>
          <w:p>
            <w:pPr>
              <w:pStyle w:val="1344"/>
              <w:jc w:val="center"/>
              <w:spacing w:line="440" w:lineRule="exact"/>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344"/>
              <w:jc w:val="center"/>
              <w:keepNext/>
              <w:spacing w:line="440" w:lineRule="exact"/>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344"/>
              <w:jc w:val="center"/>
              <w:rPr>
                <w:rFonts w:hint="eastAsia" w:ascii="宋体" w:hAnsi="宋体" w:cs="宋体"/>
                <w:szCs w:val="21"/>
              </w:rPr>
            </w:pPr>
            <w:r>
              <w:rPr>
                <w:rFonts w:hint="eastAsia" w:ascii="宋体" w:hAnsi="宋体" w:cs="宋体"/>
                <w:szCs w:val="21"/>
              </w:rPr>
            </w:r>
            <w:r/>
          </w:p>
        </w:tc>
        <w:tc>
          <w:tcPr>
            <w:tcW w:w="1109" w:type="dxa"/>
            <w:vAlign w:val="center"/>
            <w:textDirection w:val="lrTb"/>
            <w:noWrap w:val="false"/>
          </w:tcPr>
          <w:p>
            <w:pPr>
              <w:pStyle w:val="1344"/>
              <w:jc w:val="center"/>
              <w:keepNext/>
              <w:spacing w:line="440" w:lineRule="exact"/>
              <w:rPr>
                <w:rFonts w:hint="eastAsia" w:ascii="宋体" w:hAnsi="宋体" w:cs="宋体"/>
                <w:szCs w:val="21"/>
              </w:rPr>
            </w:pPr>
            <w:r>
              <w:rPr>
                <w:rFonts w:hint="eastAsia" w:ascii="宋体" w:hAnsi="宋体" w:cs="宋体"/>
                <w:szCs w:val="21"/>
              </w:rPr>
            </w:r>
            <w:r/>
          </w:p>
        </w:tc>
      </w:tr>
      <w:tr>
        <w:trPr>
          <w:trHeight w:val="604"/>
        </w:trPr>
        <w:tc>
          <w:tcPr>
            <w:tcW w:w="620" w:type="dxa"/>
            <w:vAlign w:val="center"/>
            <w:textDirection w:val="lrTb"/>
            <w:noWrap w:val="false"/>
          </w:tcPr>
          <w:p>
            <w:pPr>
              <w:pStyle w:val="1344"/>
              <w:jc w:val="center"/>
              <w:spacing w:line="440" w:lineRule="exact"/>
              <w:rPr>
                <w:rFonts w:hint="eastAsia" w:ascii="宋体" w:hAnsi="宋体" w:cs="宋体"/>
                <w:szCs w:val="21"/>
              </w:rPr>
            </w:pPr>
            <w:r>
              <w:rPr>
                <w:rFonts w:hint="eastAsia" w:ascii="宋体" w:hAnsi="宋体" w:cs="宋体"/>
                <w:szCs w:val="21"/>
              </w:rPr>
            </w:r>
            <w:r/>
          </w:p>
        </w:tc>
        <w:tc>
          <w:tcPr>
            <w:tcW w:w="1658" w:type="dxa"/>
            <w:vAlign w:val="center"/>
            <w:textDirection w:val="lrTb"/>
            <w:noWrap w:val="false"/>
          </w:tcPr>
          <w:p>
            <w:pPr>
              <w:pStyle w:val="1344"/>
              <w:jc w:val="center"/>
              <w:spacing w:line="440" w:lineRule="exact"/>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344"/>
              <w:jc w:val="center"/>
              <w:keepNext/>
              <w:spacing w:line="440" w:lineRule="exact"/>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344"/>
              <w:jc w:val="center"/>
              <w:rPr>
                <w:rFonts w:hint="eastAsia" w:ascii="宋体" w:hAnsi="宋体" w:cs="宋体"/>
                <w:szCs w:val="21"/>
              </w:rPr>
            </w:pPr>
            <w:r>
              <w:rPr>
                <w:rFonts w:hint="eastAsia" w:ascii="宋体" w:hAnsi="宋体" w:cs="宋体"/>
                <w:szCs w:val="21"/>
              </w:rPr>
            </w:r>
            <w:r/>
          </w:p>
        </w:tc>
        <w:tc>
          <w:tcPr>
            <w:tcW w:w="1109" w:type="dxa"/>
            <w:vAlign w:val="center"/>
            <w:textDirection w:val="lrTb"/>
            <w:noWrap w:val="false"/>
          </w:tcPr>
          <w:p>
            <w:pPr>
              <w:pStyle w:val="1344"/>
              <w:jc w:val="center"/>
              <w:keepNext/>
              <w:spacing w:line="440" w:lineRule="exact"/>
              <w:rPr>
                <w:rFonts w:hint="eastAsia" w:ascii="宋体" w:hAnsi="宋体" w:cs="宋体"/>
                <w:szCs w:val="21"/>
              </w:rPr>
            </w:pPr>
            <w:r>
              <w:rPr>
                <w:rFonts w:hint="eastAsia" w:ascii="宋体" w:hAnsi="宋体" w:cs="宋体"/>
                <w:szCs w:val="21"/>
              </w:rPr>
            </w:r>
            <w:r/>
          </w:p>
        </w:tc>
      </w:tr>
      <w:tr>
        <w:trPr>
          <w:trHeight w:val="604"/>
        </w:trPr>
        <w:tc>
          <w:tcPr>
            <w:tcW w:w="620" w:type="dxa"/>
            <w:vAlign w:val="center"/>
            <w:textDirection w:val="lrTb"/>
            <w:noWrap w:val="false"/>
          </w:tcPr>
          <w:p>
            <w:pPr>
              <w:pStyle w:val="1344"/>
              <w:jc w:val="center"/>
              <w:spacing w:line="440" w:lineRule="exact"/>
              <w:rPr>
                <w:rFonts w:hint="eastAsia" w:ascii="宋体" w:hAnsi="宋体" w:cs="宋体"/>
                <w:szCs w:val="21"/>
              </w:rPr>
            </w:pPr>
            <w:r>
              <w:rPr>
                <w:rFonts w:hint="eastAsia" w:ascii="宋体" w:hAnsi="宋体" w:cs="宋体"/>
                <w:szCs w:val="21"/>
              </w:rPr>
            </w:r>
            <w:r/>
          </w:p>
        </w:tc>
        <w:tc>
          <w:tcPr>
            <w:tcW w:w="1658" w:type="dxa"/>
            <w:vAlign w:val="center"/>
            <w:textDirection w:val="lrTb"/>
            <w:noWrap w:val="false"/>
          </w:tcPr>
          <w:p>
            <w:pPr>
              <w:pStyle w:val="1344"/>
              <w:jc w:val="center"/>
              <w:spacing w:line="440" w:lineRule="exact"/>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344"/>
              <w:jc w:val="center"/>
              <w:keepNext/>
              <w:spacing w:line="440" w:lineRule="exact"/>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344"/>
              <w:jc w:val="center"/>
              <w:rPr>
                <w:rFonts w:hint="eastAsia" w:ascii="宋体" w:hAnsi="宋体" w:cs="宋体"/>
                <w:szCs w:val="21"/>
              </w:rPr>
            </w:pPr>
            <w:r>
              <w:rPr>
                <w:rFonts w:hint="eastAsia" w:ascii="宋体" w:hAnsi="宋体" w:cs="宋体"/>
                <w:szCs w:val="21"/>
              </w:rPr>
            </w:r>
            <w:r/>
          </w:p>
        </w:tc>
        <w:tc>
          <w:tcPr>
            <w:tcW w:w="1109" w:type="dxa"/>
            <w:vAlign w:val="center"/>
            <w:textDirection w:val="lrTb"/>
            <w:noWrap w:val="false"/>
          </w:tcPr>
          <w:p>
            <w:pPr>
              <w:pStyle w:val="1344"/>
              <w:jc w:val="center"/>
              <w:keepNext/>
              <w:spacing w:line="440" w:lineRule="exact"/>
              <w:rPr>
                <w:rFonts w:hint="eastAsia" w:ascii="宋体" w:hAnsi="宋体" w:cs="宋体"/>
                <w:szCs w:val="21"/>
              </w:rPr>
            </w:pPr>
            <w:r>
              <w:rPr>
                <w:rFonts w:hint="eastAsia" w:ascii="宋体" w:hAnsi="宋体" w:cs="宋体"/>
                <w:szCs w:val="21"/>
              </w:rPr>
            </w:r>
            <w:r/>
          </w:p>
        </w:tc>
      </w:tr>
      <w:tr>
        <w:trPr>
          <w:trHeight w:val="604"/>
        </w:trPr>
        <w:tc>
          <w:tcPr>
            <w:tcW w:w="1148" w:type="dxa"/>
            <w:vAlign w:val="center"/>
            <w:textDirection w:val="lrTb"/>
            <w:noWrap w:val="false"/>
          </w:tcPr>
          <w:p>
            <w:pPr>
              <w:pStyle w:val="1344"/>
              <w:jc w:val="center"/>
              <w:spacing w:line="440" w:lineRule="exact"/>
              <w:rPr>
                <w:rFonts w:hint="eastAsia" w:ascii="宋体" w:hAnsi="宋体" w:cs="宋体"/>
                <w:szCs w:val="21"/>
              </w:rPr>
            </w:pPr>
            <w:r>
              <w:rPr>
                <w:rFonts w:hint="eastAsia" w:ascii="宋体" w:hAnsi="宋体" w:cs="宋体"/>
                <w:szCs w:val="21"/>
              </w:rPr>
            </w:r>
            <w:r/>
          </w:p>
        </w:tc>
        <w:tc>
          <w:tcPr>
            <w:tcW w:w="3070" w:type="dxa"/>
            <w:vAlign w:val="center"/>
            <w:textDirection w:val="lrTb"/>
            <w:noWrap w:val="false"/>
          </w:tcPr>
          <w:p>
            <w:pPr>
              <w:pStyle w:val="1344"/>
              <w:jc w:val="center"/>
              <w:spacing w:line="440" w:lineRule="exact"/>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344"/>
              <w:jc w:val="center"/>
              <w:keepNext/>
              <w:spacing w:line="440" w:lineRule="exact"/>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344"/>
              <w:jc w:val="center"/>
              <w:rPr>
                <w:rFonts w:hint="eastAsia" w:ascii="宋体" w:hAnsi="宋体" w:cs="宋体"/>
                <w:szCs w:val="21"/>
              </w:rPr>
            </w:pPr>
            <w:r>
              <w:rPr>
                <w:rFonts w:hint="eastAsia" w:ascii="宋体" w:hAnsi="宋体" w:cs="宋体"/>
                <w:szCs w:val="21"/>
              </w:rPr>
            </w:r>
            <w:r/>
          </w:p>
        </w:tc>
        <w:tc>
          <w:tcPr>
            <w:tcW w:w="2053" w:type="dxa"/>
            <w:vAlign w:val="center"/>
            <w:textDirection w:val="lrTb"/>
            <w:noWrap w:val="false"/>
          </w:tcPr>
          <w:p>
            <w:pPr>
              <w:pStyle w:val="1344"/>
              <w:jc w:val="center"/>
              <w:keepNext/>
              <w:spacing w:line="440" w:lineRule="exact"/>
              <w:rPr>
                <w:rFonts w:hint="eastAsia" w:ascii="宋体" w:hAnsi="宋体" w:cs="宋体"/>
                <w:szCs w:val="21"/>
              </w:rPr>
            </w:pPr>
            <w:r>
              <w:rPr>
                <w:rFonts w:hint="eastAsia" w:ascii="宋体" w:hAnsi="宋体" w:cs="宋体"/>
                <w:szCs w:val="21"/>
              </w:rPr>
            </w:r>
            <w:r/>
          </w:p>
        </w:tc>
      </w:tr>
      <w:tr>
        <w:trPr>
          <w:trHeight w:val="604"/>
        </w:trPr>
        <w:tc>
          <w:tcPr>
            <w:tcW w:w="1148" w:type="dxa"/>
            <w:vAlign w:val="center"/>
            <w:textDirection w:val="lrTb"/>
            <w:noWrap w:val="false"/>
          </w:tcPr>
          <w:p>
            <w:pPr>
              <w:pStyle w:val="1344"/>
              <w:jc w:val="center"/>
              <w:spacing w:line="440" w:lineRule="exact"/>
              <w:rPr>
                <w:rFonts w:hint="eastAsia" w:ascii="宋体" w:hAnsi="宋体" w:cs="宋体"/>
                <w:szCs w:val="21"/>
              </w:rPr>
            </w:pPr>
            <w:r>
              <w:rPr>
                <w:rFonts w:hint="eastAsia" w:ascii="宋体" w:hAnsi="宋体" w:cs="宋体"/>
                <w:szCs w:val="21"/>
              </w:rPr>
            </w:r>
            <w:r/>
          </w:p>
        </w:tc>
        <w:tc>
          <w:tcPr>
            <w:tcW w:w="3070" w:type="dxa"/>
            <w:vAlign w:val="center"/>
            <w:textDirection w:val="lrTb"/>
            <w:noWrap w:val="false"/>
          </w:tcPr>
          <w:p>
            <w:pPr>
              <w:pStyle w:val="1344"/>
              <w:jc w:val="center"/>
              <w:spacing w:line="440" w:lineRule="exact"/>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344"/>
              <w:jc w:val="center"/>
              <w:keepNext/>
              <w:spacing w:line="440" w:lineRule="exact"/>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344"/>
              <w:jc w:val="center"/>
              <w:rPr>
                <w:rFonts w:hint="eastAsia" w:ascii="宋体" w:hAnsi="宋体" w:cs="宋体"/>
                <w:szCs w:val="21"/>
              </w:rPr>
            </w:pPr>
            <w:r>
              <w:rPr>
                <w:rFonts w:hint="eastAsia" w:ascii="宋体" w:hAnsi="宋体" w:cs="宋体"/>
                <w:szCs w:val="21"/>
              </w:rPr>
            </w:r>
            <w:r/>
          </w:p>
        </w:tc>
        <w:tc>
          <w:tcPr>
            <w:tcW w:w="2053" w:type="dxa"/>
            <w:vAlign w:val="center"/>
            <w:textDirection w:val="lrTb"/>
            <w:noWrap w:val="false"/>
          </w:tcPr>
          <w:p>
            <w:pPr>
              <w:pStyle w:val="1344"/>
              <w:jc w:val="center"/>
              <w:keepNext/>
              <w:spacing w:line="440" w:lineRule="exact"/>
              <w:rPr>
                <w:rFonts w:hint="eastAsia" w:ascii="宋体" w:hAnsi="宋体" w:cs="宋体"/>
                <w:szCs w:val="21"/>
              </w:rPr>
            </w:pPr>
            <w:r>
              <w:rPr>
                <w:rFonts w:hint="eastAsia" w:ascii="宋体" w:hAnsi="宋体" w:cs="宋体"/>
                <w:szCs w:val="21"/>
              </w:rPr>
            </w:r>
            <w:r/>
          </w:p>
        </w:tc>
      </w:tr>
      <w:tr>
        <w:trPr>
          <w:trHeight w:val="604"/>
        </w:trPr>
        <w:tc>
          <w:tcPr>
            <w:tcW w:w="1148" w:type="dxa"/>
            <w:vAlign w:val="center"/>
            <w:textDirection w:val="lrTb"/>
            <w:noWrap w:val="false"/>
          </w:tcPr>
          <w:p>
            <w:pPr>
              <w:pStyle w:val="1344"/>
              <w:jc w:val="center"/>
              <w:spacing w:line="440" w:lineRule="exact"/>
              <w:rPr>
                <w:rFonts w:hint="eastAsia" w:ascii="宋体" w:hAnsi="宋体" w:cs="宋体"/>
                <w:szCs w:val="21"/>
              </w:rPr>
            </w:pPr>
            <w:r>
              <w:rPr>
                <w:rFonts w:hint="eastAsia" w:ascii="宋体" w:hAnsi="宋体" w:cs="宋体"/>
                <w:szCs w:val="21"/>
              </w:rPr>
            </w:r>
            <w:r/>
          </w:p>
        </w:tc>
        <w:tc>
          <w:tcPr>
            <w:tcW w:w="3070" w:type="dxa"/>
            <w:vAlign w:val="center"/>
            <w:textDirection w:val="lrTb"/>
            <w:noWrap w:val="false"/>
          </w:tcPr>
          <w:p>
            <w:pPr>
              <w:pStyle w:val="1344"/>
              <w:jc w:val="center"/>
              <w:spacing w:line="440" w:lineRule="exact"/>
              <w:rPr>
                <w:rFonts w:hint="eastAsia" w:ascii="宋体" w:hAnsi="宋体" w:cs="宋体"/>
                <w:szCs w:val="21"/>
              </w:rPr>
            </w:pPr>
            <w:r>
              <w:rPr>
                <w:rFonts w:hint="eastAsia" w:ascii="宋体" w:hAnsi="宋体" w:cs="宋体"/>
                <w:szCs w:val="21"/>
              </w:rPr>
            </w:r>
            <w:r/>
          </w:p>
        </w:tc>
        <w:tc>
          <w:tcPr>
            <w:tcW w:w="900" w:type="dxa"/>
            <w:vAlign w:val="center"/>
            <w:textDirection w:val="lrTb"/>
            <w:noWrap w:val="false"/>
          </w:tcPr>
          <w:p>
            <w:pPr>
              <w:pStyle w:val="1344"/>
              <w:jc w:val="center"/>
              <w:keepNext/>
              <w:spacing w:line="440" w:lineRule="exact"/>
              <w:rPr>
                <w:rFonts w:hint="eastAsia" w:ascii="宋体" w:hAnsi="宋体" w:cs="宋体"/>
                <w:szCs w:val="21"/>
              </w:rPr>
            </w:pPr>
            <w:r>
              <w:rPr>
                <w:rFonts w:hint="eastAsia" w:ascii="宋体" w:hAnsi="宋体" w:cs="宋体"/>
                <w:szCs w:val="21"/>
              </w:rPr>
            </w:r>
            <w:r/>
          </w:p>
        </w:tc>
        <w:tc>
          <w:tcPr>
            <w:tcW w:w="711" w:type="dxa"/>
            <w:vAlign w:val="top"/>
            <w:textDirection w:val="lrTb"/>
            <w:noWrap w:val="false"/>
          </w:tcPr>
          <w:p>
            <w:pPr>
              <w:pStyle w:val="1344"/>
              <w:jc w:val="center"/>
              <w:rPr>
                <w:rFonts w:hint="eastAsia" w:ascii="宋体" w:hAnsi="宋体" w:cs="宋体"/>
                <w:szCs w:val="21"/>
              </w:rPr>
            </w:pPr>
            <w:r>
              <w:rPr>
                <w:rFonts w:hint="eastAsia" w:ascii="宋体" w:hAnsi="宋体" w:cs="宋体"/>
                <w:szCs w:val="21"/>
              </w:rPr>
            </w:r>
            <w:r/>
          </w:p>
        </w:tc>
        <w:tc>
          <w:tcPr>
            <w:tcW w:w="2053" w:type="dxa"/>
            <w:vAlign w:val="center"/>
            <w:textDirection w:val="lrTb"/>
            <w:noWrap w:val="false"/>
          </w:tcPr>
          <w:p>
            <w:pPr>
              <w:pStyle w:val="1344"/>
              <w:jc w:val="center"/>
              <w:keepNext/>
              <w:spacing w:line="440" w:lineRule="exact"/>
              <w:rPr>
                <w:rFonts w:hint="eastAsia" w:ascii="宋体" w:hAnsi="宋体" w:cs="宋体"/>
                <w:szCs w:val="21"/>
              </w:rPr>
            </w:pPr>
            <w:r>
              <w:rPr>
                <w:rFonts w:hint="eastAsia" w:ascii="宋体" w:hAnsi="宋体" w:cs="宋体"/>
                <w:szCs w:val="21"/>
              </w:rPr>
            </w:r>
            <w:r/>
          </w:p>
        </w:tc>
      </w:tr>
    </w:tbl>
    <w:p>
      <w:pPr>
        <w:pStyle w:val="1344"/>
        <w:spacing w:line="440" w:lineRule="exact"/>
        <w:rPr>
          <w:rFonts w:hint="eastAsia" w:ascii="宋体" w:hAnsi="宋体" w:cs="宋体"/>
          <w:szCs w:val="21"/>
        </w:rPr>
      </w:pPr>
      <w:r>
        <w:rPr>
          <w:rFonts w:hint="eastAsia" w:ascii="宋体" w:hAnsi="宋体" w:cs="宋体"/>
          <w:szCs w:val="21"/>
        </w:rPr>
      </w:r>
      <w:r/>
    </w:p>
    <w:p>
      <w:pPr>
        <w:pStyle w:val="1344"/>
        <w:spacing w:line="440" w:lineRule="exact"/>
        <w:rPr>
          <w:rFonts w:hint="eastAsia" w:ascii="宋体" w:hAnsi="宋体" w:cs="宋体"/>
          <w:szCs w:val="21"/>
        </w:rPr>
      </w:pPr>
      <w:r>
        <w:rPr>
          <w:rFonts w:hint="eastAsia" w:ascii="宋体" w:hAnsi="宋体" w:cs="宋体"/>
          <w:szCs w:val="21"/>
        </w:rPr>
      </w:r>
      <w:r/>
    </w:p>
    <w:p>
      <w:pPr>
        <w:pStyle w:val="1344"/>
        <w:ind w:right="-5"/>
        <w:spacing w:line="440" w:lineRule="exact"/>
        <w:rPr>
          <w:rFonts w:hint="eastAsia" w:ascii="宋体" w:hAnsi="宋体" w:cs="宋体"/>
          <w:szCs w:val="21"/>
        </w:rPr>
      </w:pPr>
      <w:r>
        <w:rPr>
          <w:rFonts w:hint="eastAsia" w:ascii="宋体" w:hAnsi="宋体" w:cs="宋体"/>
          <w:szCs w:val="21"/>
        </w:rPr>
        <w:t xml:space="preserve">2、公开招标设备质保期内的随机备品备件明细表</w:t>
      </w:r>
      <w:r>
        <w:rPr>
          <w:rFonts w:hint="eastAsia" w:ascii="宋体" w:hAnsi="宋体" w:cs="宋体"/>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2"/>
        <w:gridCol w:w="1535"/>
        <w:gridCol w:w="1407"/>
        <w:gridCol w:w="1200"/>
        <w:gridCol w:w="1650"/>
        <w:gridCol w:w="2936"/>
      </w:tblGrid>
      <w:tr>
        <w:trPr>
          <w:trHeight w:val="604"/>
        </w:trPr>
        <w:tc>
          <w:tcPr>
            <w:tcW w:w="762" w:type="dxa"/>
            <w:vAlign w:val="center"/>
            <w:textDirection w:val="lrTb"/>
            <w:noWrap w:val="false"/>
          </w:tcPr>
          <w:p>
            <w:pPr>
              <w:pStyle w:val="1344"/>
              <w:ind w:right="-5"/>
              <w:jc w:val="center"/>
              <w:spacing w:line="44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535" w:type="dxa"/>
            <w:vAlign w:val="center"/>
            <w:textDirection w:val="lrTb"/>
            <w:noWrap w:val="false"/>
          </w:tcPr>
          <w:p>
            <w:pPr>
              <w:pStyle w:val="1344"/>
              <w:ind w:right="-5"/>
              <w:jc w:val="center"/>
              <w:spacing w:line="440" w:lineRule="exact"/>
              <w:tabs>
                <w:tab w:val="left" w:pos="972" w:leader="none"/>
              </w:tabs>
              <w:rPr>
                <w:rFonts w:hint="eastAsia" w:ascii="宋体" w:hAnsi="宋体" w:cs="宋体"/>
                <w:szCs w:val="21"/>
              </w:rPr>
            </w:pPr>
            <w:r>
              <w:rPr>
                <w:rFonts w:hint="eastAsia" w:ascii="宋体" w:hAnsi="宋体" w:cs="宋体"/>
                <w:szCs w:val="21"/>
              </w:rPr>
              <w:t xml:space="preserve">备品备件名称</w:t>
            </w:r>
            <w:r>
              <w:rPr>
                <w:rFonts w:hint="eastAsia" w:ascii="宋体" w:hAnsi="宋体" w:cs="宋体"/>
                <w:szCs w:val="21"/>
              </w:rPr>
            </w:r>
            <w:r/>
          </w:p>
        </w:tc>
        <w:tc>
          <w:tcPr>
            <w:tcW w:w="1407" w:type="dxa"/>
            <w:vAlign w:val="center"/>
            <w:textDirection w:val="lrTb"/>
            <w:noWrap w:val="false"/>
          </w:tcPr>
          <w:p>
            <w:pPr>
              <w:pStyle w:val="1344"/>
              <w:ind w:right="-5"/>
              <w:jc w:val="center"/>
              <w:spacing w:line="440" w:lineRule="exact"/>
              <w:rPr>
                <w:rFonts w:hint="eastAsia" w:ascii="宋体" w:hAnsi="宋体" w:cs="宋体"/>
                <w:szCs w:val="21"/>
              </w:rPr>
            </w:pPr>
            <w:r>
              <w:rPr>
                <w:rFonts w:hint="eastAsia" w:ascii="宋体" w:hAnsi="宋体" w:cs="宋体"/>
                <w:szCs w:val="21"/>
              </w:rPr>
              <w:t xml:space="preserve">型号及规格</w:t>
            </w:r>
            <w:r>
              <w:rPr>
                <w:rFonts w:hint="eastAsia" w:ascii="宋体" w:hAnsi="宋体" w:cs="宋体"/>
                <w:szCs w:val="21"/>
              </w:rPr>
            </w:r>
            <w:r/>
          </w:p>
        </w:tc>
        <w:tc>
          <w:tcPr>
            <w:tcW w:w="1200" w:type="dxa"/>
            <w:vAlign w:val="center"/>
            <w:textDirection w:val="lrTb"/>
            <w:noWrap w:val="false"/>
          </w:tcPr>
          <w:p>
            <w:pPr>
              <w:pStyle w:val="1344"/>
              <w:ind w:right="-5"/>
              <w:jc w:val="center"/>
              <w:spacing w:line="440" w:lineRule="exact"/>
              <w:rPr>
                <w:rFonts w:hint="eastAsia" w:ascii="宋体" w:hAnsi="宋体" w:cs="宋体"/>
                <w:szCs w:val="21"/>
              </w:rPr>
            </w:pPr>
            <w:r>
              <w:rPr>
                <w:rFonts w:hint="eastAsia" w:ascii="宋体" w:hAnsi="宋体" w:cs="宋体"/>
                <w:szCs w:val="21"/>
              </w:rPr>
              <w:t xml:space="preserve">数量(台)</w:t>
            </w:r>
            <w:r>
              <w:rPr>
                <w:rFonts w:hint="eastAsia" w:ascii="宋体" w:hAnsi="宋体" w:cs="宋体"/>
                <w:szCs w:val="21"/>
              </w:rPr>
            </w:r>
            <w:r/>
          </w:p>
        </w:tc>
        <w:tc>
          <w:tcPr>
            <w:tcW w:w="1650" w:type="dxa"/>
            <w:vAlign w:val="center"/>
            <w:textDirection w:val="lrTb"/>
            <w:noWrap w:val="false"/>
          </w:tcPr>
          <w:p>
            <w:pPr>
              <w:pStyle w:val="1344"/>
              <w:ind w:right="-5"/>
              <w:jc w:val="center"/>
              <w:spacing w:line="440" w:lineRule="exact"/>
              <w:rPr>
                <w:rFonts w:hint="eastAsia" w:ascii="宋体" w:hAnsi="宋体" w:cs="宋体"/>
                <w:szCs w:val="21"/>
              </w:rPr>
            </w:pPr>
            <w:r>
              <w:rPr>
                <w:rFonts w:hint="eastAsia" w:ascii="宋体" w:hAnsi="宋体" w:cs="宋体"/>
                <w:szCs w:val="21"/>
              </w:rPr>
              <w:t xml:space="preserve">单价</w:t>
            </w:r>
            <w:r>
              <w:rPr>
                <w:rFonts w:hint="eastAsia" w:ascii="宋体" w:hAnsi="宋体" w:cs="宋体"/>
                <w:szCs w:val="21"/>
              </w:rPr>
            </w:r>
            <w:r/>
          </w:p>
          <w:p>
            <w:pPr>
              <w:pStyle w:val="1344"/>
              <w:ind w:right="-5"/>
              <w:jc w:val="center"/>
              <w:spacing w:line="440" w:lineRule="exact"/>
              <w:rPr>
                <w:rFonts w:hint="eastAsia" w:ascii="宋体" w:hAnsi="宋体" w:cs="宋体"/>
                <w:szCs w:val="21"/>
              </w:rPr>
            </w:pPr>
            <w:r>
              <w:rPr>
                <w:rFonts w:hint="eastAsia" w:ascii="宋体" w:hAnsi="宋体" w:cs="宋体"/>
                <w:szCs w:val="21"/>
              </w:rPr>
              <w:t xml:space="preserve">(万元)</w:t>
            </w:r>
            <w:r>
              <w:rPr>
                <w:rFonts w:hint="eastAsia" w:ascii="宋体" w:hAnsi="宋体" w:cs="宋体"/>
                <w:szCs w:val="21"/>
              </w:rPr>
            </w:r>
            <w:r/>
          </w:p>
        </w:tc>
        <w:tc>
          <w:tcPr>
            <w:tcW w:w="2936" w:type="dxa"/>
            <w:vAlign w:val="center"/>
            <w:textDirection w:val="lrTb"/>
            <w:noWrap w:val="false"/>
          </w:tcPr>
          <w:p>
            <w:pPr>
              <w:pStyle w:val="1344"/>
              <w:ind w:right="-5"/>
              <w:jc w:val="center"/>
              <w:spacing w:line="440" w:lineRule="exact"/>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p>
            <w:pPr>
              <w:pStyle w:val="1344"/>
              <w:ind w:right="-5"/>
              <w:jc w:val="center"/>
              <w:spacing w:line="440" w:lineRule="exact"/>
              <w:rPr>
                <w:rFonts w:hint="eastAsia" w:ascii="宋体" w:hAnsi="宋体" w:cs="宋体"/>
                <w:szCs w:val="21"/>
              </w:rPr>
            </w:pPr>
            <w:r>
              <w:rPr>
                <w:rFonts w:hint="eastAsia" w:ascii="宋体" w:hAnsi="宋体" w:cs="宋体"/>
                <w:szCs w:val="21"/>
              </w:rPr>
              <w:t xml:space="preserve">(如外购请注明产地、制造商)</w:t>
            </w:r>
            <w:r>
              <w:rPr>
                <w:rFonts w:hint="eastAsia" w:ascii="宋体" w:hAnsi="宋体" w:cs="宋体"/>
                <w:szCs w:val="21"/>
              </w:rPr>
            </w:r>
            <w:r/>
          </w:p>
        </w:tc>
      </w:tr>
      <w:tr>
        <w:trPr>
          <w:trHeight w:val="604"/>
        </w:trPr>
        <w:tc>
          <w:tcPr>
            <w:tcW w:w="762" w:type="dxa"/>
            <w:vAlign w:val="top"/>
            <w:textDirection w:val="lrTb"/>
            <w:noWrap w:val="false"/>
          </w:tcPr>
          <w:p>
            <w:pPr>
              <w:pStyle w:val="134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34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34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34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34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34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34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34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34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34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34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34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34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34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34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34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34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34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34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34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34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34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34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34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34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34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34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34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34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34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34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34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34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34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34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34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34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34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34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34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34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34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34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34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34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34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34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34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34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34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34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34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34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34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34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34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34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34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34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34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34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34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34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34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34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34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34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34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34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34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34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344"/>
              <w:ind w:right="-5"/>
              <w:spacing w:line="440" w:lineRule="exact"/>
              <w:rPr>
                <w:rFonts w:hint="eastAsia" w:ascii="宋体" w:hAnsi="宋体" w:cs="宋体"/>
                <w:b/>
                <w:szCs w:val="21"/>
              </w:rPr>
            </w:pPr>
            <w:r>
              <w:rPr>
                <w:rFonts w:hint="eastAsia" w:ascii="宋体" w:hAnsi="宋体" w:cs="宋体"/>
                <w:b/>
                <w:szCs w:val="21"/>
              </w:rPr>
            </w:r>
            <w:r/>
          </w:p>
          <w:p>
            <w:pPr>
              <w:pStyle w:val="1344"/>
              <w:ind w:right="-5"/>
              <w:spacing w:line="440" w:lineRule="exact"/>
              <w:rPr>
                <w:rFonts w:hint="eastAsia" w:ascii="宋体" w:hAnsi="宋体" w:cs="宋体"/>
                <w:b/>
                <w:szCs w:val="21"/>
              </w:rPr>
            </w:pPr>
            <w:r>
              <w:rPr>
                <w:rFonts w:hint="eastAsia" w:ascii="宋体" w:hAnsi="宋体" w:cs="宋体"/>
                <w:b/>
                <w:szCs w:val="21"/>
              </w:rPr>
            </w:r>
            <w:r/>
          </w:p>
        </w:tc>
      </w:tr>
    </w:tbl>
    <w:p>
      <w:pPr>
        <w:pStyle w:val="1344"/>
        <w:spacing w:line="440" w:lineRule="exact"/>
        <w:rPr>
          <w:rFonts w:hint="eastAsia" w:ascii="宋体" w:hAnsi="宋体" w:cs="宋体"/>
          <w:bCs/>
          <w:szCs w:val="21"/>
        </w:rPr>
      </w:pPr>
      <w:r>
        <w:rPr>
          <w:rFonts w:hint="eastAsia" w:ascii="宋体" w:hAnsi="宋体" w:cs="宋体"/>
          <w:bCs/>
          <w:szCs w:val="21"/>
        </w:rPr>
      </w:r>
      <w:r/>
    </w:p>
    <w:p>
      <w:pPr>
        <w:pStyle w:val="1344"/>
        <w:spacing w:line="440" w:lineRule="exact"/>
        <w:rPr>
          <w:rFonts w:hint="eastAsia" w:ascii="宋体" w:hAnsi="宋体" w:cs="宋体"/>
          <w:szCs w:val="21"/>
        </w:rPr>
      </w:pPr>
      <w:r>
        <w:rPr>
          <w:rFonts w:hint="eastAsia" w:ascii="宋体" w:hAnsi="宋体" w:cs="宋体"/>
          <w:bCs/>
          <w:szCs w:val="21"/>
        </w:rPr>
        <w:t xml:space="preserve">3、</w:t>
      </w:r>
      <w:r>
        <w:rPr>
          <w:rFonts w:hint="eastAsia" w:ascii="宋体" w:hAnsi="宋体" w:cs="宋体"/>
          <w:szCs w:val="21"/>
        </w:rPr>
        <w:t xml:space="preserve">随机提供的文件、资料、图纸等（文件资料名称、份数）</w:t>
      </w:r>
      <w:r>
        <w:rPr>
          <w:rFonts w:hint="eastAsia" w:ascii="宋体" w:hAnsi="宋体" w:cs="宋体"/>
          <w:szCs w:val="21"/>
        </w:rPr>
      </w:r>
      <w:r/>
    </w:p>
    <w:p>
      <w:pPr>
        <w:pStyle w:val="1344"/>
        <w:spacing w:line="440" w:lineRule="exact"/>
        <w:rPr>
          <w:rFonts w:hint="eastAsia" w:ascii="宋体" w:hAnsi="宋体" w:cs="宋体"/>
          <w:b/>
          <w:szCs w:val="21"/>
        </w:rPr>
      </w:pPr>
      <w:r>
        <w:rPr>
          <w:rFonts w:hint="eastAsia" w:ascii="宋体" w:hAnsi="宋体" w:cs="宋体"/>
          <w:b/>
          <w:szCs w:val="21"/>
        </w:rPr>
      </w:r>
      <w:r/>
    </w:p>
    <w:p>
      <w:pPr>
        <w:pStyle w:val="1344"/>
        <w:ind w:right="-5"/>
        <w:spacing w:line="440" w:lineRule="exact"/>
        <w:rPr>
          <w:rFonts w:hint="eastAsia" w:ascii="宋体" w:hAnsi="宋体" w:cs="宋体"/>
          <w:b/>
          <w:szCs w:val="21"/>
        </w:rPr>
      </w:pPr>
      <w:r>
        <w:rPr>
          <w:rFonts w:hint="eastAsia" w:ascii="宋体" w:hAnsi="宋体" w:cs="宋体"/>
          <w:szCs w:val="21"/>
        </w:rPr>
        <w:t xml:space="preserve">4、培训计划及方案（人数、时间、内容、地点）</w:t>
      </w:r>
      <w:r>
        <w:rPr>
          <w:rFonts w:hint="eastAsia" w:ascii="宋体" w:hAnsi="宋体" w:cs="宋体"/>
          <w:b/>
          <w:szCs w:val="21"/>
        </w:rPr>
      </w:r>
      <w:r/>
    </w:p>
    <w:p>
      <w:pPr>
        <w:pStyle w:val="1344"/>
        <w:ind w:right="-5"/>
        <w:spacing w:line="440" w:lineRule="exact"/>
        <w:rPr>
          <w:rFonts w:hint="eastAsia" w:ascii="宋体" w:hAnsi="宋体" w:cs="宋体"/>
          <w:b/>
          <w:szCs w:val="21"/>
        </w:rPr>
      </w:pPr>
      <w:r>
        <w:rPr>
          <w:rFonts w:hint="eastAsia" w:ascii="宋体" w:hAnsi="宋体" w:cs="宋体"/>
          <w:b/>
          <w:szCs w:val="21"/>
        </w:rPr>
      </w:r>
      <w:r/>
    </w:p>
    <w:p>
      <w:pPr>
        <w:pStyle w:val="1344"/>
        <w:spacing w:line="440" w:lineRule="exact"/>
        <w:rPr>
          <w:rFonts w:hint="eastAsia" w:ascii="宋体" w:hAnsi="宋体" w:cs="宋体"/>
          <w:szCs w:val="21"/>
        </w:rPr>
      </w:pPr>
      <w:r>
        <w:rPr>
          <w:rFonts w:hint="eastAsia" w:ascii="宋体" w:hAnsi="宋体" w:cs="宋体"/>
          <w:szCs w:val="21"/>
        </w:rPr>
        <w:t xml:space="preserve">5、供货及安装日期和质量保证期及售后服务承诺</w:t>
      </w:r>
      <w:r>
        <w:rPr>
          <w:rFonts w:hint="eastAsia" w:ascii="宋体" w:hAnsi="宋体" w:cs="宋体"/>
          <w:szCs w:val="21"/>
        </w:rPr>
      </w:r>
      <w:r/>
    </w:p>
    <w:p>
      <w:pPr>
        <w:pStyle w:val="1344"/>
        <w:spacing w:line="440" w:lineRule="exact"/>
        <w:rPr>
          <w:rFonts w:hint="eastAsia" w:ascii="宋体" w:hAnsi="宋体" w:cs="宋体"/>
          <w:szCs w:val="21"/>
        </w:rPr>
      </w:pPr>
      <w:r>
        <w:rPr>
          <w:rFonts w:hint="eastAsia" w:ascii="宋体" w:hAnsi="宋体" w:cs="宋体"/>
          <w:bCs/>
          <w:color w:val="000000"/>
          <w:szCs w:val="21"/>
        </w:rPr>
        <w:t xml:space="preserve">6、业绩清单（参考格式）</w:t>
      </w:r>
      <w:r>
        <w:rPr>
          <w:rFonts w:hint="eastAsia" w:ascii="宋体" w:hAnsi="宋体" w:cs="宋体"/>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0"/>
        <w:gridCol w:w="1415"/>
        <w:gridCol w:w="1269"/>
        <w:gridCol w:w="1482"/>
        <w:gridCol w:w="1482"/>
        <w:gridCol w:w="1432"/>
        <w:gridCol w:w="1622"/>
      </w:tblGrid>
      <w:tr>
        <w:trPr/>
        <w:tc>
          <w:tcPr>
            <w:tcW w:w="312" w:type="dxa"/>
            <w:vAlign w:val="center"/>
            <w:textDirection w:val="lrTb"/>
            <w:noWrap w:val="false"/>
          </w:tcPr>
          <w:p>
            <w:pPr>
              <w:pStyle w:val="1344"/>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762" w:type="dxa"/>
            <w:vAlign w:val="center"/>
            <w:textDirection w:val="lrTb"/>
            <w:noWrap w:val="false"/>
          </w:tcPr>
          <w:p>
            <w:pPr>
              <w:pStyle w:val="1344"/>
              <w:jc w:val="center"/>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tcW w:w="683" w:type="dxa"/>
            <w:vAlign w:val="center"/>
            <w:textDirection w:val="lrTb"/>
            <w:noWrap w:val="false"/>
          </w:tcPr>
          <w:p>
            <w:pPr>
              <w:pStyle w:val="1344"/>
              <w:jc w:val="center"/>
              <w:tabs>
                <w:tab w:val="left" w:pos="6252" w:leader="none"/>
              </w:tabs>
              <w:rPr>
                <w:rFonts w:hint="eastAsia" w:ascii="宋体" w:hAnsi="宋体" w:cs="宋体"/>
                <w:szCs w:val="21"/>
              </w:rPr>
            </w:pPr>
            <w:r>
              <w:rPr>
                <w:rFonts w:hint="eastAsia" w:ascii="宋体" w:hAnsi="宋体" w:cs="宋体"/>
                <w:szCs w:val="21"/>
              </w:rPr>
              <w:t xml:space="preserve">项目时间</w:t>
            </w:r>
            <w:r>
              <w:rPr>
                <w:rFonts w:hint="eastAsia" w:ascii="宋体" w:hAnsi="宋体" w:cs="宋体"/>
                <w:szCs w:val="21"/>
              </w:rPr>
            </w:r>
            <w:r/>
          </w:p>
        </w:tc>
        <w:tc>
          <w:tcPr>
            <w:tcW w:w="798" w:type="dxa"/>
            <w:vAlign w:val="center"/>
            <w:textDirection w:val="lrTb"/>
            <w:noWrap w:val="false"/>
          </w:tcPr>
          <w:p>
            <w:pPr>
              <w:pStyle w:val="1344"/>
              <w:jc w:val="center"/>
              <w:tabs>
                <w:tab w:val="left" w:pos="6252" w:leader="none"/>
              </w:tabs>
              <w:rPr>
                <w:rFonts w:hint="eastAsia" w:ascii="宋体" w:hAnsi="宋体" w:cs="宋体"/>
                <w:szCs w:val="21"/>
              </w:rPr>
            </w:pPr>
            <w:r>
              <w:rPr>
                <w:rFonts w:hint="eastAsia" w:ascii="宋体" w:hAnsi="宋体" w:cs="宋体"/>
                <w:szCs w:val="21"/>
              </w:rPr>
              <w:t xml:space="preserve">完成情况</w:t>
            </w:r>
            <w:r>
              <w:rPr>
                <w:rFonts w:hint="eastAsia" w:ascii="宋体" w:hAnsi="宋体" w:cs="宋体"/>
                <w:szCs w:val="21"/>
              </w:rPr>
            </w:r>
            <w:r/>
          </w:p>
        </w:tc>
        <w:tc>
          <w:tcPr>
            <w:tcW w:w="798" w:type="dxa"/>
            <w:vAlign w:val="center"/>
            <w:textDirection w:val="lrTb"/>
            <w:noWrap w:val="false"/>
          </w:tcPr>
          <w:p>
            <w:pPr>
              <w:pStyle w:val="1344"/>
              <w:jc w:val="center"/>
              <w:tabs>
                <w:tab w:val="left" w:pos="6252" w:leader="none"/>
              </w:tabs>
              <w:rPr>
                <w:rFonts w:hint="eastAsia" w:ascii="宋体" w:hAnsi="宋体" w:cs="宋体"/>
                <w:szCs w:val="21"/>
              </w:rPr>
            </w:pPr>
            <w:r>
              <w:rPr>
                <w:rFonts w:hint="eastAsia" w:ascii="宋体" w:hAnsi="宋体" w:cs="宋体"/>
                <w:szCs w:val="21"/>
              </w:rPr>
              <w:t xml:space="preserve">合同金额</w:t>
            </w:r>
            <w:r>
              <w:rPr>
                <w:rFonts w:hint="eastAsia" w:ascii="宋体" w:hAnsi="宋体" w:cs="宋体"/>
                <w:szCs w:val="21"/>
              </w:rPr>
            </w:r>
            <w:r/>
          </w:p>
        </w:tc>
        <w:tc>
          <w:tcPr>
            <w:tcW w:w="771" w:type="dxa"/>
            <w:vAlign w:val="center"/>
            <w:textDirection w:val="lrTb"/>
            <w:noWrap w:val="false"/>
          </w:tcPr>
          <w:p>
            <w:pPr>
              <w:pStyle w:val="1344"/>
              <w:jc w:val="center"/>
              <w:tabs>
                <w:tab w:val="left" w:pos="6252" w:leader="none"/>
              </w:tabs>
              <w:rPr>
                <w:rFonts w:hint="eastAsia" w:ascii="宋体" w:hAnsi="宋体" w:cs="宋体"/>
                <w:szCs w:val="21"/>
              </w:rPr>
            </w:pPr>
            <w:r>
              <w:rPr>
                <w:rFonts w:hint="eastAsia" w:ascii="宋体" w:hAnsi="宋体" w:cs="宋体"/>
                <w:szCs w:val="21"/>
              </w:rPr>
              <w:t xml:space="preserve">业主单位及联系电话</w:t>
            </w:r>
            <w:r>
              <w:rPr>
                <w:rFonts w:hint="eastAsia" w:ascii="宋体" w:hAnsi="宋体" w:cs="宋体"/>
                <w:szCs w:val="21"/>
              </w:rPr>
            </w:r>
            <w:r/>
          </w:p>
        </w:tc>
        <w:tc>
          <w:tcPr>
            <w:tcW w:w="873" w:type="dxa"/>
            <w:vAlign w:val="center"/>
            <w:textDirection w:val="lrTb"/>
            <w:noWrap w:val="false"/>
          </w:tcPr>
          <w:p>
            <w:pPr>
              <w:pStyle w:val="1344"/>
              <w:jc w:val="center"/>
              <w:rPr>
                <w:rFonts w:hint="eastAsia" w:ascii="宋体" w:hAnsi="宋体" w:cs="宋体"/>
                <w:szCs w:val="21"/>
              </w:rPr>
            </w:pPr>
            <w:r>
              <w:rPr>
                <w:rFonts w:hint="eastAsia" w:ascii="宋体" w:hAnsi="宋体" w:cs="宋体"/>
                <w:szCs w:val="21"/>
              </w:rPr>
              <w:t xml:space="preserve">是否有用户反</w:t>
            </w:r>
            <w:r>
              <w:rPr>
                <w:rFonts w:hint="eastAsia" w:ascii="宋体" w:hAnsi="宋体" w:cs="宋体"/>
                <w:szCs w:val="21"/>
              </w:rPr>
            </w:r>
            <w:r/>
          </w:p>
          <w:p>
            <w:pPr>
              <w:pStyle w:val="1344"/>
              <w:jc w:val="center"/>
              <w:rPr>
                <w:rFonts w:hint="eastAsia" w:ascii="宋体" w:hAnsi="宋体" w:cs="宋体"/>
                <w:szCs w:val="21"/>
              </w:rPr>
            </w:pPr>
            <w:r>
              <w:rPr>
                <w:rFonts w:hint="eastAsia" w:ascii="宋体" w:hAnsi="宋体" w:cs="宋体"/>
                <w:szCs w:val="21"/>
              </w:rPr>
              <w:t xml:space="preserve">馈情况 </w:t>
            </w:r>
            <w:r>
              <w:rPr>
                <w:rFonts w:hint="eastAsia" w:ascii="宋体" w:hAnsi="宋体" w:cs="宋体"/>
                <w:szCs w:val="21"/>
              </w:rPr>
            </w:r>
            <w:r/>
          </w:p>
        </w:tc>
      </w:tr>
      <w:tr>
        <w:trPr>
          <w:trHeight w:val="409"/>
        </w:trPr>
        <w:tc>
          <w:tcPr>
            <w:tcW w:w="312" w:type="dxa"/>
            <w:vAlign w:val="center"/>
            <w:textDirection w:val="lrTb"/>
            <w:noWrap w:val="false"/>
          </w:tcPr>
          <w:p>
            <w:pPr>
              <w:pStyle w:val="134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34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34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4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4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34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34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34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34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34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4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4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34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34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34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34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34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4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4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34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34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34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34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34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4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4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34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34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34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34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34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4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4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34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34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34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344"/>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683" w:type="dxa"/>
            <w:vAlign w:val="top"/>
            <w:textDirection w:val="lrTb"/>
            <w:noWrap w:val="false"/>
          </w:tcPr>
          <w:p>
            <w:pPr>
              <w:pStyle w:val="134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4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34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34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344"/>
              <w:jc w:val="center"/>
              <w:rPr>
                <w:rFonts w:hint="eastAsia" w:ascii="宋体" w:hAnsi="宋体" w:cs="宋体"/>
                <w:szCs w:val="21"/>
              </w:rPr>
            </w:pPr>
            <w:r>
              <w:rPr>
                <w:rFonts w:hint="eastAsia" w:ascii="宋体" w:hAnsi="宋体" w:cs="宋体"/>
                <w:szCs w:val="21"/>
              </w:rPr>
            </w:r>
            <w:r/>
          </w:p>
        </w:tc>
      </w:tr>
    </w:tbl>
    <w:p>
      <w:pPr>
        <w:pStyle w:val="1344"/>
        <w:ind w:right="-5"/>
        <w:spacing w:line="440" w:lineRule="exact"/>
        <w:rPr>
          <w:rFonts w:hint="eastAsia" w:ascii="宋体" w:hAnsi="宋体" w:cs="宋体"/>
          <w:bCs/>
          <w:color w:val="000000"/>
          <w:szCs w:val="21"/>
        </w:rPr>
      </w:pPr>
      <w:r>
        <w:rPr>
          <w:rFonts w:hint="eastAsia" w:ascii="宋体" w:hAnsi="宋体" w:cs="宋体"/>
          <w:bCs/>
          <w:color w:val="000000"/>
          <w:szCs w:val="21"/>
        </w:rPr>
      </w:r>
      <w:r/>
    </w:p>
    <w:p>
      <w:pPr>
        <w:pStyle w:val="1344"/>
        <w:ind w:right="-5"/>
        <w:spacing w:line="440" w:lineRule="exact"/>
        <w:rPr>
          <w:rFonts w:hint="eastAsia" w:ascii="宋体" w:hAnsi="宋体" w:cs="宋体"/>
          <w:bCs/>
          <w:color w:val="000000"/>
          <w:szCs w:val="21"/>
          <w:lang w:val="zh-CN"/>
        </w:rPr>
      </w:pPr>
      <w:r>
        <w:rPr>
          <w:rFonts w:hint="eastAsia" w:ascii="宋体" w:hAnsi="宋体" w:cs="宋体"/>
          <w:bCs/>
          <w:color w:val="000000"/>
          <w:szCs w:val="21"/>
        </w:rPr>
        <w:t xml:space="preserve">7</w:t>
      </w:r>
      <w:r>
        <w:rPr>
          <w:rFonts w:hint="eastAsia" w:ascii="宋体" w:hAnsi="宋体" w:cs="宋体"/>
          <w:bCs/>
          <w:color w:val="000000"/>
          <w:szCs w:val="21"/>
          <w:lang w:val="zh-CN"/>
        </w:rPr>
        <w:t xml:space="preserve">、供应商认为应提供的其他材料</w:t>
      </w:r>
      <w:r>
        <w:rPr>
          <w:rFonts w:hint="eastAsia" w:ascii="宋体" w:hAnsi="宋体" w:cs="宋体"/>
          <w:bCs/>
          <w:color w:val="000000"/>
          <w:szCs w:val="21"/>
          <w:lang w:val="zh-CN"/>
        </w:rPr>
      </w:r>
      <w:r/>
    </w:p>
    <w:p>
      <w:pPr>
        <w:pStyle w:val="1344"/>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（针对具体的评标标准提供相应其他材料）</w:t>
      </w:r>
      <w:r/>
    </w:p>
    <w:sectPr>
      <w:headerReference w:type="first" r:id="rId11"/>
      <w:footerReference w:type="default" r:id="rId28"/>
      <w:footerReference w:type="first" r:id="rId29"/>
      <w:footnotePr/>
      <w:endnotePr/>
      <w:type w:val="nextPage"/>
      <w:pgSz w:w="11906" w:h="16838" w:orient="portrait"/>
      <w:pgMar w:top="1418" w:right="1418" w:bottom="1418"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仿宋">
    <w:panose1 w:val="02010609060101010101"/>
  </w:font>
  <w:font w:name="等线">
    <w:panose1 w:val="02010600030101010101"/>
  </w:font>
  <w:font w:name="楷体_GB2312">
    <w:panose1 w:val="02010609060101010101"/>
  </w:font>
  <w:font w:name="方正仿宋简体">
    <w:panose1 w:val="020B0503020202020204"/>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2"/>
      <w:tabs>
        <w:tab w:val="center" w:pos="4153" w:leader="none"/>
        <w:tab w:val="right" w:pos="8306" w:leader="none"/>
      </w:tabs>
      <w:rPr>
        <w:rStyle w:val="1417"/>
      </w:rPr>
    </w:pPr>
    <w:r>
      <w:rPr>
        <w:rStyle w:val="1417"/>
      </w:rPr>
    </w:r>
    <w:r/>
  </w:p>
  <w:p>
    <w:pPr>
      <w:pStyle w:val="1392"/>
      <w:tabs>
        <w:tab w:val="center" w:pos="4153" w:leader="none"/>
        <w:tab w:val="right" w:pos="8306" w:leader="none"/>
      </w:tabs>
      <w:rPr>
        <w:rStyle w:val="1417"/>
      </w:rPr>
      <w:framePr w:wrap="around" w:vAnchor="text" w:hAnchor="page" w:x="6104" w:y="52"/>
    </w:pPr>
    <w:r>
      <w:rPr>
        <w:rStyle w:val="1417"/>
      </w:rPr>
    </w:r>
    <w:r/>
  </w:p>
  <w:p>
    <w:pPr>
      <w:pStyle w:val="1392"/>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2"/>
      <w:tabs>
        <w:tab w:val="center" w:pos="4819" w:leader="none"/>
        <w:tab w:val="right" w:pos="8306" w:leader="none"/>
      </w:tabs>
      <w:rPr>
        <w:rStyle w:val="1417"/>
      </w:rPr>
    </w:pPr>
    <w:r>
      <w:rPr>
        <w:rStyle w:val="1417"/>
        <w:rFonts w:hint="eastAsia"/>
      </w:rPr>
      <w:tab/>
    </w:r>
    <w:r>
      <w:rPr>
        <w:rStyle w:val="1417"/>
      </w:rPr>
    </w:r>
    <w:r/>
  </w:p>
  <w:p>
    <w:pPr>
      <w:pStyle w:val="1392"/>
      <w:tabs>
        <w:tab w:val="center" w:pos="4153" w:leader="none"/>
        <w:tab w:val="right" w:pos="8306" w:leader="none"/>
      </w:tabs>
      <w:rPr>
        <w:rStyle w:val="1417"/>
      </w:rPr>
      <w:framePr w:wrap="around" w:vAnchor="text" w:hAnchor="page" w:x="6104" w:y="52"/>
    </w:pPr>
    <w:r>
      <w:rPr>
        <w:rStyle w:val="1417"/>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2"/>
      <w:tabs>
        <w:tab w:val="center" w:pos="4153" w:leader="none"/>
        <w:tab w:val="right" w:pos="8306" w:leader="none"/>
      </w:tabs>
      <w:rPr>
        <w:rFonts w:hint="eastAsia"/>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92"/>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344"/>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92"/>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344"/>
                    </w:pPr>
                    <w:r/>
                    <w:r/>
                  </w:p>
                </w:txbxContent>
              </v:textbox>
            </v:shape>
          </w:pict>
        </mc:Fallback>
      </mc:AlternateContent>
    </w:r>
    <w:r>
      <w:rPr>
        <w:rFonts w:hint="eastAsia"/>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2"/>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92"/>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344"/>
                          </w:pPr>
                          <w:r/>
                          <w:r/>
                        </w:p>
                      </w:txbxContent>
                    </wps:txbx>
                    <wps:bodyPr wrap="none" lIns="0" tIns="0" rIns="0" bIns="0" upright="1">
                      <a:spAutoFit/>
                    </wps:bodyPr>
                  </wps:wsp>
                </a:graphicData>
              </a:graphic>
            </wp:anchor>
          </w:drawing>
        </mc:Choice>
        <mc:Fallback>
          <w:pict>
            <v:shape id="shape 4" o:spid="_x0000_s4"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92"/>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344"/>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92"/>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344"/>
                          </w:pPr>
                          <w:r/>
                          <w:r/>
                        </w:p>
                      </w:txbxContent>
                    </wps:txbx>
                    <wps:bodyPr wrap="none" lIns="0" tIns="0" rIns="0" bIns="0" upright="1">
                      <a:spAutoFit/>
                    </wps:bodyPr>
                  </wps:wsp>
                </a:graphicData>
              </a:graphic>
            </wp:anchor>
          </w:drawing>
        </mc:Choice>
        <mc:Fallback>
          <w:pict>
            <v:shape id="shape 5" o:spid="_x0000_s5"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92"/>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344"/>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4"/>
      <w:jc w:val="center"/>
      <w:tabs>
        <w:tab w:val="center" w:pos="4153" w:leader="none"/>
        <w:tab w:val="right" w:pos="8306" w:leader="none"/>
      </w:tabs>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44"/>
                            <w:tabs>
                              <w:tab w:val="center" w:pos="4153" w:leader="none"/>
                              <w:tab w:val="right" w:pos="8306" w:leader="none"/>
                            </w:tabs>
                            <w:rPr>
                              <w:sz w:val="18"/>
                            </w:rPr>
                          </w:pPr>
                          <w:r>
                            <w:rPr>
                              <w:sz w:val="18"/>
                            </w:rPr>
                            <w:fldChar w:fldCharType="begin"/>
                          </w:r>
                          <w:r>
                            <w:rPr>
                              <w:sz w:val="18"/>
                            </w:rPr>
                            <w:instrText xml:space="preserve"> PAGE  \* MERGEFORMAT </w:instrText>
                          </w:r>
                          <w:r>
                            <w:rPr>
                              <w:sz w:val="18"/>
                            </w:rPr>
                            <w:fldChar w:fldCharType="separate"/>
                          </w:r>
                          <w:r>
                            <w:rPr>
                              <w:sz w:val="18"/>
                            </w:rPr>
                            <w:t xml:space="preserve">83</w:t>
                          </w:r>
                          <w:r>
                            <w:rPr>
                              <w:sz w:val="18"/>
                            </w:rPr>
                            <w:fldChar w:fldCharType="end"/>
                          </w:r>
                          <w:r>
                            <w:rPr>
                              <w:sz w:val="18"/>
                            </w:rPr>
                          </w:r>
                          <w:r/>
                        </w:p>
                        <w:p>
                          <w:pPr>
                            <w:pStyle w:val="1344"/>
                          </w:pPr>
                          <w:r/>
                          <w:r/>
                        </w:p>
                      </w:txbxContent>
                    </wps:txbx>
                    <wps:bodyPr wrap="none" lIns="0" tIns="0" rIns="0" bIns="0" upright="1">
                      <a:spAutoFit/>
                    </wps:bodyPr>
                  </wps:wsp>
                </a:graphicData>
              </a:graphic>
            </wp:anchor>
          </w:drawing>
        </mc:Choice>
        <mc:Fallback>
          <w:pict>
            <v:shape id="shape 6" o:spid="_x0000_s6"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44"/>
                      <w:tabs>
                        <w:tab w:val="center" w:pos="4153" w:leader="none"/>
                        <w:tab w:val="right" w:pos="8306" w:leader="none"/>
                      </w:tabs>
                      <w:rPr>
                        <w:sz w:val="18"/>
                      </w:rPr>
                    </w:pPr>
                    <w:r>
                      <w:rPr>
                        <w:sz w:val="18"/>
                      </w:rPr>
                      <w:fldChar w:fldCharType="begin"/>
                    </w:r>
                    <w:r>
                      <w:rPr>
                        <w:sz w:val="18"/>
                      </w:rPr>
                      <w:instrText xml:space="preserve"> PAGE  \* MERGEFORMAT </w:instrText>
                    </w:r>
                    <w:r>
                      <w:rPr>
                        <w:sz w:val="18"/>
                      </w:rPr>
                      <w:fldChar w:fldCharType="separate"/>
                    </w:r>
                    <w:r>
                      <w:rPr>
                        <w:sz w:val="18"/>
                      </w:rPr>
                      <w:t xml:space="preserve">83</w:t>
                    </w:r>
                    <w:r>
                      <w:rPr>
                        <w:sz w:val="18"/>
                      </w:rPr>
                      <w:fldChar w:fldCharType="end"/>
                    </w:r>
                    <w:r>
                      <w:rPr>
                        <w:sz w:val="18"/>
                      </w:rPr>
                    </w:r>
                    <w:r/>
                  </w:p>
                  <w:p>
                    <w:pPr>
                      <w:pStyle w:val="1344"/>
                    </w:pPr>
                    <w:r/>
                    <w:r/>
                  </w:p>
                </w:txbxContent>
              </v:textbox>
            </v:shape>
          </w:pict>
        </mc:Fallback>
      </mc:AlternateContent>
    </w:r>
    <w:r>
      <w:rPr>
        <w:sz w:val="18"/>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4"/>
      <w:tabs>
        <w:tab w:val="center" w:pos="4153" w:leader="none"/>
        <w:tab w:val="right" w:pos="8306" w:leader="none"/>
      </w:tabs>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44"/>
                            <w:tabs>
                              <w:tab w:val="center" w:pos="4153" w:leader="none"/>
                              <w:tab w:val="right" w:pos="8306" w:leader="none"/>
                            </w:tabs>
                            <w:rPr>
                              <w:sz w:val="18"/>
                            </w:rPr>
                          </w:pPr>
                          <w:r>
                            <w:rPr>
                              <w:sz w:val="18"/>
                            </w:rPr>
                            <w:fldChar w:fldCharType="begin"/>
                          </w:r>
                          <w:r>
                            <w:rPr>
                              <w:sz w:val="18"/>
                            </w:rPr>
                            <w:instrText xml:space="preserve"> PAGE  \* MERGEFORMAT </w:instrText>
                          </w:r>
                          <w:r>
                            <w:rPr>
                              <w:sz w:val="18"/>
                            </w:rPr>
                            <w:fldChar w:fldCharType="separate"/>
                          </w:r>
                          <w:r>
                            <w:rPr>
                              <w:sz w:val="18"/>
                            </w:rPr>
                            <w:t xml:space="preserve">26</w:t>
                          </w:r>
                          <w:r>
                            <w:rPr>
                              <w:sz w:val="18"/>
                            </w:rPr>
                            <w:fldChar w:fldCharType="end"/>
                          </w:r>
                          <w:r>
                            <w:rPr>
                              <w:sz w:val="18"/>
                            </w:rPr>
                          </w:r>
                          <w:r/>
                        </w:p>
                        <w:p>
                          <w:pPr>
                            <w:pStyle w:val="1344"/>
                          </w:pPr>
                          <w:r/>
                          <w:r/>
                        </w:p>
                      </w:txbxContent>
                    </wps:txbx>
                    <wps:bodyPr wrap="none" lIns="0" tIns="0" rIns="0" bIns="0" upright="1">
                      <a:spAutoFit/>
                    </wps:bodyPr>
                  </wps:wsp>
                </a:graphicData>
              </a:graphic>
            </wp:anchor>
          </w:drawing>
        </mc:Choice>
        <mc:Fallback>
          <w:pict>
            <v:shape id="shape 7" o:spid="_x0000_s7"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44"/>
                      <w:tabs>
                        <w:tab w:val="center" w:pos="4153" w:leader="none"/>
                        <w:tab w:val="right" w:pos="8306" w:leader="none"/>
                      </w:tabs>
                      <w:rPr>
                        <w:sz w:val="18"/>
                      </w:rPr>
                    </w:pPr>
                    <w:r>
                      <w:rPr>
                        <w:sz w:val="18"/>
                      </w:rPr>
                      <w:fldChar w:fldCharType="begin"/>
                    </w:r>
                    <w:r>
                      <w:rPr>
                        <w:sz w:val="18"/>
                      </w:rPr>
                      <w:instrText xml:space="preserve"> PAGE  \* MERGEFORMAT </w:instrText>
                    </w:r>
                    <w:r>
                      <w:rPr>
                        <w:sz w:val="18"/>
                      </w:rPr>
                      <w:fldChar w:fldCharType="separate"/>
                    </w:r>
                    <w:r>
                      <w:rPr>
                        <w:sz w:val="18"/>
                      </w:rPr>
                      <w:t xml:space="preserve">26</w:t>
                    </w:r>
                    <w:r>
                      <w:rPr>
                        <w:sz w:val="18"/>
                      </w:rPr>
                      <w:fldChar w:fldCharType="end"/>
                    </w:r>
                    <w:r>
                      <w:rPr>
                        <w:sz w:val="18"/>
                      </w:rPr>
                    </w:r>
                    <w:r/>
                  </w:p>
                  <w:p>
                    <w:pPr>
                      <w:pStyle w:val="1344"/>
                    </w:pPr>
                    <w:r/>
                    <w:r/>
                  </w:p>
                </w:txbxContent>
              </v:textbox>
            </v:shape>
          </w:pict>
        </mc:Fallback>
      </mc:AlternateContent>
    </w:r>
    <w:r>
      <w:rPr>
        <w:sz w:val="18"/>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4"/>
      <w:ind w:left="4678"/>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92"/>
                            <w:tabs>
                              <w:tab w:val="clear" w:pos="4153" w:leader="none"/>
                              <w:tab w:val="clear" w:pos="8306" w:leader="none"/>
                            </w:tabs>
                          </w:pPr>
                          <w:r>
                            <w:fldChar w:fldCharType="begin"/>
                          </w:r>
                          <w:r>
                            <w:instrText xml:space="preserve"> PAGE  \* MERGEFORMAT </w:instrText>
                          </w:r>
                          <w:r>
                            <w:fldChar w:fldCharType="separate"/>
                          </w:r>
                          <w:r>
                            <w:t xml:space="preserve">88</w:t>
                          </w:r>
                          <w:r>
                            <w:fldChar w:fldCharType="end"/>
                          </w:r>
                          <w:r/>
                        </w:p>
                        <w:p>
                          <w:pPr>
                            <w:pStyle w:val="1344"/>
                          </w:pPr>
                          <w:r/>
                          <w:r/>
                        </w:p>
                      </w:txbxContent>
                    </wps:txbx>
                    <wps:bodyPr wrap="none" lIns="0" tIns="0" rIns="0" bIns="0" upright="1">
                      <a:spAutoFit/>
                    </wps:bodyPr>
                  </wps:wsp>
                </a:graphicData>
              </a:graphic>
            </wp:anchor>
          </w:drawing>
        </mc:Choice>
        <mc:Fallback>
          <w:pict>
            <v:shape id="shape 8" o:spid="_x0000_s8"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92"/>
                      <w:tabs>
                        <w:tab w:val="clear" w:pos="4153" w:leader="none"/>
                        <w:tab w:val="clear" w:pos="8306" w:leader="none"/>
                      </w:tabs>
                    </w:pPr>
                    <w:r>
                      <w:fldChar w:fldCharType="begin"/>
                    </w:r>
                    <w:r>
                      <w:instrText xml:space="preserve"> PAGE  \* MERGEFORMAT </w:instrText>
                    </w:r>
                    <w:r>
                      <w:fldChar w:fldCharType="separate"/>
                    </w:r>
                    <w:r>
                      <w:t xml:space="preserve">88</w:t>
                    </w:r>
                    <w:r>
                      <w:fldChar w:fldCharType="end"/>
                    </w:r>
                    <w:r/>
                  </w:p>
                  <w:p>
                    <w:pPr>
                      <w:pStyle w:val="1344"/>
                    </w:pPr>
                    <w:r/>
                    <w:r/>
                  </w:p>
                </w:txbxContent>
              </v:textbox>
            </v:shape>
          </w:pict>
        </mc:Fallback>
      </mc:AlternateContent>
    </w:r>
    <w:r>
      <w:rPr>
        <w:sz w:val="17"/>
        <w:szCs w:val="17"/>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92"/>
                            <w:tabs>
                              <w:tab w:val="clear" w:pos="4153" w:leader="none"/>
                              <w:tab w:val="clear" w:pos="8306" w:leader="none"/>
                            </w:tabs>
                          </w:pPr>
                          <w:r>
                            <w:fldChar w:fldCharType="begin"/>
                          </w:r>
                          <w:r>
                            <w:instrText xml:space="preserve"> PAGE  \* MERGEFORMAT </w:instrText>
                          </w:r>
                          <w:r>
                            <w:fldChar w:fldCharType="separate"/>
                          </w:r>
                          <w:r>
                            <w:t xml:space="preserve">87</w:t>
                          </w:r>
                          <w:r>
                            <w:fldChar w:fldCharType="end"/>
                          </w:r>
                          <w:r/>
                        </w:p>
                        <w:p>
                          <w:pPr>
                            <w:pStyle w:val="1344"/>
                          </w:pPr>
                          <w:r/>
                          <w:r/>
                        </w:p>
                      </w:txbxContent>
                    </wps:txbx>
                    <wps:bodyPr wrap="none" lIns="0" tIns="0" rIns="0" bIns="0" upright="1">
                      <a:spAutoFit/>
                    </wps:bodyPr>
                  </wps:wsp>
                </a:graphicData>
              </a:graphic>
            </wp:anchor>
          </w:drawing>
        </mc:Choice>
        <mc:Fallback>
          <w:pict>
            <v:shape id="shape 9" o:spid="_x0000_s9"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92"/>
                      <w:tabs>
                        <w:tab w:val="clear" w:pos="4153" w:leader="none"/>
                        <w:tab w:val="clear" w:pos="8306" w:leader="none"/>
                      </w:tabs>
                    </w:pPr>
                    <w:r>
                      <w:fldChar w:fldCharType="begin"/>
                    </w:r>
                    <w:r>
                      <w:instrText xml:space="preserve"> PAGE  \* MERGEFORMAT </w:instrText>
                    </w:r>
                    <w:r>
                      <w:fldChar w:fldCharType="separate"/>
                    </w:r>
                    <w:r>
                      <w:t xml:space="preserve">87</w:t>
                    </w:r>
                    <w:r>
                      <w:fldChar w:fldCharType="end"/>
                    </w:r>
                    <w:r/>
                  </w:p>
                  <w:p>
                    <w:pPr>
                      <w:pStyle w:val="134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92"/>
                            <w:tabs>
                              <w:tab w:val="clear" w:pos="4153" w:leader="none"/>
                              <w:tab w:val="clear" w:pos="8306" w:leader="none"/>
                            </w:tabs>
                            <w:rPr>
                              <w:rFonts w:hint="eastAsia"/>
                            </w:rPr>
                          </w:pPr>
                          <w:r>
                            <w:rPr>
                              <w:rFonts w:hint="eastAsia"/>
                            </w:rPr>
                          </w:r>
                          <w:r/>
                        </w:p>
                        <w:p>
                          <w:pPr>
                            <w:pStyle w:val="1344"/>
                          </w:pPr>
                          <w:r/>
                          <w:r/>
                        </w:p>
                      </w:txbxContent>
                    </wps:txbx>
                    <wps:bodyPr wrap="none" lIns="0" tIns="0" rIns="0" bIns="0" upright="1">
                      <a:spAutoFit/>
                    </wps:bodyPr>
                  </wps:wsp>
                </a:graphicData>
              </a:graphic>
            </wp:anchor>
          </w:drawing>
        </mc:Choice>
        <mc:Fallback>
          <w:pict>
            <v:shape id="shape 10" o:spid="_x0000_s10"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92"/>
                      <w:tabs>
                        <w:tab w:val="clear" w:pos="4153" w:leader="none"/>
                        <w:tab w:val="clear" w:pos="8306" w:leader="none"/>
                      </w:tabs>
                      <w:rPr>
                        <w:rFonts w:hint="eastAsia"/>
                      </w:rPr>
                    </w:pPr>
                    <w:r>
                      <w:rPr>
                        <w:rFonts w:hint="eastAsia"/>
                      </w:rPr>
                    </w:r>
                    <w:r/>
                  </w:p>
                  <w:p>
                    <w:pPr>
                      <w:pStyle w:val="1344"/>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4"/>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92"/>
                            <w:tabs>
                              <w:tab w:val="clear" w:pos="4153" w:leader="none"/>
                              <w:tab w:val="clear" w:pos="8306" w:leader="none"/>
                            </w:tabs>
                          </w:pPr>
                          <w:r>
                            <w:fldChar w:fldCharType="begin"/>
                          </w:r>
                          <w:r>
                            <w:instrText xml:space="preserve"> PAGE  \* MERGEFORMAT </w:instrText>
                          </w:r>
                          <w:r>
                            <w:fldChar w:fldCharType="separate"/>
                          </w:r>
                          <w:r>
                            <w:t xml:space="preserve">112</w:t>
                          </w:r>
                          <w:r>
                            <w:fldChar w:fldCharType="end"/>
                          </w:r>
                          <w:r/>
                        </w:p>
                        <w:p>
                          <w:pPr>
                            <w:pStyle w:val="1344"/>
                          </w:pPr>
                          <w:r/>
                          <w:r/>
                        </w:p>
                      </w:txbxContent>
                    </wps:txbx>
                    <wps:bodyPr wrap="none" lIns="0" tIns="0" rIns="0" bIns="0" upright="1">
                      <a:spAutoFit/>
                    </wps:bodyPr>
                  </wps:wsp>
                </a:graphicData>
              </a:graphic>
            </wp:anchor>
          </w:drawing>
        </mc:Choice>
        <mc:Fallback>
          <w:pict>
            <v:shape id="shape 11" o:spid="_x0000_s11"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92"/>
                      <w:tabs>
                        <w:tab w:val="clear" w:pos="4153" w:leader="none"/>
                        <w:tab w:val="clear" w:pos="8306" w:leader="none"/>
                      </w:tabs>
                    </w:pPr>
                    <w:r>
                      <w:fldChar w:fldCharType="begin"/>
                    </w:r>
                    <w:r>
                      <w:instrText xml:space="preserve"> PAGE  \* MERGEFORMAT </w:instrText>
                    </w:r>
                    <w:r>
                      <w:fldChar w:fldCharType="separate"/>
                    </w:r>
                    <w:r>
                      <w:t xml:space="preserve">112</w:t>
                    </w:r>
                    <w:r>
                      <w:fldChar w:fldCharType="end"/>
                    </w:r>
                    <w:r/>
                  </w:p>
                  <w:p>
                    <w:pPr>
                      <w:pStyle w:val="1344"/>
                    </w:pPr>
                    <w:r/>
                    <w:r/>
                  </w:p>
                </w:txbxContent>
              </v:textbox>
            </v:shape>
          </w:pict>
        </mc:Fallback>
      </mc:AlternateContent>
    </w:r>
    <w:r>
      <w:rPr>
        <w:rFonts w:eastAsia="Times New Roman"/>
        <w:sz w:val="17"/>
        <w:szCs w:val="17"/>
      </w:r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92"/>
                            <w:tabs>
                              <w:tab w:val="clear" w:pos="4153" w:leader="none"/>
                              <w:tab w:val="clear" w:pos="8306" w:leader="none"/>
                            </w:tabs>
                          </w:pPr>
                          <w:r>
                            <w:fldChar w:fldCharType="begin"/>
                          </w:r>
                          <w:r>
                            <w:instrText xml:space="preserve"> PAGE  \* MERGEFORMAT </w:instrText>
                          </w:r>
                          <w:r>
                            <w:fldChar w:fldCharType="separate"/>
                          </w:r>
                          <w:r>
                            <w:t xml:space="preserve">93</w:t>
                          </w:r>
                          <w:r>
                            <w:fldChar w:fldCharType="end"/>
                          </w:r>
                          <w:r/>
                        </w:p>
                        <w:p>
                          <w:pPr>
                            <w:pStyle w:val="1344"/>
                          </w:pPr>
                          <w:r/>
                          <w:r/>
                        </w:p>
                      </w:txbxContent>
                    </wps:txbx>
                    <wps:bodyPr wrap="none" lIns="0" tIns="0" rIns="0" bIns="0" upright="1">
                      <a:spAutoFit/>
                    </wps:bodyPr>
                  </wps:wsp>
                </a:graphicData>
              </a:graphic>
            </wp:anchor>
          </w:drawing>
        </mc:Choice>
        <mc:Fallback>
          <w:pict>
            <v:shape id="shape 12" o:spid="_x0000_s12"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92"/>
                      <w:tabs>
                        <w:tab w:val="clear" w:pos="4153" w:leader="none"/>
                        <w:tab w:val="clear" w:pos="8306" w:leader="none"/>
                      </w:tabs>
                    </w:pPr>
                    <w:r>
                      <w:fldChar w:fldCharType="begin"/>
                    </w:r>
                    <w:r>
                      <w:instrText xml:space="preserve"> PAGE  \* MERGEFORMAT </w:instrText>
                    </w:r>
                    <w:r>
                      <w:fldChar w:fldCharType="separate"/>
                    </w:r>
                    <w:r>
                      <w:t xml:space="preserve">93</w:t>
                    </w:r>
                    <w:r>
                      <w:fldChar w:fldCharType="end"/>
                    </w:r>
                    <w:r/>
                  </w:p>
                  <w:p>
                    <w:pPr>
                      <w:pStyle w:val="134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92"/>
                            <w:tabs>
                              <w:tab w:val="clear" w:pos="4153" w:leader="none"/>
                              <w:tab w:val="clear" w:pos="8306" w:leader="none"/>
                            </w:tabs>
                            <w:rPr>
                              <w:rFonts w:hint="eastAsia"/>
                            </w:rPr>
                          </w:pPr>
                          <w:r>
                            <w:rPr>
                              <w:rFonts w:hint="eastAsia"/>
                            </w:rPr>
                          </w:r>
                          <w:r/>
                        </w:p>
                        <w:p>
                          <w:pPr>
                            <w:pStyle w:val="1344"/>
                          </w:pPr>
                          <w:r/>
                          <w:r/>
                        </w:p>
                      </w:txbxContent>
                    </wps:txbx>
                    <wps:bodyPr wrap="none" lIns="0" tIns="0" rIns="0" bIns="0" upright="1">
                      <a:spAutoFit/>
                    </wps:bodyPr>
                  </wps:wsp>
                </a:graphicData>
              </a:graphic>
            </wp:anchor>
          </w:drawing>
        </mc:Choice>
        <mc:Fallback>
          <w:pict>
            <v:shape id="shape 13" o:spid="_x0000_s1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92"/>
                      <w:tabs>
                        <w:tab w:val="clear" w:pos="4153" w:leader="none"/>
                        <w:tab w:val="clear" w:pos="8306" w:leader="none"/>
                      </w:tabs>
                      <w:rPr>
                        <w:rFonts w:hint="eastAsia"/>
                      </w:rPr>
                    </w:pPr>
                    <w:r>
                      <w:rPr>
                        <w:rFonts w:hint="eastAsia"/>
                      </w:rPr>
                    </w:r>
                    <w:r/>
                  </w:p>
                  <w:p>
                    <w:pPr>
                      <w:pStyle w:val="1344"/>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92"/>
                            <w:tabs>
                              <w:tab w:val="clear" w:pos="4153" w:leader="none"/>
                              <w:tab w:val="clear" w:pos="8306" w:leader="none"/>
                            </w:tabs>
                          </w:pPr>
                          <w:r>
                            <w:fldChar w:fldCharType="begin"/>
                          </w:r>
                          <w:r>
                            <w:instrText xml:space="preserve"> PAGE  \* MERGEFORMAT </w:instrText>
                          </w:r>
                          <w:r>
                            <w:fldChar w:fldCharType="separate"/>
                          </w:r>
                          <w:r>
                            <w:t xml:space="preserve">99</w:t>
                          </w:r>
                          <w:r>
                            <w:fldChar w:fldCharType="end"/>
                          </w:r>
                          <w:r/>
                        </w:p>
                        <w:p>
                          <w:pPr>
                            <w:pStyle w:val="1344"/>
                          </w:pPr>
                          <w:r/>
                          <w:r/>
                        </w:p>
                      </w:txbxContent>
                    </wps:txbx>
                    <wps:bodyPr wrap="none" lIns="0" tIns="0" rIns="0" bIns="0" upright="1">
                      <a:spAutoFit/>
                    </wps:bodyPr>
                  </wps:wsp>
                </a:graphicData>
              </a:graphic>
            </wp:anchor>
          </w:drawing>
        </mc:Choice>
        <mc:Fallback>
          <w:pict>
            <v:shape id="shape 14" o:spid="_x0000_s14"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92"/>
                      <w:tabs>
                        <w:tab w:val="clear" w:pos="4153" w:leader="none"/>
                        <w:tab w:val="clear" w:pos="8306" w:leader="none"/>
                      </w:tabs>
                    </w:pPr>
                    <w:r>
                      <w:fldChar w:fldCharType="begin"/>
                    </w:r>
                    <w:r>
                      <w:instrText xml:space="preserve"> PAGE  \* MERGEFORMAT </w:instrText>
                    </w:r>
                    <w:r>
                      <w:fldChar w:fldCharType="separate"/>
                    </w:r>
                    <w:r>
                      <w:t xml:space="preserve">99</w:t>
                    </w:r>
                    <w:r>
                      <w:fldChar w:fldCharType="end"/>
                    </w:r>
                    <w:r/>
                  </w:p>
                  <w:p>
                    <w:pPr>
                      <w:pStyle w:val="1344"/>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92"/>
                            <w:tabs>
                              <w:tab w:val="clear" w:pos="4153" w:leader="none"/>
                              <w:tab w:val="clear" w:pos="8306" w:leader="none"/>
                            </w:tabs>
                          </w:pPr>
                          <w:r>
                            <w:fldChar w:fldCharType="begin"/>
                          </w:r>
                          <w:r>
                            <w:instrText xml:space="preserve"> PAGE  \* MERGEFORMAT </w:instrText>
                          </w:r>
                          <w:r>
                            <w:fldChar w:fldCharType="separate"/>
                          </w:r>
                          <w:r>
                            <w:t xml:space="preserve">101</w:t>
                          </w:r>
                          <w:r>
                            <w:fldChar w:fldCharType="end"/>
                          </w:r>
                          <w:r/>
                        </w:p>
                        <w:p>
                          <w:pPr>
                            <w:pStyle w:val="1344"/>
                          </w:pPr>
                          <w:r/>
                          <w:r/>
                        </w:p>
                      </w:txbxContent>
                    </wps:txbx>
                    <wps:bodyPr wrap="none" lIns="0" tIns="0" rIns="0" bIns="0" upright="1">
                      <a:spAutoFit/>
                    </wps:bodyPr>
                  </wps:wsp>
                </a:graphicData>
              </a:graphic>
            </wp:anchor>
          </w:drawing>
        </mc:Choice>
        <mc:Fallback>
          <w:pict>
            <v:shape id="shape 15" o:spid="_x0000_s1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92"/>
                      <w:tabs>
                        <w:tab w:val="clear" w:pos="4153" w:leader="none"/>
                        <w:tab w:val="clear" w:pos="8306" w:leader="none"/>
                      </w:tabs>
                    </w:pPr>
                    <w:r>
                      <w:fldChar w:fldCharType="begin"/>
                    </w:r>
                    <w:r>
                      <w:instrText xml:space="preserve"> PAGE  \* MERGEFORMAT </w:instrText>
                    </w:r>
                    <w:r>
                      <w:fldChar w:fldCharType="separate"/>
                    </w:r>
                    <w:r>
                      <w:t xml:space="preserve">101</w:t>
                    </w:r>
                    <w:r>
                      <w:fldChar w:fldCharType="end"/>
                    </w:r>
                    <w:r/>
                  </w:p>
                  <w:p>
                    <w:pPr>
                      <w:pStyle w:val="1344"/>
                    </w:pPr>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92"/>
                            <w:tabs>
                              <w:tab w:val="clear" w:pos="4153" w:leader="none"/>
                              <w:tab w:val="clear" w:pos="8306" w:leader="none"/>
                            </w:tabs>
                          </w:pPr>
                          <w:r>
                            <w:fldChar w:fldCharType="begin"/>
                          </w:r>
                          <w:r>
                            <w:instrText xml:space="preserve"> PAGE  \* MERGEFORMAT </w:instrText>
                          </w:r>
                          <w:r>
                            <w:fldChar w:fldCharType="separate"/>
                          </w:r>
                          <w:r>
                            <w:t xml:space="preserve">105</w:t>
                          </w:r>
                          <w:r>
                            <w:fldChar w:fldCharType="end"/>
                          </w:r>
                          <w:r/>
                        </w:p>
                        <w:p>
                          <w:pPr>
                            <w:pStyle w:val="1344"/>
                          </w:pPr>
                          <w:r/>
                          <w:r/>
                        </w:p>
                      </w:txbxContent>
                    </wps:txbx>
                    <wps:bodyPr wrap="none" lIns="0" tIns="0" rIns="0" bIns="0" upright="1">
                      <a:spAutoFit/>
                    </wps:bodyPr>
                  </wps:wsp>
                </a:graphicData>
              </a:graphic>
            </wp:anchor>
          </w:drawing>
        </mc:Choice>
        <mc:Fallback>
          <w:pict>
            <v:shape id="shape 16" o:spid="_x0000_s16"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92"/>
                      <w:tabs>
                        <w:tab w:val="clear" w:pos="4153" w:leader="none"/>
                        <w:tab w:val="clear" w:pos="8306" w:leader="none"/>
                      </w:tabs>
                    </w:pPr>
                    <w:r>
                      <w:fldChar w:fldCharType="begin"/>
                    </w:r>
                    <w:r>
                      <w:instrText xml:space="preserve"> PAGE  \* MERGEFORMAT </w:instrText>
                    </w:r>
                    <w:r>
                      <w:fldChar w:fldCharType="separate"/>
                    </w:r>
                    <w:r>
                      <w:t xml:space="preserve">105</w:t>
                    </w:r>
                    <w:r>
                      <w:fldChar w:fldCharType="end"/>
                    </w:r>
                    <w:r/>
                  </w:p>
                  <w:p>
                    <w:pPr>
                      <w:pStyle w:val="1344"/>
                    </w:pPr>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92"/>
                            <w:tabs>
                              <w:tab w:val="clear" w:pos="4153" w:leader="none"/>
                              <w:tab w:val="clear" w:pos="8306" w:leader="none"/>
                            </w:tabs>
                          </w:pPr>
                          <w:r>
                            <w:fldChar w:fldCharType="begin"/>
                          </w:r>
                          <w:r>
                            <w:instrText xml:space="preserve"> PAGE  \* MERGEFORMAT </w:instrText>
                          </w:r>
                          <w:r>
                            <w:fldChar w:fldCharType="separate"/>
                          </w:r>
                          <w:r>
                            <w:t xml:space="preserve">111</w:t>
                          </w:r>
                          <w:r>
                            <w:fldChar w:fldCharType="end"/>
                          </w:r>
                          <w:r/>
                        </w:p>
                        <w:p>
                          <w:pPr>
                            <w:pStyle w:val="1344"/>
                          </w:pPr>
                          <w:r/>
                          <w:r/>
                        </w:p>
                      </w:txbxContent>
                    </wps:txbx>
                    <wps:bodyPr wrap="none" lIns="0" tIns="0" rIns="0" bIns="0" upright="1">
                      <a:spAutoFit/>
                    </wps:bodyPr>
                  </wps:wsp>
                </a:graphicData>
              </a:graphic>
            </wp:anchor>
          </w:drawing>
        </mc:Choice>
        <mc:Fallback>
          <w:pict>
            <v:shape id="shape 17" o:spid="_x0000_s17" o:spt="202" type="#_x0000_t202" style="position:absolute;z-index:25165825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92"/>
                      <w:tabs>
                        <w:tab w:val="clear" w:pos="4153" w:leader="none"/>
                        <w:tab w:val="clear" w:pos="8306" w:leader="none"/>
                      </w:tabs>
                    </w:pPr>
                    <w:r>
                      <w:fldChar w:fldCharType="begin"/>
                    </w:r>
                    <w:r>
                      <w:instrText xml:space="preserve"> PAGE  \* MERGEFORMAT </w:instrText>
                    </w:r>
                    <w:r>
                      <w:fldChar w:fldCharType="separate"/>
                    </w:r>
                    <w:r>
                      <w:t xml:space="preserve">111</w:t>
                    </w:r>
                    <w:r>
                      <w:fldChar w:fldCharType="end"/>
                    </w:r>
                    <w:r/>
                  </w:p>
                  <w:p>
                    <w:pPr>
                      <w:pStyle w:val="1344"/>
                    </w:pPr>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92"/>
                            <w:tabs>
                              <w:tab w:val="clear" w:pos="4153" w:leader="none"/>
                              <w:tab w:val="clear" w:pos="8306" w:leader="none"/>
                            </w:tabs>
                          </w:pPr>
                          <w:r>
                            <w:fldChar w:fldCharType="begin"/>
                          </w:r>
                          <w:r>
                            <w:instrText xml:space="preserve"> PAGE  \* MERGEFORMAT </w:instrText>
                          </w:r>
                          <w:r>
                            <w:fldChar w:fldCharType="separate"/>
                          </w:r>
                          <w:r>
                            <w:t xml:space="preserve">114</w:t>
                          </w:r>
                          <w:r>
                            <w:fldChar w:fldCharType="end"/>
                          </w:r>
                          <w:r/>
                        </w:p>
                        <w:p>
                          <w:pPr>
                            <w:pStyle w:val="1344"/>
                          </w:pPr>
                          <w:r/>
                          <w:r/>
                        </w:p>
                      </w:txbxContent>
                    </wps:txbx>
                    <wps:bodyPr wrap="none" lIns="0" tIns="0" rIns="0" bIns="0" upright="1">
                      <a:spAutoFit/>
                    </wps:bodyPr>
                  </wps:wsp>
                </a:graphicData>
              </a:graphic>
            </wp:anchor>
          </w:drawing>
        </mc:Choice>
        <mc:Fallback>
          <w:pict>
            <v:shape id="shape 18" o:spid="_x0000_s18" o:spt="202" type="#_x0000_t202" style="position:absolute;z-index:25165825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92"/>
                      <w:tabs>
                        <w:tab w:val="clear" w:pos="4153" w:leader="none"/>
                        <w:tab w:val="clear" w:pos="8306" w:leader="none"/>
                      </w:tabs>
                    </w:pPr>
                    <w:r>
                      <w:fldChar w:fldCharType="begin"/>
                    </w:r>
                    <w:r>
                      <w:instrText xml:space="preserve"> PAGE  \* MERGEFORMAT </w:instrText>
                    </w:r>
                    <w:r>
                      <w:fldChar w:fldCharType="separate"/>
                    </w:r>
                    <w:r>
                      <w:t xml:space="preserve">114</w:t>
                    </w:r>
                    <w:r>
                      <w:fldChar w:fldCharType="end"/>
                    </w:r>
                    <w:r/>
                  </w:p>
                  <w:p>
                    <w:pPr>
                      <w:pStyle w:val="1344"/>
                    </w:pPr>
                    <w:r/>
                    <w:r/>
                  </w:p>
                </w:txbxContent>
              </v:textbox>
            </v:shape>
          </w:pict>
        </mc:Fallback>
      </mc:AlternateConten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92"/>
                            <w:tabs>
                              <w:tab w:val="clear" w:pos="4153" w:leader="none"/>
                              <w:tab w:val="clear" w:pos="8306" w:leader="none"/>
                            </w:tabs>
                          </w:pPr>
                          <w:r>
                            <w:fldChar w:fldCharType="begin"/>
                          </w:r>
                          <w:r>
                            <w:instrText xml:space="preserve"> PAGE  \* MERGEFORMAT </w:instrText>
                          </w:r>
                          <w:r>
                            <w:fldChar w:fldCharType="separate"/>
                          </w:r>
                          <w:r>
                            <w:t xml:space="preserve">113</w:t>
                          </w:r>
                          <w:r>
                            <w:fldChar w:fldCharType="end"/>
                          </w:r>
                          <w:r/>
                        </w:p>
                        <w:p>
                          <w:pPr>
                            <w:pStyle w:val="1344"/>
                          </w:pPr>
                          <w:r/>
                          <w:r/>
                        </w:p>
                      </w:txbxContent>
                    </wps:txbx>
                    <wps:bodyPr wrap="none" lIns="0" tIns="0" rIns="0" bIns="0" upright="1">
                      <a:spAutoFit/>
                    </wps:bodyPr>
                  </wps:wsp>
                </a:graphicData>
              </a:graphic>
            </wp:anchor>
          </w:drawing>
        </mc:Choice>
        <mc:Fallback>
          <w:pict>
            <v:shape id="shape 19" o:spid="_x0000_s19" o:spt="202" type="#_x0000_t202" style="position:absolute;z-index:2516582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92"/>
                      <w:tabs>
                        <w:tab w:val="clear" w:pos="4153" w:leader="none"/>
                        <w:tab w:val="clear" w:pos="8306" w:leader="none"/>
                      </w:tabs>
                    </w:pPr>
                    <w:r>
                      <w:fldChar w:fldCharType="begin"/>
                    </w:r>
                    <w:r>
                      <w:instrText xml:space="preserve"> PAGE  \* MERGEFORMAT </w:instrText>
                    </w:r>
                    <w:r>
                      <w:fldChar w:fldCharType="separate"/>
                    </w:r>
                    <w:r>
                      <w:t xml:space="preserve">113</w:t>
                    </w:r>
                    <w:r>
                      <w:fldChar w:fldCharType="end"/>
                    </w:r>
                    <w:r/>
                  </w:p>
                  <w:p>
                    <w:pPr>
                      <w:pStyle w:val="134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5"/>
      <w:jc w:val="left"/>
      <w:tabs>
        <w:tab w:val="center" w:pos="4153" w:leader="none"/>
        <w:tab w:val="right" w:pos="8306" w:leader="none"/>
      </w:tabs>
      <w:rPr>
        <w:sz w:val="21"/>
      </w:rPr>
      <w:pBdr>
        <w:bottom w:val="single" w:color="000000" w:sz="4" w:space="1"/>
      </w:pBd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5"/>
      <w:jc w:val="both"/>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5"/>
      <w:jc w:val="both"/>
      <w:tabs>
        <w:tab w:val="center" w:pos="4153" w:leader="none"/>
        <w:tab w:val="right" w:pos="8306" w:leader="none"/>
      </w:tabs>
    </w:pPr>
    <w:r>
      <mc:AlternateContent>
        <mc:Choice Requires="wpg">
          <w:drawing>
            <wp:inline xmlns:wp="http://schemas.openxmlformats.org/drawingml/2006/wordprocessingDrawing" distT="0" distB="0" distL="0" distR="0">
              <wp:extent cx="1126579" cy="231022"/>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13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13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3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344"/>
    <w:next w:val="134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344"/>
    <w:next w:val="134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344"/>
    <w:next w:val="134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1344"/>
    <w:next w:val="134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1344"/>
    <w:next w:val="134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344"/>
    <w:next w:val="134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344"/>
    <w:next w:val="134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344"/>
    <w:next w:val="134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344"/>
    <w:next w:val="134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134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1344"/>
    <w:next w:val="134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344"/>
    <w:next w:val="134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1344"/>
    <w:next w:val="1344"/>
    <w:link w:val="38"/>
    <w:uiPriority w:val="29"/>
    <w:qFormat/>
    <w:pPr>
      <w:ind w:left="720" w:right="720"/>
    </w:pPr>
    <w:rPr>
      <w:i/>
    </w:rPr>
  </w:style>
  <w:style w:type="character" w:styleId="38">
    <w:name w:val="Quote Char"/>
    <w:link w:val="37"/>
    <w:uiPriority w:val="29"/>
    <w:rPr>
      <w:i/>
    </w:rPr>
  </w:style>
  <w:style w:type="paragraph" w:styleId="39">
    <w:name w:val="Intense Quote"/>
    <w:basedOn w:val="1344"/>
    <w:next w:val="134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34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34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344"/>
    <w:next w:val="134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34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34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344"/>
    <w:next w:val="1344"/>
    <w:uiPriority w:val="39"/>
    <w:unhideWhenUsed/>
    <w:pPr>
      <w:ind w:left="0" w:right="0" w:firstLine="0"/>
      <w:spacing w:after="57"/>
    </w:pPr>
  </w:style>
  <w:style w:type="paragraph" w:styleId="181">
    <w:name w:val="toc 2"/>
    <w:basedOn w:val="1344"/>
    <w:next w:val="1344"/>
    <w:uiPriority w:val="39"/>
    <w:unhideWhenUsed/>
    <w:pPr>
      <w:ind w:left="283" w:right="0" w:firstLine="0"/>
      <w:spacing w:after="57"/>
    </w:pPr>
  </w:style>
  <w:style w:type="paragraph" w:styleId="182">
    <w:name w:val="toc 3"/>
    <w:basedOn w:val="1344"/>
    <w:next w:val="1344"/>
    <w:uiPriority w:val="39"/>
    <w:unhideWhenUsed/>
    <w:pPr>
      <w:ind w:left="567" w:right="0" w:firstLine="0"/>
      <w:spacing w:after="57"/>
    </w:pPr>
  </w:style>
  <w:style w:type="paragraph" w:styleId="183">
    <w:name w:val="toc 4"/>
    <w:basedOn w:val="1344"/>
    <w:next w:val="1344"/>
    <w:uiPriority w:val="39"/>
    <w:unhideWhenUsed/>
    <w:pPr>
      <w:ind w:left="850" w:right="0" w:firstLine="0"/>
      <w:spacing w:after="57"/>
    </w:pPr>
  </w:style>
  <w:style w:type="paragraph" w:styleId="184">
    <w:name w:val="toc 5"/>
    <w:basedOn w:val="1344"/>
    <w:next w:val="1344"/>
    <w:uiPriority w:val="39"/>
    <w:unhideWhenUsed/>
    <w:pPr>
      <w:ind w:left="1134" w:right="0" w:firstLine="0"/>
      <w:spacing w:after="57"/>
    </w:pPr>
  </w:style>
  <w:style w:type="paragraph" w:styleId="185">
    <w:name w:val="toc 6"/>
    <w:basedOn w:val="1344"/>
    <w:next w:val="1344"/>
    <w:uiPriority w:val="39"/>
    <w:unhideWhenUsed/>
    <w:pPr>
      <w:ind w:left="1417" w:right="0" w:firstLine="0"/>
      <w:spacing w:after="57"/>
    </w:pPr>
  </w:style>
  <w:style w:type="paragraph" w:styleId="186">
    <w:name w:val="toc 7"/>
    <w:basedOn w:val="1344"/>
    <w:next w:val="1344"/>
    <w:uiPriority w:val="39"/>
    <w:unhideWhenUsed/>
    <w:pPr>
      <w:ind w:left="1701" w:right="0" w:firstLine="0"/>
      <w:spacing w:after="57"/>
    </w:pPr>
  </w:style>
  <w:style w:type="paragraph" w:styleId="187">
    <w:name w:val="toc 8"/>
    <w:basedOn w:val="1344"/>
    <w:next w:val="1344"/>
    <w:uiPriority w:val="39"/>
    <w:unhideWhenUsed/>
    <w:pPr>
      <w:ind w:left="1984" w:right="0" w:firstLine="0"/>
      <w:spacing w:after="57"/>
    </w:pPr>
  </w:style>
  <w:style w:type="paragraph" w:styleId="188">
    <w:name w:val="toc 9"/>
    <w:basedOn w:val="1344"/>
    <w:next w:val="1344"/>
    <w:uiPriority w:val="39"/>
    <w:unhideWhenUsed/>
    <w:pPr>
      <w:ind w:left="2268" w:right="0" w:firstLine="0"/>
      <w:spacing w:after="57"/>
    </w:pPr>
  </w:style>
  <w:style w:type="paragraph" w:styleId="189">
    <w:name w:val="TOC Heading"/>
    <w:uiPriority w:val="39"/>
    <w:unhideWhenUsed/>
  </w:style>
  <w:style w:type="paragraph" w:styleId="190">
    <w:name w:val="table of figures"/>
    <w:basedOn w:val="1344"/>
    <w:next w:val="1344"/>
    <w:uiPriority w:val="99"/>
    <w:unhideWhenUsed/>
    <w:pPr>
      <w:spacing w:after="0" w:afterAutospacing="0"/>
    </w:pPr>
  </w:style>
  <w:style w:type="paragraph" w:styleId="1344" w:default="1">
    <w:name w:val="Normal"/>
    <w:next w:val="1344"/>
    <w:link w:val="1344"/>
    <w:qFormat/>
    <w:pPr>
      <w:jc w:val="both"/>
      <w:widowControl w:val="off"/>
    </w:pPr>
    <w:rPr>
      <w:sz w:val="21"/>
      <w:lang w:val="en-US" w:eastAsia="zh-CN" w:bidi="ar-SA"/>
    </w:rPr>
  </w:style>
  <w:style w:type="paragraph" w:styleId="1345">
    <w:name w:val="标题 1"/>
    <w:basedOn w:val="1344"/>
    <w:next w:val="1344"/>
    <w:link w:val="1355"/>
    <w:qFormat/>
    <w:pPr>
      <w:jc w:val="center"/>
      <w:keepNext/>
      <w:spacing w:line="440" w:lineRule="exact"/>
      <w:outlineLvl w:val="0"/>
    </w:pPr>
    <w:rPr>
      <w:rFonts w:ascii="宋体"/>
      <w:sz w:val="28"/>
    </w:rPr>
  </w:style>
  <w:style w:type="paragraph" w:styleId="1346">
    <w:name w:val="标题 2"/>
    <w:basedOn w:val="1344"/>
    <w:next w:val="1344"/>
    <w:link w:val="1356"/>
    <w:qFormat/>
    <w:pPr>
      <w:keepLines/>
      <w:keepNext/>
      <w:spacing w:before="260" w:after="260" w:line="416" w:lineRule="auto"/>
      <w:outlineLvl w:val="1"/>
    </w:pPr>
    <w:rPr>
      <w:rFonts w:ascii="Arial" w:hAnsi="Arial" w:eastAsia="黑体"/>
      <w:b/>
      <w:bCs/>
      <w:sz w:val="32"/>
      <w:szCs w:val="32"/>
    </w:rPr>
  </w:style>
  <w:style w:type="paragraph" w:styleId="1347">
    <w:name w:val="标题 3"/>
    <w:basedOn w:val="1344"/>
    <w:next w:val="1344"/>
    <w:link w:val="1357"/>
    <w:qFormat/>
    <w:pPr>
      <w:ind w:left="480" w:hanging="480"/>
      <w:jc w:val="center"/>
      <w:keepNext/>
      <w:spacing w:line="400" w:lineRule="exact"/>
      <w:tabs>
        <w:tab w:val="left" w:pos="480" w:leader="none"/>
      </w:tabs>
      <w:outlineLvl w:val="2"/>
    </w:pPr>
    <w:rPr>
      <w:rFonts w:ascii="仿宋_GB2312" w:eastAsia="仿宋_GB2312"/>
      <w:sz w:val="32"/>
    </w:rPr>
  </w:style>
  <w:style w:type="paragraph" w:styleId="1348">
    <w:name w:val="标题 4"/>
    <w:basedOn w:val="1344"/>
    <w:next w:val="1359"/>
    <w:link w:val="1358"/>
    <w:qFormat/>
    <w:pPr>
      <w:keepLines/>
      <w:keepNext/>
      <w:spacing w:before="280" w:after="290" w:line="372" w:lineRule="auto"/>
      <w:outlineLvl w:val="3"/>
    </w:pPr>
    <w:rPr>
      <w:rFonts w:ascii="Arial" w:hAnsi="Arial" w:eastAsia="黑体"/>
      <w:b/>
      <w:bCs/>
      <w:sz w:val="28"/>
      <w:szCs w:val="28"/>
    </w:rPr>
  </w:style>
  <w:style w:type="paragraph" w:styleId="1349">
    <w:name w:val="标题 5"/>
    <w:basedOn w:val="1344"/>
    <w:next w:val="1344"/>
    <w:link w:val="1361"/>
    <w:qFormat/>
    <w:pPr>
      <w:jc w:val="left"/>
      <w:keepLines/>
      <w:keepNext/>
      <w:spacing w:before="280" w:after="290" w:line="376" w:lineRule="auto"/>
      <w:outlineLvl w:val="4"/>
    </w:pPr>
    <w:rPr>
      <w:rFonts w:ascii="宋体"/>
      <w:b/>
      <w:bCs/>
      <w:sz w:val="28"/>
      <w:szCs w:val="28"/>
    </w:rPr>
  </w:style>
  <w:style w:type="paragraph" w:styleId="1350">
    <w:name w:val="标题 6"/>
    <w:basedOn w:val="1344"/>
    <w:next w:val="1344"/>
    <w:link w:val="1362"/>
    <w:qFormat/>
    <w:pPr>
      <w:jc w:val="left"/>
      <w:keepLines/>
      <w:keepNext/>
      <w:spacing w:before="240" w:after="64" w:line="320" w:lineRule="auto"/>
      <w:outlineLvl w:val="5"/>
    </w:pPr>
    <w:rPr>
      <w:rFonts w:ascii="Arial" w:hAnsi="Arial" w:eastAsia="黑体"/>
      <w:b/>
      <w:bCs/>
      <w:sz w:val="24"/>
      <w:szCs w:val="24"/>
    </w:rPr>
  </w:style>
  <w:style w:type="paragraph" w:styleId="1351">
    <w:name w:val="标题 8"/>
    <w:basedOn w:val="1344"/>
    <w:next w:val="1344"/>
    <w:link w:val="1363"/>
    <w:qFormat/>
    <w:pPr>
      <w:jc w:val="left"/>
      <w:keepLines/>
      <w:keepNext/>
      <w:spacing w:before="240" w:after="64" w:line="320" w:lineRule="auto"/>
      <w:outlineLvl w:val="7"/>
    </w:pPr>
    <w:rPr>
      <w:rFonts w:ascii="Arial" w:hAnsi="Arial" w:eastAsia="黑体"/>
      <w:sz w:val="24"/>
      <w:szCs w:val="24"/>
    </w:rPr>
  </w:style>
  <w:style w:type="paragraph" w:styleId="1352">
    <w:name w:val="标题 9"/>
    <w:basedOn w:val="1344"/>
    <w:next w:val="1344"/>
    <w:link w:val="1364"/>
    <w:qFormat/>
    <w:pPr>
      <w:jc w:val="left"/>
      <w:keepLines/>
      <w:keepNext/>
      <w:spacing w:before="240" w:after="64" w:line="320" w:lineRule="auto"/>
      <w:outlineLvl w:val="8"/>
    </w:pPr>
    <w:rPr>
      <w:rFonts w:ascii="Arial" w:hAnsi="Arial" w:eastAsia="黑体"/>
      <w:szCs w:val="21"/>
    </w:rPr>
  </w:style>
  <w:style w:type="character" w:styleId="1353">
    <w:name w:val="默认段落字体"/>
    <w:next w:val="1353"/>
    <w:link w:val="1344"/>
    <w:uiPriority w:val="1"/>
    <w:unhideWhenUsed/>
  </w:style>
  <w:style w:type="table" w:styleId="1354">
    <w:name w:val="普通表格"/>
    <w:next w:val="1354"/>
    <w:link w:val="1344"/>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355">
    <w:name w:val="标题 1 字符"/>
    <w:next w:val="1355"/>
    <w:link w:val="1345"/>
    <w:qFormat/>
    <w:rPr>
      <w:rFonts w:ascii="宋体"/>
      <w:sz w:val="28"/>
    </w:rPr>
  </w:style>
  <w:style w:type="character" w:styleId="1356">
    <w:name w:val="标题 2 字符"/>
    <w:next w:val="1356"/>
    <w:link w:val="1346"/>
    <w:qFormat/>
    <w:rPr>
      <w:rFonts w:ascii="Arial" w:hAnsi="Arial" w:eastAsia="黑体"/>
      <w:b/>
      <w:bCs/>
      <w:sz w:val="32"/>
      <w:szCs w:val="32"/>
    </w:rPr>
  </w:style>
  <w:style w:type="character" w:styleId="1357">
    <w:name w:val="标题 3 字符"/>
    <w:next w:val="1357"/>
    <w:link w:val="1347"/>
    <w:qFormat/>
    <w:rPr>
      <w:rFonts w:ascii="仿宋_GB2312" w:eastAsia="仿宋_GB2312"/>
      <w:sz w:val="32"/>
    </w:rPr>
  </w:style>
  <w:style w:type="character" w:styleId="1358">
    <w:name w:val="标题 4 字符"/>
    <w:next w:val="1358"/>
    <w:link w:val="1348"/>
    <w:qFormat/>
    <w:rPr>
      <w:rFonts w:ascii="Arial" w:hAnsi="Arial" w:eastAsia="黑体" w:cs="Arial"/>
      <w:b/>
      <w:bCs/>
      <w:sz w:val="28"/>
      <w:szCs w:val="28"/>
    </w:rPr>
  </w:style>
  <w:style w:type="paragraph" w:styleId="1359">
    <w:name w:val="正文缩进"/>
    <w:basedOn w:val="1344"/>
    <w:next w:val="1359"/>
    <w:link w:val="1360"/>
    <w:qFormat/>
    <w:pPr>
      <w:ind w:firstLine="420"/>
    </w:pPr>
    <w:rPr>
      <w:b/>
      <w:sz w:val="24"/>
    </w:rPr>
  </w:style>
  <w:style w:type="character" w:styleId="1360">
    <w:name w:val="正文缩进 字符"/>
    <w:next w:val="1360"/>
    <w:link w:val="1359"/>
    <w:qFormat/>
    <w:rPr>
      <w:b/>
      <w:sz w:val="24"/>
    </w:rPr>
  </w:style>
  <w:style w:type="character" w:styleId="1361">
    <w:name w:val="标题 5 字符"/>
    <w:next w:val="1361"/>
    <w:link w:val="1349"/>
    <w:qFormat/>
    <w:rPr>
      <w:rFonts w:ascii="宋体"/>
      <w:b/>
      <w:bCs/>
      <w:sz w:val="28"/>
      <w:szCs w:val="28"/>
    </w:rPr>
  </w:style>
  <w:style w:type="character" w:styleId="1362">
    <w:name w:val="标题 6 字符"/>
    <w:next w:val="1362"/>
    <w:link w:val="1350"/>
    <w:qFormat/>
    <w:rPr>
      <w:rFonts w:ascii="Arial" w:hAnsi="Arial" w:eastAsia="黑体"/>
      <w:b/>
      <w:bCs/>
      <w:sz w:val="24"/>
      <w:szCs w:val="24"/>
    </w:rPr>
  </w:style>
  <w:style w:type="character" w:styleId="1363">
    <w:name w:val="标题 8 字符"/>
    <w:next w:val="1363"/>
    <w:link w:val="1351"/>
    <w:qFormat/>
    <w:rPr>
      <w:rFonts w:ascii="Arial" w:hAnsi="Arial" w:eastAsia="黑体"/>
      <w:sz w:val="24"/>
      <w:szCs w:val="24"/>
    </w:rPr>
  </w:style>
  <w:style w:type="character" w:styleId="1364">
    <w:name w:val="标题 9 字符"/>
    <w:next w:val="1364"/>
    <w:link w:val="1352"/>
    <w:qFormat/>
    <w:rPr>
      <w:rFonts w:ascii="Arial" w:hAnsi="Arial" w:eastAsia="黑体"/>
      <w:sz w:val="21"/>
      <w:szCs w:val="21"/>
    </w:rPr>
  </w:style>
  <w:style w:type="paragraph" w:styleId="1365">
    <w:name w:val="列表 3"/>
    <w:basedOn w:val="1344"/>
    <w:next w:val="1365"/>
    <w:link w:val="1344"/>
    <w:qFormat/>
    <w:pPr>
      <w:contextualSpacing/>
      <w:ind w:left="100" w:hanging="200"/>
    </w:pPr>
  </w:style>
  <w:style w:type="paragraph" w:styleId="1366">
    <w:name w:val="目录 7"/>
    <w:basedOn w:val="1344"/>
    <w:next w:val="1344"/>
    <w:link w:val="1344"/>
    <w:uiPriority w:val="39"/>
    <w:qFormat/>
    <w:pPr>
      <w:ind w:left="2520"/>
    </w:pPr>
  </w:style>
  <w:style w:type="paragraph" w:styleId="1367">
    <w:name w:val="题注"/>
    <w:basedOn w:val="1344"/>
    <w:next w:val="1344"/>
    <w:link w:val="1344"/>
    <w:qFormat/>
    <w:pPr>
      <w:ind w:firstLine="200"/>
      <w:spacing w:line="360" w:lineRule="auto"/>
    </w:pPr>
    <w:rPr>
      <w:rFonts w:ascii="Cambria" w:hAnsi="Cambria" w:eastAsia="黑体"/>
      <w:sz w:val="20"/>
    </w:rPr>
  </w:style>
  <w:style w:type="paragraph" w:styleId="1368">
    <w:name w:val="列表项目符号"/>
    <w:basedOn w:val="1344"/>
    <w:next w:val="1368"/>
    <w:link w:val="1344"/>
    <w:qFormat/>
    <w:pPr>
      <w:ind w:firstLine="288"/>
      <w:spacing w:line="360" w:lineRule="atLeast"/>
      <w:tabs>
        <w:tab w:val="left" w:pos="0" w:leader="none"/>
        <w:tab w:val="left" w:pos="360" w:leader="none"/>
      </w:tabs>
    </w:pPr>
    <w:rPr>
      <w:rFonts w:ascii="Arial" w:hAnsi="Arial"/>
      <w:szCs w:val="21"/>
    </w:rPr>
  </w:style>
  <w:style w:type="paragraph" w:styleId="1369">
    <w:name w:val="文档结构图"/>
    <w:basedOn w:val="1344"/>
    <w:next w:val="1369"/>
    <w:link w:val="1370"/>
    <w:qFormat/>
    <w:pPr>
      <w:jc w:val="left"/>
    </w:pPr>
    <w:rPr>
      <w:rFonts w:ascii="宋体" w:eastAsia="仿宋_GB2312"/>
      <w:sz w:val="18"/>
      <w:szCs w:val="18"/>
    </w:rPr>
  </w:style>
  <w:style w:type="character" w:styleId="1370">
    <w:name w:val="文档结构图 字符"/>
    <w:next w:val="1370"/>
    <w:link w:val="1369"/>
    <w:qFormat/>
    <w:rPr>
      <w:rFonts w:ascii="宋体" w:eastAsia="仿宋_GB2312"/>
      <w:sz w:val="18"/>
      <w:szCs w:val="18"/>
    </w:rPr>
  </w:style>
  <w:style w:type="paragraph" w:styleId="1371">
    <w:name w:val="引文目录标题"/>
    <w:basedOn w:val="1344"/>
    <w:next w:val="1344"/>
    <w:link w:val="1344"/>
    <w:qFormat/>
    <w:pPr>
      <w:spacing w:before="120"/>
    </w:pPr>
    <w:rPr>
      <w:rFonts w:ascii="Arial" w:hAnsi="Arial" w:cs="Arial"/>
      <w:sz w:val="24"/>
      <w:szCs w:val="24"/>
    </w:rPr>
  </w:style>
  <w:style w:type="paragraph" w:styleId="1372">
    <w:name w:val="批注文字"/>
    <w:basedOn w:val="1344"/>
    <w:next w:val="1372"/>
    <w:link w:val="1373"/>
    <w:qFormat/>
    <w:pPr>
      <w:jc w:val="left"/>
    </w:pPr>
  </w:style>
  <w:style w:type="character" w:styleId="1373">
    <w:name w:val="批注文字 字符"/>
    <w:next w:val="1373"/>
    <w:link w:val="1372"/>
    <w:qFormat/>
    <w:rPr>
      <w:sz w:val="21"/>
    </w:rPr>
  </w:style>
  <w:style w:type="paragraph" w:styleId="1374">
    <w:name w:val="正文文本"/>
    <w:basedOn w:val="1344"/>
    <w:next w:val="1374"/>
    <w:link w:val="1375"/>
    <w:qFormat/>
    <w:rPr>
      <w:rFonts w:ascii="宋体"/>
      <w:sz w:val="28"/>
    </w:rPr>
  </w:style>
  <w:style w:type="character" w:styleId="1375">
    <w:name w:val="正文文本 字符"/>
    <w:next w:val="1375"/>
    <w:link w:val="1374"/>
    <w:qFormat/>
    <w:rPr>
      <w:rFonts w:ascii="宋体" w:eastAsia="宋体"/>
      <w:sz w:val="28"/>
      <w:lang w:val="en-US" w:eastAsia="zh-CN" w:bidi="ar-SA"/>
    </w:rPr>
  </w:style>
  <w:style w:type="paragraph" w:styleId="1376">
    <w:name w:val="正文文本缩进"/>
    <w:basedOn w:val="1344"/>
    <w:next w:val="1376"/>
    <w:link w:val="1377"/>
    <w:qFormat/>
    <w:pPr>
      <w:ind w:firstLine="420"/>
      <w:spacing w:line="360" w:lineRule="auto"/>
    </w:pPr>
    <w:rPr>
      <w:rFonts w:ascii="宋体"/>
      <w:sz w:val="24"/>
    </w:rPr>
  </w:style>
  <w:style w:type="character" w:styleId="1377">
    <w:name w:val="正文文本缩进 字符"/>
    <w:next w:val="1377"/>
    <w:link w:val="1376"/>
    <w:qFormat/>
    <w:rPr>
      <w:rFonts w:ascii="宋体"/>
      <w:sz w:val="24"/>
    </w:rPr>
  </w:style>
  <w:style w:type="paragraph" w:styleId="1378">
    <w:name w:val="列表 2"/>
    <w:basedOn w:val="1344"/>
    <w:next w:val="1378"/>
    <w:link w:val="1344"/>
    <w:qFormat/>
    <w:pPr>
      <w:ind w:left="100" w:hanging="200"/>
    </w:pPr>
  </w:style>
  <w:style w:type="paragraph" w:styleId="1379">
    <w:name w:val="文本块"/>
    <w:basedOn w:val="1344"/>
    <w:next w:val="1379"/>
    <w:link w:val="1344"/>
    <w:uiPriority w:val="99"/>
    <w:unhideWhenUsed/>
    <w:qFormat/>
    <w:pPr>
      <w:ind w:left="1440" w:right="1440"/>
      <w:spacing w:after="120"/>
    </w:pPr>
  </w:style>
  <w:style w:type="paragraph" w:styleId="1380">
    <w:name w:val="索引 4"/>
    <w:basedOn w:val="1344"/>
    <w:next w:val="1344"/>
    <w:link w:val="1344"/>
    <w:uiPriority w:val="99"/>
    <w:unhideWhenUsed/>
    <w:qFormat/>
    <w:pPr>
      <w:ind w:left="600"/>
    </w:pPr>
    <w:rPr>
      <w:rFonts w:ascii="Verdana" w:hAnsi="Verdana"/>
      <w:szCs w:val="20"/>
    </w:rPr>
  </w:style>
  <w:style w:type="paragraph" w:styleId="1381">
    <w:name w:val="目录 5"/>
    <w:basedOn w:val="1344"/>
    <w:next w:val="1344"/>
    <w:link w:val="1344"/>
    <w:uiPriority w:val="39"/>
    <w:qFormat/>
    <w:pPr>
      <w:ind w:left="1680"/>
    </w:pPr>
  </w:style>
  <w:style w:type="paragraph" w:styleId="1382">
    <w:name w:val="目录 3"/>
    <w:basedOn w:val="1344"/>
    <w:next w:val="1344"/>
    <w:link w:val="1344"/>
    <w:uiPriority w:val="39"/>
    <w:qFormat/>
    <w:pPr>
      <w:ind w:left="840"/>
    </w:pPr>
  </w:style>
  <w:style w:type="paragraph" w:styleId="1383">
    <w:name w:val="纯文本"/>
    <w:basedOn w:val="1344"/>
    <w:next w:val="1383"/>
    <w:link w:val="1384"/>
    <w:qFormat/>
    <w:rPr>
      <w:rFonts w:ascii="宋体" w:hAnsi="Courier New"/>
    </w:rPr>
  </w:style>
  <w:style w:type="character" w:styleId="1384">
    <w:name w:val="纯文本 字符"/>
    <w:next w:val="1384"/>
    <w:link w:val="1383"/>
    <w:qFormat/>
    <w:rPr>
      <w:rFonts w:ascii="宋体" w:hAnsi="Courier New" w:eastAsia="宋体"/>
      <w:sz w:val="21"/>
      <w:lang w:val="en-US" w:eastAsia="zh-CN" w:bidi="ar-SA"/>
    </w:rPr>
  </w:style>
  <w:style w:type="paragraph" w:styleId="1385">
    <w:name w:val="目录 8"/>
    <w:basedOn w:val="1344"/>
    <w:next w:val="1344"/>
    <w:link w:val="1344"/>
    <w:uiPriority w:val="39"/>
    <w:qFormat/>
    <w:pPr>
      <w:ind w:left="2940"/>
    </w:pPr>
  </w:style>
  <w:style w:type="paragraph" w:styleId="1386">
    <w:name w:val="日期"/>
    <w:basedOn w:val="1344"/>
    <w:next w:val="1344"/>
    <w:link w:val="1387"/>
    <w:qFormat/>
    <w:rPr>
      <w:rFonts w:ascii="宋体"/>
    </w:rPr>
  </w:style>
  <w:style w:type="character" w:styleId="1387">
    <w:name w:val="日期 字符"/>
    <w:next w:val="1387"/>
    <w:link w:val="1386"/>
    <w:qFormat/>
    <w:rPr>
      <w:rFonts w:ascii="宋体"/>
      <w:sz w:val="21"/>
    </w:rPr>
  </w:style>
  <w:style w:type="paragraph" w:styleId="1388">
    <w:name w:val="正文文本缩进 2"/>
    <w:basedOn w:val="1344"/>
    <w:next w:val="1388"/>
    <w:link w:val="1389"/>
    <w:qFormat/>
    <w:pPr>
      <w:ind w:firstLine="525"/>
      <w:spacing w:line="420" w:lineRule="exact"/>
    </w:pPr>
    <w:rPr>
      <w:rFonts w:ascii="宋体"/>
    </w:rPr>
  </w:style>
  <w:style w:type="character" w:styleId="1389">
    <w:name w:val="正文文本缩进 2 字符"/>
    <w:next w:val="1389"/>
    <w:link w:val="1388"/>
    <w:qFormat/>
    <w:rPr>
      <w:rFonts w:ascii="宋体"/>
      <w:sz w:val="21"/>
    </w:rPr>
  </w:style>
  <w:style w:type="paragraph" w:styleId="1390">
    <w:name w:val="批注框文本"/>
    <w:basedOn w:val="1344"/>
    <w:next w:val="1390"/>
    <w:link w:val="1391"/>
    <w:uiPriority w:val="99"/>
    <w:qFormat/>
    <w:rPr>
      <w:sz w:val="18"/>
      <w:szCs w:val="18"/>
    </w:rPr>
  </w:style>
  <w:style w:type="character" w:styleId="1391">
    <w:name w:val="批注框文本 字符"/>
    <w:next w:val="1391"/>
    <w:link w:val="1390"/>
    <w:uiPriority w:val="99"/>
    <w:semiHidden/>
    <w:qFormat/>
    <w:rPr>
      <w:sz w:val="18"/>
      <w:szCs w:val="18"/>
    </w:rPr>
  </w:style>
  <w:style w:type="paragraph" w:styleId="1392">
    <w:name w:val="页脚"/>
    <w:basedOn w:val="1344"/>
    <w:next w:val="1392"/>
    <w:link w:val="1393"/>
    <w:uiPriority w:val="99"/>
    <w:qFormat/>
    <w:pPr>
      <w:jc w:val="left"/>
      <w:tabs>
        <w:tab w:val="center" w:pos="4153" w:leader="none"/>
        <w:tab w:val="right" w:pos="8306" w:leader="none"/>
      </w:tabs>
    </w:pPr>
    <w:rPr>
      <w:sz w:val="18"/>
    </w:rPr>
  </w:style>
  <w:style w:type="character" w:styleId="1393">
    <w:name w:val="页脚 字符"/>
    <w:next w:val="1393"/>
    <w:link w:val="1392"/>
    <w:uiPriority w:val="99"/>
    <w:qFormat/>
    <w:rPr>
      <w:sz w:val="18"/>
    </w:rPr>
  </w:style>
  <w:style w:type="paragraph" w:styleId="1394">
    <w:name w:val="寄信人地址"/>
    <w:basedOn w:val="1344"/>
    <w:next w:val="1394"/>
    <w:link w:val="1344"/>
    <w:qFormat/>
    <w:rPr>
      <w:rFonts w:ascii="Arial" w:hAnsi="Arial"/>
    </w:rPr>
  </w:style>
  <w:style w:type="paragraph" w:styleId="1395">
    <w:name w:val="页眉"/>
    <w:basedOn w:val="1344"/>
    <w:next w:val="1395"/>
    <w:link w:val="1396"/>
    <w:uiPriority w:val="99"/>
    <w:qFormat/>
    <w:pPr>
      <w:jc w:val="center"/>
      <w:tabs>
        <w:tab w:val="center" w:pos="4153" w:leader="none"/>
        <w:tab w:val="right" w:pos="8306" w:leader="none"/>
      </w:tabs>
      <w:pBdr>
        <w:bottom w:val="single" w:color="000000" w:sz="6" w:space="1"/>
      </w:pBdr>
    </w:pPr>
    <w:rPr>
      <w:sz w:val="18"/>
    </w:rPr>
  </w:style>
  <w:style w:type="character" w:styleId="1396">
    <w:name w:val="页眉 字符"/>
    <w:next w:val="1396"/>
    <w:link w:val="1395"/>
    <w:uiPriority w:val="99"/>
    <w:qFormat/>
    <w:rPr>
      <w:sz w:val="18"/>
    </w:rPr>
  </w:style>
  <w:style w:type="paragraph" w:styleId="1397">
    <w:name w:val="目录 1"/>
    <w:basedOn w:val="1344"/>
    <w:next w:val="1344"/>
    <w:link w:val="1344"/>
    <w:uiPriority w:val="39"/>
    <w:qFormat/>
  </w:style>
  <w:style w:type="paragraph" w:styleId="1398">
    <w:name w:val="目录 4"/>
    <w:basedOn w:val="1344"/>
    <w:next w:val="1344"/>
    <w:link w:val="1344"/>
    <w:uiPriority w:val="39"/>
    <w:qFormat/>
    <w:pPr>
      <w:ind w:left="1260"/>
    </w:pPr>
  </w:style>
  <w:style w:type="paragraph" w:styleId="1399">
    <w:name w:val="副标题"/>
    <w:basedOn w:val="1344"/>
    <w:next w:val="1344"/>
    <w:link w:val="1400"/>
    <w:qFormat/>
    <w:pPr>
      <w:jc w:val="center"/>
      <w:spacing w:before="240" w:after="60" w:line="312" w:lineRule="auto"/>
      <w:outlineLvl w:val="1"/>
    </w:pPr>
    <w:rPr>
      <w:rFonts w:ascii="Cambria" w:hAnsi="Cambria"/>
      <w:b/>
      <w:bCs/>
      <w:sz w:val="32"/>
      <w:szCs w:val="32"/>
    </w:rPr>
  </w:style>
  <w:style w:type="character" w:styleId="1400">
    <w:name w:val="副标题 字符"/>
    <w:next w:val="1400"/>
    <w:link w:val="1399"/>
    <w:qFormat/>
    <w:rPr>
      <w:rFonts w:ascii="Cambria" w:hAnsi="Cambria"/>
      <w:b/>
      <w:bCs/>
      <w:sz w:val="32"/>
      <w:szCs w:val="32"/>
    </w:rPr>
  </w:style>
  <w:style w:type="paragraph" w:styleId="1401">
    <w:name w:val="目录 6"/>
    <w:basedOn w:val="1344"/>
    <w:next w:val="1344"/>
    <w:link w:val="1344"/>
    <w:uiPriority w:val="39"/>
    <w:qFormat/>
    <w:pPr>
      <w:ind w:left="2100"/>
    </w:pPr>
  </w:style>
  <w:style w:type="paragraph" w:styleId="1402">
    <w:name w:val="正文文本缩进 3"/>
    <w:basedOn w:val="1344"/>
    <w:next w:val="1402"/>
    <w:link w:val="1403"/>
    <w:qFormat/>
    <w:pPr>
      <w:ind w:firstLine="841"/>
    </w:pPr>
    <w:rPr>
      <w:rFonts w:eastAsia="华文新魏"/>
      <w:b/>
      <w:bCs/>
      <w:sz w:val="84"/>
    </w:rPr>
  </w:style>
  <w:style w:type="character" w:styleId="1403">
    <w:name w:val="正文文本缩进 3 字符"/>
    <w:next w:val="1403"/>
    <w:link w:val="1402"/>
    <w:qFormat/>
    <w:rPr>
      <w:rFonts w:eastAsia="华文新魏"/>
      <w:b/>
      <w:bCs/>
      <w:sz w:val="84"/>
    </w:rPr>
  </w:style>
  <w:style w:type="paragraph" w:styleId="1404">
    <w:name w:val="目录 2"/>
    <w:basedOn w:val="1344"/>
    <w:next w:val="1344"/>
    <w:link w:val="1344"/>
    <w:uiPriority w:val="39"/>
    <w:qFormat/>
    <w:pPr>
      <w:ind w:left="420"/>
    </w:pPr>
  </w:style>
  <w:style w:type="paragraph" w:styleId="1405">
    <w:name w:val="目录 9"/>
    <w:basedOn w:val="1344"/>
    <w:next w:val="1344"/>
    <w:link w:val="1344"/>
    <w:uiPriority w:val="39"/>
    <w:qFormat/>
    <w:pPr>
      <w:ind w:left="3360"/>
    </w:pPr>
  </w:style>
  <w:style w:type="paragraph" w:styleId="1406">
    <w:name w:val="HTML 预设格式"/>
    <w:basedOn w:val="1344"/>
    <w:next w:val="1406"/>
    <w:link w:val="140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407">
    <w:name w:val="HTML 预设格式 字符"/>
    <w:next w:val="1407"/>
    <w:link w:val="1406"/>
    <w:qFormat/>
    <w:rPr>
      <w:rFonts w:ascii="黑体" w:hAnsi="Courier New" w:eastAsia="黑体" w:cs="Courier New"/>
    </w:rPr>
  </w:style>
  <w:style w:type="paragraph" w:styleId="1408">
    <w:name w:val="普通(网站)"/>
    <w:basedOn w:val="1344"/>
    <w:next w:val="1408"/>
    <w:link w:val="1344"/>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409">
    <w:name w:val="标题"/>
    <w:basedOn w:val="1344"/>
    <w:next w:val="1409"/>
    <w:link w:val="1410"/>
    <w:uiPriority w:val="10"/>
    <w:qFormat/>
    <w:pPr>
      <w:jc w:val="center"/>
    </w:pPr>
    <w:rPr>
      <w:sz w:val="30"/>
      <w:szCs w:val="24"/>
    </w:rPr>
  </w:style>
  <w:style w:type="character" w:styleId="1410">
    <w:name w:val="标题 字符"/>
    <w:next w:val="1410"/>
    <w:link w:val="1409"/>
    <w:uiPriority w:val="10"/>
    <w:qFormat/>
    <w:rPr>
      <w:sz w:val="30"/>
      <w:szCs w:val="24"/>
    </w:rPr>
  </w:style>
  <w:style w:type="paragraph" w:styleId="1411">
    <w:name w:val="批注主题"/>
    <w:basedOn w:val="1372"/>
    <w:next w:val="1372"/>
    <w:link w:val="1412"/>
    <w:qFormat/>
    <w:rPr>
      <w:b/>
      <w:bCs/>
    </w:rPr>
  </w:style>
  <w:style w:type="character" w:styleId="1412">
    <w:name w:val="批注主题 字符"/>
    <w:next w:val="1412"/>
    <w:link w:val="1411"/>
    <w:qFormat/>
    <w:rPr>
      <w:b/>
      <w:bCs/>
      <w:sz w:val="21"/>
    </w:rPr>
  </w:style>
  <w:style w:type="paragraph" w:styleId="1413">
    <w:name w:val="正文首行缩进"/>
    <w:basedOn w:val="1374"/>
    <w:next w:val="1413"/>
    <w:link w:val="1344"/>
    <w:qFormat/>
    <w:pPr>
      <w:ind w:firstLine="420"/>
      <w:spacing w:line="360" w:lineRule="auto"/>
    </w:pPr>
    <w:rPr>
      <w:rFonts w:ascii="Times New Roman"/>
      <w:szCs w:val="21"/>
    </w:rPr>
  </w:style>
  <w:style w:type="paragraph" w:styleId="1414">
    <w:name w:val="正文首行缩进 2"/>
    <w:basedOn w:val="1376"/>
    <w:next w:val="1344"/>
    <w:link w:val="1344"/>
    <w:qFormat/>
    <w:pPr>
      <w:ind w:firstLine="420"/>
    </w:pPr>
  </w:style>
  <w:style w:type="table" w:styleId="1415">
    <w:name w:val="网格型"/>
    <w:basedOn w:val="1354"/>
    <w:next w:val="1415"/>
    <w:link w:val="1344"/>
    <w:qFormat/>
    <w:rPr>
      <w:sz w:val="21"/>
      <w:szCs w:val="22"/>
    </w:rPr>
    <w:tblPr/>
  </w:style>
  <w:style w:type="character" w:styleId="1416">
    <w:name w:val="要点"/>
    <w:next w:val="1416"/>
    <w:link w:val="1344"/>
    <w:qFormat/>
    <w:rPr>
      <w:b/>
      <w:bCs/>
    </w:rPr>
  </w:style>
  <w:style w:type="character" w:styleId="1417">
    <w:name w:val="页码"/>
    <w:next w:val="1417"/>
    <w:link w:val="1344"/>
    <w:qFormat/>
  </w:style>
  <w:style w:type="character" w:styleId="1418">
    <w:name w:val="强调"/>
    <w:next w:val="1418"/>
    <w:link w:val="1344"/>
    <w:uiPriority w:val="20"/>
    <w:qFormat/>
    <w:rPr>
      <w:i/>
    </w:rPr>
  </w:style>
  <w:style w:type="character" w:styleId="1419">
    <w:name w:val="超链接"/>
    <w:next w:val="1419"/>
    <w:link w:val="1344"/>
    <w:uiPriority w:val="99"/>
    <w:qFormat/>
    <w:rPr>
      <w:color w:val="333333"/>
      <w:u w:val="none"/>
    </w:rPr>
  </w:style>
  <w:style w:type="character" w:styleId="1420">
    <w:name w:val="批注引用"/>
    <w:next w:val="1420"/>
    <w:link w:val="1344"/>
    <w:uiPriority w:val="99"/>
    <w:qFormat/>
    <w:rPr>
      <w:sz w:val="21"/>
      <w:szCs w:val="21"/>
    </w:rPr>
  </w:style>
  <w:style w:type="character" w:styleId="1421">
    <w:name w:val="标题 8 Char"/>
    <w:next w:val="1421"/>
    <w:link w:val="1344"/>
    <w:qFormat/>
    <w:rPr>
      <w:rFonts w:ascii="Arial" w:hAnsi="Arial" w:eastAsia="黑体"/>
      <w:sz w:val="24"/>
      <w:szCs w:val="24"/>
    </w:rPr>
  </w:style>
  <w:style w:type="character" w:styleId="1422">
    <w:name w:val="日期 Char"/>
    <w:next w:val="1422"/>
    <w:link w:val="1344"/>
    <w:qFormat/>
    <w:rPr>
      <w:rFonts w:ascii="宋体" w:hAnsi="Times New Roman" w:eastAsia="宋体" w:cs="Times New Roman"/>
      <w:sz w:val="20"/>
      <w:szCs w:val="20"/>
    </w:rPr>
  </w:style>
  <w:style w:type="character" w:styleId="1423">
    <w:name w:val="页脚 Char1"/>
    <w:next w:val="1423"/>
    <w:link w:val="1344"/>
    <w:uiPriority w:val="99"/>
    <w:qFormat/>
    <w:rPr>
      <w:sz w:val="18"/>
    </w:rPr>
  </w:style>
  <w:style w:type="character" w:styleId="1424">
    <w:name w:val="标题 6 Char"/>
    <w:next w:val="1424"/>
    <w:link w:val="1344"/>
    <w:qFormat/>
    <w:rPr>
      <w:rFonts w:ascii="Arial" w:hAnsi="Arial" w:eastAsia="黑体"/>
      <w:b/>
      <w:bCs/>
      <w:sz w:val="24"/>
      <w:szCs w:val="24"/>
    </w:rPr>
  </w:style>
  <w:style w:type="character" w:styleId="1425">
    <w:name w:val="apple-style-span"/>
    <w:next w:val="1425"/>
    <w:link w:val="1344"/>
    <w:qFormat/>
  </w:style>
  <w:style w:type="character" w:styleId="1426">
    <w:name w:val="页眉 Char"/>
    <w:next w:val="1426"/>
    <w:link w:val="1344"/>
    <w:qFormat/>
    <w:rPr>
      <w:rFonts w:ascii="宋体" w:hAnsi="Times New Roman" w:eastAsia="宋体" w:cs="Times New Roman"/>
      <w:sz w:val="18"/>
      <w:szCs w:val="18"/>
    </w:rPr>
  </w:style>
  <w:style w:type="character" w:styleId="1427">
    <w:name w:val="纯文本 Char"/>
    <w:next w:val="1427"/>
    <w:link w:val="1344"/>
    <w:qFormat/>
    <w:rPr>
      <w:rFonts w:ascii="宋体" w:hAnsi="Courier New" w:eastAsia="宋体" w:cs="Courier New"/>
      <w:szCs w:val="21"/>
    </w:rPr>
  </w:style>
  <w:style w:type="character" w:styleId="1428">
    <w:name w:val="批注框文本 Char"/>
    <w:next w:val="1428"/>
    <w:link w:val="1344"/>
    <w:uiPriority w:val="99"/>
    <w:semiHidden/>
    <w:qFormat/>
    <w:rPr>
      <w:rFonts w:ascii="宋体" w:hAnsi="Times New Roman" w:eastAsia="宋体" w:cs="Times New Roman"/>
      <w:sz w:val="18"/>
      <w:szCs w:val="18"/>
    </w:rPr>
  </w:style>
  <w:style w:type="character" w:styleId="1429">
    <w:name w:val="font21"/>
    <w:next w:val="1429"/>
    <w:link w:val="1344"/>
    <w:qFormat/>
    <w:rPr>
      <w:rFonts w:hint="eastAsia" w:ascii="新宋体" w:hAnsi="新宋体" w:eastAsia="新宋体" w:cs="新宋体"/>
      <w:color w:val="000000"/>
      <w:sz w:val="18"/>
      <w:szCs w:val="18"/>
      <w:u w:val="none"/>
    </w:rPr>
  </w:style>
  <w:style w:type="character" w:styleId="1430">
    <w:name w:val="style21"/>
    <w:next w:val="1430"/>
    <w:link w:val="1344"/>
    <w:qFormat/>
    <w:rPr>
      <w:sz w:val="18"/>
      <w:szCs w:val="18"/>
    </w:rPr>
  </w:style>
  <w:style w:type="character" w:styleId="1431">
    <w:name w:val="文档结构图 Char"/>
    <w:next w:val="1431"/>
    <w:link w:val="1344"/>
    <w:qFormat/>
    <w:rPr>
      <w:rFonts w:ascii="宋体" w:hAnsi="Times New Roman" w:eastAsia="宋体" w:cs="Times New Roman"/>
      <w:sz w:val="18"/>
      <w:szCs w:val="18"/>
    </w:rPr>
  </w:style>
  <w:style w:type="character" w:styleId="1432">
    <w:name w:val="标题 2 Char1"/>
    <w:next w:val="1432"/>
    <w:link w:val="1344"/>
    <w:qFormat/>
    <w:rPr>
      <w:rFonts w:ascii="Arial" w:hAnsi="Arial" w:eastAsia="黑体"/>
      <w:b/>
      <w:bCs/>
      <w:sz w:val="32"/>
      <w:szCs w:val="32"/>
    </w:rPr>
  </w:style>
  <w:style w:type="character" w:styleId="1433">
    <w:name w:val="批注框文本 Char1"/>
    <w:next w:val="1433"/>
    <w:link w:val="1344"/>
    <w:uiPriority w:val="99"/>
    <w:semiHidden/>
    <w:qFormat/>
    <w:rPr>
      <w:sz w:val="18"/>
      <w:szCs w:val="18"/>
    </w:rPr>
  </w:style>
  <w:style w:type="character" w:styleId="1434">
    <w:name w:val="yy1"/>
    <w:next w:val="1434"/>
    <w:link w:val="1344"/>
    <w:qFormat/>
    <w:rPr>
      <w:rFonts w:ascii="宋体" w:hAnsi="宋体" w:eastAsia="宋体"/>
      <w:b/>
      <w:bCs/>
      <w:sz w:val="28"/>
    </w:rPr>
  </w:style>
  <w:style w:type="character" w:styleId="1435">
    <w:name w:val="标题 Char"/>
    <w:next w:val="1435"/>
    <w:link w:val="1344"/>
    <w:qFormat/>
    <w:rPr>
      <w:rFonts w:ascii="Cambria" w:hAnsi="Cambria" w:eastAsia="宋体" w:cs="Times New Roman"/>
      <w:b/>
      <w:bCs/>
      <w:sz w:val="32"/>
      <w:szCs w:val="32"/>
    </w:rPr>
  </w:style>
  <w:style w:type="character" w:styleId="1436">
    <w:name w:val="c lh15"/>
    <w:next w:val="1436"/>
    <w:link w:val="1344"/>
    <w:qFormat/>
  </w:style>
  <w:style w:type="character" w:styleId="1437">
    <w:name w:val="ask-title2"/>
    <w:next w:val="1437"/>
    <w:link w:val="1344"/>
    <w:qFormat/>
  </w:style>
  <w:style w:type="character" w:styleId="1438">
    <w:name w:val="页脚 Char"/>
    <w:next w:val="1438"/>
    <w:link w:val="1344"/>
    <w:uiPriority w:val="99"/>
    <w:qFormat/>
    <w:rPr>
      <w:rFonts w:ascii="宋体" w:hAnsi="Times New Roman" w:eastAsia="宋体" w:cs="Times New Roman"/>
      <w:sz w:val="18"/>
      <w:szCs w:val="18"/>
    </w:rPr>
  </w:style>
  <w:style w:type="character" w:styleId="1439">
    <w:name w:val="正文文本缩进 Char"/>
    <w:next w:val="1439"/>
    <w:link w:val="1344"/>
    <w:uiPriority w:val="99"/>
    <w:semiHidden/>
    <w:qFormat/>
    <w:rPr>
      <w:rFonts w:ascii="宋体" w:hAnsi="Times New Roman" w:eastAsia="宋体" w:cs="Times New Roman"/>
      <w:sz w:val="20"/>
      <w:szCs w:val="20"/>
    </w:rPr>
  </w:style>
  <w:style w:type="character" w:styleId="1440">
    <w:name w:val="NormalCharacter1"/>
    <w:next w:val="1440"/>
    <w:link w:val="1344"/>
    <w:semiHidden/>
    <w:rPr>
      <w:sz w:val="21"/>
      <w:lang w:val="en-US" w:eastAsia="zh-CN" w:bidi="ar-SA"/>
    </w:rPr>
  </w:style>
  <w:style w:type="character" w:styleId="1441">
    <w:name w:val="font31"/>
    <w:next w:val="1441"/>
    <w:link w:val="1344"/>
    <w:qFormat/>
    <w:rPr>
      <w:rFonts w:hint="eastAsia" w:ascii="宋体" w:hAnsi="宋体" w:eastAsia="宋体" w:cs="宋体"/>
      <w:color w:val="000000"/>
      <w:sz w:val="22"/>
      <w:szCs w:val="22"/>
      <w:u w:val="none"/>
    </w:rPr>
  </w:style>
  <w:style w:type="character" w:styleId="1442">
    <w:name w:val="页眉 Char1"/>
    <w:next w:val="1442"/>
    <w:link w:val="1344"/>
    <w:uiPriority w:val="99"/>
    <w:qFormat/>
    <w:rPr>
      <w:sz w:val="18"/>
    </w:rPr>
  </w:style>
  <w:style w:type="character" w:styleId="1443">
    <w:name w:val="正文文本 (8)_"/>
    <w:next w:val="1443"/>
    <w:link w:val="1444"/>
    <w:qFormat/>
    <w:rPr>
      <w:rFonts w:ascii="Gulim" w:hAnsi="Gulim" w:eastAsia="Gulim" w:cs="Gulim"/>
      <w:b/>
      <w:sz w:val="15"/>
      <w:szCs w:val="15"/>
      <w:shd w:val="clear" w:color="auto" w:fill="ffffff"/>
      <w:lang w:eastAsia="en-US" w:bidi="en-US"/>
    </w:rPr>
  </w:style>
  <w:style w:type="paragraph" w:styleId="1444">
    <w:name w:val="正文文本 (8)"/>
    <w:basedOn w:val="1344"/>
    <w:next w:val="1444"/>
    <w:link w:val="1443"/>
    <w:qFormat/>
    <w:pPr>
      <w:jc w:val="left"/>
      <w:spacing w:line="0" w:lineRule="atLeast"/>
      <w:shd w:val="clear" w:color="auto" w:fill="ffffff"/>
    </w:pPr>
    <w:rPr>
      <w:rFonts w:ascii="Gulim" w:hAnsi="Gulim" w:eastAsia="Gulim" w:cs="Gulim"/>
      <w:b/>
      <w:sz w:val="15"/>
      <w:szCs w:val="15"/>
      <w:lang w:eastAsia="en-US" w:bidi="en-US"/>
    </w:rPr>
  </w:style>
  <w:style w:type="character" w:styleId="1445">
    <w:name w:val="标题 Char2"/>
    <w:next w:val="1445"/>
    <w:link w:val="1344"/>
    <w:uiPriority w:val="10"/>
    <w:qFormat/>
    <w:rPr>
      <w:sz w:val="30"/>
      <w:szCs w:val="24"/>
    </w:rPr>
  </w:style>
  <w:style w:type="character" w:styleId="1446">
    <w:name w:val="Andy_正文格式 Char"/>
    <w:next w:val="1446"/>
    <w:link w:val="1447"/>
    <w:qFormat/>
    <w:rPr>
      <w:rFonts w:ascii="仿宋_GB2312" w:eastAsia="仿宋_GB2312"/>
      <w:sz w:val="28"/>
      <w:szCs w:val="28"/>
    </w:rPr>
  </w:style>
  <w:style w:type="paragraph" w:styleId="1447">
    <w:name w:val="Andy_正文格式"/>
    <w:basedOn w:val="1344"/>
    <w:next w:val="1447"/>
    <w:link w:val="1446"/>
    <w:qFormat/>
    <w:pPr>
      <w:ind w:firstLine="560"/>
    </w:pPr>
    <w:rPr>
      <w:rFonts w:ascii="仿宋_GB2312" w:eastAsia="仿宋_GB2312"/>
      <w:sz w:val="28"/>
      <w:szCs w:val="28"/>
    </w:rPr>
  </w:style>
  <w:style w:type="character" w:styleId="1448">
    <w:name w:val="标题 1 Char1"/>
    <w:next w:val="1448"/>
    <w:link w:val="1344"/>
    <w:qFormat/>
    <w:rPr>
      <w:rFonts w:ascii="宋体"/>
      <w:sz w:val="28"/>
    </w:rPr>
  </w:style>
  <w:style w:type="character" w:styleId="1449">
    <w:name w:val="批注文字 Char"/>
    <w:next w:val="1449"/>
    <w:link w:val="1344"/>
    <w:qFormat/>
    <w:rPr>
      <w:sz w:val="21"/>
    </w:rPr>
  </w:style>
  <w:style w:type="character" w:styleId="1450">
    <w:name w:val="新正文 Char Char"/>
    <w:next w:val="1450"/>
    <w:link w:val="1451"/>
    <w:qFormat/>
    <w:rPr>
      <w:rFonts w:ascii="宋体" w:hAnsi="宋体" w:cs="宋体"/>
      <w:b/>
      <w:bCs/>
      <w:color w:val="000000"/>
      <w:sz w:val="24"/>
      <w:szCs w:val="21"/>
    </w:rPr>
  </w:style>
  <w:style w:type="paragraph" w:styleId="1451">
    <w:name w:val="新正文"/>
    <w:basedOn w:val="1344"/>
    <w:next w:val="1451"/>
    <w:link w:val="1450"/>
    <w:qFormat/>
    <w:pPr>
      <w:ind w:firstLine="200"/>
      <w:spacing w:line="480" w:lineRule="exact"/>
    </w:pPr>
    <w:rPr>
      <w:rFonts w:ascii="宋体" w:hAnsi="宋体"/>
      <w:b/>
      <w:bCs/>
      <w:color w:val="000000"/>
      <w:sz w:val="24"/>
      <w:szCs w:val="21"/>
    </w:rPr>
  </w:style>
  <w:style w:type="character" w:styleId="1452">
    <w:name w:val="Char Char3"/>
    <w:next w:val="1452"/>
    <w:link w:val="1344"/>
    <w:qFormat/>
    <w:rPr>
      <w:rFonts w:ascii="宋体" w:hAnsi="宋体" w:eastAsia="宋体"/>
      <w:sz w:val="24"/>
      <w:szCs w:val="24"/>
      <w:lang w:val="en-US" w:eastAsia="zh-CN" w:bidi="ar-SA"/>
    </w:rPr>
  </w:style>
  <w:style w:type="character" w:styleId="1453">
    <w:name w:val="font41"/>
    <w:next w:val="1453"/>
    <w:link w:val="1344"/>
    <w:qFormat/>
    <w:rPr>
      <w:rFonts w:hint="eastAsia" w:ascii="宋体" w:hAnsi="宋体" w:eastAsia="宋体" w:cs="宋体"/>
      <w:color w:val="000000"/>
      <w:sz w:val="22"/>
      <w:szCs w:val="22"/>
      <w:u w:val="none"/>
    </w:rPr>
  </w:style>
  <w:style w:type="character" w:styleId="1454">
    <w:name w:val="标题 3 Char Char Char Char Char Char Char Char Char"/>
    <w:next w:val="1454"/>
    <w:link w:val="1344"/>
    <w:qFormat/>
    <w:rPr>
      <w:rFonts w:eastAsia="宋体"/>
      <w:b/>
      <w:sz w:val="32"/>
      <w:lang w:val="en-US" w:eastAsia="zh-CN"/>
    </w:rPr>
  </w:style>
  <w:style w:type="character" w:styleId="1455">
    <w:name w:val="列出段落 Char1"/>
    <w:next w:val="1455"/>
    <w:link w:val="1456"/>
    <w:qFormat/>
    <w:rPr>
      <w:rFonts w:ascii="Calibri" w:hAnsi="Calibri"/>
      <w:sz w:val="21"/>
      <w:szCs w:val="22"/>
    </w:rPr>
  </w:style>
  <w:style w:type="paragraph" w:styleId="1456">
    <w:name w:val="列出段落1"/>
    <w:basedOn w:val="1344"/>
    <w:next w:val="1456"/>
    <w:link w:val="1455"/>
    <w:qFormat/>
    <w:pPr>
      <w:ind w:firstLine="420"/>
    </w:pPr>
    <w:rPr>
      <w:rFonts w:ascii="Calibri" w:hAnsi="Calibri"/>
      <w:szCs w:val="22"/>
    </w:rPr>
  </w:style>
  <w:style w:type="character" w:styleId="1457">
    <w:name w:val="正文文本缩进 Char1"/>
    <w:next w:val="1457"/>
    <w:link w:val="1344"/>
    <w:qFormat/>
    <w:rPr>
      <w:rFonts w:ascii="宋体"/>
      <w:sz w:val="24"/>
    </w:rPr>
  </w:style>
  <w:style w:type="character" w:styleId="1458">
    <w:name w:val="标题 2 Char Char Char"/>
    <w:next w:val="1458"/>
    <w:link w:val="1344"/>
    <w:qFormat/>
    <w:rPr>
      <w:rFonts w:ascii="Arial" w:hAnsi="Arial" w:eastAsia="黑体"/>
      <w:b/>
      <w:bCs/>
      <w:sz w:val="32"/>
      <w:szCs w:val="32"/>
      <w:lang w:val="en-US" w:eastAsia="zh-CN" w:bidi="ar-SA"/>
    </w:rPr>
  </w:style>
  <w:style w:type="character" w:styleId="1459">
    <w:name w:val="样式 样式 标题 3 + (中文) 黑体 Char + (中文) 宋体 小四 Char Char Char Char Char Char"/>
    <w:next w:val="1459"/>
    <w:link w:val="1344"/>
    <w:qFormat/>
    <w:rPr>
      <w:rFonts w:ascii="宋体" w:hAnsi="Courier New" w:eastAsia="宋体" w:cs="Courier New"/>
      <w:sz w:val="24"/>
      <w:szCs w:val="21"/>
      <w:lang w:val="en-US" w:eastAsia="zh-CN" w:bidi="ar-SA"/>
    </w:rPr>
  </w:style>
  <w:style w:type="character" w:styleId="1460">
    <w:name w:val="标题 2 Char"/>
    <w:next w:val="1460"/>
    <w:link w:val="1344"/>
    <w:uiPriority w:val="9"/>
    <w:semiHidden/>
    <w:qFormat/>
    <w:rPr>
      <w:rFonts w:ascii="Cambria" w:hAnsi="Cambria" w:eastAsia="宋体" w:cs="Times New Roman"/>
      <w:b/>
      <w:bCs/>
      <w:sz w:val="32"/>
      <w:szCs w:val="32"/>
    </w:rPr>
  </w:style>
  <w:style w:type="character" w:styleId="1461">
    <w:name w:val="identication Char"/>
    <w:next w:val="1461"/>
    <w:link w:val="1344"/>
    <w:qFormat/>
    <w:rPr>
      <w:rFonts w:eastAsia="宋体"/>
      <w:sz w:val="21"/>
      <w:szCs w:val="24"/>
      <w:lang w:val="en-US" w:eastAsia="zh-CN" w:bidi="ar-SA"/>
    </w:rPr>
  </w:style>
  <w:style w:type="character" w:styleId="1462">
    <w:name w:val="HTML 预设格式 Char"/>
    <w:next w:val="1462"/>
    <w:link w:val="1344"/>
    <w:qFormat/>
    <w:rPr>
      <w:rFonts w:ascii="黑体" w:hAnsi="Courier New" w:eastAsia="黑体" w:cs="Courier New"/>
    </w:rPr>
  </w:style>
  <w:style w:type="character" w:styleId="1463">
    <w:name w:val="表格标题 + SimSun"/>
    <w:next w:val="1463"/>
    <w:link w:val="1344"/>
    <w:qFormat/>
    <w:rPr>
      <w:rFonts w:ascii="宋体" w:hAnsi="宋体" w:eastAsia="宋体" w:cs="宋体"/>
      <w:b/>
      <w:color w:val="000000"/>
      <w:spacing w:val="0"/>
      <w:position w:val="0"/>
      <w:sz w:val="17"/>
      <w:szCs w:val="17"/>
      <w:shd w:val="clear" w:color="auto" w:fill="ffffff"/>
      <w:lang w:val="zh-CN" w:eastAsia="zh-CN" w:bidi="zh-CN"/>
    </w:rPr>
  </w:style>
  <w:style w:type="character" w:styleId="1464">
    <w:name w:val="批注主题 Char"/>
    <w:next w:val="1464"/>
    <w:link w:val="1344"/>
    <w:qFormat/>
    <w:rPr>
      <w:b/>
      <w:bCs/>
      <w:sz w:val="21"/>
    </w:rPr>
  </w:style>
  <w:style w:type="character" w:styleId="1465">
    <w:name w:val="批注文字 字符1"/>
    <w:next w:val="1465"/>
    <w:link w:val="1344"/>
    <w:uiPriority w:val="99"/>
    <w:semiHidden/>
    <w:qFormat/>
    <w:rPr>
      <w:rFonts w:ascii="宋体" w:hAnsi="Times New Roman" w:eastAsia="宋体" w:cs="Times New Roman"/>
      <w:sz w:val="20"/>
      <w:szCs w:val="20"/>
    </w:rPr>
  </w:style>
  <w:style w:type="character" w:styleId="1466">
    <w:name w:val="正文缩进 Char"/>
    <w:next w:val="1466"/>
    <w:link w:val="1344"/>
    <w:qFormat/>
    <w:rPr>
      <w:b/>
      <w:sz w:val="24"/>
    </w:rPr>
  </w:style>
  <w:style w:type="character" w:styleId="1467">
    <w:name w:val="font211"/>
    <w:next w:val="1467"/>
    <w:link w:val="1344"/>
    <w:qFormat/>
    <w:rPr>
      <w:rFonts w:hint="eastAsia" w:ascii="新宋体" w:hAnsi="新宋体" w:eastAsia="新宋体" w:cs="新宋体"/>
      <w:color w:val="000000"/>
      <w:sz w:val="18"/>
      <w:szCs w:val="18"/>
      <w:u w:val="none"/>
    </w:rPr>
  </w:style>
  <w:style w:type="character" w:styleId="1468">
    <w:name w:val="标题 4 Char1"/>
    <w:next w:val="1468"/>
    <w:link w:val="1344"/>
    <w:qFormat/>
    <w:rPr>
      <w:rFonts w:ascii="Arial" w:hAnsi="Arial" w:eastAsia="黑体" w:cs="Arial"/>
      <w:b/>
      <w:bCs/>
      <w:sz w:val="28"/>
      <w:szCs w:val="28"/>
    </w:rPr>
  </w:style>
  <w:style w:type="character" w:styleId="1469">
    <w:name w:val="正文文本 Char"/>
    <w:next w:val="1469"/>
    <w:link w:val="1344"/>
    <w:qFormat/>
    <w:rPr>
      <w:rFonts w:ascii="宋体" w:eastAsia="宋体"/>
      <w:sz w:val="28"/>
      <w:lang w:val="en-US" w:eastAsia="zh-CN" w:bidi="ar-SA"/>
    </w:rPr>
  </w:style>
  <w:style w:type="character" w:styleId="1470">
    <w:name w:val="标题 Char1"/>
    <w:next w:val="1470"/>
    <w:link w:val="1344"/>
    <w:qFormat/>
    <w:rPr>
      <w:rFonts w:ascii="Cambria" w:hAnsi="Cambria" w:eastAsia="仿宋_GB2312" w:cs="Times New Roman"/>
      <w:b/>
      <w:bCs/>
      <w:sz w:val="32"/>
      <w:szCs w:val="32"/>
      <w:lang w:val="en-US" w:eastAsia="zh-CN" w:bidi="ar-SA"/>
    </w:rPr>
  </w:style>
  <w:style w:type="character" w:styleId="1471">
    <w:name w:val="纯文本 Char2"/>
    <w:next w:val="1471"/>
    <w:link w:val="1344"/>
    <w:qFormat/>
    <w:rPr>
      <w:rFonts w:ascii="宋体" w:hAnsi="Courier New" w:eastAsia="宋体"/>
      <w:sz w:val="21"/>
      <w:lang w:val="en-US" w:eastAsia="zh-CN" w:bidi="ar-SA"/>
    </w:rPr>
  </w:style>
  <w:style w:type="character" w:styleId="1472">
    <w:name w:val="列出段落 Char"/>
    <w:next w:val="1472"/>
    <w:link w:val="1344"/>
    <w:qFormat/>
    <w:rPr>
      <w:rFonts w:ascii="Calibri" w:hAnsi="Calibri"/>
      <w:sz w:val="21"/>
      <w:szCs w:val="22"/>
    </w:rPr>
  </w:style>
  <w:style w:type="character" w:styleId="1473">
    <w:name w:val="文档结构图 字符1"/>
    <w:next w:val="1473"/>
    <w:link w:val="1344"/>
    <w:qFormat/>
    <w:rPr>
      <w:rFonts w:ascii="Microsoft YaHei UI" w:eastAsia="Microsoft YaHei UI"/>
      <w:sz w:val="18"/>
      <w:szCs w:val="18"/>
    </w:rPr>
  </w:style>
  <w:style w:type="character" w:styleId="1474">
    <w:name w:val="日期 Char1"/>
    <w:next w:val="1474"/>
    <w:link w:val="1344"/>
    <w:qFormat/>
    <w:rPr>
      <w:rFonts w:ascii="宋体"/>
      <w:sz w:val="21"/>
    </w:rPr>
  </w:style>
  <w:style w:type="character" w:styleId="1475">
    <w:name w:val="副标题 Char"/>
    <w:next w:val="1475"/>
    <w:link w:val="1344"/>
    <w:qFormat/>
    <w:rPr>
      <w:rFonts w:ascii="Cambria" w:hAnsi="Cambria"/>
      <w:b/>
      <w:bCs/>
      <w:sz w:val="32"/>
      <w:szCs w:val="32"/>
    </w:rPr>
  </w:style>
  <w:style w:type="character" w:styleId="1476">
    <w:name w:val="表格标题_"/>
    <w:next w:val="1476"/>
    <w:link w:val="1477"/>
    <w:qFormat/>
    <w:rPr>
      <w:rFonts w:ascii="Gulim" w:hAnsi="Gulim" w:eastAsia="Gulim" w:cs="Gulim"/>
      <w:b/>
      <w:sz w:val="15"/>
      <w:szCs w:val="15"/>
      <w:shd w:val="clear" w:color="auto" w:fill="ffffff"/>
      <w:lang w:eastAsia="en-US" w:bidi="en-US"/>
    </w:rPr>
  </w:style>
  <w:style w:type="paragraph" w:styleId="1477">
    <w:name w:val="表格标题"/>
    <w:basedOn w:val="1344"/>
    <w:next w:val="1477"/>
    <w:link w:val="1476"/>
    <w:qFormat/>
    <w:pPr>
      <w:jc w:val="left"/>
      <w:spacing w:line="0" w:lineRule="atLeast"/>
      <w:shd w:val="clear" w:color="auto" w:fill="ffffff"/>
    </w:pPr>
    <w:rPr>
      <w:rFonts w:ascii="Gulim" w:hAnsi="Gulim" w:eastAsia="Gulim" w:cs="Gulim"/>
      <w:b/>
      <w:sz w:val="15"/>
      <w:szCs w:val="15"/>
      <w:lang w:eastAsia="en-US" w:bidi="en-US"/>
    </w:rPr>
  </w:style>
  <w:style w:type="character" w:styleId="1478">
    <w:name w:val="正文文本 (2)_"/>
    <w:next w:val="1478"/>
    <w:link w:val="1344"/>
    <w:qFormat/>
    <w:rPr>
      <w:rFonts w:ascii="宋体" w:hAnsi="宋体" w:eastAsia="宋体" w:cs="宋体"/>
      <w:b/>
      <w:sz w:val="17"/>
      <w:szCs w:val="17"/>
      <w:u w:val="none"/>
      <w:lang w:val="en-US" w:eastAsia="zh-CN" w:bidi="ar-SA"/>
    </w:rPr>
  </w:style>
  <w:style w:type="character" w:styleId="1479">
    <w:name w:val="正文文本缩进 2 Char"/>
    <w:next w:val="1479"/>
    <w:link w:val="1344"/>
    <w:qFormat/>
    <w:rPr>
      <w:rFonts w:ascii="宋体"/>
      <w:sz w:val="21"/>
    </w:rPr>
  </w:style>
  <w:style w:type="character" w:styleId="1480">
    <w:name w:val="fontstyle01"/>
    <w:next w:val="1480"/>
    <w:link w:val="1344"/>
    <w:rPr>
      <w:rFonts w:hint="eastAsia" w:ascii="宋体" w:hAnsi="宋体" w:eastAsia="宋体"/>
      <w:color w:val="000000"/>
      <w:sz w:val="24"/>
      <w:szCs w:val="24"/>
    </w:rPr>
  </w:style>
  <w:style w:type="character" w:styleId="1481">
    <w:name w:val="标准文本 Char"/>
    <w:next w:val="1481"/>
    <w:link w:val="1482"/>
    <w:qFormat/>
    <w:rPr>
      <w:rFonts w:ascii="宋体" w:hAnsi="宋体" w:eastAsia="宋体" w:cs="宋体"/>
      <w:sz w:val="21"/>
      <w:szCs w:val="21"/>
      <w:lang w:val="en-US" w:eastAsia="zh-CN" w:bidi="ar-SA"/>
    </w:rPr>
  </w:style>
  <w:style w:type="paragraph" w:styleId="1482">
    <w:name w:val="标准文本"/>
    <w:basedOn w:val="1344"/>
    <w:next w:val="1482"/>
    <w:link w:val="1481"/>
    <w:qFormat/>
    <w:pPr>
      <w:ind w:firstLine="420"/>
      <w:spacing w:line="300" w:lineRule="auto"/>
    </w:pPr>
    <w:rPr>
      <w:rFonts w:ascii="宋体" w:hAnsi="宋体" w:cs="宋体"/>
      <w:szCs w:val="21"/>
    </w:rPr>
  </w:style>
  <w:style w:type="character" w:styleId="1483">
    <w:name w:val="news"/>
    <w:next w:val="1483"/>
    <w:link w:val="1344"/>
    <w:qFormat/>
    <w:rPr>
      <w:rFonts w:ascii="仿宋_GB2312" w:eastAsia="仿宋_GB2312"/>
      <w:sz w:val="24"/>
      <w:szCs w:val="24"/>
      <w:lang w:val="en-US" w:eastAsia="zh-CN" w:bidi="ar-SA"/>
    </w:rPr>
  </w:style>
  <w:style w:type="character" w:styleId="1484">
    <w:name w:val="font71"/>
    <w:next w:val="1484"/>
    <w:link w:val="1344"/>
    <w:qFormat/>
    <w:rPr>
      <w:rFonts w:hint="eastAsia" w:ascii="宋体" w:hAnsi="宋体" w:eastAsia="宋体" w:cs="宋体"/>
      <w:color w:val="000000"/>
      <w:sz w:val="18"/>
      <w:szCs w:val="18"/>
      <w:u w:val="none"/>
    </w:rPr>
  </w:style>
  <w:style w:type="character" w:styleId="1485">
    <w:name w:val="标题 4 Char"/>
    <w:next w:val="1485"/>
    <w:link w:val="1344"/>
    <w:qFormat/>
    <w:rPr>
      <w:rFonts w:ascii="Cambria" w:hAnsi="Cambria" w:eastAsia="宋体" w:cs="Times New Roman"/>
      <w:b/>
      <w:bCs/>
      <w:sz w:val="28"/>
      <w:szCs w:val="28"/>
    </w:rPr>
  </w:style>
  <w:style w:type="character" w:styleId="1486">
    <w:name w:val="报告正文 Char"/>
    <w:next w:val="1486"/>
    <w:link w:val="1487"/>
    <w:qFormat/>
    <w:rPr>
      <w:rFonts w:eastAsia="仿宋_GB2312"/>
      <w:sz w:val="24"/>
      <w:szCs w:val="24"/>
    </w:rPr>
  </w:style>
  <w:style w:type="paragraph" w:styleId="1487">
    <w:name w:val="报告正文"/>
    <w:basedOn w:val="1344"/>
    <w:next w:val="1487"/>
    <w:link w:val="1486"/>
    <w:qFormat/>
    <w:pPr>
      <w:ind w:firstLine="480"/>
      <w:spacing w:line="360" w:lineRule="auto"/>
    </w:pPr>
    <w:rPr>
      <w:rFonts w:eastAsia="仿宋_GB2312"/>
      <w:sz w:val="24"/>
      <w:szCs w:val="24"/>
    </w:rPr>
  </w:style>
  <w:style w:type="character" w:styleId="1488">
    <w:name w:val="标题 1 Char"/>
    <w:next w:val="1488"/>
    <w:link w:val="1344"/>
    <w:qFormat/>
    <w:rPr>
      <w:rFonts w:ascii="宋体" w:hAnsi="Times New Roman" w:eastAsia="宋体" w:cs="Times New Roman"/>
      <w:b/>
      <w:bCs/>
      <w:sz w:val="44"/>
      <w:szCs w:val="44"/>
    </w:rPr>
  </w:style>
  <w:style w:type="character" w:styleId="1489">
    <w:name w:val="访问过的超链接1"/>
    <w:next w:val="1489"/>
    <w:link w:val="1344"/>
    <w:uiPriority w:val="99"/>
    <w:qFormat/>
    <w:rPr>
      <w:color w:val="333333"/>
      <w:u w:val="none"/>
    </w:rPr>
  </w:style>
  <w:style w:type="character" w:styleId="1490">
    <w:name w:val="标题 9 Char"/>
    <w:next w:val="1490"/>
    <w:link w:val="1344"/>
    <w:qFormat/>
    <w:rPr>
      <w:rFonts w:ascii="Arial" w:hAnsi="Arial" w:eastAsia="黑体"/>
      <w:sz w:val="21"/>
      <w:szCs w:val="21"/>
    </w:rPr>
  </w:style>
  <w:style w:type="character" w:styleId="1491">
    <w:name w:val="font241"/>
    <w:next w:val="1491"/>
    <w:link w:val="1344"/>
    <w:qFormat/>
    <w:rPr>
      <w:rFonts w:hint="eastAsia" w:ascii="宋体" w:hAnsi="宋体" w:eastAsia="宋体" w:cs="宋体"/>
      <w:color w:val="000000"/>
      <w:sz w:val="18"/>
      <w:szCs w:val="18"/>
      <w:u w:val="none"/>
    </w:rPr>
  </w:style>
  <w:style w:type="character" w:styleId="1492">
    <w:name w:val="B正文 Char"/>
    <w:next w:val="1492"/>
    <w:link w:val="1493"/>
    <w:qFormat/>
    <w:rPr>
      <w:sz w:val="28"/>
      <w:szCs w:val="24"/>
    </w:rPr>
  </w:style>
  <w:style w:type="paragraph" w:styleId="1493">
    <w:name w:val="B正文"/>
    <w:basedOn w:val="1344"/>
    <w:next w:val="1493"/>
    <w:link w:val="1492"/>
    <w:qFormat/>
    <w:pPr>
      <w:ind w:firstLine="560"/>
      <w:spacing w:line="500" w:lineRule="exact"/>
    </w:pPr>
    <w:rPr>
      <w:sz w:val="28"/>
      <w:szCs w:val="24"/>
    </w:rPr>
  </w:style>
  <w:style w:type="character" w:styleId="1494">
    <w:name w:val="font01"/>
    <w:next w:val="1494"/>
    <w:link w:val="1344"/>
    <w:qFormat/>
    <w:rPr>
      <w:rFonts w:hint="eastAsia" w:ascii="宋体" w:hAnsi="宋体" w:eastAsia="宋体" w:cs="宋体"/>
      <w:color w:val="000000"/>
      <w:sz w:val="20"/>
      <w:szCs w:val="20"/>
      <w:u w:val="none"/>
    </w:rPr>
  </w:style>
  <w:style w:type="character" w:styleId="1495">
    <w:name w:val="apple-converted-space"/>
    <w:next w:val="1495"/>
    <w:link w:val="1344"/>
    <w:qFormat/>
  </w:style>
  <w:style w:type="character" w:styleId="1496">
    <w:name w:val="标题 3 Char"/>
    <w:next w:val="1496"/>
    <w:link w:val="1344"/>
    <w:qFormat/>
    <w:rPr>
      <w:rFonts w:ascii="仿宋_GB2312" w:eastAsia="仿宋_GB2312"/>
      <w:sz w:val="32"/>
    </w:rPr>
  </w:style>
  <w:style w:type="character" w:styleId="1497">
    <w:name w:val="纯文本 Char1"/>
    <w:next w:val="1497"/>
    <w:link w:val="1344"/>
    <w:qFormat/>
    <w:rPr>
      <w:rFonts w:ascii="宋体" w:hAnsi="Courier New" w:eastAsia="宋体" w:cs="Times New Roman"/>
      <w:sz w:val="21"/>
      <w:szCs w:val="20"/>
    </w:rPr>
  </w:style>
  <w:style w:type="character" w:styleId="1498">
    <w:name w:val="正文文本 (2)"/>
    <w:next w:val="1498"/>
    <w:link w:val="1344"/>
    <w:qFormat/>
    <w:rPr>
      <w:rFonts w:ascii="宋体" w:hAnsi="宋体" w:eastAsia="宋体" w:cs="宋体"/>
      <w:b/>
      <w:color w:val="000000"/>
      <w:spacing w:val="0"/>
      <w:position w:val="0"/>
      <w:sz w:val="17"/>
      <w:szCs w:val="17"/>
      <w:u w:val="none"/>
      <w:lang w:val="zh-CN" w:eastAsia="zh-CN" w:bidi="zh-CN"/>
    </w:rPr>
  </w:style>
  <w:style w:type="character" w:styleId="1499">
    <w:name w:val="正文文本 (2) + MingLiU"/>
    <w:next w:val="1499"/>
    <w:link w:val="1344"/>
    <w:qFormat/>
    <w:rPr>
      <w:rFonts w:ascii="MingLiU" w:hAnsi="MingLiU" w:eastAsia="MingLiU" w:cs="MingLiU"/>
      <w:b/>
      <w:color w:val="000000"/>
      <w:spacing w:val="-20"/>
      <w:position w:val="0"/>
      <w:sz w:val="14"/>
      <w:szCs w:val="14"/>
      <w:u w:val="none"/>
      <w:lang w:val="zh-CN" w:eastAsia="zh-CN" w:bidi="zh-CN"/>
    </w:rPr>
  </w:style>
  <w:style w:type="character" w:styleId="1500">
    <w:name w:val="正文文本缩进 3 Char"/>
    <w:next w:val="1500"/>
    <w:link w:val="1344"/>
    <w:qFormat/>
    <w:rPr>
      <w:rFonts w:eastAsia="华文新魏"/>
      <w:b/>
      <w:bCs/>
      <w:sz w:val="84"/>
    </w:rPr>
  </w:style>
  <w:style w:type="character" w:styleId="1501">
    <w:name w:val="文档结构图 Char1"/>
    <w:next w:val="1501"/>
    <w:link w:val="1344"/>
    <w:qFormat/>
    <w:rPr>
      <w:rFonts w:ascii="宋体" w:eastAsia="仿宋_GB2312"/>
      <w:sz w:val="18"/>
      <w:szCs w:val="18"/>
    </w:rPr>
  </w:style>
  <w:style w:type="character" w:styleId="1502">
    <w:name w:val="正文文本 (2) + Gulim"/>
    <w:next w:val="1502"/>
    <w:link w:val="1344"/>
    <w:qFormat/>
    <w:rPr>
      <w:rFonts w:ascii="Gulim" w:hAnsi="Gulim" w:eastAsia="Gulim" w:cs="Gulim"/>
      <w:b/>
      <w:color w:val="000000"/>
      <w:spacing w:val="0"/>
      <w:position w:val="0"/>
      <w:sz w:val="15"/>
      <w:szCs w:val="15"/>
      <w:u w:val="none"/>
      <w:lang w:val="en-US" w:eastAsia="en-US" w:bidi="en-US"/>
    </w:rPr>
  </w:style>
  <w:style w:type="character" w:styleId="1503">
    <w:name w:val="标题 5 Char"/>
    <w:next w:val="1503"/>
    <w:link w:val="1344"/>
    <w:qFormat/>
    <w:rPr>
      <w:rFonts w:ascii="宋体"/>
      <w:b/>
      <w:bCs/>
      <w:sz w:val="28"/>
      <w:szCs w:val="28"/>
    </w:rPr>
  </w:style>
  <w:style w:type="character" w:styleId="1504">
    <w:name w:val="样式 仿宋_GB2312 小四 加粗 黑色"/>
    <w:next w:val="1504"/>
    <w:link w:val="1344"/>
    <w:qFormat/>
    <w:rPr>
      <w:rFonts w:ascii="仿宋_GB2312" w:eastAsia="仿宋_GB2312"/>
      <w:b/>
      <w:bCs/>
      <w:color w:val="000000"/>
      <w:sz w:val="24"/>
      <w:szCs w:val="24"/>
      <w:lang w:val="en-US" w:eastAsia="zh-CN" w:bidi="ar-SA"/>
    </w:rPr>
  </w:style>
  <w:style w:type="character" w:styleId="1505">
    <w:name w:val="fontstyle11"/>
    <w:next w:val="1505"/>
    <w:link w:val="1344"/>
    <w:rPr>
      <w:rFonts w:ascii="Times New Roman" w:hAnsi="Times New Roman" w:cs="Times New Roman"/>
      <w:color w:val="000000"/>
      <w:sz w:val="24"/>
      <w:szCs w:val="24"/>
    </w:rPr>
  </w:style>
  <w:style w:type="character" w:styleId="1506">
    <w:name w:val="Char Char4"/>
    <w:next w:val="1506"/>
    <w:link w:val="1344"/>
    <w:qFormat/>
    <w:rPr>
      <w:rFonts w:eastAsia="宋体"/>
      <w:sz w:val="18"/>
      <w:szCs w:val="18"/>
      <w:lang w:val="en-US" w:eastAsia="zh-CN" w:bidi="ar-SA"/>
    </w:rPr>
  </w:style>
  <w:style w:type="paragraph" w:styleId="1507">
    <w:name w:val="此正文"/>
    <w:basedOn w:val="1344"/>
    <w:next w:val="1507"/>
    <w:link w:val="1344"/>
    <w:qFormat/>
    <w:pPr>
      <w:ind w:firstLine="200"/>
      <w:spacing w:line="360" w:lineRule="auto"/>
    </w:pPr>
    <w:rPr>
      <w:sz w:val="24"/>
    </w:rPr>
  </w:style>
  <w:style w:type="paragraph" w:styleId="1508">
    <w:name w:val="flName"/>
    <w:basedOn w:val="1344"/>
    <w:next w:val="1508"/>
    <w:link w:val="1344"/>
    <w:qFormat/>
    <w:pPr>
      <w:jc w:val="center"/>
      <w:spacing w:before="320" w:after="160" w:line="360" w:lineRule="atLeast"/>
    </w:pPr>
    <w:rPr>
      <w:rFonts w:ascii="Arial" w:eastAsia="黑体"/>
      <w:sz w:val="32"/>
      <w:szCs w:val="24"/>
    </w:rPr>
  </w:style>
  <w:style w:type="paragraph" w:styleId="1509">
    <w:name w:val="xl75"/>
    <w:basedOn w:val="1344"/>
    <w:next w:val="1509"/>
    <w:link w:val="13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510">
    <w:name w:val="xl101"/>
    <w:basedOn w:val="1344"/>
    <w:next w:val="1510"/>
    <w:link w:val="134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511">
    <w:name w:val="无格式无间隔"/>
    <w:next w:val="1511"/>
    <w:link w:val="1344"/>
    <w:qFormat/>
    <w:rPr>
      <w:rFonts w:ascii="Calibri" w:hAnsi="Calibri"/>
      <w:sz w:val="21"/>
      <w:szCs w:val="21"/>
      <w:lang w:val="en-US" w:eastAsia="zh-CN" w:bidi="ar-SA"/>
    </w:rPr>
  </w:style>
  <w:style w:type="paragraph" w:styleId="1512">
    <w:name w:val="正文_1_0"/>
    <w:basedOn w:val="1513"/>
    <w:next w:val="1516"/>
    <w:link w:val="1344"/>
    <w:qFormat/>
    <w:rPr>
      <w:rFonts w:cs="Times New Roman"/>
      <w:szCs w:val="22"/>
    </w:rPr>
  </w:style>
  <w:style w:type="paragraph" w:styleId="1513">
    <w:name w:val="正文_1"/>
    <w:next w:val="1514"/>
    <w:link w:val="1344"/>
    <w:qFormat/>
    <w:pPr>
      <w:jc w:val="both"/>
      <w:widowControl w:val="off"/>
    </w:pPr>
    <w:rPr>
      <w:rFonts w:cs="Calibri"/>
      <w:sz w:val="21"/>
      <w:szCs w:val="21"/>
      <w:lang w:val="en-US" w:eastAsia="zh-CN" w:bidi="ar-SA"/>
    </w:rPr>
  </w:style>
  <w:style w:type="paragraph" w:styleId="1514">
    <w:name w:val="Plain Text1"/>
    <w:basedOn w:val="1515"/>
    <w:next w:val="1514"/>
    <w:link w:val="1344"/>
    <w:qFormat/>
    <w:rPr>
      <w:rFonts w:ascii="宋体" w:hAnsi="Courier New" w:cs="Courier New"/>
      <w:szCs w:val="21"/>
    </w:rPr>
  </w:style>
  <w:style w:type="paragraph" w:styleId="1515">
    <w:name w:val="正文_1_0_0"/>
    <w:basedOn w:val="1512"/>
    <w:next w:val="1516"/>
    <w:link w:val="1344"/>
    <w:qFormat/>
  </w:style>
  <w:style w:type="paragraph" w:styleId="1516">
    <w:name w:val="Plain Text2"/>
    <w:basedOn w:val="1515"/>
    <w:next w:val="1516"/>
    <w:link w:val="1344"/>
    <w:qFormat/>
    <w:rPr>
      <w:rFonts w:ascii="宋体" w:hAnsi="Courier New" w:cs="Courier New"/>
      <w:szCs w:val="21"/>
    </w:rPr>
  </w:style>
  <w:style w:type="paragraph" w:styleId="1517">
    <w:name w:val="修订1"/>
    <w:next w:val="1517"/>
    <w:link w:val="1344"/>
    <w:uiPriority w:val="99"/>
    <w:unhideWhenUsed/>
    <w:qFormat/>
    <w:rPr>
      <w:sz w:val="21"/>
      <w:lang w:val="en-US" w:eastAsia="zh-CN" w:bidi="ar-SA"/>
    </w:rPr>
  </w:style>
  <w:style w:type="paragraph" w:styleId="1518">
    <w:name w:val="Char"/>
    <w:basedOn w:val="1344"/>
    <w:next w:val="1518"/>
    <w:link w:val="1344"/>
    <w:qFormat/>
    <w:pPr>
      <w:tabs>
        <w:tab w:val="left" w:pos="360" w:leader="none"/>
      </w:tabs>
    </w:pPr>
    <w:rPr>
      <w:rFonts w:ascii="仿宋_GB2312" w:eastAsia="仿宋_GB2312"/>
      <w:b/>
      <w:sz w:val="24"/>
      <w:szCs w:val="24"/>
    </w:rPr>
  </w:style>
  <w:style w:type="paragraph" w:styleId="1519">
    <w:name w:val="Default"/>
    <w:basedOn w:val="1520"/>
    <w:next w:val="1519"/>
    <w:link w:val="1344"/>
    <w:qFormat/>
    <w:pPr>
      <w:widowControl w:val="off"/>
    </w:pPr>
    <w:rPr>
      <w:rFonts w:ascii="微软雅黑" w:eastAsia="微软雅黑" w:cs="微软雅黑"/>
      <w:color w:val="000000"/>
      <w:sz w:val="24"/>
      <w:szCs w:val="24"/>
      <w:lang w:val="en-US" w:eastAsia="zh-CN" w:bidi="ar-SA"/>
    </w:rPr>
  </w:style>
  <w:style w:type="paragraph" w:styleId="1520">
    <w:name w:val="正文_2"/>
    <w:next w:val="1516"/>
    <w:link w:val="1344"/>
    <w:qFormat/>
    <w:pPr>
      <w:jc w:val="both"/>
      <w:widowControl w:val="off"/>
    </w:pPr>
    <w:rPr>
      <w:sz w:val="21"/>
      <w:szCs w:val="22"/>
      <w:lang w:val="en-US" w:eastAsia="zh-CN" w:bidi="ar-SA"/>
    </w:rPr>
  </w:style>
  <w:style w:type="paragraph" w:styleId="1521">
    <w:name w:val="列出段落11"/>
    <w:basedOn w:val="1344"/>
    <w:next w:val="1521"/>
    <w:link w:val="1344"/>
    <w:uiPriority w:val="34"/>
    <w:qFormat/>
    <w:pPr>
      <w:ind w:firstLine="420"/>
    </w:pPr>
    <w:rPr>
      <w:rFonts w:ascii="Calibri" w:hAnsi="Calibri"/>
      <w:szCs w:val="22"/>
    </w:rPr>
  </w:style>
  <w:style w:type="paragraph" w:styleId="1522">
    <w:name w:val="xl72"/>
    <w:basedOn w:val="1344"/>
    <w:next w:val="1522"/>
    <w:link w:val="13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23">
    <w:name w:val="标题5"/>
    <w:basedOn w:val="1349"/>
    <w:next w:val="1523"/>
    <w:link w:val="1344"/>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524">
    <w:name w:val="Char Char"/>
    <w:basedOn w:val="1344"/>
    <w:next w:val="1524"/>
    <w:link w:val="1344"/>
    <w:qFormat/>
    <w:pPr>
      <w:tabs>
        <w:tab w:val="left" w:pos="360" w:leader="none"/>
      </w:tabs>
    </w:pPr>
    <w:rPr>
      <w:sz w:val="24"/>
      <w:szCs w:val="24"/>
    </w:rPr>
  </w:style>
  <w:style w:type="paragraph" w:styleId="1525">
    <w:name w:val="默认段落字体 Para Char Char Char Char"/>
    <w:basedOn w:val="1344"/>
    <w:next w:val="1525"/>
    <w:link w:val="1344"/>
    <w:qFormat/>
  </w:style>
  <w:style w:type="paragraph" w:styleId="1526">
    <w:name w:val="p0"/>
    <w:basedOn w:val="1344"/>
    <w:next w:val="1526"/>
    <w:link w:val="1344"/>
    <w:qFormat/>
    <w:pPr>
      <w:jc w:val="left"/>
      <w:spacing w:before="100" w:beforeAutospacing="1" w:after="100" w:afterAutospacing="1"/>
      <w:widowControl/>
    </w:pPr>
    <w:rPr>
      <w:rFonts w:ascii="宋体" w:hAnsi="宋体" w:cs="宋体"/>
      <w:sz w:val="24"/>
      <w:szCs w:val="24"/>
    </w:rPr>
  </w:style>
  <w:style w:type="paragraph" w:styleId="1527">
    <w:name w:val="xl79"/>
    <w:basedOn w:val="1344"/>
    <w:next w:val="1527"/>
    <w:link w:val="1344"/>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528">
    <w:name w:val="font10"/>
    <w:basedOn w:val="1344"/>
    <w:next w:val="1528"/>
    <w:link w:val="1344"/>
    <w:qFormat/>
    <w:pPr>
      <w:jc w:val="left"/>
      <w:spacing w:before="100" w:beforeAutospacing="1" w:after="100" w:afterAutospacing="1"/>
      <w:widowControl/>
    </w:pPr>
    <w:rPr>
      <w:rFonts w:ascii="宋体" w:hAnsi="宋体" w:cs="宋体"/>
      <w:color w:val="000000"/>
      <w:sz w:val="22"/>
      <w:szCs w:val="22"/>
    </w:rPr>
  </w:style>
  <w:style w:type="paragraph" w:styleId="1529">
    <w:name w:val="Char Char Char"/>
    <w:basedOn w:val="1344"/>
    <w:next w:val="1529"/>
    <w:link w:val="1344"/>
    <w:qFormat/>
    <w:pPr>
      <w:jc w:val="center"/>
      <w:spacing w:line="400" w:lineRule="exact"/>
      <w:widowControl/>
    </w:pPr>
    <w:rPr>
      <w:szCs w:val="24"/>
    </w:rPr>
  </w:style>
  <w:style w:type="paragraph" w:styleId="1530">
    <w:name w:val="_Style 2"/>
    <w:basedOn w:val="1344"/>
    <w:next w:val="1530"/>
    <w:link w:val="1344"/>
    <w:uiPriority w:val="34"/>
    <w:qFormat/>
    <w:pPr>
      <w:ind w:firstLine="420"/>
    </w:pPr>
    <w:rPr>
      <w:szCs w:val="24"/>
    </w:rPr>
  </w:style>
  <w:style w:type="paragraph" w:styleId="1531">
    <w:name w:val="xl100"/>
    <w:basedOn w:val="1344"/>
    <w:next w:val="1531"/>
    <w:link w:val="134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532">
    <w:name w:val="标题3"/>
    <w:basedOn w:val="1347"/>
    <w:next w:val="1532"/>
    <w:link w:val="1344"/>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533">
    <w:name w:val="Char Char Char Char"/>
    <w:basedOn w:val="1369"/>
    <w:next w:val="1533"/>
    <w:link w:val="1344"/>
    <w:qFormat/>
    <w:pPr>
      <w:jc w:val="both"/>
      <w:spacing w:line="360" w:lineRule="auto"/>
      <w:shd w:val="clear" w:color="auto" w:fill="000080"/>
    </w:pPr>
    <w:rPr>
      <w:rFonts w:ascii="Tahoma" w:hAnsi="Tahoma"/>
      <w:sz w:val="24"/>
      <w:szCs w:val="24"/>
    </w:rPr>
  </w:style>
  <w:style w:type="paragraph" w:styleId="1534">
    <w:name w:val="样式 首行缩进:  2 字符"/>
    <w:basedOn w:val="1344"/>
    <w:next w:val="1534"/>
    <w:link w:val="1344"/>
    <w:qFormat/>
    <w:pPr>
      <w:ind w:firstLine="200"/>
      <w:spacing w:line="400" w:lineRule="exact"/>
    </w:pPr>
    <w:rPr>
      <w:rFonts w:cs="宋体"/>
      <w:sz w:val="24"/>
      <w:szCs w:val="24"/>
    </w:rPr>
  </w:style>
  <w:style w:type="paragraph" w:styleId="1535">
    <w:name w:val="xl66"/>
    <w:basedOn w:val="1344"/>
    <w:next w:val="1535"/>
    <w:link w:val="13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536">
    <w:name w:val="样式 样式 标题1 + 行距: 单倍行距 + 段前: 7.8 磅 段后: 7.8 磅"/>
    <w:basedOn w:val="1344"/>
    <w:next w:val="1536"/>
    <w:link w:val="1344"/>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537">
    <w:name w:val="列出段落3"/>
    <w:basedOn w:val="1344"/>
    <w:next w:val="1537"/>
    <w:link w:val="1344"/>
    <w:qFormat/>
    <w:pPr>
      <w:ind w:firstLine="420"/>
    </w:pPr>
    <w:rPr>
      <w:rFonts w:ascii="Calibri" w:hAnsi="Calibri"/>
      <w:szCs w:val="22"/>
    </w:rPr>
  </w:style>
  <w:style w:type="paragraph" w:styleId="1538">
    <w:name w:val="xl69"/>
    <w:basedOn w:val="1344"/>
    <w:next w:val="1538"/>
    <w:link w:val="13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39">
    <w:name w:val="font6"/>
    <w:basedOn w:val="1344"/>
    <w:next w:val="1539"/>
    <w:link w:val="1344"/>
    <w:qFormat/>
    <w:pPr>
      <w:jc w:val="left"/>
      <w:spacing w:before="100" w:beforeAutospacing="1" w:after="100" w:afterAutospacing="1"/>
      <w:widowControl/>
    </w:pPr>
    <w:rPr>
      <w:color w:val="000000"/>
      <w:szCs w:val="21"/>
    </w:rPr>
  </w:style>
  <w:style w:type="paragraph" w:styleId="1540">
    <w:name w:val="列出段落2"/>
    <w:basedOn w:val="1344"/>
    <w:next w:val="1540"/>
    <w:link w:val="1344"/>
    <w:uiPriority w:val="34"/>
    <w:qFormat/>
    <w:pPr>
      <w:ind w:firstLine="420"/>
    </w:pPr>
    <w:rPr>
      <w:rFonts w:ascii="Calibri" w:hAnsi="Calibri"/>
      <w:szCs w:val="21"/>
    </w:rPr>
  </w:style>
  <w:style w:type="paragraph" w:styleId="1541">
    <w:name w:val="格式1"/>
    <w:basedOn w:val="1344"/>
    <w:next w:val="1541"/>
    <w:link w:val="1344"/>
    <w:qFormat/>
    <w:pPr>
      <w:jc w:val="center"/>
    </w:pPr>
    <w:rPr>
      <w:rFonts w:ascii="黑体" w:hAnsi="宋体" w:eastAsia="黑体"/>
      <w:b/>
      <w:bCs/>
      <w:color w:val="000000"/>
      <w:sz w:val="32"/>
    </w:rPr>
  </w:style>
  <w:style w:type="paragraph" w:styleId="1542">
    <w:name w:val="修订"/>
    <w:next w:val="1542"/>
    <w:link w:val="1344"/>
    <w:uiPriority w:val="99"/>
    <w:unhideWhenUsed/>
    <w:rPr>
      <w:sz w:val="21"/>
      <w:lang w:val="en-US" w:eastAsia="zh-CN" w:bidi="ar-SA"/>
    </w:rPr>
  </w:style>
  <w:style w:type="paragraph" w:styleId="1543">
    <w:name w:val="正文宋体4"/>
    <w:basedOn w:val="1344"/>
    <w:next w:val="1543"/>
    <w:link w:val="1344"/>
    <w:qFormat/>
    <w:pPr>
      <w:ind w:firstLine="359"/>
      <w:tabs>
        <w:tab w:val="left" w:pos="0" w:leader="none"/>
      </w:tabs>
    </w:pPr>
    <w:rPr>
      <w:rFonts w:ascii="仿宋_GB2312" w:eastAsia="仿宋_GB2312"/>
      <w:b/>
      <w:color w:val="000000"/>
      <w:sz w:val="24"/>
      <w:szCs w:val="24"/>
    </w:rPr>
  </w:style>
  <w:style w:type="paragraph" w:styleId="1544">
    <w:name w:val="正文1"/>
    <w:next w:val="1544"/>
    <w:link w:val="1344"/>
    <w:qFormat/>
    <w:pPr>
      <w:jc w:val="both"/>
    </w:pPr>
    <w:rPr>
      <w:rFonts w:cs="宋体"/>
      <w:sz w:val="21"/>
      <w:szCs w:val="21"/>
      <w:lang w:val="en-US" w:eastAsia="zh-CN" w:bidi="ar-SA"/>
    </w:rPr>
  </w:style>
  <w:style w:type="paragraph" w:styleId="1545">
    <w:name w:val="简单回函地址"/>
    <w:basedOn w:val="1344"/>
    <w:next w:val="1545"/>
    <w:link w:val="1344"/>
    <w:qFormat/>
    <w:rPr>
      <w:szCs w:val="24"/>
    </w:rPr>
  </w:style>
  <w:style w:type="paragraph" w:styleId="1546">
    <w:name w:val="font11"/>
    <w:basedOn w:val="1344"/>
    <w:next w:val="1546"/>
    <w:link w:val="1344"/>
    <w:qFormat/>
    <w:pPr>
      <w:jc w:val="left"/>
      <w:spacing w:before="100" w:beforeAutospacing="1" w:after="100" w:afterAutospacing="1"/>
      <w:widowControl/>
    </w:pPr>
    <w:rPr>
      <w:rFonts w:ascii="宋体" w:hAnsi="宋体" w:cs="宋体"/>
      <w:color w:val="000000"/>
      <w:sz w:val="18"/>
      <w:szCs w:val="18"/>
    </w:rPr>
  </w:style>
  <w:style w:type="paragraph" w:styleId="1547">
    <w:name w:val="xl105"/>
    <w:basedOn w:val="1344"/>
    <w:next w:val="1547"/>
    <w:link w:val="1344"/>
    <w:qFormat/>
    <w:pPr>
      <w:jc w:val="left"/>
      <w:spacing w:before="100" w:beforeAutospacing="1" w:after="100" w:afterAutospacing="1"/>
      <w:widowControl/>
    </w:pPr>
    <w:rPr>
      <w:rFonts w:ascii="宋体" w:hAnsi="宋体" w:cs="宋体"/>
      <w:sz w:val="20"/>
    </w:rPr>
  </w:style>
  <w:style w:type="paragraph" w:styleId="1548">
    <w:name w:val="xl86"/>
    <w:basedOn w:val="1344"/>
    <w:next w:val="1548"/>
    <w:link w:val="13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549">
    <w:name w:val="xl109"/>
    <w:basedOn w:val="1344"/>
    <w:next w:val="1549"/>
    <w:link w:val="1344"/>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550">
    <w:name w:val="节标题"/>
    <w:basedOn w:val="1344"/>
    <w:next w:val="1344"/>
    <w:link w:val="1344"/>
    <w:qFormat/>
    <w:pPr>
      <w:jc w:val="center"/>
      <w:spacing w:line="289" w:lineRule="atLeast"/>
    </w:pPr>
    <w:rPr>
      <w:sz w:val="28"/>
      <w:szCs w:val="24"/>
    </w:rPr>
  </w:style>
  <w:style w:type="paragraph" w:styleId="1551">
    <w:name w:val="xl103"/>
    <w:basedOn w:val="1344"/>
    <w:next w:val="1551"/>
    <w:link w:val="134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552">
    <w:name w:val="xl112"/>
    <w:basedOn w:val="1344"/>
    <w:next w:val="1552"/>
    <w:link w:val="1344"/>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553">
    <w:name w:val="2"/>
    <w:basedOn w:val="1344"/>
    <w:next w:val="1553"/>
    <w:link w:val="1344"/>
    <w:qFormat/>
    <w:pPr>
      <w:spacing w:line="360" w:lineRule="auto"/>
    </w:pPr>
    <w:rPr>
      <w:rFonts w:ascii="宋体" w:hAnsi="宋体"/>
      <w:b/>
      <w:sz w:val="24"/>
    </w:rPr>
  </w:style>
  <w:style w:type="paragraph" w:styleId="1554">
    <w:name w:val="BodyText1I1"/>
    <w:basedOn w:val="1555"/>
    <w:next w:val="1554"/>
    <w:link w:val="1344"/>
    <w:qFormat/>
    <w:pPr>
      <w:ind w:left="120" w:firstLine="420"/>
      <w:jc w:val="both"/>
      <w:spacing w:before="36"/>
    </w:pPr>
  </w:style>
  <w:style w:type="paragraph" w:styleId="1555">
    <w:name w:val="BodyText1"/>
    <w:basedOn w:val="1344"/>
    <w:next w:val="1344"/>
    <w:link w:val="1344"/>
    <w:qFormat/>
    <w:pPr>
      <w:ind w:left="120"/>
      <w:jc w:val="both"/>
      <w:spacing w:before="36"/>
    </w:pPr>
    <w:rPr>
      <w:rFonts w:ascii="宋体" w:hAnsi="宋体" w:eastAsia="宋体"/>
      <w:sz w:val="24"/>
      <w:szCs w:val="24"/>
      <w:lang w:val="en-US" w:eastAsia="zh-CN" w:bidi="ar-SA"/>
    </w:rPr>
  </w:style>
  <w:style w:type="paragraph" w:styleId="1556">
    <w:name w:val="font14"/>
    <w:basedOn w:val="1344"/>
    <w:next w:val="1556"/>
    <w:link w:val="1344"/>
    <w:qFormat/>
    <w:pPr>
      <w:jc w:val="left"/>
      <w:spacing w:before="100" w:beforeAutospacing="1" w:after="100" w:afterAutospacing="1"/>
      <w:widowControl/>
    </w:pPr>
    <w:rPr>
      <w:rFonts w:ascii="宋体" w:hAnsi="宋体" w:cs="宋体"/>
      <w:color w:val="000000"/>
      <w:szCs w:val="21"/>
    </w:rPr>
  </w:style>
  <w:style w:type="paragraph" w:styleId="1557">
    <w:name w:val="xl65"/>
    <w:basedOn w:val="1344"/>
    <w:next w:val="1557"/>
    <w:link w:val="13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558">
    <w:name w:val="Char Char Char Char Char Char Char1"/>
    <w:basedOn w:val="1344"/>
    <w:next w:val="1558"/>
    <w:link w:val="1344"/>
    <w:qFormat/>
    <w:pPr>
      <w:ind w:left="432" w:hanging="432"/>
      <w:jc w:val="center"/>
      <w:tabs>
        <w:tab w:val="left" w:pos="432" w:leader="none"/>
      </w:tabs>
    </w:pPr>
    <w:rPr>
      <w:rFonts w:ascii="仿宋_GB2312" w:hAnsi="Tahoma" w:eastAsia="仿宋_GB2312"/>
      <w:sz w:val="24"/>
      <w:szCs w:val="24"/>
    </w:rPr>
  </w:style>
  <w:style w:type="paragraph" w:styleId="1559">
    <w:name w:val="xl99"/>
    <w:basedOn w:val="1344"/>
    <w:next w:val="1559"/>
    <w:link w:val="1344"/>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560">
    <w:name w:val="xl80"/>
    <w:basedOn w:val="1344"/>
    <w:next w:val="1560"/>
    <w:link w:val="1344"/>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561">
    <w:name w:val="xl94"/>
    <w:basedOn w:val="1344"/>
    <w:next w:val="1561"/>
    <w:link w:val="1344"/>
    <w:qFormat/>
    <w:pPr>
      <w:jc w:val="center"/>
      <w:spacing w:before="100" w:beforeAutospacing="1" w:after="100" w:afterAutospacing="1"/>
      <w:widowControl/>
      <w:pBdr>
        <w:left w:val="single" w:color="000000" w:sz="4" w:space="0"/>
        <w:right w:val="single" w:color="000000" w:sz="4" w:space="0"/>
      </w:pBdr>
    </w:pPr>
    <w:rPr>
      <w:szCs w:val="21"/>
    </w:rPr>
  </w:style>
  <w:style w:type="paragraph" w:styleId="1562">
    <w:name w:val="标题9"/>
    <w:basedOn w:val="1352"/>
    <w:next w:val="1562"/>
    <w:link w:val="1344"/>
    <w:qFormat/>
    <w:pPr>
      <w:jc w:val="both"/>
      <w:keepLines w:val="0"/>
      <w:keepNext w:val="0"/>
      <w:spacing w:before="0" w:after="0" w:line="360" w:lineRule="auto"/>
      <w:tabs>
        <w:tab w:val="left" w:pos="0" w:leader="none"/>
      </w:tabs>
    </w:pPr>
    <w:rPr>
      <w:rFonts w:eastAsia="仿宋_GB2312"/>
      <w:sz w:val="30"/>
    </w:rPr>
  </w:style>
  <w:style w:type="paragraph" w:styleId="1563">
    <w:name w:val="正文缩进1"/>
    <w:basedOn w:val="1344"/>
    <w:next w:val="1563"/>
    <w:link w:val="1344"/>
    <w:qFormat/>
    <w:pPr>
      <w:ind w:firstLine="482"/>
      <w:spacing w:line="360" w:lineRule="atLeast"/>
    </w:pPr>
    <w:rPr>
      <w:sz w:val="24"/>
      <w:szCs w:val="24"/>
    </w:rPr>
  </w:style>
  <w:style w:type="paragraph" w:styleId="1564">
    <w:name w:val="_Style 53"/>
    <w:next w:val="1344"/>
    <w:link w:val="1344"/>
    <w:uiPriority w:val="99"/>
    <w:unhideWhenUsed/>
    <w:qFormat/>
    <w:pPr>
      <w:widowControl w:val="off"/>
    </w:pPr>
    <w:rPr>
      <w:rFonts w:ascii="宋体"/>
      <w:lang w:val="en-US" w:eastAsia="zh-CN" w:bidi="ar-SA"/>
    </w:rPr>
  </w:style>
  <w:style w:type="paragraph" w:styleId="1565">
    <w:name w:val="Char Char Char1"/>
    <w:basedOn w:val="1344"/>
    <w:next w:val="1565"/>
    <w:link w:val="1344"/>
    <w:qFormat/>
    <w:rPr>
      <w:szCs w:val="24"/>
    </w:rPr>
  </w:style>
  <w:style w:type="paragraph" w:styleId="1566">
    <w:name w:val="三级条我的分类标题"/>
    <w:basedOn w:val="1344"/>
    <w:next w:val="1566"/>
    <w:link w:val="1344"/>
    <w:uiPriority w:val="99"/>
    <w:qFormat/>
    <w:pPr>
      <w:ind w:left="992" w:hanging="567"/>
    </w:pPr>
    <w:rPr>
      <w:rFonts w:ascii="黑体" w:hAnsi="黑体" w:eastAsia="黑体"/>
      <w:b/>
      <w:sz w:val="28"/>
      <w:szCs w:val="28"/>
    </w:rPr>
  </w:style>
  <w:style w:type="paragraph" w:styleId="1567">
    <w:name w:val="yy一级标题"/>
    <w:basedOn w:val="1344"/>
    <w:next w:val="1567"/>
    <w:link w:val="1344"/>
    <w:qFormat/>
    <w:rPr>
      <w:rFonts w:ascii="宋体" w:hAnsi="宋体"/>
      <w:sz w:val="24"/>
      <w:szCs w:val="24"/>
    </w:rPr>
  </w:style>
  <w:style w:type="paragraph" w:styleId="1568">
    <w:name w:val="_Style 20"/>
    <w:basedOn w:val="1344"/>
    <w:next w:val="1569"/>
    <w:link w:val="1344"/>
    <w:uiPriority w:val="34"/>
    <w:qFormat/>
    <w:pPr>
      <w:ind w:firstLine="420"/>
    </w:pPr>
    <w:rPr>
      <w:szCs w:val="24"/>
    </w:rPr>
  </w:style>
  <w:style w:type="paragraph" w:styleId="1569">
    <w:name w:val="列出段落"/>
    <w:basedOn w:val="1344"/>
    <w:next w:val="1569"/>
    <w:link w:val="1344"/>
    <w:uiPriority w:val="34"/>
    <w:qFormat/>
    <w:pPr>
      <w:ind w:firstLine="420"/>
    </w:pPr>
  </w:style>
  <w:style w:type="paragraph" w:styleId="1570">
    <w:name w:val="标题8"/>
    <w:basedOn w:val="1351"/>
    <w:next w:val="1570"/>
    <w:link w:val="1344"/>
    <w:qFormat/>
    <w:pPr>
      <w:jc w:val="both"/>
      <w:keepLines w:val="0"/>
      <w:keepNext w:val="0"/>
      <w:spacing w:before="0" w:after="0" w:line="360" w:lineRule="auto"/>
      <w:tabs>
        <w:tab w:val="left" w:pos="0" w:leader="none"/>
      </w:tabs>
    </w:pPr>
    <w:rPr>
      <w:rFonts w:eastAsia="仿宋_GB2312"/>
      <w:sz w:val="30"/>
    </w:rPr>
  </w:style>
  <w:style w:type="paragraph" w:styleId="1571">
    <w:name w:val="xl93"/>
    <w:basedOn w:val="1344"/>
    <w:next w:val="1571"/>
    <w:link w:val="1344"/>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572">
    <w:name w:val="标题4"/>
    <w:basedOn w:val="1348"/>
    <w:next w:val="1572"/>
    <w:link w:val="1344"/>
    <w:qFormat/>
    <w:pPr>
      <w:keepLines w:val="0"/>
      <w:keepNext w:val="0"/>
      <w:spacing w:before="0" w:after="0" w:line="360" w:lineRule="auto"/>
      <w:tabs>
        <w:tab w:val="left" w:pos="0" w:leader="none"/>
      </w:tabs>
    </w:pPr>
    <w:rPr>
      <w:rFonts w:eastAsia="仿宋_GB2312"/>
      <w:b w:val="0"/>
      <w:sz w:val="30"/>
      <w:szCs w:val="30"/>
    </w:rPr>
  </w:style>
  <w:style w:type="paragraph" w:styleId="1573">
    <w:name w:val="标题6"/>
    <w:basedOn w:val="1350"/>
    <w:next w:val="1573"/>
    <w:link w:val="1344"/>
    <w:qFormat/>
    <w:pPr>
      <w:jc w:val="both"/>
      <w:keepLines w:val="0"/>
      <w:keepNext w:val="0"/>
      <w:spacing w:before="0" w:after="0" w:line="360" w:lineRule="auto"/>
      <w:tabs>
        <w:tab w:val="left" w:pos="0" w:leader="none"/>
      </w:tabs>
    </w:pPr>
    <w:rPr>
      <w:rFonts w:eastAsia="仿宋_GB2312"/>
      <w:b w:val="0"/>
      <w:sz w:val="30"/>
    </w:rPr>
  </w:style>
  <w:style w:type="paragraph" w:styleId="1574">
    <w:name w:val="xl97"/>
    <w:basedOn w:val="1344"/>
    <w:next w:val="1574"/>
    <w:link w:val="1344"/>
    <w:qFormat/>
    <w:pPr>
      <w:jc w:val="left"/>
      <w:spacing w:before="100" w:beforeAutospacing="1" w:after="100" w:afterAutospacing="1"/>
      <w:widowControl/>
    </w:pPr>
    <w:rPr>
      <w:rFonts w:ascii="宋体" w:hAnsi="宋体" w:cs="宋体"/>
      <w:szCs w:val="21"/>
    </w:rPr>
  </w:style>
  <w:style w:type="paragraph" w:styleId="1575">
    <w:name w:val="xl76"/>
    <w:basedOn w:val="1344"/>
    <w:next w:val="1575"/>
    <w:link w:val="13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576">
    <w:name w:val="yy标题"/>
    <w:basedOn w:val="1577"/>
    <w:next w:val="1576"/>
    <w:link w:val="1344"/>
    <w:qFormat/>
    <w:rPr>
      <w:sz w:val="24"/>
    </w:rPr>
  </w:style>
  <w:style w:type="paragraph" w:styleId="1577">
    <w:name w:val="yy目录"/>
    <w:basedOn w:val="1344"/>
    <w:next w:val="1577"/>
    <w:link w:val="1344"/>
    <w:qFormat/>
    <w:pPr>
      <w:spacing w:line="360" w:lineRule="auto"/>
    </w:pPr>
    <w:rPr>
      <w:rFonts w:ascii="楷体_GB2312"/>
      <w:bCs/>
      <w:sz w:val="28"/>
      <w:szCs w:val="72"/>
    </w:rPr>
  </w:style>
  <w:style w:type="paragraph" w:styleId="1578">
    <w:name w:val="xl70"/>
    <w:basedOn w:val="1344"/>
    <w:next w:val="1578"/>
    <w:link w:val="13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579">
    <w:name w:val="_Style 4"/>
    <w:basedOn w:val="1344"/>
    <w:next w:val="1579"/>
    <w:link w:val="1344"/>
    <w:uiPriority w:val="99"/>
    <w:qFormat/>
    <w:pPr>
      <w:ind w:firstLine="420"/>
    </w:pPr>
  </w:style>
  <w:style w:type="paragraph" w:styleId="1580">
    <w:name w:val="Char1"/>
    <w:basedOn w:val="1344"/>
    <w:next w:val="1580"/>
    <w:link w:val="1344"/>
    <w:qFormat/>
    <w:pPr>
      <w:ind w:left="840" w:hanging="420"/>
      <w:tabs>
        <w:tab w:val="left" w:pos="840" w:leader="none"/>
      </w:tabs>
    </w:pPr>
    <w:rPr>
      <w:sz w:val="24"/>
      <w:szCs w:val="24"/>
    </w:rPr>
  </w:style>
  <w:style w:type="paragraph" w:styleId="1581">
    <w:name w:val="xl71"/>
    <w:basedOn w:val="1344"/>
    <w:next w:val="1581"/>
    <w:link w:val="13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582">
    <w:name w:val="三级条带序号我的标题"/>
    <w:basedOn w:val="1344"/>
    <w:next w:val="1582"/>
    <w:link w:val="1344"/>
    <w:uiPriority w:val="99"/>
    <w:qFormat/>
    <w:pPr>
      <w:ind w:left="420" w:hanging="420"/>
      <w:outlineLvl w:val="2"/>
    </w:pPr>
    <w:rPr>
      <w:rFonts w:ascii="黑体" w:hAnsi="黑体" w:eastAsia="黑体"/>
      <w:b/>
      <w:sz w:val="28"/>
      <w:szCs w:val="28"/>
    </w:rPr>
  </w:style>
  <w:style w:type="paragraph" w:styleId="1583">
    <w:name w:val="TOC 标题1"/>
    <w:basedOn w:val="1345"/>
    <w:next w:val="1344"/>
    <w:link w:val="1344"/>
    <w:uiPriority w:val="39"/>
    <w:qFormat/>
    <w:pPr>
      <w:jc w:val="left"/>
      <w:keepLines/>
      <w:spacing w:before="480" w:line="276" w:lineRule="auto"/>
      <w:widowControl/>
      <w:outlineLvl w:val="9"/>
    </w:pPr>
    <w:rPr>
      <w:rFonts w:ascii="Cambria" w:hAnsi="Cambria"/>
      <w:b/>
      <w:bCs/>
      <w:color w:val="365f91"/>
      <w:szCs w:val="28"/>
    </w:rPr>
  </w:style>
  <w:style w:type="paragraph" w:styleId="1584">
    <w:name w:val="xl96"/>
    <w:basedOn w:val="1344"/>
    <w:next w:val="1584"/>
    <w:link w:val="13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585">
    <w:name w:val="xl102"/>
    <w:basedOn w:val="1344"/>
    <w:next w:val="1585"/>
    <w:link w:val="1344"/>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586">
    <w:name w:val="xl91"/>
    <w:basedOn w:val="1344"/>
    <w:next w:val="1586"/>
    <w:link w:val="1344"/>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587">
    <w:name w:val="xl67"/>
    <w:basedOn w:val="1344"/>
    <w:next w:val="1587"/>
    <w:link w:val="13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588">
    <w:name w:val="默认段落字体 Para Char Char Char Char Char Char Char"/>
    <w:basedOn w:val="1344"/>
    <w:next w:val="1588"/>
    <w:link w:val="1344"/>
    <w:qFormat/>
    <w:pPr>
      <w:spacing w:line="360" w:lineRule="auto"/>
    </w:pPr>
    <w:rPr>
      <w:rFonts w:ascii="Arial" w:hAnsi="Arial" w:eastAsia="黑体" w:cs="Verdana"/>
      <w:b/>
      <w:sz w:val="30"/>
      <w:szCs w:val="24"/>
      <w:lang w:eastAsia="en-US"/>
    </w:rPr>
  </w:style>
  <w:style w:type="paragraph" w:styleId="1589">
    <w:name w:val="列出段落5"/>
    <w:basedOn w:val="1344"/>
    <w:next w:val="1589"/>
    <w:link w:val="1344"/>
    <w:uiPriority w:val="99"/>
    <w:unhideWhenUsed/>
    <w:qFormat/>
    <w:pPr>
      <w:ind w:firstLine="420"/>
    </w:pPr>
  </w:style>
  <w:style w:type="paragraph" w:styleId="1590">
    <w:name w:val="列出段落4"/>
    <w:basedOn w:val="1344"/>
    <w:next w:val="1590"/>
    <w:link w:val="1344"/>
    <w:uiPriority w:val="34"/>
    <w:qFormat/>
    <w:pPr>
      <w:ind w:firstLine="420"/>
    </w:pPr>
  </w:style>
  <w:style w:type="paragraph" w:styleId="1591">
    <w:name w:val="xl81"/>
    <w:basedOn w:val="1344"/>
    <w:next w:val="1591"/>
    <w:link w:val="1344"/>
    <w:qFormat/>
    <w:pPr>
      <w:jc w:val="left"/>
      <w:spacing w:before="100" w:beforeAutospacing="1" w:after="100" w:afterAutospacing="1"/>
      <w:widowControl/>
      <w:pBdr>
        <w:left w:val="single" w:color="000000" w:sz="4" w:space="0"/>
        <w:right w:val="single" w:color="000000" w:sz="4" w:space="0"/>
      </w:pBdr>
    </w:pPr>
    <w:rPr>
      <w:sz w:val="20"/>
    </w:rPr>
  </w:style>
  <w:style w:type="paragraph" w:styleId="1592">
    <w:name w:val="_Style 231"/>
    <w:next w:val="1592"/>
    <w:link w:val="1344"/>
    <w:uiPriority w:val="99"/>
    <w:qFormat/>
    <w:pPr>
      <w:jc w:val="both"/>
      <w:widowControl w:val="off"/>
    </w:pPr>
    <w:rPr>
      <w:sz w:val="21"/>
      <w:lang w:val="en-US" w:eastAsia="zh-CN" w:bidi="ar-SA"/>
    </w:rPr>
  </w:style>
  <w:style w:type="paragraph" w:styleId="1593">
    <w:name w:val="Table Paragraph"/>
    <w:basedOn w:val="1344"/>
    <w:next w:val="1593"/>
    <w:link w:val="1344"/>
    <w:uiPriority w:val="1"/>
    <w:qFormat/>
    <w:pPr>
      <w:spacing w:before="2"/>
    </w:pPr>
    <w:rPr>
      <w:rFonts w:ascii="宋体" w:hAnsi="宋体" w:eastAsia="宋体" w:cs="宋体"/>
      <w:lang w:val="zh-CN" w:eastAsia="zh-CN" w:bidi="zh-CN"/>
    </w:rPr>
  </w:style>
  <w:style w:type="paragraph" w:styleId="1594">
    <w:name w:val="xl68"/>
    <w:basedOn w:val="1344"/>
    <w:next w:val="1594"/>
    <w:link w:val="134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595">
    <w:name w:val="Body Text First Indent1"/>
    <w:basedOn w:val="1374"/>
    <w:next w:val="1595"/>
    <w:link w:val="1344"/>
    <w:qFormat/>
    <w:pPr>
      <w:ind w:firstLine="420"/>
    </w:pPr>
  </w:style>
  <w:style w:type="paragraph" w:styleId="1596">
    <w:name w:val="yy标题2"/>
    <w:basedOn w:val="1577"/>
    <w:next w:val="1596"/>
    <w:link w:val="1344"/>
    <w:qFormat/>
    <w:rPr>
      <w:bCs w:val="0"/>
      <w:color w:val="000000"/>
      <w:sz w:val="24"/>
    </w:rPr>
  </w:style>
  <w:style w:type="paragraph" w:styleId="1597">
    <w:name w:val="xl90"/>
    <w:basedOn w:val="1344"/>
    <w:next w:val="1597"/>
    <w:link w:val="134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598">
    <w:name w:val="xl108"/>
    <w:basedOn w:val="1344"/>
    <w:next w:val="1598"/>
    <w:link w:val="134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99">
    <w:name w:val="xl74"/>
    <w:basedOn w:val="1344"/>
    <w:next w:val="1599"/>
    <w:link w:val="13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600">
    <w:name w:val="xl83"/>
    <w:basedOn w:val="1344"/>
    <w:next w:val="1600"/>
    <w:link w:val="1344"/>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601">
    <w:name w:val="彩色列表 - 强调文字颜色 11"/>
    <w:basedOn w:val="1344"/>
    <w:next w:val="1601"/>
    <w:link w:val="1344"/>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602">
    <w:name w:val="xl111"/>
    <w:basedOn w:val="1344"/>
    <w:next w:val="1602"/>
    <w:link w:val="1344"/>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603">
    <w:name w:val="xl77"/>
    <w:basedOn w:val="1344"/>
    <w:next w:val="1603"/>
    <w:link w:val="13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04">
    <w:name w:val="标题2"/>
    <w:basedOn w:val="1346"/>
    <w:next w:val="1604"/>
    <w:link w:val="1344"/>
    <w:qFormat/>
    <w:pPr>
      <w:keepLines w:val="0"/>
      <w:keepNext w:val="0"/>
      <w:spacing w:before="0" w:after="0" w:line="360" w:lineRule="auto"/>
      <w:tabs>
        <w:tab w:val="left" w:pos="0" w:leader="none"/>
      </w:tabs>
    </w:pPr>
    <w:rPr>
      <w:rFonts w:eastAsia="仿宋_GB2312"/>
      <w:b w:val="0"/>
      <w:sz w:val="30"/>
    </w:rPr>
  </w:style>
  <w:style w:type="paragraph" w:styleId="1605">
    <w:name w:val="正文2"/>
    <w:basedOn w:val="1344"/>
    <w:next w:val="1605"/>
    <w:link w:val="1344"/>
    <w:qFormat/>
    <w:pPr>
      <w:ind w:firstLine="200"/>
      <w:jc w:val="left"/>
      <w:spacing w:after="160" w:line="360" w:lineRule="auto"/>
      <w:widowControl/>
    </w:pPr>
    <w:rPr>
      <w:rFonts w:ascii="Verdana" w:hAnsi="Verdana" w:eastAsia="黑体"/>
      <w:lang w:eastAsia="en-US"/>
    </w:rPr>
  </w:style>
  <w:style w:type="paragraph" w:styleId="1606">
    <w:name w:val="xl107"/>
    <w:basedOn w:val="1344"/>
    <w:next w:val="1606"/>
    <w:link w:val="1344"/>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607">
    <w:name w:val="xl104"/>
    <w:basedOn w:val="1344"/>
    <w:next w:val="1607"/>
    <w:link w:val="1344"/>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08">
    <w:name w:val="xl95"/>
    <w:basedOn w:val="1344"/>
    <w:next w:val="1608"/>
    <w:link w:val="1344"/>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09">
    <w:name w:val="font13"/>
    <w:basedOn w:val="1344"/>
    <w:next w:val="1609"/>
    <w:link w:val="1344"/>
    <w:qFormat/>
    <w:pPr>
      <w:jc w:val="left"/>
      <w:spacing w:before="100" w:beforeAutospacing="1" w:after="100" w:afterAutospacing="1"/>
      <w:widowControl/>
    </w:pPr>
    <w:rPr>
      <w:rFonts w:ascii="宋体" w:hAnsi="宋体" w:cs="宋体"/>
      <w:sz w:val="18"/>
      <w:szCs w:val="18"/>
    </w:rPr>
  </w:style>
  <w:style w:type="paragraph" w:styleId="1610">
    <w:name w:val="font5"/>
    <w:basedOn w:val="1344"/>
    <w:next w:val="1610"/>
    <w:link w:val="1344"/>
    <w:qFormat/>
    <w:pPr>
      <w:jc w:val="left"/>
      <w:spacing w:before="100" w:beforeAutospacing="1" w:after="100" w:afterAutospacing="1"/>
      <w:widowControl/>
    </w:pPr>
    <w:rPr>
      <w:color w:val="000000"/>
      <w:sz w:val="20"/>
    </w:rPr>
  </w:style>
  <w:style w:type="paragraph" w:styleId="1611">
    <w:name w:val="xl98"/>
    <w:basedOn w:val="1344"/>
    <w:next w:val="1611"/>
    <w:link w:val="1344"/>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612">
    <w:name w:val="xl87"/>
    <w:basedOn w:val="1344"/>
    <w:next w:val="1612"/>
    <w:link w:val="1344"/>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613">
    <w:name w:val="xl110"/>
    <w:basedOn w:val="1344"/>
    <w:next w:val="1613"/>
    <w:link w:val="1344"/>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614">
    <w:name w:val="a"/>
    <w:basedOn w:val="1344"/>
    <w:next w:val="1614"/>
    <w:link w:val="1344"/>
    <w:qFormat/>
    <w:pPr>
      <w:jc w:val="left"/>
      <w:spacing w:before="100" w:beforeAutospacing="1" w:after="100" w:afterAutospacing="1"/>
    </w:pPr>
    <w:rPr>
      <w:rFonts w:ascii="宋体" w:hAnsi="宋体" w:cs="宋体"/>
      <w:sz w:val="24"/>
      <w:szCs w:val="24"/>
    </w:rPr>
  </w:style>
  <w:style w:type="paragraph" w:styleId="1615">
    <w:name w:val="font8"/>
    <w:basedOn w:val="1344"/>
    <w:next w:val="1615"/>
    <w:link w:val="1344"/>
    <w:qFormat/>
    <w:pPr>
      <w:jc w:val="left"/>
      <w:spacing w:before="100" w:beforeAutospacing="1" w:after="100" w:afterAutospacing="1"/>
      <w:widowControl/>
    </w:pPr>
    <w:rPr>
      <w:rFonts w:ascii="宋体" w:hAnsi="宋体" w:cs="宋体"/>
      <w:b/>
      <w:bCs/>
      <w:color w:val="000000"/>
      <w:szCs w:val="21"/>
    </w:rPr>
  </w:style>
  <w:style w:type="paragraph" w:styleId="1616">
    <w:name w:val="Char Char Char Char Char Char Char"/>
    <w:basedOn w:val="1344"/>
    <w:next w:val="1616"/>
    <w:link w:val="1344"/>
    <w:semiHidden/>
    <w:qFormat/>
    <w:rPr>
      <w:rFonts w:ascii="Tahoma" w:hAnsi="Tahoma" w:cs="仿宋_GB2312"/>
      <w:sz w:val="24"/>
      <w:szCs w:val="28"/>
    </w:rPr>
  </w:style>
  <w:style w:type="paragraph" w:styleId="1617">
    <w:name w:val="xl106"/>
    <w:basedOn w:val="1344"/>
    <w:next w:val="1617"/>
    <w:link w:val="1344"/>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618">
    <w:name w:val="_Style 1"/>
    <w:basedOn w:val="1344"/>
    <w:next w:val="1618"/>
    <w:link w:val="1344"/>
    <w:uiPriority w:val="99"/>
    <w:qFormat/>
    <w:pPr>
      <w:ind w:firstLine="420"/>
    </w:pPr>
    <w:rPr>
      <w:rFonts w:ascii="Calibri" w:hAnsi="Calibri"/>
      <w:szCs w:val="22"/>
    </w:rPr>
  </w:style>
  <w:style w:type="paragraph" w:styleId="1619">
    <w:name w:val="yy正文"/>
    <w:basedOn w:val="1577"/>
    <w:next w:val="1619"/>
    <w:link w:val="1344"/>
    <w:qFormat/>
    <w:pPr>
      <w:spacing w:line="300" w:lineRule="auto"/>
    </w:pPr>
    <w:rPr>
      <w:sz w:val="21"/>
    </w:rPr>
  </w:style>
  <w:style w:type="paragraph" w:styleId="1620">
    <w:name w:val="正文 A"/>
    <w:next w:val="1620"/>
    <w:link w:val="1344"/>
    <w:qFormat/>
    <w:pPr>
      <w:jc w:val="both"/>
      <w:widowControl w:val="off"/>
    </w:pPr>
    <w:rPr>
      <w:rFonts w:eastAsia="Times New Roman"/>
      <w:color w:val="000000"/>
      <w:sz w:val="21"/>
      <w:szCs w:val="21"/>
      <w:lang w:val="en-US" w:eastAsia="zh-CN" w:bidi="ar-SA"/>
    </w:rPr>
  </w:style>
  <w:style w:type="paragraph" w:styleId="1621">
    <w:name w:val="首行缩进"/>
    <w:basedOn w:val="1344"/>
    <w:next w:val="1621"/>
    <w:link w:val="1344"/>
    <w:qFormat/>
    <w:pPr>
      <w:ind w:firstLine="480"/>
    </w:pPr>
    <w:rPr>
      <w:lang w:val="zh-CN"/>
    </w:rPr>
  </w:style>
  <w:style w:type="paragraph" w:styleId="1622">
    <w:name w:val="font12"/>
    <w:basedOn w:val="1344"/>
    <w:next w:val="1622"/>
    <w:link w:val="1344"/>
    <w:qFormat/>
    <w:pPr>
      <w:jc w:val="left"/>
      <w:spacing w:before="100" w:beforeAutospacing="1" w:after="100" w:afterAutospacing="1"/>
      <w:widowControl/>
    </w:pPr>
    <w:rPr>
      <w:rFonts w:ascii="宋体" w:hAnsi="宋体" w:cs="宋体"/>
      <w:color w:val="000000"/>
      <w:sz w:val="20"/>
    </w:rPr>
  </w:style>
  <w:style w:type="paragraph" w:styleId="1623">
    <w:name w:val="Char Char2 Char"/>
    <w:basedOn w:val="1344"/>
    <w:next w:val="1623"/>
    <w:link w:val="1344"/>
    <w:qFormat/>
    <w:pPr>
      <w:ind w:left="390" w:hanging="390"/>
      <w:keepLines/>
      <w:keepNext/>
      <w:pageBreakBefore/>
      <w:tabs>
        <w:tab w:val="left" w:pos="390" w:leader="none"/>
      </w:tabs>
    </w:pPr>
    <w:rPr>
      <w:szCs w:val="24"/>
    </w:rPr>
  </w:style>
  <w:style w:type="paragraph" w:styleId="1624">
    <w:name w:val="xl88"/>
    <w:basedOn w:val="1344"/>
    <w:next w:val="1624"/>
    <w:link w:val="1344"/>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625">
    <w:name w:val="xl89"/>
    <w:basedOn w:val="1344"/>
    <w:next w:val="1625"/>
    <w:link w:val="1344"/>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626">
    <w:name w:val="font7"/>
    <w:basedOn w:val="1344"/>
    <w:next w:val="1626"/>
    <w:link w:val="1344"/>
    <w:qFormat/>
    <w:pPr>
      <w:jc w:val="left"/>
      <w:spacing w:before="100" w:beforeAutospacing="1" w:after="100" w:afterAutospacing="1"/>
      <w:widowControl/>
    </w:pPr>
    <w:rPr>
      <w:b/>
      <w:bCs/>
      <w:color w:val="000000"/>
      <w:szCs w:val="21"/>
    </w:rPr>
  </w:style>
  <w:style w:type="paragraph" w:styleId="1627">
    <w:name w:val="font9"/>
    <w:basedOn w:val="1344"/>
    <w:next w:val="1627"/>
    <w:link w:val="1344"/>
    <w:qFormat/>
    <w:pPr>
      <w:jc w:val="left"/>
      <w:spacing w:before="100" w:beforeAutospacing="1" w:after="100" w:afterAutospacing="1"/>
      <w:widowControl/>
    </w:pPr>
    <w:rPr>
      <w:rFonts w:ascii="宋体" w:hAnsi="宋体" w:cs="宋体"/>
      <w:color w:val="000000"/>
      <w:szCs w:val="21"/>
    </w:rPr>
  </w:style>
  <w:style w:type="paragraph" w:styleId="1628">
    <w:name w:val="xl92"/>
    <w:basedOn w:val="1344"/>
    <w:next w:val="1628"/>
    <w:link w:val="1344"/>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629">
    <w:name w:val="xl78"/>
    <w:basedOn w:val="1344"/>
    <w:next w:val="1629"/>
    <w:link w:val="13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630">
    <w:name w:val="xl82"/>
    <w:basedOn w:val="1344"/>
    <w:next w:val="1630"/>
    <w:link w:val="134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631">
    <w:name w:val="xl84"/>
    <w:basedOn w:val="1344"/>
    <w:next w:val="1631"/>
    <w:link w:val="134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632">
    <w:name w:val="缺省文本"/>
    <w:basedOn w:val="1344"/>
    <w:next w:val="1632"/>
    <w:link w:val="1344"/>
    <w:qFormat/>
    <w:pPr>
      <w:ind w:firstLine="504"/>
      <w:jc w:val="left"/>
      <w:spacing w:before="20" w:after="20" w:line="400" w:lineRule="exact"/>
    </w:pPr>
    <w:rPr>
      <w:sz w:val="24"/>
    </w:rPr>
  </w:style>
  <w:style w:type="paragraph" w:styleId="1633">
    <w:name w:val="xl85"/>
    <w:basedOn w:val="1344"/>
    <w:next w:val="1633"/>
    <w:link w:val="1344"/>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634">
    <w:name w:val="yy标题3"/>
    <w:basedOn w:val="1596"/>
    <w:next w:val="1634"/>
    <w:link w:val="1344"/>
    <w:qFormat/>
  </w:style>
  <w:style w:type="paragraph" w:styleId="1635">
    <w:name w:val="xl73"/>
    <w:basedOn w:val="1344"/>
    <w:next w:val="1635"/>
    <w:link w:val="13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636">
    <w:name w:val="列表段落1"/>
    <w:basedOn w:val="1344"/>
    <w:next w:val="1636"/>
    <w:link w:val="1344"/>
    <w:uiPriority w:val="34"/>
    <w:qFormat/>
  </w:style>
  <w:style w:type="paragraph" w:styleId="1637">
    <w:name w:val="Table Text"/>
    <w:basedOn w:val="1344"/>
    <w:next w:val="1637"/>
    <w:link w:val="1344"/>
    <w:semiHidden/>
    <w:qFormat/>
    <w:rPr>
      <w:rFonts w:ascii="宋体" w:hAnsi="宋体" w:eastAsia="宋体" w:cs="宋体"/>
      <w:sz w:val="20"/>
      <w:szCs w:val="20"/>
      <w:lang w:val="en-US" w:eastAsia="en-US" w:bidi="ar-SA"/>
    </w:rPr>
  </w:style>
  <w:style w:type="table" w:styleId="1638">
    <w:name w:val="Table Normal"/>
    <w:next w:val="1638"/>
    <w:link w:val="1344"/>
    <w:unhideWhenUsed/>
    <w:qFormat/>
    <w:rPr>
      <w:lang w:val="en-US" w:eastAsia="zh-CN" w:bidi="ar-SA"/>
    </w:rPr>
    <w:tblPr/>
  </w:style>
  <w:style w:type="paragraph" w:styleId="1639">
    <w:name w:val="正文首行缩进2"/>
    <w:basedOn w:val="1344"/>
    <w:next w:val="1639"/>
    <w:link w:val="1344"/>
    <w:qFormat/>
    <w:pPr>
      <w:ind w:firstLine="200"/>
    </w:pPr>
  </w:style>
  <w:style w:type="character" w:styleId="1640">
    <w:name w:val="font51"/>
    <w:next w:val="1640"/>
    <w:link w:val="1344"/>
    <w:rPr>
      <w:rFonts w:ascii="Times New Roman" w:hAnsi="Times New Roman" w:cs="Times New Roman"/>
      <w:i w:val="0"/>
      <w:iCs w:val="0"/>
      <w:color w:val="000000"/>
      <w:sz w:val="24"/>
      <w:szCs w:val="24"/>
      <w:u w:val="none"/>
    </w:rPr>
  </w:style>
  <w:style w:type="character" w:styleId="1641">
    <w:name w:val="font61"/>
    <w:next w:val="1641"/>
    <w:link w:val="1344"/>
    <w:rPr>
      <w:rFonts w:ascii="等线" w:hAnsi="等线" w:eastAsia="等线" w:cs="等线"/>
      <w:i w:val="0"/>
      <w:iCs w:val="0"/>
      <w:color w:val="000000"/>
      <w:sz w:val="24"/>
      <w:szCs w:val="24"/>
      <w:u w:val="none"/>
    </w:rPr>
  </w:style>
  <w:style w:type="character" w:styleId="1642">
    <w:name w:val="font81"/>
    <w:next w:val="1642"/>
    <w:link w:val="1344"/>
    <w:rPr>
      <w:rFonts w:ascii="Times New Roman" w:hAnsi="Times New Roman" w:cs="Times New Roman"/>
      <w:i w:val="0"/>
      <w:iCs w:val="0"/>
      <w:color w:val="000000"/>
      <w:sz w:val="24"/>
      <w:szCs w:val="24"/>
      <w:u w:val="none"/>
    </w:rPr>
  </w:style>
  <w:style w:type="character" w:styleId="1643">
    <w:name w:val="font91"/>
    <w:next w:val="1643"/>
    <w:link w:val="1344"/>
    <w:rPr>
      <w:rFonts w:ascii="等线" w:hAnsi="等线" w:eastAsia="等线" w:cs="等线"/>
      <w:i w:val="0"/>
      <w:iCs w:val="0"/>
      <w:color w:val="000000"/>
      <w:sz w:val="24"/>
      <w:szCs w:val="24"/>
      <w:u w:val="none"/>
    </w:rPr>
  </w:style>
  <w:style w:type="character" w:styleId="1644">
    <w:name w:val="font101"/>
    <w:next w:val="1644"/>
    <w:link w:val="1344"/>
    <w:rPr>
      <w:rFonts w:hint="eastAsia" w:ascii="宋体" w:hAnsi="宋体" w:eastAsia="宋体" w:cs="宋体"/>
      <w:i w:val="0"/>
      <w:iCs w:val="0"/>
      <w:color w:val="000000"/>
      <w:sz w:val="24"/>
      <w:szCs w:val="24"/>
      <w:u w:val="none"/>
    </w:rPr>
  </w:style>
  <w:style w:type="character" w:styleId="1645">
    <w:name w:val="font112"/>
    <w:next w:val="1645"/>
    <w:link w:val="1344"/>
    <w:rPr>
      <w:rFonts w:hint="eastAsia" w:ascii="宋体" w:hAnsi="宋体" w:eastAsia="宋体" w:cs="宋体"/>
      <w:i w:val="0"/>
      <w:iCs w:val="0"/>
      <w:color w:val="000000"/>
      <w:sz w:val="24"/>
      <w:szCs w:val="24"/>
      <w:u w:val="none"/>
    </w:rPr>
  </w:style>
  <w:style w:type="paragraph" w:styleId="1646">
    <w:name w:val="标题 41"/>
    <w:basedOn w:val="1344"/>
    <w:next w:val="1563"/>
    <w:link w:val="1344"/>
    <w:uiPriority w:val="9"/>
    <w:qFormat/>
    <w:pPr>
      <w:keepLines/>
      <w:keepNext/>
      <w:spacing w:before="280" w:after="290" w:line="374" w:lineRule="auto"/>
      <w:outlineLvl w:val="3"/>
    </w:pPr>
    <w:rPr>
      <w:rFonts w:ascii="Arial" w:hAnsi="Arial" w:eastAsia="黑体" w:cs="Arial"/>
      <w:b/>
      <w:bCs/>
      <w:sz w:val="28"/>
      <w:szCs w:val="28"/>
    </w:rPr>
  </w:style>
  <w:style w:type="paragraph" w:styleId="1647">
    <w:name w:val="无间隔1"/>
    <w:next w:val="1647"/>
    <w:link w:val="1344"/>
    <w:uiPriority w:val="99"/>
    <w:qFormat/>
    <w:pPr>
      <w:jc w:val="both"/>
      <w:widowControl w:val="off"/>
    </w:pPr>
    <w:rPr>
      <w:sz w:val="21"/>
      <w:szCs w:val="21"/>
      <w:lang w:val="en-US" w:eastAsia="zh-CN" w:bidi="ar-SA"/>
    </w:rPr>
  </w:style>
  <w:style w:type="paragraph" w:styleId="1648">
    <w:name w:val="[Normal]"/>
    <w:next w:val="1648"/>
    <w:link w:val="1344"/>
    <w:uiPriority w:val="99"/>
    <w:qFormat/>
    <w:rPr>
      <w:rFonts w:ascii="方正仿宋简体" w:hAnsi="方正仿宋简体" w:eastAsia="方正仿宋简体" w:cs="Courier New"/>
      <w:sz w:val="24"/>
      <w:szCs w:val="22"/>
      <w:lang w:val="zh-CN" w:eastAsia="zh-CN" w:bidi="ar-SA"/>
    </w:rPr>
  </w:style>
  <w:style w:type="character" w:styleId="35274" w:default="1">
    <w:name w:val="Default Paragraph Font"/>
    <w:uiPriority w:val="1"/>
    <w:semiHidden/>
    <w:unhideWhenUsed/>
  </w:style>
  <w:style w:type="numbering" w:styleId="35275" w:default="1">
    <w:name w:val="No List"/>
    <w:uiPriority w:val="99"/>
    <w:semiHidden/>
    <w:unhideWhenUsed/>
  </w:style>
  <w:style w:type="table" w:styleId="352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footer" Target="footer13.xml" /><Relationship Id="rId25" Type="http://schemas.openxmlformats.org/officeDocument/2006/relationships/footer" Target="footer14.xml" /><Relationship Id="rId26" Type="http://schemas.openxmlformats.org/officeDocument/2006/relationships/footer" Target="footer15.xml" /><Relationship Id="rId27" Type="http://schemas.openxmlformats.org/officeDocument/2006/relationships/footer" Target="footer16.xml" /><Relationship Id="rId28" Type="http://schemas.openxmlformats.org/officeDocument/2006/relationships/footer" Target="footer17.xml" /><Relationship Id="rId29" Type="http://schemas.openxmlformats.org/officeDocument/2006/relationships/footer" Target="footer1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王嘉卉</cp:lastModifiedBy>
  <cp:revision>2</cp:revision>
  <dcterms:created xsi:type="dcterms:W3CDTF">2026-09-03T02:23:00Z</dcterms:created>
  <dcterms:modified xsi:type="dcterms:W3CDTF">2026-09-04T08:00:01Z</dcterms:modified>
</cp:coreProperties>
</file>