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采</w:t>
      </w: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eastAsia="zh-CN"/>
        </w:rPr>
        <w:t xml:space="preserve">购</w:t>
      </w:r>
      <w:r>
        <w:rPr>
          <w:rFonts w:hint="eastAsia" w:ascii="Arial" w:hAnsi="Arial" w:eastAsia="黑体"/>
          <w:b/>
          <w:bCs/>
          <w:color w:val="000000"/>
          <w:sz w:val="84"/>
          <w:szCs w:val="24"/>
        </w:rPr>
        <w:t xml:space="preserve">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w:t>
      </w:r>
      <w:r>
        <w:rPr>
          <w:rFonts w:hint="eastAsia" w:ascii="Arial" w:hAnsi="Arial" w:eastAsia="宋体" w:cs="Times New Roman"/>
          <w:b/>
          <w:bCs/>
          <w:color w:val="000000"/>
          <w:sz w:val="32"/>
          <w:szCs w:val="24"/>
          <w:lang w:eastAsia="zh-CN"/>
        </w:rPr>
        <w:t xml:space="preserve">连云港市赣榆区卫生健康委员会公共场所配置自动体外除颤器（AED）采购项目（专门面向中小企业采购）</w:t>
      </w:r>
      <w:r/>
    </w:p>
    <w:p>
      <w:pPr>
        <w:spacing w:before="120" w:after="120" w:line="360" w:lineRule="auto"/>
        <w:rPr>
          <w:rFonts w:hint="eastAsia" w:ascii="Arial" w:hAnsi="Arial"/>
          <w:b/>
          <w:bCs/>
          <w:sz w:val="32"/>
          <w:szCs w:val="24"/>
        </w:rPr>
      </w:pPr>
      <w:r>
        <w:rPr>
          <w:rFonts w:hint="eastAsia" w:ascii="Arial" w:hAnsi="Arial"/>
          <w:b/>
          <w:bCs/>
          <w:sz w:val="32"/>
          <w:szCs w:val="24"/>
        </w:rPr>
        <w:t xml:space="preserve">项目编号：JSZC-320707-XZBM-G2026-0011</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lang w:val="en-US" w:eastAsia="zh-CN"/>
        </w:rPr>
        <w:t xml:space="preserve">  </w:t>
      </w: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连云港市赣榆区卫生健康委员会</w:t>
      </w:r>
      <w:r/>
    </w:p>
    <w:p>
      <w:pPr>
        <w:jc w:val="center"/>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rPr>
        <w:t xml:space="preserve">采购代理机构：</w:t>
      </w:r>
      <w:r>
        <w:rPr>
          <w:rFonts w:hint="eastAsia" w:ascii="Arial" w:hAnsi="Arial"/>
          <w:b/>
          <w:bCs/>
          <w:color w:val="000000"/>
          <w:sz w:val="32"/>
          <w:szCs w:val="24"/>
          <w:lang w:eastAsia="zh-CN"/>
        </w:rPr>
        <w:t xml:space="preserve">江苏博茂项目管理有限公司</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09</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22</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45</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48</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连云港市赣榆区卫生健康委员会</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江苏博茂项目管理有限公司</w:t>
      </w:r>
      <w:r>
        <w:rPr>
          <w:rFonts w:hint="eastAsia" w:ascii="宋体" w:hAnsi="宋体"/>
          <w:color w:val="000000"/>
          <w:sz w:val="24"/>
          <w:szCs w:val="24"/>
        </w:rPr>
        <w:t xml:space="preserve">就</w:t>
      </w:r>
      <w:r>
        <w:rPr>
          <w:rFonts w:hint="eastAsia" w:ascii="宋体" w:hAnsi="宋体"/>
          <w:color w:val="000000"/>
          <w:sz w:val="24"/>
          <w:szCs w:val="24"/>
          <w:u w:val="single"/>
          <w:lang w:eastAsia="zh-CN"/>
        </w:rPr>
        <w:t xml:space="preserve">连云港市赣榆区卫生健康委员会公共场所配置自动体外除颤器（AED）采购项目（专门面向中小企业采购）</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none"/>
          <w:u w:val="single"/>
          <w:shd w:val="clear" w:color="auto" w:fill="auto"/>
          <w:lang w:eastAsia="zh-CN"/>
        </w:rPr>
        <w:t xml:space="preserve">JSZC-320707-XZBM-G2026-0011</w:t>
      </w:r>
      <w:r>
        <w:rPr>
          <w:rFonts w:hint="eastAsia" w:ascii="宋体" w:hAnsi="宋体"/>
          <w:color w:val="000000"/>
          <w:sz w:val="24"/>
          <w:szCs w:val="24"/>
        </w:rPr>
        <w:t xml:space="preserve">)项目进行公开招标采购，欢迎符合条件的供应商投标。</w:t>
      </w:r>
      <w:r/>
    </w:p>
    <w:p>
      <w:pPr>
        <w:ind w:firstLine="480"/>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连云港市赣榆区卫生健康委员会公共场所配置自动体外除颤器（AED）采购项目（专门面向中小企业采购）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24</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640"/>
        <w:keepLines/>
        <w:keepNext/>
        <w:pageBreakBefore w:val="0"/>
        <w:spacing w:line="360" w:lineRule="auto"/>
        <w:widowControl w:val="off"/>
        <w:rPr>
          <w:b/>
          <w:bCs/>
          <w:color w:val="000000"/>
          <w:sz w:val="32"/>
          <w:szCs w:val="32"/>
        </w:rPr>
        <w:outlineLvl w:val="2"/>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1.项目编号：JSZC-320707-XZBM-G2026-0011</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2.项目名称：</w:t>
      </w:r>
      <w:bookmarkStart w:id="218" w:name="_GoBack"/>
      <w:r>
        <w:rPr>
          <w:rFonts w:hint="eastAsia" w:ascii="宋体" w:hAnsi="宋体"/>
          <w:color w:val="000000"/>
          <w:sz w:val="24"/>
          <w:szCs w:val="24"/>
          <w:lang w:eastAsia="zh-CN"/>
        </w:rPr>
        <w:t xml:space="preserve">连云港市赣榆区卫生健康委员会公共场所配置自动体外除颤器（AED）采购项目（专门面向中小企业采购）</w:t>
      </w:r>
      <w:bookmarkEnd w:id="218"/>
      <w:r/>
      <w:bookmarkEnd w:id="11"/>
      <w:r/>
      <w:r/>
    </w:p>
    <w:p>
      <w:pPr>
        <w:ind w:firstLine="480"/>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sz w:val="24"/>
          <w:szCs w:val="24"/>
        </w:rPr>
        <w:t xml:space="preserve">3.预算金额</w:t>
      </w:r>
      <w:r>
        <w:rPr>
          <w:rFonts w:hint="eastAsia" w:ascii="宋体" w:hAnsi="宋体"/>
          <w:sz w:val="24"/>
          <w:szCs w:val="24"/>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人民币150万元</w:t>
      </w:r>
      <w:r/>
    </w:p>
    <w:p>
      <w:pPr>
        <w:ind w:firstLine="480"/>
        <w:pageBreakBefore w:val="0"/>
        <w:spacing w:line="360" w:lineRule="auto"/>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lang w:val="en-US" w:eastAsia="zh-CN"/>
        </w:rPr>
        <w:t xml:space="preserve">最高限价：人民币146.7万元</w:t>
      </w:r>
      <w:r>
        <w:rPr>
          <w:rFonts w:hint="eastAsia" w:ascii="宋体" w:hAnsi="宋体" w:eastAsia="宋体" w:cs="宋体"/>
          <w:color w:val="000000"/>
          <w:sz w:val="24"/>
          <w:szCs w:val="24"/>
          <w:highlight w:val="none"/>
          <w:shd w:val="clear" w:color="auto" w:fill="auto"/>
          <w:lang w:eastAsia="zh-CN"/>
        </w:rPr>
        <w:t xml:space="preserve">（自动体外除颤器（AED）</w:t>
      </w:r>
      <w:r>
        <w:rPr>
          <w:rFonts w:hint="eastAsia" w:ascii="宋体" w:hAnsi="宋体" w:eastAsia="宋体" w:cs="宋体"/>
          <w:color w:val="000000"/>
          <w:sz w:val="24"/>
          <w:szCs w:val="24"/>
          <w:highlight w:val="none"/>
          <w:shd w:val="clear" w:color="auto" w:fill="auto"/>
          <w:lang w:val="en-US" w:eastAsia="zh-CN"/>
        </w:rPr>
        <w:t xml:space="preserve">最高限价9000元/套</w:t>
      </w:r>
      <w:r>
        <w:rPr>
          <w:rFonts w:hint="eastAsia" w:ascii="宋体" w:hAnsi="宋体" w:eastAsia="宋体" w:cs="宋体"/>
          <w:color w:val="000000"/>
          <w:sz w:val="24"/>
          <w:szCs w:val="24"/>
          <w:highlight w:val="none"/>
          <w:shd w:val="clear" w:color="auto" w:fill="auto"/>
          <w:lang w:eastAsia="zh-CN"/>
        </w:rPr>
        <w:t xml:space="preserve">）投标报价超出预算金额的作无效标处理；分项报价超出分项预算金额的也作无效标处理；</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5.采购需求(简介)：</w:t>
      </w:r>
      <w:r>
        <w:rPr>
          <w:rFonts w:hint="eastAsia" w:ascii="宋体" w:hAnsi="宋体"/>
          <w:color w:val="000000"/>
          <w:sz w:val="24"/>
          <w:szCs w:val="24"/>
          <w:lang w:eastAsia="zh-CN"/>
        </w:rPr>
        <w:t xml:space="preserve">连云港市赣榆区卫生健康委员会公共场所配置自动体外除颤器（AED）采购</w:t>
      </w:r>
      <w:r>
        <w:rPr>
          <w:rFonts w:hint="eastAsia" w:ascii="宋体" w:hAnsi="宋体"/>
          <w:color w:val="000000"/>
          <w:sz w:val="24"/>
          <w:szCs w:val="24"/>
        </w:rPr>
        <w:t xml:space="preserve">，详细内容见本招标文件第四章</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采购需求</w:t>
      </w:r>
      <w:r>
        <w:rPr>
          <w:rFonts w:hint="eastAsia" w:ascii="宋体" w:hAnsi="宋体"/>
          <w:color w:val="000000"/>
          <w:sz w:val="24"/>
          <w:szCs w:val="24"/>
          <w:lang w:eastAsia="zh-CN"/>
        </w:rPr>
        <w:t xml:space="preserve">”。</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eastAsia="宋体" w:cs="宋体"/>
          <w:b/>
          <w:bCs/>
          <w:color w:val="000000"/>
          <w:sz w:val="24"/>
          <w:szCs w:val="24"/>
          <w:highlight w:val="none"/>
          <w:shd w:val="clear" w:color="auto" w:fill="auto"/>
        </w:rPr>
        <w:t xml:space="preserve">对项目采购需求部分的询问、质疑请与采购人联系，由采购人负责答复。</w:t>
      </w:r>
      <w:r/>
    </w:p>
    <w:p>
      <w:pPr>
        <w:ind w:firstLine="480"/>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highlight w:val="none"/>
          <w:lang w:eastAsia="zh-CN"/>
        </w:rPr>
        <w:t xml:space="preserve">收到采购人通知后，</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天内完成合同范围内所有设备的供货、安装调试。</w:t>
      </w:r>
      <w:r/>
    </w:p>
    <w:p>
      <w:pPr>
        <w:ind w:firstLine="640"/>
        <w:keepLines/>
        <w:keepNext/>
        <w:pageBreakBefore w:val="0"/>
        <w:spacing w:line="360" w:lineRule="auto"/>
        <w:widowControl w:val="off"/>
        <w:rPr>
          <w:b/>
          <w:bCs/>
          <w:color w:val="000000"/>
          <w:sz w:val="32"/>
          <w:szCs w:val="32"/>
        </w:rPr>
        <w:outlineLvl w:val="2"/>
      </w:pPr>
      <w:r/>
      <w:bookmarkStart w:id="12" w:name="_Toc38985264"/>
      <w:r/>
      <w:bookmarkStart w:id="13" w:name="_Toc28359003"/>
      <w:r/>
      <w:bookmarkStart w:id="14" w:name="_Toc35393791"/>
      <w:r/>
      <w:bookmarkStart w:id="15" w:name="_Toc28359080"/>
      <w:r/>
      <w:bookmarkStart w:id="16" w:name="_Toc35393622"/>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pageBreakBefore w:val="0"/>
        <w:spacing w:line="360" w:lineRule="auto"/>
        <w:widowControl w:val="off"/>
        <w:rPr>
          <w:rFonts w:hint="eastAsia" w:ascii="宋体" w:hAnsi="宋体"/>
          <w:color w:val="000000"/>
          <w:sz w:val="28"/>
          <w:szCs w:val="28"/>
        </w:rPr>
      </w:pPr>
      <w:r/>
      <w:bookmarkStart w:id="17" w:name="_Toc35393792"/>
      <w:r/>
      <w:bookmarkStart w:id="18" w:name="_Toc38985265"/>
      <w:r/>
      <w:bookmarkStart w:id="19" w:name="_Toc28359004"/>
      <w:r/>
      <w:bookmarkStart w:id="20" w:name="_Toc35393623"/>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36"/>
        <w:pageBreakBefore w:val="0"/>
        <w:spacing w:line="360" w:lineRule="auto"/>
        <w:widowControl w:val="off"/>
        <w:rPr>
          <w:rFonts w:hint="eastAsia" w:ascii="宋体" w:hAnsi="宋体"/>
          <w:color w:val="000000"/>
          <w:spacing w:val="-11"/>
          <w:sz w:val="24"/>
          <w:szCs w:val="24"/>
        </w:rPr>
      </w:pPr>
      <w:r>
        <w:rPr>
          <w:rFonts w:hint="eastAsia" w:ascii="宋体" w:hAnsi="宋体"/>
          <w:color w:val="000000"/>
          <w:spacing w:val="-11"/>
          <w:sz w:val="24"/>
          <w:szCs w:val="24"/>
        </w:rPr>
        <w:t xml:space="preserve">1.5参加政府采购活动前3年内在经营活动中没有重大违法记录的书面声明。</w:t>
      </w:r>
      <w:r/>
    </w:p>
    <w:p>
      <w:pPr>
        <w:ind w:firstLine="480"/>
        <w:pageBreakBefore w:val="0"/>
        <w:spacing w:line="360" w:lineRule="auto"/>
        <w:widowControl w:val="off"/>
        <w:rPr>
          <w:rFonts w:hint="eastAsia" w:ascii="宋体" w:hAnsi="宋体"/>
          <w:color w:val="000000"/>
          <w:sz w:val="24"/>
          <w:szCs w:val="24"/>
        </w:rPr>
      </w:pPr>
      <w:r>
        <w:rPr>
          <w:rFonts w:hint="eastAsia" w:ascii="宋体" w:hAnsi="宋体" w:eastAsia="宋体" w:cs="宋体"/>
          <w:b/>
          <w:bCs/>
          <w:color w:val="000000"/>
          <w:sz w:val="24"/>
          <w:szCs w:val="24"/>
          <w:highlight w:val="none"/>
          <w:shd w:val="clear" w:color="auto" w:fill="auto"/>
        </w:rPr>
        <w:t xml:space="preserve">注：根据连财购〔2023〕4号文件精神，第（</w:t>
      </w:r>
      <w:r>
        <w:rPr>
          <w:rFonts w:hint="eastAsia" w:ascii="宋体" w:hAnsi="宋体" w:eastAsia="宋体" w:cs="宋体"/>
          <w:b/>
          <w:bCs/>
          <w:color w:val="000000"/>
          <w:sz w:val="24"/>
          <w:szCs w:val="24"/>
          <w:highlight w:val="none"/>
          <w:shd w:val="clear" w:color="auto" w:fill="auto"/>
          <w:lang w:val="en-US" w:eastAsia="zh-CN"/>
        </w:rPr>
        <w:t xml:space="preserve">二</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三</w:t>
      </w:r>
      <w:r>
        <w:rPr>
          <w:rFonts w:hint="eastAsia" w:ascii="宋体" w:hAnsi="宋体" w:eastAsia="宋体" w:cs="宋体"/>
          <w:b/>
          <w:bCs/>
          <w:color w:val="000000"/>
          <w:sz w:val="24"/>
          <w:szCs w:val="24"/>
          <w:highlight w:val="none"/>
          <w:shd w:val="clear" w:color="auto" w:fill="auto"/>
        </w:rPr>
        <w:t xml:space="preserve">）项可以提供《财务状况报告及税收、社会保障资金缴纳情况承诺函》。</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.联合</w:t>
      </w:r>
      <w:r>
        <w:rPr>
          <w:rFonts w:ascii="宋体" w:hAnsi="宋体"/>
          <w:sz w:val="24"/>
          <w:szCs w:val="24"/>
        </w:rPr>
        <w:t xml:space="preserve">体投标</w:t>
      </w:r>
      <w:r/>
    </w:p>
    <w:tbl>
      <w:tblPr>
        <w:tblStyle w:val="703"/>
        <w:tblW w:w="8750"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2"/>
        <w:gridCol w:w="3498"/>
        <w:gridCol w:w="3650"/>
      </w:tblGrid>
      <w:tr>
        <w:trPr>
          <w:trHeight w:val="778"/>
        </w:trPr>
        <w:tc>
          <w:tcPr>
            <w:tcW w:w="1602" w:type="dxa"/>
            <w:vAlign w:val="center"/>
            <w:textDirection w:val="lrTb"/>
            <w:noWrap w:val="false"/>
          </w:tcPr>
          <w:p>
            <w:pPr>
              <w:jc w:val="center"/>
              <w:pageBreakBefore w:val="0"/>
              <w:spacing w:line="360" w:lineRule="auto"/>
              <w:rPr>
                <w:rFonts w:hint="eastAsia" w:ascii="宋体" w:hAnsi="宋体"/>
                <w:sz w:val="24"/>
                <w:szCs w:val="24"/>
              </w:rPr>
            </w:pPr>
            <w:r>
              <w:rPr>
                <w:rFonts w:hint="eastAsia" w:ascii="宋体" w:hAnsi="宋体"/>
                <w:sz w:val="24"/>
                <w:szCs w:val="24"/>
              </w:rPr>
              <w:t xml:space="preserve">采购包号</w:t>
            </w:r>
            <w:r/>
          </w:p>
        </w:tc>
        <w:tc>
          <w:tcPr>
            <w:tcW w:w="3498" w:type="dxa"/>
            <w:vAlign w:val="center"/>
            <w:textDirection w:val="lrTb"/>
            <w:noWrap w:val="false"/>
          </w:tcPr>
          <w:p>
            <w:pPr>
              <w:jc w:val="both"/>
              <w:pageBreakBefore w:val="0"/>
              <w:spacing w:line="360" w:lineRule="auto"/>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c>
          <w:tcPr>
            <w:tcW w:w="3650" w:type="dxa"/>
            <w:vAlign w:val="center"/>
            <w:textDirection w:val="lrTb"/>
            <w:noWrap w:val="false"/>
          </w:tcPr>
          <w:p>
            <w:pPr>
              <w:jc w:val="both"/>
              <w:pageBreakBefore w:val="0"/>
              <w:spacing w:line="360" w:lineRule="auto"/>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rHeight w:val="403"/>
        </w:trPr>
        <w:tc>
          <w:tcPr>
            <w:tcW w:w="1602" w:type="dxa"/>
            <w:vAlign w:val="top"/>
            <w:textDirection w:val="lrTb"/>
            <w:noWrap w:val="false"/>
          </w:tcPr>
          <w:p>
            <w:pPr>
              <w:ind w:firstLine="480"/>
              <w:jc w:val="center"/>
              <w:pageBreakBefore w:val="0"/>
              <w:spacing w:line="360" w:lineRule="auto"/>
              <w:rPr>
                <w:rFonts w:ascii="宋体" w:hAnsi="宋体"/>
                <w:sz w:val="24"/>
                <w:szCs w:val="24"/>
              </w:rPr>
            </w:pPr>
            <w:r>
              <w:rPr>
                <w:rFonts w:hint="eastAsia" w:ascii="宋体" w:hAnsi="宋体"/>
                <w:sz w:val="24"/>
                <w:szCs w:val="24"/>
              </w:rPr>
              <w:t xml:space="preserve">1</w:t>
            </w:r>
            <w:r/>
          </w:p>
        </w:tc>
        <w:tc>
          <w:tcPr>
            <w:tcW w:w="3498" w:type="dxa"/>
            <w:vAlign w:val="top"/>
            <w:textDirection w:val="lrTb"/>
            <w:noWrap w:val="false"/>
          </w:tcPr>
          <w:p>
            <w:pPr>
              <w:ind w:firstLine="480"/>
              <w:jc w:val="center"/>
              <w:pageBreakBefore w:val="0"/>
              <w:spacing w:line="360" w:lineRule="auto"/>
              <w:rPr>
                <w:rFonts w:ascii="宋体" w:hAnsi="宋体"/>
                <w:sz w:val="24"/>
                <w:szCs w:val="24"/>
              </w:rPr>
            </w:pPr>
            <w:r>
              <w:rPr>
                <w:rFonts w:hint="eastAsia" w:ascii="宋体" w:hAnsi="宋体"/>
                <w:sz w:val="24"/>
                <w:szCs w:val="24"/>
              </w:rPr>
              <w:t xml:space="preserve">否</w:t>
            </w:r>
            <w:r/>
          </w:p>
        </w:tc>
        <w:tc>
          <w:tcPr>
            <w:tcW w:w="3650" w:type="dxa"/>
            <w:vAlign w:val="top"/>
            <w:textDirection w:val="lrTb"/>
            <w:noWrap w:val="false"/>
          </w:tcPr>
          <w:p>
            <w:pPr>
              <w:ind w:firstLine="480"/>
              <w:jc w:val="center"/>
              <w:pageBreakBefore w:val="0"/>
              <w:spacing w:line="360" w:lineRule="auto"/>
              <w:rPr>
                <w:rFonts w:hint="eastAsia" w:ascii="宋体" w:hAnsi="宋体" w:eastAsia="宋体"/>
                <w:sz w:val="24"/>
                <w:szCs w:val="24"/>
                <w:lang w:eastAsia="zh-CN"/>
              </w:rPr>
            </w:pPr>
            <w:r>
              <w:rPr>
                <w:rFonts w:hint="eastAsia" w:ascii="宋体" w:hAnsi="宋体"/>
                <w:sz w:val="24"/>
                <w:szCs w:val="24"/>
                <w:lang w:val="en-US" w:eastAsia="zh-CN"/>
              </w:rPr>
              <w:t xml:space="preserve">/</w:t>
            </w:r>
            <w:r/>
          </w:p>
        </w:tc>
      </w:tr>
    </w:tbl>
    <w:p>
      <w:pPr>
        <w:ind w:firstLine="560"/>
        <w:pageBreakBefore w:val="0"/>
        <w:spacing w:line="360" w:lineRule="auto"/>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703"/>
        <w:tblW w:w="8804"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7136"/>
      </w:tblGrid>
      <w:tr>
        <w:trPr>
          <w:trHeight w:val="245"/>
        </w:trPr>
        <w:tc>
          <w:tcPr>
            <w:tcW w:w="1668" w:type="dxa"/>
            <w:vAlign w:val="center"/>
            <w:textDirection w:val="lrTb"/>
            <w:noWrap w:val="false"/>
          </w:tcPr>
          <w:p>
            <w:pPr>
              <w:jc w:val="both"/>
              <w:pageBreakBefore w:val="0"/>
              <w:spacing w:line="360" w:lineRule="auto"/>
              <w:rPr>
                <w:rFonts w:hint="eastAsia" w:ascii="宋体" w:hAnsi="宋体"/>
                <w:sz w:val="24"/>
                <w:szCs w:val="24"/>
              </w:rPr>
            </w:pPr>
            <w:r>
              <w:rPr>
                <w:rFonts w:hint="eastAsia" w:ascii="宋体" w:hAnsi="宋体"/>
                <w:sz w:val="24"/>
                <w:szCs w:val="24"/>
              </w:rPr>
              <w:t xml:space="preserve">采购包号</w:t>
            </w:r>
            <w:r/>
          </w:p>
        </w:tc>
        <w:tc>
          <w:tcPr>
            <w:tcW w:w="7136" w:type="dxa"/>
            <w:vAlign w:val="top"/>
            <w:textDirection w:val="lrTb"/>
            <w:noWrap w:val="false"/>
          </w:tcPr>
          <w:p>
            <w:pPr>
              <w:ind w:firstLine="480"/>
              <w:jc w:val="center"/>
              <w:pageBreakBefore w:val="0"/>
              <w:spacing w:line="360" w:lineRule="auto"/>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rHeight w:val="1184"/>
        </w:trPr>
        <w:tc>
          <w:tcPr>
            <w:tcW w:w="1668" w:type="dxa"/>
            <w:vAlign w:val="center"/>
            <w:vMerge w:val="restart"/>
            <w:textDirection w:val="lrTb"/>
            <w:noWrap w:val="false"/>
          </w:tcPr>
          <w:p>
            <w:pPr>
              <w:ind w:firstLine="480"/>
              <w:jc w:val="center"/>
              <w:pageBreakBefore w:val="0"/>
              <w:spacing w:line="360" w:lineRule="auto"/>
              <w:rPr>
                <w:rFonts w:ascii="宋体" w:hAnsi="宋体"/>
                <w:sz w:val="24"/>
                <w:szCs w:val="24"/>
              </w:rPr>
            </w:pPr>
            <w:r>
              <w:rPr>
                <w:rFonts w:hint="eastAsia" w:ascii="宋体" w:hAnsi="宋体"/>
                <w:sz w:val="24"/>
                <w:szCs w:val="24"/>
              </w:rPr>
              <w:t xml:space="preserve">1</w:t>
            </w:r>
            <w:r/>
          </w:p>
        </w:tc>
        <w:tc>
          <w:tcPr>
            <w:tcW w:w="7136" w:type="dxa"/>
            <w:vAlign w:val="top"/>
            <w:textDirection w:val="lrTb"/>
            <w:noWrap w:val="false"/>
          </w:tcPr>
          <w:p>
            <w:pPr>
              <w:jc w:val="left"/>
              <w:pageBreakBefore w:val="0"/>
              <w:spacing w:line="360" w:lineRule="auto"/>
              <w:rPr>
                <w:rFonts w:ascii="宋体" w:hAnsi="宋体"/>
                <w:sz w:val="24"/>
                <w:szCs w:val="24"/>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sz w:val="24"/>
                <w:szCs w:val="24"/>
                <w:lang w:eastAsia="zh-CN"/>
              </w:rPr>
              <w:t xml:space="preserve">投标人必须持有有效的《医疗器械经营许可证》（经营范围须包含第三类医疗器械）或所投产品制造商持有有效的《医疗器械生产许可证》。</w:t>
            </w:r>
            <w:r/>
          </w:p>
        </w:tc>
      </w:tr>
      <w:tr>
        <w:trPr>
          <w:trHeight w:val="90"/>
        </w:trPr>
        <w:tc>
          <w:tcPr>
            <w:tcW w:w="1668" w:type="dxa"/>
            <w:vAlign w:val="top"/>
            <w:vMerge w:val="continue"/>
            <w:textDirection w:val="lrTb"/>
            <w:noWrap w:val="false"/>
          </w:tcPr>
          <w:p>
            <w:pPr>
              <w:ind w:firstLine="480"/>
              <w:jc w:val="center"/>
              <w:pageBreakBefore w:val="0"/>
              <w:spacing w:line="360" w:lineRule="auto"/>
              <w:rPr>
                <w:rFonts w:ascii="宋体" w:hAnsi="宋体"/>
                <w:sz w:val="24"/>
                <w:szCs w:val="24"/>
              </w:rPr>
            </w:pPr>
            <w:r>
              <w:rPr>
                <w:rFonts w:ascii="宋体" w:hAnsi="宋体"/>
                <w:sz w:val="24"/>
                <w:szCs w:val="24"/>
              </w:rPr>
            </w:r>
            <w:r/>
          </w:p>
        </w:tc>
        <w:tc>
          <w:tcPr>
            <w:tcW w:w="7136" w:type="dxa"/>
            <w:vAlign w:val="top"/>
            <w:textDirection w:val="lrTb"/>
            <w:noWrap w:val="false"/>
          </w:tcPr>
          <w:p>
            <w:pPr>
              <w:jc w:val="left"/>
              <w:pageBreakBefore w:val="0"/>
              <w:spacing w:line="360" w:lineRule="auto"/>
              <w:rPr>
                <w:rFonts w:hint="eastAsia" w:ascii="宋体" w:hAnsi="宋体"/>
                <w:sz w:val="24"/>
                <w:szCs w:val="24"/>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）产品注册证：所投产品必须具有有效期内的医疗器械注册证。</w:t>
            </w:r>
            <w:r/>
          </w:p>
        </w:tc>
      </w:tr>
    </w:tbl>
    <w:p>
      <w:pPr>
        <w:ind w:left="0" w:firstLine="480"/>
        <w:pageBreakBefore w:val="0"/>
        <w:spacing w:line="360" w:lineRule="auto"/>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4.其他资格要求：</w:t>
      </w:r>
      <w:r/>
    </w:p>
    <w:p>
      <w:pPr>
        <w:ind w:left="0" w:firstLine="480"/>
        <w:pageBreakBefore w:val="0"/>
        <w:spacing w:line="36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lang w:val="en-US" w:eastAsia="zh-CN"/>
        </w:rPr>
        <w:t xml:space="preserve">4.1</w:t>
      </w:r>
      <w:r>
        <w:rPr>
          <w:rFonts w:hint="eastAsia" w:ascii="宋体" w:hAnsi="宋体" w:eastAsia="宋体" w:cs="宋体"/>
          <w:b w:val="0"/>
          <w:bCs w:val="0"/>
          <w:color w:val="000000"/>
          <w:sz w:val="24"/>
          <w:szCs w:val="24"/>
          <w:highlight w:val="none"/>
          <w:shd w:val="clear" w:color="auto" w:fill="auto"/>
        </w:rPr>
        <w:t xml:space="preserve">响</w:t>
      </w:r>
      <w:r>
        <w:rPr>
          <w:rFonts w:hint="eastAsia" w:ascii="宋体" w:hAnsi="宋体" w:eastAsia="宋体" w:cs="宋体"/>
          <w:color w:val="000000"/>
          <w:sz w:val="24"/>
          <w:szCs w:val="24"/>
          <w:highlight w:val="none"/>
          <w:shd w:val="clear" w:color="auto" w:fill="auto"/>
        </w:rPr>
        <w:t xml:space="preserve">应文件递交截止前，被信用中国、中国政府采购网列入失信被执行人、重大税收违法失信主体、政府采购严重违法失信行为记录名单的供应商，拒绝其参与政府采购活动；</w:t>
      </w:r>
      <w:r/>
    </w:p>
    <w:p>
      <w:pPr>
        <w:ind w:firstLine="480"/>
        <w:jc w:val="left"/>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numPr>
          <w:ilvl w:val="0"/>
          <w:numId w:val="0"/>
        </w:num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eastAsia="zh-CN"/>
        </w:rPr>
        <w:t xml:space="preserve">本项目中标后不允许分包或转包。</w:t>
      </w:r>
      <w:r/>
    </w:p>
    <w:p>
      <w:pPr>
        <w:numPr>
          <w:ilvl w:val="0"/>
          <w:numId w:val="0"/>
        </w:num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4.3本项目不接受进口产品。</w:t>
      </w:r>
      <w:r/>
    </w:p>
    <w:p>
      <w:pPr>
        <w:ind w:firstLine="480"/>
        <w:jc w:val="left"/>
        <w:pageBreakBefore w:val="0"/>
        <w:spacing w:line="360" w:lineRule="auto"/>
        <w:rPr>
          <w:rFonts w:hint="eastAsia" w:ascii="宋体" w:hAnsi="宋体" w:eastAsia="宋体" w:cs="宋体"/>
          <w:color w:val="000000"/>
          <w:sz w:val="24"/>
          <w:szCs w:val="24"/>
          <w:highlight w:val="none"/>
          <w:lang w:eastAsia="zh-CN"/>
        </w:rPr>
      </w:pPr>
      <w:r/>
      <w:bookmarkStart w:id="22" w:name="OLE_LINK12"/>
      <w:r/>
      <w:bookmarkStart w:id="23" w:name="OLE_LINK11"/>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eastAsia="zh-CN"/>
        </w:rPr>
        <w:t xml:space="preserve">单位负责人为同一人或者存在直接控股、管理关系的不同供应商，不得参加同一合同项下的政府采购活动。</w:t>
      </w:r>
      <w:r/>
    </w:p>
    <w:p>
      <w:p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若供应商的法定代表人参加投标的，则需提供法定代表人资格证明及本人的身份证；若授权委托代理人参加投标的，则提供企业法人委托书、授权委托人身份证复印件及被授权人身份证。</w:t>
      </w:r>
      <w:r/>
    </w:p>
    <w:p>
      <w:pPr>
        <w:ind w:firstLine="480"/>
        <w:jc w:val="left"/>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4.6</w:t>
      </w:r>
      <w:r>
        <w:rPr>
          <w:rFonts w:hint="eastAsia" w:ascii="宋体" w:hAnsi="宋体" w:eastAsia="宋体" w:cs="宋体"/>
          <w:b/>
          <w:bCs/>
          <w:color w:val="000000"/>
          <w:sz w:val="24"/>
          <w:szCs w:val="24"/>
          <w:highlight w:val="none"/>
          <w:lang w:eastAsia="zh-CN"/>
        </w:rPr>
        <w:t xml:space="preserve">供应商/投标主体及其法定代表人、项目负责人未被列入“连云港市赣榆区行贿人联合惩戒信息库。”</w:t>
      </w:r>
      <w:r/>
    </w:p>
    <w:p>
      <w:pPr>
        <w:ind w:firstLine="480"/>
        <w:keepLines/>
        <w:keepNext/>
        <w:pageBreakBefore w:val="0"/>
        <w:spacing w:line="360" w:lineRule="auto"/>
        <w:rPr>
          <w:rFonts w:hint="eastAsia"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备注:采购人/招标人和区公共资源交易中心通过赣榆区行贿人联合惩戒信息库，对供应商/投标主体情况进行内部查询，查询结果页面打印留存。</w:t>
      </w:r>
      <w:bookmarkEnd w:id="22"/>
      <w:r/>
      <w:bookmarkEnd w:id="23"/>
      <w:r/>
      <w:r/>
    </w:p>
    <w:p>
      <w:pPr>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三、获取招标文件</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w:t>
      </w:r>
      <w:r/>
    </w:p>
    <w:p>
      <w:pPr>
        <w:ind w:firstLine="48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80"/>
        <w:keepLines/>
        <w:keepNext/>
        <w:pageBreakBefore w:val="0"/>
        <w:spacing w:line="360" w:lineRule="auto"/>
        <w:rPr>
          <w:rFonts w:hint="eastAsia" w:ascii="宋体" w:hAnsi="宋体" w:eastAsia="宋体" w:cs="宋体"/>
          <w:b/>
          <w:bCs/>
          <w:color w:val="000000"/>
          <w:sz w:val="24"/>
          <w:szCs w:val="24"/>
        </w:rPr>
        <w:outlineLvl w:val="2"/>
      </w:pPr>
      <w:r/>
      <w:bookmarkStart w:id="24" w:name="_Toc28359005"/>
      <w:r/>
      <w:bookmarkStart w:id="25" w:name="_Toc28359082"/>
      <w:r/>
      <w:bookmarkStart w:id="26" w:name="_Toc35393624"/>
      <w:r/>
      <w:bookmarkStart w:id="27" w:name="_Toc38985266"/>
      <w:r/>
      <w:bookmarkStart w:id="28" w:name="_Toc35393793"/>
      <w:r>
        <w:rPr>
          <w:rFonts w:hint="eastAsia" w:ascii="宋体" w:hAnsi="宋体" w:eastAsia="宋体" w:cs="宋体"/>
          <w:b/>
          <w:bCs/>
          <w:color w:val="000000"/>
          <w:sz w:val="24"/>
          <w:szCs w:val="24"/>
        </w:rPr>
        <w:t xml:space="preserve">四、提交投标文件</w:t>
      </w:r>
      <w:bookmarkEnd w:id="24"/>
      <w:r/>
      <w:bookmarkEnd w:id="25"/>
      <w:r>
        <w:rPr>
          <w:rFonts w:hint="eastAsia" w:ascii="宋体" w:hAnsi="宋体" w:eastAsia="宋体" w:cs="宋体"/>
          <w:b/>
          <w:bCs/>
          <w:color w:val="000000"/>
          <w:sz w:val="24"/>
          <w:szCs w:val="24"/>
        </w:rPr>
        <w:t xml:space="preserve">截止时间、开标时间和地点</w:t>
      </w:r>
      <w:bookmarkEnd w:id="26"/>
      <w:r/>
      <w:bookmarkEnd w:id="27"/>
      <w:r/>
      <w:bookmarkEnd w:id="28"/>
      <w:r/>
      <w:r/>
    </w:p>
    <w:p>
      <w:pPr>
        <w:ind w:firstLine="480"/>
        <w:pageBreakBefore w:val="0"/>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2026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09</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24</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rPr>
          <w:rFonts w:hint="eastAsia" w:ascii="宋体" w:hAnsi="宋体" w:cs="宋体"/>
          <w:bCs/>
          <w:color w:val="000000"/>
          <w:sz w:val="24"/>
          <w:szCs w:val="24"/>
          <w:u w:val="single"/>
          <w:lang w:val="en-US" w:eastAsia="zh-CN"/>
        </w:rPr>
        <w:t xml:space="preserve">10</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00</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分（北京时间）。</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firstLine="480"/>
        <w:keepLines/>
        <w:keepNext/>
        <w:pageBreakBefore w:val="0"/>
        <w:spacing w:line="360" w:lineRule="auto"/>
        <w:rPr>
          <w:rFonts w:hint="eastAsia" w:ascii="宋体" w:hAnsi="宋体" w:eastAsia="宋体" w:cs="宋体"/>
          <w:b/>
          <w:bCs/>
          <w:color w:val="000000"/>
          <w:sz w:val="24"/>
          <w:szCs w:val="24"/>
        </w:rPr>
        <w:outlineLvl w:val="2"/>
      </w:pPr>
      <w:r/>
      <w:bookmarkStart w:id="29" w:name="_Toc28359084"/>
      <w:r/>
      <w:bookmarkStart w:id="30" w:name="_Toc35393625"/>
      <w:r/>
      <w:bookmarkStart w:id="31" w:name="_Toc28359007"/>
      <w:r/>
      <w:bookmarkStart w:id="32" w:name="_Toc35393794"/>
      <w:r/>
      <w:bookmarkStart w:id="33" w:name="_Toc38985267"/>
      <w:r>
        <w:rPr>
          <w:rFonts w:hint="eastAsia" w:ascii="宋体" w:hAnsi="宋体" w:eastAsia="宋体" w:cs="宋体"/>
          <w:b/>
          <w:bCs/>
          <w:color w:val="000000"/>
          <w:sz w:val="24"/>
          <w:szCs w:val="24"/>
        </w:rPr>
        <w:t xml:space="preserve">五、公告期限</w:t>
      </w:r>
      <w:bookmarkEnd w:id="29"/>
      <w:r/>
      <w:bookmarkEnd w:id="30"/>
      <w:r/>
      <w:bookmarkEnd w:id="31"/>
      <w:r/>
      <w:bookmarkEnd w:id="32"/>
      <w:r/>
      <w:bookmarkEnd w:id="33"/>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招标公告及招标文件公告期限为自本公告发布之日起5个工作日。</w:t>
      </w:r>
      <w:r/>
    </w:p>
    <w:p>
      <w:pPr>
        <w:ind w:firstLine="480"/>
        <w:keepLines/>
        <w:keepNext/>
        <w:pageBreakBefore w:val="0"/>
        <w:spacing w:line="360" w:lineRule="auto"/>
        <w:rPr>
          <w:rFonts w:hint="eastAsia" w:ascii="宋体" w:hAnsi="宋体" w:eastAsia="宋体" w:cs="宋体"/>
          <w:b/>
          <w:bCs/>
          <w:color w:val="000000"/>
          <w:sz w:val="24"/>
          <w:szCs w:val="24"/>
        </w:rPr>
        <w:outlineLvl w:val="2"/>
      </w:pPr>
      <w:r/>
      <w:bookmarkStart w:id="34" w:name="_Toc38985268"/>
      <w:r/>
      <w:bookmarkStart w:id="35" w:name="_Toc35393795"/>
      <w:r/>
      <w:bookmarkStart w:id="36" w:name="_Toc35393626"/>
      <w:r>
        <w:rPr>
          <w:rFonts w:hint="eastAsia" w:ascii="宋体" w:hAnsi="宋体" w:eastAsia="宋体" w:cs="宋体"/>
          <w:b/>
          <w:bCs/>
          <w:color w:val="000000"/>
          <w:sz w:val="24"/>
          <w:szCs w:val="24"/>
        </w:rPr>
        <w:t xml:space="preserve">六、其他补充事宜</w:t>
      </w:r>
      <w:bookmarkEnd w:id="34"/>
      <w:r/>
      <w:bookmarkEnd w:id="35"/>
      <w:r/>
      <w:bookmarkEnd w:id="36"/>
      <w:r/>
      <w:r/>
    </w:p>
    <w:p>
      <w:pPr>
        <w:ind w:firstLine="480"/>
        <w:keepLines/>
        <w:keepNext/>
        <w:pageBreakBefore w:val="0"/>
        <w:spacing w:line="360" w:lineRule="auto"/>
        <w:rPr>
          <w:rFonts w:hint="eastAsia" w:ascii="宋体" w:hAnsi="宋体" w:eastAsia="宋体" w:cs="宋体"/>
          <w:color w:val="000000"/>
          <w:sz w:val="24"/>
          <w:szCs w:val="24"/>
          <w:highlight w:val="none"/>
          <w:shd w:val="clear" w:color="auto" w:fill="auto"/>
          <w:lang w:val="en-US" w:eastAsia="zh-CN"/>
        </w:rPr>
        <w:outlineLvl w:val="2"/>
      </w:pPr>
      <w:r/>
      <w:bookmarkStart w:id="37" w:name="_Toc28359085"/>
      <w:r/>
      <w:bookmarkStart w:id="38" w:name="_Toc28359008"/>
      <w:r/>
      <w:bookmarkStart w:id="39" w:name="_Toc35393796"/>
      <w:r/>
      <w:bookmarkStart w:id="40" w:name="_Toc35393627"/>
      <w:r/>
      <w:bookmarkStart w:id="41" w:name="_Toc38985269"/>
      <w:r>
        <w:rPr>
          <w:rFonts w:hint="eastAsia" w:ascii="宋体" w:hAnsi="宋体" w:eastAsia="宋体" w:cs="宋体"/>
          <w:bCs/>
          <w:color w:val="000000"/>
          <w:sz w:val="24"/>
          <w:szCs w:val="24"/>
          <w:highlight w:val="none"/>
          <w:shd w:val="clear" w:color="auto" w:fill="auto"/>
          <w:lang w:val="en-US" w:eastAsia="zh-CN"/>
        </w:rPr>
        <w:t xml:space="preserve">无</w:t>
      </w:r>
      <w:r/>
    </w:p>
    <w:p>
      <w:pPr>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七、本次招标联系方式</w:t>
      </w:r>
      <w:bookmarkEnd w:id="37"/>
      <w:r/>
      <w:bookmarkEnd w:id="38"/>
      <w:r/>
      <w:bookmarkEnd w:id="39"/>
      <w:r/>
      <w:bookmarkEnd w:id="40"/>
      <w:r/>
      <w:bookmarkEnd w:id="41"/>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1.采购人信息</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bookmarkStart w:id="42" w:name="_Toc28359009"/>
      <w:r/>
      <w:bookmarkStart w:id="43" w:name="_Toc28359086"/>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连云港市赣榆区卫生健康委员会</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地址：连云港市赣榆区青口镇黄海东路306号</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lang w:val="en-US" w:eastAsia="zh-CN"/>
        </w:rPr>
        <w:t xml:space="preserve">联系人：胡工</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联系方式：0518-87080951</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rPr>
        <w:t xml:space="preserve">2.</w:t>
      </w:r>
      <w:bookmarkEnd w:id="42"/>
      <w:r/>
      <w:bookmarkEnd w:id="43"/>
      <w:r/>
      <w:bookmarkStart w:id="44" w:name="_Toc28359087"/>
      <w:r/>
      <w:bookmarkStart w:id="45" w:name="_Toc28359010"/>
      <w:r>
        <w:rPr>
          <w:rFonts w:hint="eastAsia" w:ascii="宋体" w:hAnsi="宋体" w:eastAsia="宋体" w:cs="宋体"/>
          <w:color w:val="000000"/>
          <w:sz w:val="24"/>
          <w:szCs w:val="24"/>
          <w:highlight w:val="none"/>
          <w:u w:val="none"/>
          <w:shd w:val="clear" w:color="auto" w:fill="auto"/>
        </w:rPr>
        <w:t xml:space="preserve">采购代理机构信息</w:t>
      </w:r>
      <w:r/>
    </w:p>
    <w:p>
      <w:pPr>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江苏博茂项目管理有限公司</w:t>
      </w:r>
      <w:r/>
    </w:p>
    <w:p>
      <w:pPr>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eastAsia="zh-CN"/>
        </w:rPr>
      </w:pPr>
      <w:r>
        <w:rPr>
          <w:rFonts w:hint="eastAsia" w:ascii="宋体" w:hAnsi="宋体" w:eastAsia="宋体" w:cs="宋体"/>
          <w:color w:val="000000"/>
          <w:sz w:val="24"/>
          <w:szCs w:val="24"/>
          <w:highlight w:val="none"/>
          <w:u w:val="none"/>
          <w:shd w:val="clear" w:color="auto" w:fill="auto"/>
        </w:rPr>
        <w:t xml:space="preserve">地址：</w:t>
      </w:r>
      <w:r>
        <w:rPr>
          <w:rFonts w:hint="eastAsia" w:ascii="宋体" w:hAnsi="宋体" w:eastAsia="宋体" w:cs="宋体"/>
          <w:color w:val="000000"/>
          <w:sz w:val="24"/>
          <w:szCs w:val="24"/>
          <w:highlight w:val="none"/>
          <w:u w:val="none"/>
          <w:shd w:val="clear" w:color="auto" w:fill="auto"/>
          <w:lang w:val="en-US" w:eastAsia="zh-CN"/>
        </w:rPr>
        <w:t xml:space="preserve">连云港市海州经济技术开发区润连制造中心1号楼二楼</w:t>
      </w:r>
      <w:r/>
    </w:p>
    <w:p>
      <w:pPr>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联系人：</w:t>
      </w:r>
      <w:r>
        <w:rPr>
          <w:rFonts w:hint="eastAsia" w:ascii="宋体" w:hAnsi="宋体" w:eastAsia="宋体" w:cs="宋体"/>
          <w:color w:val="000000"/>
          <w:sz w:val="24"/>
          <w:szCs w:val="24"/>
          <w:highlight w:val="none"/>
          <w:u w:val="none"/>
          <w:shd w:val="clear" w:color="auto" w:fill="auto"/>
          <w:lang w:val="en-US" w:eastAsia="zh-CN"/>
        </w:rPr>
        <w:t xml:space="preserve">于工</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u w:val="none"/>
          <w:shd w:val="clear" w:color="auto" w:fill="auto"/>
        </w:rPr>
        <w:t xml:space="preserve">联系方式：</w:t>
      </w:r>
      <w:r>
        <w:rPr>
          <w:rFonts w:hint="eastAsia" w:ascii="宋体" w:hAnsi="宋体" w:eastAsia="宋体" w:cs="宋体"/>
          <w:color w:val="000000"/>
          <w:sz w:val="24"/>
          <w:szCs w:val="24"/>
          <w:highlight w:val="none"/>
          <w:u w:val="none"/>
          <w:shd w:val="clear" w:color="auto" w:fill="auto"/>
          <w:lang w:val="en-US" w:eastAsia="zh-CN"/>
        </w:rPr>
        <w:t xml:space="preserve">13675293742</w:t>
      </w:r>
      <w:bookmarkEnd w:id="44"/>
      <w:r/>
      <w:bookmarkEnd w:id="45"/>
      <w:r/>
      <w:r/>
    </w:p>
    <w:p>
      <w:pPr>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八、其他</w:t>
      </w:r>
      <w:r/>
    </w:p>
    <w:p>
      <w:pPr>
        <w:ind w:firstLine="480"/>
        <w:jc w:val="left"/>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 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如果“江苏政府采购网”（www.ccgp-jiangsu.gov.cn）信息与“江苏政务服务网” （www.jszwfw.gov.cn），“一企来办”专栏下“政府采购”模块中信息不一致，以“江苏政府采购网”信息为准。</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w:t>
      </w:r>
      <w:r>
        <w:rPr>
          <w:rFonts w:hint="eastAsia" w:ascii="宋体" w:hAnsi="宋体" w:eastAsia="宋体" w:cs="宋体"/>
          <w:bCs/>
          <w:sz w:val="24"/>
          <w:szCs w:val="24"/>
          <w:lang w:eastAsia="zh-CN"/>
        </w:rPr>
        <w:t xml:space="preserve">江苏博茂项目管理有限公司</w:t>
      </w:r>
      <w:r>
        <w:rPr>
          <w:rFonts w:hint="eastAsia" w:ascii="宋体" w:hAnsi="宋体" w:eastAsia="宋体" w:cs="宋体"/>
          <w:bCs/>
          <w:sz w:val="24"/>
          <w:szCs w:val="24"/>
        </w:rPr>
        <w:t xml:space="preserve">在“江苏政府采购网”发布的更正公告。</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6"/>
      <w:r/>
      <w:bookmarkStart w:id="47" w:name="_Toc16938518"/>
      <w:r/>
      <w:bookmarkStart w:id="48" w:name="_Toc513029202"/>
      <w:r/>
      <w:bookmarkStart w:id="49" w:name="_Toc20823274"/>
      <w:r/>
      <w:bookmarkStart w:id="50" w:name="_Toc120614213"/>
      <w:r>
        <w:rPr>
          <w:rFonts w:hint="eastAsia" w:ascii="黑体" w:hAnsi="Arial" w:eastAsia="黑体" w:cs="Arial"/>
          <w:b/>
          <w:bCs/>
          <w:color w:val="000000"/>
          <w:sz w:val="44"/>
          <w:szCs w:val="44"/>
        </w:rPr>
        <w:t xml:space="preserve">投标人须知</w:t>
      </w:r>
      <w:bookmarkEnd w:id="47"/>
      <w:r/>
      <w:bookmarkEnd w:id="48"/>
      <w:r/>
      <w:bookmarkEnd w:id="49"/>
      <w:r/>
      <w:bookmarkEnd w:id="50"/>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51" w:name="_Toc513029203"/>
      <w:r/>
      <w:bookmarkStart w:id="52" w:name="_Toc16938519"/>
      <w:r/>
      <w:bookmarkStart w:id="53" w:name="_Toc120614214"/>
      <w:r/>
      <w:bookmarkStart w:id="54" w:name="_Toc20823275"/>
      <w:r>
        <w:rPr>
          <w:rFonts w:hint="eastAsia" w:ascii="宋体" w:hAnsi="宋体" w:eastAsia="宋体" w:cs="宋体"/>
          <w:b/>
          <w:bCs/>
          <w:color w:val="000000"/>
          <w:sz w:val="24"/>
          <w:szCs w:val="24"/>
        </w:rPr>
        <w:t xml:space="preserve">一、总则</w:t>
      </w:r>
      <w:bookmarkEnd w:id="51"/>
      <w:r/>
      <w:bookmarkEnd w:id="52"/>
      <w:r/>
      <w:bookmarkEnd w:id="53"/>
      <w:r/>
      <w:bookmarkEnd w:id="5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Hlt16619475"/>
      <w:r/>
      <w:bookmarkEnd w:id="55"/>
      <w:r/>
      <w:bookmarkStart w:id="56" w:name="_Toc458694821"/>
      <w:r/>
      <w:bookmarkStart w:id="57" w:name="_Toc513029204"/>
      <w:r/>
      <w:bookmarkStart w:id="58" w:name="_Toc16938520"/>
      <w:r/>
      <w:bookmarkStart w:id="59" w:name="_Toc20823276"/>
      <w:r>
        <w:rPr>
          <w:rFonts w:hint="eastAsia" w:ascii="宋体" w:hAnsi="宋体" w:eastAsia="宋体" w:cs="宋体"/>
          <w:color w:val="000000"/>
          <w:sz w:val="24"/>
          <w:szCs w:val="24"/>
        </w:rPr>
        <w:t xml:space="preserve">1</w:t>
      </w:r>
      <w:bookmarkEnd w:id="56"/>
      <w:r>
        <w:rPr>
          <w:rFonts w:hint="eastAsia" w:ascii="宋体" w:hAnsi="宋体" w:eastAsia="宋体" w:cs="宋体"/>
          <w:color w:val="000000"/>
          <w:sz w:val="24"/>
          <w:szCs w:val="24"/>
        </w:rPr>
        <w:t xml:space="preserve">、招标方式</w:t>
      </w:r>
      <w:bookmarkEnd w:id="57"/>
      <w:r/>
      <w:bookmarkEnd w:id="58"/>
      <w:r/>
      <w:bookmarkEnd w:id="59"/>
      <w:r/>
      <w:r/>
    </w:p>
    <w:p>
      <w:pPr>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0" w:name="_Toc513029205"/>
      <w:r/>
      <w:bookmarkStart w:id="61" w:name="_Toc20823277"/>
      <w:r/>
      <w:bookmarkStart w:id="62" w:name="_Toc16938521"/>
      <w:r>
        <w:rPr>
          <w:rFonts w:hint="eastAsia" w:ascii="宋体" w:hAnsi="宋体" w:eastAsia="宋体" w:cs="宋体"/>
          <w:color w:val="000000"/>
          <w:sz w:val="24"/>
          <w:szCs w:val="24"/>
        </w:rPr>
        <w:t xml:space="preserve">2、合格的投标人</w:t>
      </w:r>
      <w:bookmarkEnd w:id="60"/>
      <w:r/>
      <w:bookmarkEnd w:id="61"/>
      <w:r/>
      <w:bookmarkEnd w:id="62"/>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3" w:name="_Toc20823278"/>
      <w:r/>
      <w:bookmarkStart w:id="64" w:name="_Toc16938522"/>
      <w:r/>
      <w:bookmarkStart w:id="65" w:name="_Toc513029206"/>
      <w:r>
        <w:rPr>
          <w:rFonts w:hint="eastAsia" w:ascii="宋体" w:hAnsi="宋体" w:eastAsia="宋体" w:cs="宋体"/>
          <w:color w:val="000000"/>
          <w:sz w:val="24"/>
          <w:szCs w:val="24"/>
        </w:rPr>
        <w:t xml:space="preserve">3、适用法律</w:t>
      </w:r>
      <w:bookmarkEnd w:id="63"/>
      <w:r/>
      <w:bookmarkEnd w:id="64"/>
      <w:r/>
      <w:bookmarkEnd w:id="65"/>
      <w:r>
        <w:rPr>
          <w:rFonts w:hint="eastAsia" w:ascii="宋体" w:hAnsi="宋体" w:eastAsia="宋体" w:cs="宋体"/>
          <w:color w:val="000000"/>
          <w:sz w:val="24"/>
          <w:szCs w:val="24"/>
        </w:rPr>
        <w:t xml:space="preserve">和标准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6" w:name="_Toc16938523"/>
      <w:r/>
      <w:bookmarkStart w:id="67" w:name="_Toc513029207"/>
      <w:r/>
      <w:bookmarkStart w:id="68" w:name="_Toc20823279"/>
      <w:r/>
      <w:bookmarkStart w:id="69" w:name="_Toc462564067"/>
      <w:r>
        <w:rPr>
          <w:rFonts w:hint="eastAsia" w:ascii="宋体" w:hAnsi="宋体" w:eastAsia="宋体" w:cs="宋体"/>
          <w:color w:val="000000"/>
          <w:sz w:val="24"/>
          <w:szCs w:val="24"/>
        </w:rPr>
        <w:t xml:space="preserve">4、投标费用</w:t>
      </w:r>
      <w:bookmarkEnd w:id="66"/>
      <w:r/>
      <w:bookmarkEnd w:id="67"/>
      <w:r/>
      <w:bookmarkEnd w:id="68"/>
      <w:r/>
      <w:bookmarkEnd w:id="69"/>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shd w:val="clear" w:color="auto" w:fill="auto"/>
          <w:lang w:eastAsia="zh-CN"/>
        </w:rPr>
        <w:t xml:space="preserve">江苏博茂项目管理有限公司</w:t>
      </w:r>
      <w:r>
        <w:rPr>
          <w:rFonts w:hint="eastAsia" w:ascii="宋体" w:hAnsi="宋体" w:eastAsia="宋体" w:cs="宋体"/>
          <w:color w:val="000000"/>
          <w:sz w:val="24"/>
          <w:szCs w:val="24"/>
          <w:highlight w:val="none"/>
          <w:shd w:val="clear" w:color="auto" w:fill="auto"/>
        </w:rPr>
        <w:t xml:space="preserve">（以下简称</w:t>
      </w:r>
      <w:r>
        <w:rPr>
          <w:rFonts w:hint="eastAsia" w:ascii="宋体" w:hAnsi="宋体" w:eastAsia="宋体" w:cs="宋体"/>
          <w:color w:val="000000"/>
          <w:sz w:val="24"/>
          <w:szCs w:val="24"/>
          <w:highlight w:val="none"/>
          <w:shd w:val="clear" w:color="auto" w:fill="auto"/>
          <w:lang w:val="en-US" w:eastAsia="zh-CN"/>
        </w:rPr>
        <w:t xml:space="preserve">采购代理机构</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及连云港市赣榆区卫生健康委员会</w:t>
      </w:r>
      <w:r>
        <w:rPr>
          <w:rFonts w:hint="eastAsia" w:ascii="宋体" w:hAnsi="宋体" w:eastAsia="宋体" w:cs="宋体"/>
          <w:color w:val="000000"/>
          <w:sz w:val="24"/>
          <w:szCs w:val="24"/>
          <w:highlight w:val="none"/>
          <w:shd w:val="clear" w:color="auto" w:fill="auto"/>
        </w:rPr>
        <w:t xml:space="preserve">（以下简称采购人）在任何情况下均无义务和责任承担这些费用。</w:t>
      </w:r>
      <w:r/>
    </w:p>
    <w:p>
      <w:pPr>
        <w:ind w:left="0" w:firstLine="480"/>
        <w:keepLines/>
        <w:keepNext/>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outlineLvl w:val="3"/>
      </w:pPr>
      <w:r>
        <w:rPr>
          <w:rFonts w:hint="eastAsia" w:ascii="宋体" w:hAnsi="宋体" w:eastAsia="宋体" w:cs="宋体"/>
          <w:color w:val="000000"/>
          <w:sz w:val="24"/>
          <w:szCs w:val="24"/>
          <w:highlight w:val="none"/>
          <w:shd w:val="clear" w:color="auto" w:fill="auto"/>
          <w:lang w:val="en-US" w:eastAsia="zh-CN"/>
        </w:rPr>
        <w:t xml:space="preserve">4.2本项目招标代理费按</w:t>
      </w:r>
      <w:r>
        <w:rPr>
          <w:rFonts w:hint="eastAsia" w:ascii="宋体" w:hAnsi="宋体" w:eastAsia="宋体" w:cs="宋体"/>
          <w:b/>
          <w:bCs/>
          <w:color w:val="000000"/>
          <w:sz w:val="24"/>
          <w:szCs w:val="24"/>
          <w:highlight w:val="none"/>
          <w:shd w:val="clear" w:color="auto" w:fill="auto"/>
          <w:lang w:val="en-US" w:eastAsia="zh-CN"/>
        </w:rPr>
        <w:t xml:space="preserve">苏招协【2022】002号文</w:t>
      </w:r>
      <w:r>
        <w:rPr>
          <w:rFonts w:hint="eastAsia" w:ascii="宋体" w:hAnsi="宋体" w:eastAsia="宋体" w:cs="宋体"/>
          <w:color w:val="000000"/>
          <w:sz w:val="24"/>
          <w:szCs w:val="24"/>
          <w:highlight w:val="none"/>
          <w:shd w:val="clear" w:color="auto" w:fill="auto"/>
          <w:lang w:val="en-US" w:eastAsia="zh-CN"/>
        </w:rPr>
        <w:t xml:space="preserve">收费标准的18.75%收取，以上费用由中标单位支付，请投标单位综合考虑在投标报价中。</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70" w:name="_Toc16938525"/>
      <w:r/>
      <w:bookmarkStart w:id="71" w:name="_Toc20823281"/>
      <w:r/>
      <w:bookmarkStart w:id="72" w:name="_Toc120614215"/>
      <w:r/>
      <w:bookmarkStart w:id="73" w:name="_Toc513029209"/>
      <w:r>
        <w:rPr>
          <w:rFonts w:hint="eastAsia" w:ascii="宋体" w:hAnsi="宋体" w:eastAsia="宋体" w:cs="宋体"/>
          <w:b/>
          <w:bCs/>
          <w:color w:val="000000"/>
          <w:sz w:val="24"/>
          <w:szCs w:val="24"/>
        </w:rPr>
        <w:t xml:space="preserve">二、招标文件</w:t>
      </w:r>
      <w:bookmarkEnd w:id="70"/>
      <w:r/>
      <w:bookmarkEnd w:id="71"/>
      <w:r/>
      <w:bookmarkEnd w:id="72"/>
      <w:r/>
      <w:bookmarkEnd w:id="7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4" w:name="_Toc20823282"/>
      <w:r/>
      <w:bookmarkStart w:id="75" w:name="_Toc513029210"/>
      <w:r/>
      <w:bookmarkStart w:id="76" w:name="_Toc16938526"/>
      <w:r>
        <w:rPr>
          <w:rFonts w:hint="eastAsia" w:ascii="宋体" w:hAnsi="宋体" w:eastAsia="宋体" w:cs="宋体"/>
          <w:color w:val="000000"/>
          <w:sz w:val="24"/>
          <w:szCs w:val="24"/>
        </w:rPr>
        <w:t xml:space="preserve">6、招标文件构成</w:t>
      </w:r>
      <w:bookmarkEnd w:id="74"/>
      <w:r/>
      <w:bookmarkEnd w:id="75"/>
      <w:r/>
      <w:bookmarkEnd w:id="7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7" w:name="_Toc20823284"/>
      <w:r/>
      <w:bookmarkStart w:id="78" w:name="_Toc513029212"/>
      <w:r/>
      <w:bookmarkStart w:id="79" w:name="_Toc16938528"/>
      <w:r/>
      <w:bookmarkStart w:id="80" w:name="_Toc462564071"/>
      <w:r>
        <w:rPr>
          <w:rFonts w:hint="eastAsia" w:ascii="宋体" w:hAnsi="宋体" w:eastAsia="宋体" w:cs="宋体"/>
          <w:color w:val="000000"/>
          <w:sz w:val="24"/>
          <w:szCs w:val="24"/>
        </w:rPr>
        <w:t xml:space="preserve">7、招标文件的修改</w:t>
      </w:r>
      <w:bookmarkEnd w:id="77"/>
      <w:r/>
      <w:bookmarkEnd w:id="78"/>
      <w:r/>
      <w:bookmarkEnd w:id="79"/>
      <w:r/>
      <w:bookmarkEnd w:id="80"/>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81" w:name="_Toc513029213"/>
      <w:r/>
      <w:bookmarkStart w:id="82" w:name="_Toc20823285"/>
      <w:r/>
      <w:bookmarkStart w:id="83" w:name="_Toc120614216"/>
      <w:r/>
      <w:bookmarkStart w:id="84" w:name="_Toc16938529"/>
      <w:r/>
      <w:bookmarkStart w:id="85" w:name="_Toc462564072"/>
      <w:r>
        <w:rPr>
          <w:rFonts w:hint="eastAsia" w:ascii="宋体" w:hAnsi="宋体" w:eastAsia="宋体" w:cs="宋体"/>
          <w:b/>
          <w:bCs/>
          <w:color w:val="000000"/>
          <w:sz w:val="24"/>
          <w:szCs w:val="24"/>
        </w:rPr>
        <w:t xml:space="preserve">三、投标文件的编制</w:t>
      </w:r>
      <w:bookmarkEnd w:id="81"/>
      <w:r/>
      <w:bookmarkEnd w:id="82"/>
      <w:r/>
      <w:bookmarkEnd w:id="83"/>
      <w:r/>
      <w:bookmarkEnd w:id="84"/>
      <w:r/>
      <w:bookmarkEnd w:id="85"/>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86" w:name="_Toc20823286"/>
      <w:r/>
      <w:bookmarkStart w:id="87" w:name="_Toc462564073"/>
      <w:r/>
      <w:bookmarkStart w:id="88" w:name="_Toc513029214"/>
      <w:r/>
      <w:bookmarkStart w:id="89" w:name="_Toc16938530"/>
      <w:r>
        <w:rPr>
          <w:rFonts w:hint="eastAsia" w:ascii="宋体" w:hAnsi="宋体" w:eastAsia="宋体" w:cs="宋体"/>
          <w:color w:val="000000"/>
          <w:sz w:val="24"/>
          <w:szCs w:val="24"/>
        </w:rPr>
        <w:t xml:space="preserve">8、投标文件的语言及度量衡单位</w:t>
      </w:r>
      <w:bookmarkEnd w:id="86"/>
      <w:r/>
      <w:bookmarkEnd w:id="87"/>
      <w:r/>
      <w:bookmarkEnd w:id="88"/>
      <w:r/>
      <w:bookmarkEnd w:id="8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0" w:name="_Toc462564074"/>
      <w:r/>
      <w:bookmarkStart w:id="91" w:name="_Toc513029215"/>
      <w:r/>
      <w:bookmarkStart w:id="92" w:name="_Toc16938531"/>
      <w:r/>
      <w:bookmarkStart w:id="93" w:name="_Toc20823287"/>
      <w:r>
        <w:rPr>
          <w:rFonts w:hint="eastAsia" w:ascii="宋体" w:hAnsi="宋体" w:eastAsia="宋体" w:cs="宋体"/>
          <w:color w:val="000000"/>
          <w:sz w:val="24"/>
          <w:szCs w:val="24"/>
        </w:rPr>
        <w:t xml:space="preserve">9、投标文件构成</w:t>
      </w:r>
      <w:bookmarkEnd w:id="90"/>
      <w:r/>
      <w:bookmarkEnd w:id="91"/>
      <w:r/>
      <w:bookmarkEnd w:id="92"/>
      <w:r/>
      <w:bookmarkEnd w:id="93"/>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Hlt26670360"/>
      <w:r/>
      <w:bookmarkEnd w:id="94"/>
      <w:r/>
      <w:bookmarkStart w:id="95" w:name="_Hlt26954838"/>
      <w:r/>
      <w:bookmarkEnd w:id="95"/>
      <w:r/>
      <w:bookmarkStart w:id="96" w:name="_Hlt26668975"/>
      <w:r/>
      <w:bookmarkEnd w:id="96"/>
      <w:r/>
      <w:bookmarkStart w:id="97" w:name="_Toc14577357"/>
      <w:r/>
      <w:bookmarkStart w:id="98" w:name="_Toc49090509"/>
      <w:r/>
      <w:bookmarkStart w:id="99" w:name="_Toc513029219"/>
      <w:r/>
      <w:bookmarkStart w:id="100" w:name="_Toc513029216"/>
      <w:r/>
      <w:bookmarkStart w:id="101" w:name="_Toc14577354"/>
      <w:r/>
      <w:bookmarkStart w:id="102" w:name="_Toc49090507"/>
      <w:r/>
      <w:bookmarkStart w:id="103" w:name="_Toc14577355"/>
      <w:r/>
      <w:bookmarkStart w:id="104" w:name="_Toc49090508"/>
      <w:r>
        <w:rPr>
          <w:rFonts w:hint="eastAsia" w:ascii="宋体" w:hAnsi="宋体" w:eastAsia="宋体" w:cs="宋体"/>
          <w:color w:val="000000"/>
          <w:sz w:val="24"/>
          <w:szCs w:val="24"/>
        </w:rPr>
        <w:t xml:space="preserve">10、证明投标人及投标标的符合招标文件规定的文件</w:t>
      </w:r>
      <w:bookmarkEnd w:id="97"/>
      <w:r/>
      <w:bookmarkEnd w:id="98"/>
      <w:r/>
      <w:bookmarkEnd w:id="99"/>
      <w:r/>
      <w:bookmarkEnd w:id="100"/>
      <w:r/>
      <w:bookmarkEnd w:id="101"/>
      <w:r/>
      <w:bookmarkEnd w:id="102"/>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103"/>
      <w:r/>
      <w:bookmarkEnd w:id="10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105" w:name="_Hlt26954840"/>
      <w:r/>
      <w:bookmarkEnd w:id="105"/>
      <w:r>
        <w:rPr>
          <w:rFonts w:hint="eastAsia" w:ascii="宋体" w:hAnsi="宋体" w:eastAsia="宋体" w:cs="宋体"/>
          <w:sz w:val="24"/>
          <w:szCs w:val="24"/>
        </w:rPr>
        <w:t xml:space="preserve">标人按照招标文件规定格式填报投标分项报价表</w:t>
      </w:r>
      <w:bookmarkStart w:id="106" w:name="_Hlt26670399"/>
      <w:r/>
      <w:bookmarkEnd w:id="106"/>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Hlt26954848"/>
      <w:r/>
      <w:bookmarkEnd w:id="107"/>
      <w:r/>
      <w:bookmarkStart w:id="108" w:name="_Hlt26670482"/>
      <w:r/>
      <w:bookmarkEnd w:id="108"/>
      <w:r/>
      <w:bookmarkStart w:id="109" w:name="_Hlt26954846"/>
      <w:r/>
      <w:bookmarkEnd w:id="109"/>
      <w:r/>
      <w:bookmarkStart w:id="110" w:name="_Hlt26670486"/>
      <w:r/>
      <w:bookmarkEnd w:id="110"/>
      <w:r/>
      <w:bookmarkStart w:id="111" w:name="_Hlt26954731"/>
      <w:r/>
      <w:bookmarkEnd w:id="111"/>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2" w:name="_Toc49090510"/>
      <w:r/>
      <w:bookmarkStart w:id="113" w:name="_Toc14577359"/>
      <w:r>
        <w:rPr>
          <w:rFonts w:hint="eastAsia" w:ascii="宋体" w:hAnsi="宋体" w:eastAsia="宋体" w:cs="宋体"/>
          <w:color w:val="000000"/>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4" w:name="_Toc49090511"/>
      <w:r/>
      <w:bookmarkStart w:id="115" w:name="_Toc14577360"/>
      <w:r>
        <w:rPr>
          <w:rFonts w:hint="eastAsia" w:ascii="宋体" w:hAnsi="宋体" w:eastAsia="宋体" w:cs="宋体"/>
          <w:color w:val="000000"/>
          <w:sz w:val="24"/>
          <w:szCs w:val="24"/>
        </w:rPr>
        <w:t xml:space="preserve">15、投标有效期</w:t>
      </w:r>
      <w:bookmarkEnd w:id="114"/>
      <w:r/>
      <w:bookmarkEnd w:id="11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代</w:t>
      </w:r>
      <w:r>
        <w:rPr>
          <w:rFonts w:hint="eastAsia" w:ascii="宋体" w:hAnsi="宋体" w:eastAsia="宋体" w:cs="宋体"/>
          <w:bCs/>
          <w:color w:val="000000"/>
          <w:spacing w:val="-6"/>
          <w:sz w:val="24"/>
          <w:szCs w:val="24"/>
          <w:lang w:eastAsia="zh-CN"/>
        </w:rPr>
        <w:t xml:space="preserve">理机构</w:t>
      </w:r>
      <w:r>
        <w:rPr>
          <w:rFonts w:hint="eastAsia" w:ascii="宋体" w:hAnsi="宋体" w:eastAsia="宋体" w:cs="宋体"/>
          <w:bCs/>
          <w:color w:val="000000"/>
          <w:spacing w:val="-6"/>
          <w:sz w:val="24"/>
          <w:szCs w:val="24"/>
        </w:rPr>
        <w:t xml:space="preserve">的这一要求而放弃投标，同意延长投标有效期的投标人既不能要求也不允许修改其投标文件。</w:t>
      </w:r>
      <w:r>
        <w:rPr>
          <w:rFonts w:hint="eastAsia" w:ascii="宋体" w:hAnsi="宋体" w:eastAsia="宋体" w:cs="宋体"/>
          <w:color w:val="000000"/>
          <w:spacing w:val="-6"/>
          <w:sz w:val="24"/>
          <w:szCs w:val="24"/>
        </w:rPr>
        <w:t xml:space="preserve">受投标有效期约束的所有权利与义务均延长至新的有效期</w:t>
      </w:r>
      <w:r>
        <w:rPr>
          <w:rFonts w:hint="eastAsia" w:ascii="宋体" w:hAnsi="宋体" w:eastAsia="宋体" w:cs="宋体"/>
          <w:bCs/>
          <w:color w:val="000000"/>
          <w:spacing w:val="-6"/>
          <w:sz w:val="24"/>
          <w:szCs w:val="24"/>
        </w:rPr>
        <w:t xml:space="preserve">。</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6" w:name="_Hlt26954852"/>
      <w:r/>
      <w:bookmarkEnd w:id="116"/>
      <w:r/>
      <w:bookmarkStart w:id="117" w:name="_Hlt26954739"/>
      <w:r/>
      <w:bookmarkEnd w:id="117"/>
      <w:r/>
      <w:bookmarkStart w:id="118" w:name="_Toc20823296"/>
      <w:r/>
      <w:bookmarkStart w:id="119" w:name="_Toc513029224"/>
      <w:r/>
      <w:bookmarkStart w:id="120" w:name="_Toc120614217"/>
      <w:r/>
      <w:bookmarkStart w:id="121" w:name="_Toc16938540"/>
      <w:r>
        <w:rPr>
          <w:rFonts w:hint="eastAsia" w:ascii="宋体" w:hAnsi="宋体" w:eastAsia="宋体" w:cs="宋体"/>
          <w:b/>
          <w:bCs/>
          <w:color w:val="000000"/>
          <w:sz w:val="24"/>
          <w:szCs w:val="24"/>
        </w:rPr>
        <w:t xml:space="preserve">四、投标文件的递交</w:t>
      </w:r>
      <w:bookmarkEnd w:id="118"/>
      <w:r/>
      <w:bookmarkEnd w:id="119"/>
      <w:r/>
      <w:bookmarkEnd w:id="120"/>
      <w:r/>
      <w:bookmarkEnd w:id="121"/>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22" w:name="_Toc20823297"/>
      <w:r/>
      <w:bookmarkStart w:id="123" w:name="_Toc462564084"/>
      <w:r/>
      <w:bookmarkStart w:id="124" w:name="_Toc16938541"/>
      <w:r/>
      <w:bookmarkStart w:id="125" w:name="_Toc513029225"/>
      <w:r>
        <w:rPr>
          <w:rFonts w:hint="eastAsia" w:ascii="宋体" w:hAnsi="宋体" w:eastAsia="宋体" w:cs="宋体"/>
          <w:color w:val="000000"/>
          <w:sz w:val="24"/>
          <w:szCs w:val="24"/>
        </w:rPr>
        <w:t xml:space="preserve">17、电子投标文件</w:t>
      </w:r>
      <w:bookmarkEnd w:id="122"/>
      <w:r/>
      <w:bookmarkEnd w:id="123"/>
      <w:r/>
      <w:bookmarkEnd w:id="124"/>
      <w:r/>
      <w:bookmarkEnd w:id="125"/>
      <w:r>
        <w:rPr>
          <w:rFonts w:hint="eastAsia" w:ascii="宋体" w:hAnsi="宋体" w:eastAsia="宋体" w:cs="宋体"/>
          <w:color w:val="000000"/>
          <w:sz w:val="24"/>
          <w:szCs w:val="24"/>
        </w:rPr>
        <w:t xml:space="preserve">的递交</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子投标文件。</w:t>
      </w:r>
      <w:bookmarkStart w:id="126" w:name="_Toc513029226"/>
      <w:r/>
      <w:bookmarkStart w:id="127" w:name="_Toc20823298"/>
      <w:r/>
      <w:bookmarkStart w:id="128" w:name="_Toc1693854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126"/>
      <w:r/>
      <w:bookmarkEnd w:id="127"/>
      <w:r/>
      <w:bookmarkEnd w:id="128"/>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29" w:name="_Toc16938543"/>
      <w:r/>
      <w:bookmarkStart w:id="130" w:name="_Toc20823299"/>
      <w:r/>
      <w:bookmarkStart w:id="131" w:name="_Toc513029227"/>
      <w:r>
        <w:rPr>
          <w:rFonts w:hint="eastAsia" w:ascii="宋体" w:hAnsi="宋体" w:eastAsia="宋体" w:cs="宋体"/>
          <w:color w:val="000000"/>
          <w:sz w:val="24"/>
          <w:szCs w:val="24"/>
        </w:rPr>
        <w:t xml:space="preserve">19、投标文件</w:t>
      </w:r>
      <w:bookmarkEnd w:id="129"/>
      <w:r/>
      <w:bookmarkEnd w:id="130"/>
      <w:r/>
      <w:bookmarkEnd w:id="131"/>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32" w:name="_Toc16938544"/>
      <w:r/>
      <w:bookmarkStart w:id="133" w:name="_Toc20823300"/>
      <w:r/>
      <w:bookmarkStart w:id="134" w:name="_Toc513029228"/>
      <w:r>
        <w:rPr>
          <w:rFonts w:hint="eastAsia" w:ascii="宋体" w:hAnsi="宋体" w:eastAsia="宋体" w:cs="宋体"/>
          <w:color w:val="000000"/>
          <w:sz w:val="24"/>
          <w:szCs w:val="24"/>
        </w:rPr>
        <w:t xml:space="preserve">20、投标文件的撤回和修改</w:t>
      </w:r>
      <w:bookmarkEnd w:id="132"/>
      <w:r/>
      <w:bookmarkEnd w:id="133"/>
      <w:r/>
      <w:bookmarkEnd w:id="13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35" w:name="_Toc16938545"/>
      <w:r/>
      <w:bookmarkStart w:id="136" w:name="_Toc513029229"/>
      <w:r/>
      <w:bookmarkStart w:id="137" w:name="_Toc20823301"/>
      <w:r/>
      <w:bookmarkStart w:id="138" w:name="_Toc120614218"/>
      <w:r>
        <w:rPr>
          <w:rFonts w:hint="eastAsia" w:ascii="宋体" w:hAnsi="宋体" w:eastAsia="宋体" w:cs="宋体"/>
          <w:b/>
          <w:bCs/>
          <w:color w:val="000000"/>
          <w:sz w:val="24"/>
          <w:szCs w:val="24"/>
        </w:rPr>
        <w:t xml:space="preserve">五、开标与评标</w:t>
      </w:r>
      <w:bookmarkEnd w:id="135"/>
      <w:r/>
      <w:bookmarkEnd w:id="136"/>
      <w:r/>
      <w:bookmarkEnd w:id="137"/>
      <w:r/>
      <w:bookmarkEnd w:id="13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39" w:name="_Toc16938546"/>
      <w:r/>
      <w:bookmarkStart w:id="140" w:name="_Toc513029230"/>
      <w:r/>
      <w:bookmarkStart w:id="141" w:name="_Toc20823302"/>
      <w:r>
        <w:rPr>
          <w:rFonts w:hint="eastAsia" w:ascii="宋体" w:hAnsi="宋体" w:eastAsia="宋体" w:cs="宋体"/>
          <w:color w:val="000000"/>
          <w:sz w:val="24"/>
          <w:szCs w:val="24"/>
        </w:rPr>
        <w:t xml:space="preserve">21、开标</w:t>
      </w:r>
      <w:bookmarkEnd w:id="139"/>
      <w:r/>
      <w:bookmarkEnd w:id="140"/>
      <w:r/>
      <w:bookmarkEnd w:id="141"/>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42" w:name="_Toc20823303"/>
      <w:r/>
      <w:bookmarkStart w:id="143" w:name="_Toc16938547"/>
      <w:r/>
      <w:bookmarkStart w:id="144" w:name="_Toc513029231"/>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22.3评委会独立工作，负责评审所有投标文件并确定中标侯选人。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42"/>
      <w:r/>
      <w:bookmarkEnd w:id="143"/>
      <w:r/>
      <w:bookmarkEnd w:id="144"/>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45" w:name="_Toc16938548"/>
      <w:r/>
      <w:bookmarkStart w:id="146" w:name="_Toc513029232"/>
      <w:r/>
      <w:bookmarkStart w:id="147" w:name="_Toc20823304"/>
      <w:r>
        <w:rPr>
          <w:rFonts w:hint="eastAsia" w:ascii="宋体" w:hAnsi="宋体" w:eastAsia="宋体" w:cs="宋体"/>
          <w:color w:val="000000"/>
          <w:sz w:val="24"/>
          <w:szCs w:val="24"/>
        </w:rPr>
        <w:t xml:space="preserve">24、投标文件的澄清</w:t>
      </w:r>
      <w:bookmarkEnd w:id="145"/>
      <w:r/>
      <w:bookmarkEnd w:id="146"/>
      <w:r/>
      <w:bookmarkEnd w:id="147"/>
      <w:r/>
      <w:r/>
    </w:p>
    <w:p>
      <w:pPr>
        <w:ind w:left="0" w:firstLine="480"/>
        <w:pageBreakBefore w:val="0"/>
        <w:spacing w:line="360" w:lineRule="auto"/>
        <w:widowControl w:val="off"/>
        <w:rPr>
          <w:rFonts w:hint="eastAsia" w:ascii="宋体" w:hAnsi="宋体" w:eastAsia="宋体" w:cs="宋体"/>
          <w:color w:val="000000"/>
          <w:sz w:val="24"/>
          <w:szCs w:val="24"/>
        </w:rPr>
      </w:pPr>
      <w:r/>
      <w:bookmarkStart w:id="148" w:name="_Toc513029233"/>
      <w:r/>
      <w:bookmarkStart w:id="149" w:name="_Toc16938549"/>
      <w:r/>
      <w:bookmarkStart w:id="150" w:name="_Toc20823305"/>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48"/>
      <w:r/>
      <w:bookmarkEnd w:id="149"/>
      <w:r/>
      <w:bookmarkEnd w:id="150"/>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51" w:name="_Toc513029234"/>
      <w:r/>
      <w:bookmarkStart w:id="152" w:name="_Toc16938550"/>
      <w:r/>
      <w:bookmarkStart w:id="153"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25.8 异常低价投标审查</w:t>
      </w:r>
      <w:bookmarkEnd w:id="151"/>
      <w:r/>
      <w:bookmarkEnd w:id="152"/>
      <w:r/>
      <w:bookmarkEnd w:id="153"/>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bookmarkStart w:id="154" w:name="_Toc20823307"/>
      <w:r/>
      <w:bookmarkStart w:id="155" w:name="_Toc513029235"/>
      <w:r/>
      <w:bookmarkStart w:id="156" w:name="_Toc16938551"/>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政府采购评审中出现下列情形之一的，评审委员会应当启动异常低价投标审查程序：</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1.投标报价低于全部通过符合性审查供应商投标报价平均值</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%的，即投标报价&lt;全部通过符合性审查供应商投标报价平均值×</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2.投标报价低于通过符合性审查的次低报价供应商投标报价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%的，即投标报价&lt;通过符合性审查的次低报价供应商投标报价×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3.投标报价低于采购项目最高限价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%的，即投标报价&lt;采购项目最高限价×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eastAsia="zh-CN"/>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（二）评审委员会启动异常低价投标审查后，属于前述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一）中</w:t>
      </w:r>
      <w:r>
        <w:rPr>
          <w:rFonts w:hint="eastAsia" w:ascii="宋体" w:hAnsi="宋体" w:eastAsia="宋体" w:cs="宋体"/>
          <w:b/>
          <w:bCs/>
          <w:color w:val="000000"/>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b/>
          <w:bCs/>
          <w:color w:val="000000"/>
          <w:sz w:val="24"/>
          <w:szCs w:val="24"/>
          <w:highlight w:val="none"/>
          <w:lang w:val="en-US" w:eastAsia="zh-CN"/>
        </w:rPr>
        <w:t xml:space="preserve">一般</w:t>
      </w:r>
      <w:r>
        <w:rPr>
          <w:rFonts w:hint="eastAsia" w:ascii="宋体" w:hAnsi="宋体" w:eastAsia="宋体" w:cs="宋体"/>
          <w:b/>
          <w:bCs/>
          <w:color w:val="000000"/>
          <w:sz w:val="24"/>
          <w:szCs w:val="24"/>
          <w:highlight w:val="none"/>
        </w:rPr>
        <w:t xml:space="preserve">不少于30分钟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具体时间由评审委员会确定</w:t>
      </w:r>
      <w:r>
        <w:rPr>
          <w:rFonts w:hint="eastAsia" w:ascii="宋体" w:hAnsi="宋体" w:eastAsia="宋体" w:cs="宋体"/>
          <w:b/>
          <w:bCs/>
          <w:color w:val="000000"/>
          <w:sz w:val="24"/>
          <w:szCs w:val="24"/>
          <w:highlight w:val="none"/>
        </w:rPr>
        <w:t xml:space="preserve">。其中，属于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一）中</w:t>
      </w:r>
      <w:r>
        <w:rPr>
          <w:rFonts w:hint="eastAsia" w:ascii="宋体" w:hAnsi="宋体" w:eastAsia="宋体" w:cs="宋体"/>
          <w:b/>
          <w:bCs/>
          <w:color w:val="000000"/>
          <w:sz w:val="24"/>
          <w:szCs w:val="24"/>
          <w:highlight w:val="none"/>
        </w:rPr>
        <w:t xml:space="preserve">第3项情形，供应商已随投标文件一并提交相关书面说明及必要的证明材料的，在评审现场可不再重复提交。</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rPr>
        <w:t xml:space="preserve">    </w:t>
      </w:r>
      <w:r/>
    </w:p>
    <w:p>
      <w:pPr>
        <w:ind w:left="0" w:firstLine="48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360" w:lineRule="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.1未通过符合性审查</w:t>
      </w:r>
      <w:r>
        <w:rPr>
          <w:rFonts w:hint="eastAsia" w:ascii="宋体" w:hAnsi="宋体" w:eastAsia="宋体" w:cs="宋体"/>
          <w:bCs/>
          <w:color w:val="000000"/>
          <w:sz w:val="24"/>
          <w:szCs w:val="24"/>
          <w:highlight w:val="none"/>
        </w:rPr>
        <w:t xml:space="preserve">的。</w:t>
      </w:r>
      <w:r/>
    </w:p>
    <w:p>
      <w:pPr>
        <w:ind w:left="0" w:firstLine="480"/>
        <w:pageBreakBefore w:val="0"/>
        <w:spacing w:line="360" w:lineRule="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不符合招标文件中规定的实质性要求的</w:t>
      </w:r>
      <w:r>
        <w:rPr>
          <w:rFonts w:hint="eastAsia" w:ascii="宋体" w:hAnsi="宋体" w:eastAsia="宋体" w:cs="宋体"/>
          <w:b/>
          <w:bCs/>
          <w:sz w:val="24"/>
          <w:szCs w:val="24"/>
          <w:highlight w:val="none"/>
        </w:rPr>
        <w:t xml:space="preserve">（本招标文件中加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sz w:val="24"/>
          <w:szCs w:val="24"/>
          <w:highlight w:val="none"/>
        </w:rPr>
        <w:t xml:space="preserve">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投标人被 “信用中国”网站（www.creditchina.gov.cn）列入失信被执行人或重大税收违法案件当事人名单或政府采购严</w:t>
      </w:r>
      <w:r>
        <w:rPr>
          <w:rFonts w:hint="eastAsia" w:ascii="宋体" w:hAnsi="宋体" w:eastAsia="宋体" w:cs="宋体"/>
          <w:bCs/>
          <w:color w:val="000000"/>
          <w:sz w:val="24"/>
          <w:szCs w:val="24"/>
        </w:rPr>
        <w:t xml:space="preserve">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投标文件含有采购人不能接受的附加条件的。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sz w:val="24"/>
          <w:szCs w:val="24"/>
        </w:rPr>
        <w:t xml:space="preserve">26.1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w:t>
      </w:r>
      <w:r/>
    </w:p>
    <w:p>
      <w:pPr>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p>
    <w:p>
      <w:pPr>
        <w:ind w:left="0" w:firstLine="456"/>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因苏采云系统故障原因造成开标不成功的。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57" w:name="_Toc120614219"/>
      <w:r>
        <w:rPr>
          <w:rFonts w:hint="eastAsia" w:ascii="宋体" w:hAnsi="宋体" w:eastAsia="宋体" w:cs="宋体"/>
          <w:b/>
          <w:bCs/>
          <w:color w:val="000000"/>
          <w:sz w:val="24"/>
          <w:szCs w:val="24"/>
        </w:rPr>
        <w:t xml:space="preserve">六、</w:t>
      </w:r>
      <w:bookmarkEnd w:id="154"/>
      <w:r/>
      <w:bookmarkEnd w:id="155"/>
      <w:r/>
      <w:bookmarkEnd w:id="156"/>
      <w:r>
        <w:rPr>
          <w:rFonts w:hint="eastAsia" w:ascii="宋体" w:hAnsi="宋体" w:eastAsia="宋体" w:cs="宋体"/>
          <w:b/>
          <w:bCs/>
          <w:color w:val="000000"/>
          <w:sz w:val="24"/>
          <w:szCs w:val="24"/>
        </w:rPr>
        <w:t xml:space="preserve">定标</w:t>
      </w:r>
      <w:bookmarkEnd w:id="157"/>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58" w:name="_Toc513029238"/>
      <w:r/>
      <w:bookmarkStart w:id="159" w:name="_Toc16938554"/>
      <w:r/>
      <w:bookmarkStart w:id="160" w:name="_Toc20823310"/>
      <w:r>
        <w:rPr>
          <w:rFonts w:hint="eastAsia" w:ascii="宋体" w:hAnsi="宋体" w:eastAsia="宋体" w:cs="宋体"/>
          <w:bCs/>
          <w:color w:val="000000"/>
          <w:sz w:val="24"/>
          <w:szCs w:val="24"/>
        </w:rPr>
        <w:t xml:space="preserve">27、</w:t>
      </w:r>
      <w:bookmarkEnd w:id="158"/>
      <w:r>
        <w:rPr>
          <w:rFonts w:hint="eastAsia" w:ascii="宋体" w:hAnsi="宋体" w:eastAsia="宋体" w:cs="宋体"/>
          <w:bCs/>
          <w:color w:val="000000"/>
          <w:sz w:val="24"/>
          <w:szCs w:val="24"/>
        </w:rPr>
        <w:t xml:space="preserve">确定</w:t>
      </w:r>
      <w:bookmarkEnd w:id="159"/>
      <w:r/>
      <w:bookmarkEnd w:id="160"/>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61"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28、质疑处理</w:t>
      </w:r>
      <w:bookmarkEnd w:id="16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或采购人提出质疑。上述应知其权益受到损害之日，是指：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供应商（含潜在供应商）对与本项目有关的所有询问、质疑均请向采购人提出，由采购人负责答复。</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不接受无快递运单号的快递）。</w:t>
      </w:r>
      <w:r/>
    </w:p>
    <w:p>
      <w:pPr>
        <w:ind w:left="0"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质疑接收部门为</w:t>
      </w:r>
      <w:r>
        <w:rPr>
          <w:rFonts w:hint="eastAsia" w:ascii="宋体" w:hAnsi="宋体" w:eastAsia="宋体" w:cs="宋体"/>
          <w:b/>
          <w:bCs/>
          <w:sz w:val="24"/>
          <w:szCs w:val="24"/>
          <w:lang w:val="en-US" w:eastAsia="zh-CN"/>
        </w:rPr>
        <w:t xml:space="preserve">江苏博茂项目管理有限公司招标代理部</w:t>
      </w:r>
      <w:r>
        <w:rPr>
          <w:rFonts w:hint="eastAsia" w:ascii="宋体" w:hAnsi="宋体" w:eastAsia="宋体" w:cs="宋体"/>
          <w:b/>
          <w:bCs/>
          <w:sz w:val="24"/>
          <w:szCs w:val="24"/>
        </w:rPr>
        <w:t xml:space="preserve">，联系地址：</w:t>
      </w:r>
      <w:r>
        <w:rPr>
          <w:rFonts w:hint="eastAsia" w:ascii="宋体" w:hAnsi="宋体" w:eastAsia="宋体" w:cs="宋体"/>
          <w:b/>
          <w:bCs/>
          <w:sz w:val="24"/>
          <w:szCs w:val="24"/>
          <w:lang w:val="en-US" w:eastAsia="zh-CN"/>
        </w:rPr>
        <w:t xml:space="preserve">连云港市海州经济技术开发区润连制造中心1号楼二楼</w:t>
      </w:r>
      <w:r>
        <w:rPr>
          <w:rFonts w:hint="eastAsia" w:ascii="宋体" w:hAnsi="宋体" w:eastAsia="宋体" w:cs="宋体"/>
          <w:b/>
          <w:bCs/>
          <w:sz w:val="24"/>
          <w:szCs w:val="24"/>
        </w:rPr>
        <w:t xml:space="preserve">，联系电话</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13675293742</w:t>
      </w:r>
      <w:r>
        <w:rPr>
          <w:rFonts w:hint="eastAsia" w:ascii="宋体" w:hAnsi="宋体" w:eastAsia="宋体" w:cs="宋体"/>
          <w:b/>
          <w:bCs/>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28.6 供应商提出书面质疑必须有理、有据，不得捏造事实、提供虚假材料进行恶意质疑。否则，一经查实，</w:t>
      </w:r>
      <w:r>
        <w:rPr>
          <w:rFonts w:hint="eastAsia" w:ascii="宋体" w:hAnsi="宋体" w:eastAsia="宋体" w:cs="宋体"/>
          <w:color w:val="000000"/>
          <w:spacing w:val="-6"/>
          <w:sz w:val="24"/>
          <w:szCs w:val="24"/>
          <w:lang w:eastAsia="zh-CN"/>
        </w:rPr>
        <w:t xml:space="preserve">代理机构</w:t>
      </w:r>
      <w:r>
        <w:rPr>
          <w:rFonts w:hint="eastAsia" w:ascii="宋体" w:hAnsi="宋体" w:eastAsia="宋体" w:cs="宋体"/>
          <w:color w:val="000000"/>
          <w:spacing w:val="-6"/>
          <w:sz w:val="24"/>
          <w:szCs w:val="24"/>
        </w:rPr>
        <w:t xml:space="preserve">有权依据政府采购的有关规定，报请政府采购监管部门对该供应商进行相应的行政处罚和记录该供应商的失信信息。</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2" w:name="_Toc120614220"/>
      <w:r/>
      <w:bookmarkStart w:id="163" w:name="_Toc20823308"/>
      <w:r/>
      <w:bookmarkStart w:id="164" w:name="_Toc16938552"/>
      <w:r/>
      <w:bookmarkStart w:id="165" w:name="_Toc513029236"/>
      <w:r>
        <w:rPr>
          <w:rFonts w:hint="eastAsia" w:ascii="宋体" w:hAnsi="宋体" w:eastAsia="宋体" w:cs="宋体"/>
          <w:b/>
          <w:bCs/>
          <w:color w:val="000000"/>
          <w:sz w:val="24"/>
          <w:szCs w:val="24"/>
        </w:rPr>
        <w:t xml:space="preserve">七、授予合同</w:t>
      </w:r>
      <w:bookmarkEnd w:id="162"/>
      <w:r/>
      <w:bookmarkEnd w:id="163"/>
      <w:r/>
      <w:bookmarkEnd w:id="164"/>
      <w:r/>
      <w:bookmarkEnd w:id="165"/>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66" w:name="_Toc20823309"/>
      <w:r/>
      <w:bookmarkStart w:id="167" w:name="_Toc16938553"/>
      <w:r/>
      <w:bookmarkStart w:id="168" w:name="_Toc513029237"/>
      <w:r>
        <w:rPr>
          <w:rFonts w:hint="eastAsia" w:ascii="宋体" w:hAnsi="宋体" w:eastAsia="宋体" w:cs="宋体"/>
          <w:bCs/>
          <w:color w:val="000000"/>
          <w:sz w:val="24"/>
          <w:szCs w:val="24"/>
        </w:rPr>
        <w:t xml:space="preserve">30、签订合同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6"/>
      <w:r/>
      <w:bookmarkEnd w:id="167"/>
      <w:r/>
      <w:bookmarkEnd w:id="168"/>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69" w:name="_Toc20823314"/>
      <w:r/>
      <w:bookmarkStart w:id="170" w:name="_Toc16938558"/>
      <w:r/>
      <w:bookmarkStart w:id="171" w:name="_Toc513029242"/>
      <w:r/>
      <w:bookmarkStart w:id="172" w:name="_Toc120614221"/>
      <w:r/>
      <w:bookmarkStart w:id="173" w:name="_Toc479757207"/>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left="0" w:right="0" w:firstLine="480"/>
        <w:keepLines/>
        <w:keepNext/>
        <w:pageBreakBefore w:val="0"/>
        <w:spacing w:line="360" w:lineRule="auto"/>
        <w:widowControl w:val="off"/>
        <w:rPr>
          <w:rFonts w:hint="eastAsia" w:ascii="宋体" w:hAnsi="宋体" w:eastAsia="宋体" w:cs="宋体"/>
          <w:b/>
          <w:bCs/>
          <w:color w:val="000000"/>
          <w:sz w:val="24"/>
          <w:szCs w:val="24"/>
          <w:highlight w:val="none"/>
          <w:shd w:val="clear" w:color="auto" w:fill="auto"/>
          <w:lang w:val="en-US" w:eastAsia="zh-CN"/>
        </w:rPr>
        <w:outlineLvl w:val="2"/>
      </w:pPr>
      <w:r/>
      <w:bookmarkStart w:id="174" w:name="_Toc19843"/>
      <w:r/>
      <w:bookmarkStart w:id="175" w:name="_Toc23014"/>
      <w:r/>
      <w:bookmarkStart w:id="176" w:name="_Toc32228"/>
      <w:r/>
      <w:bookmarkStart w:id="177" w:name="_Toc27845"/>
      <w:r>
        <w:rPr>
          <w:rFonts w:hint="eastAsia" w:ascii="宋体" w:hAnsi="宋体" w:eastAsia="宋体" w:cs="宋体"/>
          <w:b/>
          <w:bCs/>
          <w:color w:val="000000"/>
          <w:sz w:val="24"/>
          <w:szCs w:val="24"/>
          <w:highlight w:val="none"/>
          <w:shd w:val="clear" w:color="auto" w:fill="auto"/>
          <w:lang w:val="en-US" w:eastAsia="zh-CN"/>
        </w:rPr>
        <w:t xml:space="preserve">八</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政策功能</w:t>
      </w:r>
      <w:bookmarkEnd w:id="174"/>
      <w:r/>
      <w:bookmarkEnd w:id="175"/>
      <w:r/>
      <w:bookmarkEnd w:id="176"/>
      <w:r/>
      <w:bookmarkEnd w:id="17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.2 参加本项目政府采购活动的投标人应当提供的材料：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（1）投标人为中型企业、小型企业、微型企业的，提供《中小企业声明函》（第六章 响应文件格式）。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 享受扶持政策获得政府采购合同的，小微型企业不得将合同分包给大中型企业，中型企业不得将合同分包给大型企业。</w:t>
      </w:r>
      <w:r/>
    </w:p>
    <w:p>
      <w:p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、支持绿色发展</w:t>
      </w:r>
      <w:r/>
    </w:p>
    <w:p>
      <w:p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numPr>
          <w:ilvl w:val="0"/>
          <w:numId w:val="0"/>
        </w:numPr>
        <w:ind w:left="0" w:firstLine="48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政府采购需求标准</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35.1本项目执行《绿色数据中心政府采购需求</w:t>
      </w:r>
      <w:r>
        <w:rPr>
          <w:rFonts w:hint="eastAsia" w:ascii="宋体" w:hAnsi="宋体" w:eastAsia="宋体" w:cs="宋体"/>
          <w:b w:val="0"/>
          <w:color w:val="000000"/>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36.采购本国产品的支持政策</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000000"/>
          <w:sz w:val="24"/>
          <w:szCs w:val="24"/>
          <w:highlight w:val="none"/>
          <w:lang w:val="en-US" w:eastAsia="zh-CN" w:bidi="ar-SA"/>
        </w:rPr>
        <w:t xml:space="preserve">供应商需在“第四章 投标文件格式 投标分项报价表”中填写比例数值</w:t>
      </w:r>
      <w:r>
        <w:rPr>
          <w:rFonts w:hint="eastAsia" w:ascii="宋体" w:hAnsi="宋体" w:eastAsia="宋体" w:cs="宋体"/>
          <w:b w:val="0"/>
          <w:color w:val="000000"/>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36</w:t>
      </w:r>
      <w:r>
        <w:rPr>
          <w:rFonts w:hint="eastAsia" w:ascii="宋体" w:hAnsi="宋体" w:eastAsia="宋体" w:cs="宋体"/>
          <w:b/>
          <w:bCs/>
          <w:color w:val="000000"/>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color w:val="000000"/>
          <w:sz w:val="24"/>
          <w:szCs w:val="24"/>
          <w:highlight w:val="none"/>
        </w:rPr>
        <w:t xml:space="preserve">接受进口产品</w:t>
      </w:r>
      <w:r>
        <w:rPr>
          <w:rFonts w:hint="eastAsia" w:ascii="宋体" w:hAnsi="宋体" w:eastAsia="宋体" w:cs="宋体"/>
          <w:color w:val="000000"/>
          <w:sz w:val="24"/>
          <w:szCs w:val="24"/>
          <w:highlight w:val="none"/>
        </w:rPr>
        <w:t xml:space="preserve">（进口产品是指通过中国海关报关验放进入中国境内且产自关境外的产品），中标后不允许分包或转包。</w:t>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69"/>
      <w:r/>
      <w:bookmarkEnd w:id="170"/>
      <w:r/>
      <w:bookmarkEnd w:id="171"/>
      <w:r/>
      <w:bookmarkEnd w:id="172"/>
      <w:r/>
      <w:bookmarkEnd w:id="173"/>
      <w:r>
        <w:rPr>
          <w:rFonts w:hint="eastAsia" w:ascii="黑体" w:eastAsia="黑体"/>
          <w:bCs/>
          <w:color w:val="000000"/>
          <w:sz w:val="44"/>
          <w:szCs w:val="28"/>
        </w:rPr>
        <w:t xml:space="preserve">文本</w:t>
      </w:r>
      <w:r/>
    </w:p>
    <w:p>
      <w:pPr>
        <w:spacing w:line="500" w:lineRule="exact"/>
        <w:rPr>
          <w:rFonts w:hint="eastAsia" w:ascii="宋体" w:hAnsi="宋体"/>
          <w:bCs/>
          <w:color w:val="000000"/>
          <w:sz w:val="24"/>
          <w:szCs w:val="24"/>
        </w:rPr>
      </w:pPr>
      <w:r/>
      <w:bookmarkStart w:id="178" w:name="_Toc3995"/>
      <w:r/>
      <w:bookmarkStart w:id="179" w:name="_Toc16938559"/>
      <w:r/>
      <w:bookmarkStart w:id="180" w:name="_Toc20823315"/>
      <w:r/>
      <w:bookmarkStart w:id="181" w:name="_Toc513029243"/>
      <w:r/>
      <w:bookmarkStart w:id="182" w:name="_Hlt16619350"/>
      <w:r/>
      <w:bookmarkStart w:id="183" w:name="_Toc16938590"/>
      <w:r/>
      <w:bookmarkStart w:id="184" w:name="_Toc120614244"/>
      <w:r/>
      <w:bookmarkStart w:id="185" w:name="_Toc20823346"/>
      <w:r/>
      <w:bookmarkStart w:id="186" w:name="_Toc479757211"/>
      <w:r/>
      <w:bookmarkStart w:id="187" w:name="_Toc462564139"/>
      <w:r/>
      <w:bookmarkEnd w:id="178"/>
      <w:r/>
      <w:bookmarkEnd w:id="179"/>
      <w:r/>
      <w:bookmarkEnd w:id="180"/>
      <w:r/>
      <w:bookmarkEnd w:id="181"/>
      <w:r/>
      <w:r/>
    </w:p>
    <w:p>
      <w:pPr>
        <w:pStyle w:val="903"/>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lang w:val="en-US" w:eastAsia="zh-CN"/>
        </w:rPr>
        <w:t xml:space="preserve">江</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苏</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省</w:t>
      </w:r>
      <w:r>
        <w:rPr>
          <w:rFonts w:hint="eastAsia" w:ascii="宋体" w:hAnsi="宋体" w:eastAsia="Arial" w:cs="Times New Roman"/>
          <w:b/>
          <w:bCs/>
          <w:color w:val="000000"/>
          <w:sz w:val="52"/>
          <w:szCs w:val="22"/>
          <w:highlight w:val="none"/>
        </w:rPr>
        <w:t xml:space="preserve"> 政 府 采 购</w:t>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t xml:space="preserve">                                                 </w:t>
      </w:r>
      <w:r/>
    </w:p>
    <w:p>
      <w:pPr>
        <w:jc w:val="center"/>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u w:val="single"/>
        </w:rPr>
        <w:t xml:space="preserve">                    </w:t>
      </w:r>
      <w:r>
        <w:rPr>
          <w:rFonts w:hint="eastAsia" w:ascii="宋体" w:hAnsi="宋体" w:eastAsia="Arial" w:cs="Times New Roman"/>
          <w:b/>
          <w:bCs/>
          <w:color w:val="000000"/>
          <w:sz w:val="44"/>
          <w:szCs w:val="22"/>
          <w:highlight w:val="none"/>
        </w:rPr>
        <w:t xml:space="preserve">合同</w:t>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ind w:firstLine="30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r>
      <w:r/>
    </w:p>
    <w:p>
      <w:pPr>
        <w:ind w:firstLine="880"/>
        <w:spacing w:line="360" w:lineRule="auto"/>
        <w:rPr>
          <w:rFonts w:hint="eastAsia" w:ascii="宋体" w:hAnsi="宋体" w:eastAsia="Arial" w:cs="Times New Roman"/>
          <w:color w:val="000000"/>
          <w:sz w:val="44"/>
          <w:szCs w:val="44"/>
          <w:highlight w:val="none"/>
        </w:rPr>
      </w:pPr>
      <w:r>
        <w:rPr>
          <w:rFonts w:hint="eastAsia" w:ascii="宋体" w:hAnsi="宋体" w:eastAsia="Arial" w:cs="Times New Roman"/>
          <w:color w:val="000000"/>
          <w:sz w:val="44"/>
          <w:szCs w:val="44"/>
          <w:highlight w:val="none"/>
        </w:rPr>
      </w:r>
      <w:r/>
    </w:p>
    <w:p>
      <w:pPr>
        <w:ind w:firstLine="19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t xml:space="preserve">合同编号：</w:t>
      </w:r>
      <w:r/>
    </w:p>
    <w:p>
      <w:pPr>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ind w:firstLine="1752"/>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rPr>
        <w:t xml:space="preserve">采购人：</w:t>
      </w:r>
      <w:r/>
    </w:p>
    <w:p>
      <w:pPr>
        <w:ind w:firstLine="1752"/>
        <w:spacing w:line="360" w:lineRule="auto"/>
        <w:rPr>
          <w:rFonts w:hint="eastAsia" w:ascii="黑体" w:hAnsi="Times New Roman" w:eastAsia="黑体" w:cs="Times New Roman"/>
          <w:bCs/>
          <w:color w:val="000000"/>
          <w:sz w:val="44"/>
          <w:szCs w:val="21"/>
          <w:highlight w:val="none"/>
          <w:shd w:val="clear" w:color="auto" w:fill="auto"/>
        </w:rPr>
      </w:pPr>
      <w:r>
        <w:rPr>
          <w:rFonts w:hint="eastAsia" w:ascii="宋体" w:hAnsi="宋体" w:eastAsia="Arial" w:cs="Times New Roman"/>
          <w:b/>
          <w:bCs/>
          <w:color w:val="000000"/>
          <w:sz w:val="44"/>
          <w:szCs w:val="22"/>
          <w:highlight w:val="none"/>
        </w:rPr>
        <w:t xml:space="preserve">中标人：</w:t>
      </w:r>
      <w:r/>
    </w:p>
    <w:p>
      <w:pPr>
        <w:ind w:left="0" w:firstLine="480"/>
        <w:jc w:val="left"/>
        <w:keepLines w:val="0"/>
        <w:keepNext w:val="0"/>
        <w:pageBreakBefore w:val="0"/>
        <w:spacing w:line="360" w:lineRule="auto"/>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left="0" w:firstLine="0"/>
        <w:jc w:val="left"/>
        <w:keepLines w:val="0"/>
        <w:keepNext w:val="0"/>
        <w:pageBreakBefore w:val="0"/>
        <w:spacing w:line="360" w:lineRule="auto"/>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br w:type="page" w:clear="all"/>
      </w:r>
      <w:r/>
    </w:p>
    <w:p>
      <w:pPr>
        <w:ind w:firstLine="480"/>
        <w:keepLines w:val="0"/>
        <w:keepNext w:val="0"/>
        <w:pageBreakBefore w:val="0"/>
        <w:spacing w:line="480" w:lineRule="exact"/>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以下为中标后</w:t>
      </w:r>
      <w:r>
        <w:rPr>
          <w:rFonts w:hint="eastAsia" w:ascii="宋体" w:hAnsi="宋体" w:eastAsia="宋体" w:cs="宋体"/>
          <w:bCs/>
          <w:color w:val="000000"/>
          <w:sz w:val="24"/>
          <w:szCs w:val="21"/>
          <w:highlight w:val="none"/>
          <w:lang w:eastAsia="zh-CN"/>
        </w:rPr>
        <w:t xml:space="preserve">签订</w:t>
      </w:r>
      <w:r>
        <w:rPr>
          <w:rFonts w:hint="eastAsia" w:ascii="宋体" w:hAnsi="宋体" w:eastAsia="宋体" w:cs="宋体"/>
          <w:bCs/>
          <w:color w:val="000000"/>
          <w:sz w:val="24"/>
          <w:szCs w:val="21"/>
          <w:highlight w:val="none"/>
        </w:rPr>
        <w:t xml:space="preserve">本项目合同的通用条款，中标人不得提出实质性的修改，关于专用条款将由采购人与中标人结合本项目具体情况协商后签订。</w:t>
      </w:r>
      <w:r/>
    </w:p>
    <w:p>
      <w:pPr>
        <w:jc w:val="center"/>
        <w:keepLines w:val="0"/>
        <w:pageBreakBefore w:val="0"/>
        <w:spacing w:line="360" w:lineRule="auto"/>
        <w:widowControl w:val="off"/>
        <w:rPr>
          <w:rFonts w:hint="eastAsia" w:ascii="宋体" w:hAnsi="宋体" w:eastAsia="宋体" w:cs="宋体"/>
          <w:b/>
          <w:color w:val="000000"/>
          <w:sz w:val="30"/>
          <w:szCs w:val="21"/>
          <w:highlight w:val="none"/>
        </w:rPr>
        <w:outlineLvl w:val="0"/>
      </w:pPr>
      <w:r/>
      <w:bookmarkStart w:id="188" w:name="_Toc5235"/>
      <w:r/>
      <w:bookmarkStart w:id="189" w:name="_Toc18016"/>
      <w:r/>
      <w:bookmarkStart w:id="190" w:name="_Toc192491948"/>
      <w:r/>
      <w:bookmarkStart w:id="191" w:name="_Toc11703"/>
      <w:r/>
      <w:bookmarkStart w:id="192" w:name="_Toc4435"/>
      <w:r/>
      <w:bookmarkStart w:id="193" w:name="_Toc5212"/>
      <w:r/>
      <w:r/>
    </w:p>
    <w:p>
      <w:pPr>
        <w:jc w:val="center"/>
        <w:keepLines w:val="0"/>
        <w:pageBreakBefore w:val="0"/>
        <w:spacing w:line="360" w:lineRule="auto"/>
        <w:widowControl w:val="off"/>
        <w:rPr>
          <w:rFonts w:ascii="宋体" w:hAnsi="宋体" w:eastAsia="宋体" w:cs="宋体"/>
          <w:b/>
          <w:bCs/>
          <w:color w:val="000000"/>
          <w:sz w:val="30"/>
          <w:szCs w:val="20"/>
          <w:highlight w:val="none"/>
        </w:rPr>
        <w:outlineLvl w:val="0"/>
      </w:pPr>
      <w:r>
        <w:rPr>
          <w:rFonts w:hint="eastAsia" w:ascii="宋体" w:hAnsi="宋体" w:eastAsia="宋体" w:cs="宋体"/>
          <w:b/>
          <w:color w:val="000000"/>
          <w:sz w:val="30"/>
          <w:szCs w:val="21"/>
          <w:highlight w:val="none"/>
        </w:rPr>
        <w:t xml:space="preserve">江苏省政府采购合同（货物）（合同编号）</w:t>
      </w:r>
      <w:bookmarkEnd w:id="188"/>
      <w:r/>
      <w:bookmarkEnd w:id="189"/>
      <w:r/>
      <w:bookmarkEnd w:id="190"/>
      <w:r/>
      <w:bookmarkEnd w:id="191"/>
      <w:r/>
      <w:bookmarkEnd w:id="192"/>
      <w:r/>
      <w:bookmarkEnd w:id="193"/>
      <w:r/>
      <w:r/>
    </w:p>
    <w:p>
      <w:pPr>
        <w:ind w:right="0"/>
        <w:keepLines w:val="0"/>
        <w:keepNext w:val="0"/>
        <w:pageBreakBefore w:val="0"/>
        <w:spacing w:line="360" w:lineRule="auto"/>
        <w:widowControl w:val="off"/>
        <w:tabs>
          <w:tab w:val="left" w:pos="62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甲方:   </w:t>
      </w:r>
      <w:r/>
    </w:p>
    <w:p>
      <w:pPr>
        <w:jc w:val="both"/>
        <w:keepLines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甲乙双方按照《中华人民共和国</w:t>
      </w:r>
      <w:r>
        <w:rPr>
          <w:rFonts w:hint="eastAsia" w:ascii="宋体" w:hAnsi="宋体" w:eastAsia="宋体" w:cs="宋体"/>
          <w:color w:val="000000"/>
          <w:sz w:val="24"/>
          <w:szCs w:val="24"/>
          <w:highlight w:val="none"/>
          <w:lang w:val="en-US" w:eastAsia="en-US"/>
        </w:rPr>
        <w:t xml:space="preserve">民法典</w:t>
      </w:r>
      <w:r>
        <w:rPr>
          <w:rFonts w:hint="eastAsia" w:ascii="宋体" w:hAnsi="宋体" w:eastAsia="宋体" w:cs="宋体"/>
          <w:color w:val="000000"/>
          <w:sz w:val="24"/>
          <w:szCs w:val="24"/>
          <w:highlight w:val="none"/>
        </w:rPr>
        <w:t xml:space="preserve">》及其</w:t>
      </w:r>
      <w:r>
        <w:rPr>
          <w:rFonts w:hint="eastAsia" w:ascii="宋体" w:hAnsi="宋体" w:eastAsia="宋体" w:cs="宋体"/>
          <w:color w:val="000000"/>
          <w:sz w:val="24"/>
          <w:szCs w:val="24"/>
          <w:highlight w:val="none"/>
          <w:lang w:eastAsia="zh-CN"/>
        </w:rPr>
        <w:t xml:space="preserve">他</w:t>
      </w:r>
      <w:r>
        <w:rPr>
          <w:rFonts w:hint="eastAsia" w:ascii="宋体" w:hAnsi="宋体" w:eastAsia="宋体" w:cs="宋体"/>
          <w:color w:val="000000"/>
          <w:sz w:val="24"/>
          <w:szCs w:val="24"/>
          <w:highlight w:val="none"/>
        </w:rPr>
        <w:t xml:space="preserve">相关法律、法规的规定，并遵循平等互利、自愿、公平和诚信的原则，结合本项目具体情况和特点，为明确双方的权利、义务和责任，经双方协商一致，订立本合同。</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bookmarkStart w:id="194" w:name="_Toc14569"/>
      <w:r>
        <w:rPr>
          <w:rFonts w:hint="eastAsia" w:ascii="宋体" w:hAnsi="宋体" w:eastAsia="宋体" w:cs="宋体"/>
          <w:bCs/>
          <w:color w:val="000000"/>
          <w:sz w:val="24"/>
          <w:szCs w:val="24"/>
          <w:highlight w:val="none"/>
        </w:rPr>
        <w:t xml:space="preserve">一、</w:t>
      </w:r>
      <w:r>
        <w:rPr>
          <w:rFonts w:hint="eastAsia" w:ascii="宋体" w:hAnsi="宋体" w:eastAsia="宋体" w:cs="宋体"/>
          <w:b/>
          <w:bCs/>
          <w:color w:val="000000"/>
          <w:sz w:val="24"/>
          <w:szCs w:val="24"/>
          <w:highlight w:val="none"/>
        </w:rPr>
        <w:t xml:space="preserve">采购内容</w:t>
      </w:r>
      <w:bookmarkEnd w:id="194"/>
      <w:r/>
      <w:r/>
    </w:p>
    <w:tbl>
      <w:tblPr>
        <w:tblStyle w:val="703"/>
        <w:tblW w:w="9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621"/>
        <w:gridCol w:w="1559"/>
        <w:gridCol w:w="921"/>
        <w:gridCol w:w="1508"/>
        <w:gridCol w:w="698"/>
        <w:gridCol w:w="1020"/>
        <w:gridCol w:w="1507"/>
        <w:gridCol w:w="1321"/>
      </w:tblGrid>
      <w:tr>
        <w:trPr>
          <w:jc w:val="center"/>
          <w:trHeight w:val="624"/>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序号</w:t>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产品名称</w:t>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品牌</w:t>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规格型号</w:t>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en-US"/>
              </w:rPr>
              <w:t xml:space="preserve">数量</w:t>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单价(元)</w:t>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总价（元）</w:t>
            </w:r>
            <w:r/>
          </w:p>
        </w:tc>
      </w:tr>
      <w:tr>
        <w:trPr>
          <w:jc w:val="center"/>
          <w:trHeight w:val="636"/>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ind w:left="0" w:righ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合同金额</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合同金额</w:t>
      </w:r>
      <w:r>
        <w:rPr>
          <w:rFonts w:hint="eastAsia" w:ascii="宋体" w:hAnsi="宋体" w:eastAsia="宋体" w:cs="宋体"/>
          <w:color w:val="000000"/>
          <w:sz w:val="24"/>
          <w:szCs w:val="24"/>
          <w:highlight w:val="none"/>
          <w:lang w:val="en-US" w:eastAsia="zh-CN"/>
        </w:rPr>
        <w:t xml:space="preserve">大写</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元（小写：）</w:t>
      </w:r>
      <w:r>
        <w:rPr>
          <w:rFonts w:ascii="宋体" w:hAnsi="宋体" w:eastAsia="宋体" w:cs="宋体"/>
          <w:color w:val="000000"/>
          <w:sz w:val="24"/>
          <w:szCs w:val="24"/>
          <w:highlight w:val="none"/>
          <w:lang w:val="en-US" w:eastAsia="zh-CN"/>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合同价款已包含货物生产（含所有配件、备品备件、专用工具等）、包装、运输（运抵现场）、保险、检测检验、安装、管理费、产品保护、技术服务、税金、利润、相关部门验收、不可预见及其它相关所有费用，直至交付甲方使用。</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5" w:name="_Toc9988"/>
      <w:r>
        <w:rPr>
          <w:rFonts w:hint="eastAsia" w:ascii="宋体" w:hAnsi="宋体" w:eastAsia="宋体" w:cs="宋体"/>
          <w:b/>
          <w:color w:val="000000"/>
          <w:sz w:val="24"/>
          <w:szCs w:val="24"/>
          <w:highlight w:val="none"/>
        </w:rPr>
        <w:t xml:space="preserve">二、质量</w:t>
      </w:r>
      <w:bookmarkEnd w:id="195"/>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1、乙方所提供的货物，若技术性能无特殊说明，则以国家有关部门最新颁布的标准及规范为准，若国家没有新颁布的标准及规范，则应行业内公认的最新标准执行。</w:t>
      </w:r>
      <w:r/>
    </w:p>
    <w:p>
      <w:pPr>
        <w:ind w:left="0" w:right="0" w:firstLine="480"/>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乙方应保证货物是全新、未使用过的原装正品，并完全符合国家规定及甲方需求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3、乙方必须保证所供全部货物的规格型号、材质、颜色、品牌、等级、质量标准及所有配件</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rPr>
        <w:t xml:space="preserve">完全符合甲方和国家行业标准的要求。</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4、乙方所供的全部货物到达现场后必须通过甲方、监理单位</w:t>
      </w: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val="en-US" w:eastAsia="en-US"/>
        </w:rPr>
        <w:t xml:space="preserve">书面</w:t>
      </w:r>
      <w:r>
        <w:rPr>
          <w:rFonts w:hint="eastAsia" w:ascii="宋体" w:hAnsi="宋体" w:eastAsia="宋体" w:cs="宋体"/>
          <w:color w:val="000000"/>
          <w:sz w:val="24"/>
          <w:szCs w:val="24"/>
          <w:highlight w:val="none"/>
        </w:rPr>
        <w:t xml:space="preserve">验收合格，货物验收标准按国家有关标准执行。验收不合格的，甲方有权拒收，所造成的一切损失由乙方承担。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如需质检，</w:t>
      </w:r>
      <w:r>
        <w:rPr>
          <w:rFonts w:hint="eastAsia" w:ascii="宋体" w:hAnsi="宋体" w:eastAsia="宋体" w:cs="宋体"/>
          <w:color w:val="000000"/>
          <w:sz w:val="24"/>
          <w:szCs w:val="24"/>
          <w:highlight w:val="none"/>
        </w:rPr>
        <w:t xml:space="preserve">乙方应确保货物质量通过质检部门的抽检和测试，保证验收合格。无论检测结果合格与否，其检测费用均由乙方承担。如检测或验收不合格，其一切损失均由乙方承担。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6、乙方所供的全部货物经安装、调试等工作，且必须通过甲方以及相关部门</w:t>
      </w:r>
      <w:r>
        <w:rPr>
          <w:rFonts w:hint="eastAsia" w:ascii="宋体" w:hAnsi="宋体" w:eastAsia="宋体" w:cs="宋体"/>
          <w:color w:val="000000"/>
          <w:sz w:val="24"/>
          <w:szCs w:val="24"/>
          <w:highlight w:val="none"/>
          <w:lang w:val="en-US" w:eastAsia="en-US"/>
        </w:rPr>
        <w:t xml:space="preserve">书面</w:t>
      </w:r>
      <w:r>
        <w:rPr>
          <w:rFonts w:hint="eastAsia" w:ascii="宋体" w:hAnsi="宋体" w:eastAsia="宋体" w:cs="宋体"/>
          <w:color w:val="000000"/>
          <w:sz w:val="24"/>
          <w:szCs w:val="24"/>
          <w:highlight w:val="none"/>
        </w:rPr>
        <w:t xml:space="preserve">验收合格。</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6" w:name="_Toc13391"/>
      <w:r>
        <w:rPr>
          <w:rFonts w:hint="eastAsia" w:ascii="宋体" w:hAnsi="宋体" w:eastAsia="宋体" w:cs="宋体"/>
          <w:b/>
          <w:color w:val="000000"/>
          <w:sz w:val="24"/>
          <w:szCs w:val="24"/>
          <w:highlight w:val="none"/>
        </w:rPr>
        <w:t xml:space="preserve">三、交货和验收</w:t>
      </w:r>
      <w:bookmarkEnd w:id="196"/>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1、乙方在接到甲方采购清单后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rPr>
        <w:t xml:space="preserve">天</w:t>
      </w:r>
      <w:r>
        <w:rPr>
          <w:rFonts w:hint="eastAsia" w:ascii="宋体" w:hAnsi="宋体" w:eastAsia="宋体" w:cs="宋体"/>
          <w:color w:val="000000"/>
          <w:sz w:val="24"/>
          <w:szCs w:val="24"/>
          <w:highlight w:val="none"/>
        </w:rPr>
        <w:t xml:space="preserve">内将货物送到甲方指定地点，随货需提供产品附件、备品备件及专用工具、说明书、出厂合格证、保修卡、保险证明</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rPr>
        <w:t xml:space="preserve">。如遇甲方急用，乙方应在</w:t>
      </w:r>
      <w:r>
        <w:rPr>
          <w:rFonts w:hint="eastAsia" w:ascii="宋体" w:hAnsi="宋体" w:eastAsia="宋体" w:cs="宋体"/>
          <w:color w:val="000000"/>
          <w:sz w:val="24"/>
          <w:szCs w:val="24"/>
          <w:highlight w:val="none"/>
          <w:lang w:val="en-US" w:eastAsia="zh-CN"/>
        </w:rPr>
        <w:t xml:space="preserve">甲方通知</w:t>
      </w:r>
      <w:r>
        <w:rPr>
          <w:rFonts w:hint="eastAsia" w:ascii="宋体" w:hAnsi="宋体" w:eastAsia="宋体" w:cs="宋体"/>
          <w:color w:val="000000"/>
          <w:sz w:val="24"/>
          <w:szCs w:val="24"/>
          <w:highlight w:val="none"/>
        </w:rPr>
        <w:t xml:space="preserve">次日将所订货物送到指定的地点。</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2、乙方提供的货物不符合合同规定的，甲方有权拒收货物，由此引起的风险</w:t>
      </w:r>
      <w:r>
        <w:rPr>
          <w:rFonts w:hint="eastAsia" w:ascii="宋体" w:hAnsi="宋体" w:eastAsia="宋体" w:cs="宋体"/>
          <w:color w:val="000000"/>
          <w:sz w:val="24"/>
          <w:szCs w:val="24"/>
          <w:highlight w:val="none"/>
          <w:lang w:val="en-US" w:eastAsia="en-US"/>
        </w:rPr>
        <w:t xml:space="preserve">和造成甲方的损失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en-US"/>
        </w:rPr>
        <w:t xml:space="preserve">全部</w:t>
      </w:r>
      <w:r>
        <w:rPr>
          <w:rFonts w:hint="eastAsia" w:ascii="宋体" w:hAnsi="宋体" w:eastAsia="宋体" w:cs="宋体"/>
          <w:color w:val="000000"/>
          <w:sz w:val="24"/>
          <w:szCs w:val="24"/>
          <w:highlight w:val="none"/>
        </w:rPr>
        <w:t xml:space="preserve">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3、包装要求：乙方保证货物的包装符合运输的要求，足以保护货物在运输过程中不受锈蚀、损坏或灭失。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4、乙方负责将货物运输至约定的交货地点并交付予甲方，并支付因运输货物所发生的一切费用。 </w:t>
      </w:r>
      <w:r>
        <w:rPr>
          <w:rFonts w:hint="eastAsia" w:ascii="宋体" w:hAnsi="宋体" w:eastAsia="宋体" w:cs="宋体"/>
          <w:color w:val="000000"/>
          <w:sz w:val="24"/>
          <w:szCs w:val="24"/>
          <w:highlight w:val="none"/>
          <w:lang w:val="en-US" w:eastAsia="en-US"/>
        </w:rPr>
        <w:t xml:space="preserve">货物运输途中的一切风险均由乙方承担</w:t>
      </w:r>
      <w:r>
        <w:rPr>
          <w:rFonts w:hint="eastAsia" w:ascii="宋体" w:hAnsi="宋体" w:eastAsia="宋体" w:cs="宋体"/>
          <w:color w:val="000000"/>
          <w:sz w:val="24"/>
          <w:szCs w:val="24"/>
          <w:highlight w:val="none"/>
          <w:lang w:eastAsia="en-U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5、货物抵达目的地后的检验程序和期限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Calibri" w:hAnsi="Calibri" w:eastAsia="宋体" w:cs="Times New Roman"/>
          <w:color w:val="000000"/>
          <w:sz w:val="24"/>
          <w:szCs w:val="24"/>
          <w:highlight w:val="none"/>
          <w:lang w:val="en-US" w:eastAsia="zh-CN"/>
        </w:rPr>
        <w:t xml:space="preserve">连云港苏海检验检测服务有限公司作为本项目代建单位，承担本项目全过程现场管理、竣工验收组织及付款审核等管理工作、完成建设单位交办的其他项目代建管理相关工作。</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货物抵达交货地点后，乙方及时通知</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进行收货检验，</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接到通知后的5个工作日内安排人员对货物是否符合要求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安装调试是否合格</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所提供货物的装箱清单、用户手册、原厂保修卡、随机资料及配件、随机工具等是否齐全进行检验。验收合格后</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应在验收记录上签字盖章。</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6、乙方委派技术人员进行现场安装、调试，并提供货物安装调试的一切技术支持。安装调试的具体时间由甲方提前3天通知乙方，甲方保证乙方在施工中电和水的正常使用。 </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7" w:name="_Toc12686"/>
      <w:r>
        <w:rPr>
          <w:rFonts w:hint="eastAsia" w:ascii="宋体" w:hAnsi="宋体" w:eastAsia="宋体" w:cs="宋体"/>
          <w:b/>
          <w:color w:val="000000"/>
          <w:sz w:val="24"/>
          <w:szCs w:val="24"/>
          <w:highlight w:val="none"/>
        </w:rPr>
        <w:t xml:space="preserve">四、伴随服务/售后服务</w:t>
      </w:r>
      <w:bookmarkEnd w:id="197"/>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color w:val="000000"/>
          <w:sz w:val="24"/>
          <w:szCs w:val="24"/>
          <w:highlight w:val="none"/>
        </w:rPr>
        <w:t xml:space="preserve">1、质保期：_______年</w:t>
      </w: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以铭牌出厂日期起</w:t>
      </w:r>
      <w:r>
        <w:rPr>
          <w:rFonts w:hint="eastAsia" w:ascii="宋体" w:hAnsi="宋体" w:eastAsia="宋体" w:cs="宋体"/>
          <w:b w:val="0"/>
          <w:bCs/>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2、乙方应按照国家有关法律法规规章和“三包”规定以及合同所约定的“服务承诺”提供服务。</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3、所有货物保修服务方式均为乙方上门保修，即由乙方派员到货物使用现场维修，由此产生的一切维修</w:t>
      </w:r>
      <w:r>
        <w:rPr>
          <w:rFonts w:hint="eastAsia" w:ascii="宋体" w:hAnsi="宋体" w:eastAsia="宋体" w:cs="宋体"/>
          <w:color w:val="000000"/>
          <w:sz w:val="24"/>
          <w:szCs w:val="24"/>
          <w:highlight w:val="none"/>
          <w:lang w:val="en-US" w:eastAsia="zh-CN"/>
        </w:rPr>
        <w:t xml:space="preserve">费用</w:t>
      </w:r>
      <w:r>
        <w:rPr>
          <w:rFonts w:hint="eastAsia" w:ascii="宋体" w:hAnsi="宋体" w:eastAsia="宋体" w:cs="宋体"/>
          <w:color w:val="000000"/>
          <w:sz w:val="24"/>
          <w:szCs w:val="24"/>
          <w:highlight w:val="none"/>
        </w:rPr>
        <w:t xml:space="preserve">均由乙方承担。</w:t>
      </w:r>
      <w:r/>
    </w:p>
    <w:p>
      <w:pPr>
        <w:ind w:left="0" w:right="0" w:firstLine="480"/>
        <w:keepLines w:val="0"/>
        <w:keepNext w:val="0"/>
        <w:pageBreakBefore w:val="0"/>
        <w:spacing w:line="360"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4、质保期内，对设备质量实行三包，免费提供维修和维护服务，质保期后保证零配件正常供应，只按成本标准价收配件费，人工费</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val="en-US" w:eastAsia="en-US"/>
        </w:rPr>
        <w:t xml:space="preserve">所有费用</w:t>
      </w:r>
      <w:r>
        <w:rPr>
          <w:rFonts w:hint="eastAsia" w:ascii="宋体" w:hAnsi="宋体" w:eastAsia="宋体" w:cs="宋体"/>
          <w:color w:val="000000"/>
          <w:sz w:val="24"/>
          <w:szCs w:val="24"/>
          <w:highlight w:val="none"/>
        </w:rPr>
        <w:t xml:space="preserve">全免</w:t>
      </w:r>
      <w:r>
        <w:rPr>
          <w:rFonts w:hint="eastAsia" w:ascii="宋体" w:hAnsi="宋体" w:eastAsia="宋体" w:cs="宋体"/>
          <w:color w:val="000000"/>
          <w:sz w:val="24"/>
          <w:szCs w:val="24"/>
          <w:highlight w:val="none"/>
          <w:lang w:val="en-US" w:eastAsia="zh-CN"/>
        </w:rPr>
        <w:t xml:space="preserve">,出保后甲方可自主选择是否由乙方维保</w:t>
      </w:r>
      <w:r>
        <w:rPr>
          <w:rFonts w:hint="eastAsia" w:ascii="宋体" w:hAnsi="宋体" w:eastAsia="宋体" w:cs="宋体"/>
          <w:color w:val="000000"/>
          <w:sz w:val="24"/>
          <w:szCs w:val="24"/>
          <w:highlight w:val="none"/>
        </w:rPr>
        <w:t xml:space="preserve">。如果有因质量问题而引起的损坏，乙方对产品予以维修或更换，全部服务费和更换产品或配件的费用由乙方承担。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5、乙方将向甲方提供优质的售后技术支持服务，如产品出现质量问题，保证</w:t>
      </w:r>
      <w:r>
        <w:rPr>
          <w:rFonts w:hint="eastAsia" w:ascii="宋体" w:hAnsi="宋体" w:eastAsia="宋体" w:cs="宋体"/>
          <w:color w:val="000000"/>
          <w:sz w:val="24"/>
          <w:szCs w:val="24"/>
          <w:highlight w:val="none"/>
          <w:lang w:val="en-US" w:eastAsia="zh-CN"/>
        </w:rPr>
        <w:t xml:space="preserve">6个小时</w:t>
      </w:r>
      <w:r>
        <w:rPr>
          <w:rFonts w:hint="eastAsia" w:ascii="宋体" w:hAnsi="宋体" w:eastAsia="宋体" w:cs="宋体"/>
          <w:color w:val="000000"/>
          <w:sz w:val="24"/>
          <w:szCs w:val="24"/>
          <w:highlight w:val="none"/>
        </w:rPr>
        <w:t xml:space="preserve">到现场处理，如故障不能排除，乙方按照商谈文件承诺提供解决方案和现场服务，待产品运行正常后撤离现场。如遇特殊情况，乙方承诺无法现场解决问题，</w:t>
      </w:r>
      <w:r>
        <w:rPr>
          <w:rFonts w:hint="eastAsia" w:ascii="宋体" w:hAnsi="宋体" w:eastAsia="宋体" w:cs="宋体"/>
          <w:color w:val="000000"/>
          <w:sz w:val="24"/>
          <w:szCs w:val="24"/>
          <w:highlight w:val="none"/>
          <w:lang w:val="en-US" w:eastAsia="en-US"/>
        </w:rPr>
        <w:t xml:space="preserve">乙方</w:t>
      </w:r>
      <w:r>
        <w:rPr>
          <w:rFonts w:hint="eastAsia" w:ascii="宋体" w:hAnsi="宋体" w:eastAsia="宋体" w:cs="宋体"/>
          <w:color w:val="000000"/>
          <w:sz w:val="24"/>
          <w:szCs w:val="24"/>
          <w:highlight w:val="none"/>
        </w:rPr>
        <w:t xml:space="preserve">需提供备机服务保障正常工作。</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6、乙方定期对产品进行预维护保养，以防患于未然。在整个产品运行过程中，乙方帮助甲方解决在应用过程中遇到的各种技术问题。</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7、对于质保和备品备件的服务和销售承诺，商谈文件优于本条款的，乙方按照商谈文件承诺执行。</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8" w:name="_Toc1693"/>
      <w:r>
        <w:rPr>
          <w:rFonts w:hint="eastAsia" w:ascii="宋体" w:hAnsi="宋体" w:eastAsia="宋体" w:cs="宋体"/>
          <w:b/>
          <w:color w:val="000000"/>
          <w:sz w:val="24"/>
          <w:szCs w:val="24"/>
          <w:highlight w:val="none"/>
        </w:rPr>
        <w:t xml:space="preserve">五、货款支付</w:t>
      </w:r>
      <w:bookmarkEnd w:id="198"/>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199" w:name="_Toc11389"/>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无预付款，</w:t>
      </w:r>
      <w:r>
        <w:rPr>
          <w:rFonts w:hint="eastAsia" w:ascii="宋体" w:hAnsi="宋体" w:eastAsia="宋体" w:cs="宋体"/>
          <w:color w:val="000000"/>
          <w:sz w:val="24"/>
          <w:szCs w:val="24"/>
          <w:highlight w:val="none"/>
          <w:lang w:eastAsia="zh-CN"/>
        </w:rPr>
        <w:t xml:space="preserve">供货完成</w:t>
      </w:r>
      <w:r>
        <w:rPr>
          <w:rFonts w:hint="eastAsia" w:ascii="宋体" w:hAnsi="宋体" w:eastAsia="宋体" w:cs="宋体"/>
          <w:color w:val="000000"/>
          <w:sz w:val="24"/>
          <w:szCs w:val="24"/>
          <w:highlight w:val="none"/>
          <w:lang w:val="en-US" w:eastAsia="zh-CN"/>
        </w:rPr>
        <w:t xml:space="preserve">并经连云港苏海检验检测服务有限公司及采购人验收合格后</w:t>
      </w:r>
      <w:r>
        <w:rPr>
          <w:rFonts w:hint="eastAsia" w:ascii="宋体" w:hAnsi="宋体" w:eastAsia="宋体" w:cs="宋体"/>
          <w:color w:val="000000"/>
          <w:sz w:val="24"/>
          <w:szCs w:val="24"/>
          <w:highlight w:val="none"/>
          <w:lang w:eastAsia="zh-CN"/>
        </w:rPr>
        <w:t xml:space="preserve">支付合同总金额的100％。</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采购人付款前，中标人应向采购人出具符合采购人要求的发票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%增值税专用发票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，否则中标人自行承担延迟付款的责任，采购人在收到中标人发票</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内支付款项。</w:t>
      </w:r>
      <w:r/>
    </w:p>
    <w:p>
      <w:pPr>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当采购数量与实际使用数量不一致时，乙方应根据实际使用量提供产品和服务，合同的最终结算金额按实际使用量乘以中标单价计算。</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六、技术培训服务要求</w:t>
      </w:r>
      <w:bookmarkEnd w:id="199"/>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乙方提供详细技术资料并免费按甲方要求进行技术培训。</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培训的内容及方案应由双方协商制定，乙方前来进行技术培训人员的费用包括在合同总价中。</w:t>
      </w:r>
      <w:r/>
    </w:p>
    <w:p>
      <w:pPr>
        <w:numPr>
          <w:ilvl w:val="0"/>
          <w:numId w:val="5"/>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0" w:name="_Toc26986"/>
      <w:r>
        <w:rPr>
          <w:rFonts w:hint="eastAsia" w:ascii="宋体" w:hAnsi="宋体" w:eastAsia="宋体" w:cs="宋体"/>
          <w:b/>
          <w:color w:val="000000"/>
          <w:sz w:val="24"/>
          <w:szCs w:val="24"/>
          <w:highlight w:val="none"/>
        </w:rPr>
        <w:t xml:space="preserve">专利权和货物相关的更改要求</w:t>
      </w:r>
      <w:bookmarkEnd w:id="200"/>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color w:val="000000"/>
          <w:sz w:val="24"/>
          <w:szCs w:val="24"/>
          <w:highlight w:val="none"/>
        </w:rPr>
        <w:t xml:space="preserve">乙方应保护甲方在使用该货物或其任何一部分时不受第三方提出侵犯专利权、商标权或工业设计权的指控。如果任何第三方提出侵权指控，乙方须与第三方交涉并承担可能发生的一切法律责任和费用，</w:t>
      </w:r>
      <w:r>
        <w:rPr>
          <w:rFonts w:hint="eastAsia" w:ascii="宋体" w:hAnsi="宋体" w:eastAsia="宋体" w:cs="宋体"/>
          <w:color w:val="000000"/>
          <w:sz w:val="24"/>
          <w:szCs w:val="24"/>
          <w:highlight w:val="none"/>
          <w:lang w:val="en-US" w:eastAsia="en-US"/>
        </w:rPr>
        <w:t xml:space="preserve">包括但不限于甲方因此支付的律师费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诉讼费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交通费等一切费用</w:t>
      </w:r>
      <w:r>
        <w:rPr>
          <w:rFonts w:hint="eastAsia" w:ascii="宋体" w:hAnsi="宋体" w:eastAsia="宋体" w:cs="宋体"/>
          <w:color w:val="000000"/>
          <w:sz w:val="24"/>
          <w:szCs w:val="24"/>
          <w:highlight w:val="none"/>
          <w:lang w:eastAsia="en-U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条第3款的约定处理。但在已经全部支付完合同款后才发现有产权瑕疵的，除了支付违约金，乙方还应负担由此而产生的一切损失。</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、本合同范围内的所有货物应为</w:t>
      </w:r>
      <w:r>
        <w:rPr>
          <w:rFonts w:hint="eastAsia" w:ascii="宋体" w:hAnsi="宋体" w:eastAsia="宋体" w:cs="宋体"/>
          <w:color w:val="000000"/>
          <w:sz w:val="24"/>
          <w:szCs w:val="24"/>
          <w:highlight w:val="none"/>
          <w:lang w:val="en-US" w:eastAsia="en-US"/>
        </w:rPr>
        <w:t xml:space="preserve">全新</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rPr>
        <w:t xml:space="preserve">完整的货物及</w:t>
      </w:r>
      <w:r>
        <w:rPr>
          <w:rFonts w:hint="eastAsia" w:ascii="宋体" w:hAnsi="宋体" w:eastAsia="宋体" w:cs="宋体"/>
          <w:color w:val="000000"/>
          <w:sz w:val="24"/>
          <w:szCs w:val="24"/>
          <w:highlight w:val="none"/>
          <w:lang w:val="en-US" w:eastAsia="en-US"/>
        </w:rPr>
        <w:t xml:space="preserve">具备</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val="en-US" w:eastAsia="en-US"/>
        </w:rPr>
        <w:t xml:space="preserve">有</w:t>
      </w:r>
      <w:r>
        <w:rPr>
          <w:rFonts w:hint="eastAsia" w:ascii="宋体" w:hAnsi="宋体" w:eastAsia="宋体" w:cs="宋体"/>
          <w:color w:val="000000"/>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、在合同执行过程中，如果国家相应的技术规范作出调整，或货物的技术有了较大的更新，乙方应相应地更改所供货物的相应部件，所发生的费用应只减不增。</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按行业通行标准、厂方出厂标准和中标单位投标文件的承诺。甲乙双方以及相关单位应在货物安装调试完毕后进行运行效果验收，在验收之前，乙方需提前提交相应的调试计划（包括调试程序、环境、内容和检验标准、调试时间安排等）供连云港苏海检验检测服务有限公司确认，乙方还应对所有检验验收调试的结果、步骤、原始数据等作妥善记录。如甲方要求，乙方应将记录提供给甲方。调试检验出现全部或部分未达到本合同所约定的技术指标，甲方有权选择下列任一处理方式：</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a.重新调试直至合格为止；</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b.要求乙方对货物进行免费更换，然后重新调试直至合格为止。</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甲方因乙方原因所产生的所有费用均由乙方负担。</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1" w:name="_Toc3563"/>
      <w:r>
        <w:rPr>
          <w:rFonts w:hint="eastAsia" w:ascii="宋体" w:hAnsi="宋体" w:eastAsia="宋体" w:cs="宋体"/>
          <w:color w:val="000000"/>
          <w:sz w:val="24"/>
          <w:szCs w:val="24"/>
          <w:highlight w:val="none"/>
        </w:rPr>
        <w:t xml:space="preserve">八、</w:t>
      </w:r>
      <w:r>
        <w:rPr>
          <w:rFonts w:hint="eastAsia" w:ascii="宋体" w:hAnsi="宋体" w:eastAsia="宋体" w:cs="宋体"/>
          <w:b/>
          <w:color w:val="000000"/>
          <w:sz w:val="24"/>
          <w:szCs w:val="24"/>
          <w:highlight w:val="none"/>
        </w:rPr>
        <w:t xml:space="preserve">违约责任</w:t>
      </w:r>
      <w:bookmarkEnd w:id="201"/>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、如乙方不能按照约定交付货物，乙方应向</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支付合同总价</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%违约金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甲方有权解除本合同</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、乙方逾期交付货物的，每逾期1天，乙方向甲方偿付逾期交货部分货款总额的</w:t>
      </w:r>
      <w:r>
        <w:rPr>
          <w:rFonts w:hint="eastAsia" w:ascii="宋体" w:hAnsi="宋体" w:eastAsia="宋体" w:cs="宋体"/>
          <w:b/>
          <w:bCs/>
          <w:color w:val="000000"/>
          <w:sz w:val="24"/>
          <w:szCs w:val="24"/>
          <w:highlight w:val="none"/>
          <w:lang w:eastAsia="zh-CN"/>
        </w:rPr>
        <w:t xml:space="preserve">万分之</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违约金</w:t>
      </w:r>
      <w:r>
        <w:rPr>
          <w:rFonts w:hint="eastAsia" w:ascii="宋体" w:hAnsi="宋体" w:eastAsia="宋体" w:cs="宋体"/>
          <w:color w:val="000000"/>
          <w:sz w:val="24"/>
          <w:szCs w:val="24"/>
          <w:highlight w:val="none"/>
        </w:rPr>
        <w:t xml:space="preserve">。如乙方逾期交货达10天，</w:t>
      </w:r>
      <w:r>
        <w:rPr>
          <w:rFonts w:hint="eastAsia" w:ascii="宋体" w:hAnsi="宋体" w:eastAsia="宋体" w:cs="宋体"/>
          <w:color w:val="000000"/>
          <w:sz w:val="24"/>
          <w:szCs w:val="24"/>
          <w:highlight w:val="none"/>
          <w:lang w:val="en-US" w:eastAsia="zh-CN"/>
        </w:rPr>
        <w:t xml:space="preserve">除了赔付违约金之外，</w:t>
      </w:r>
      <w:r>
        <w:rPr>
          <w:rFonts w:hint="eastAsia" w:ascii="宋体" w:hAnsi="宋体" w:eastAsia="宋体" w:cs="宋体"/>
          <w:color w:val="000000"/>
          <w:sz w:val="24"/>
          <w:szCs w:val="24"/>
          <w:highlight w:val="none"/>
        </w:rPr>
        <w:t xml:space="preserve">甲方有权解除合同，</w:t>
      </w:r>
      <w:r>
        <w:rPr>
          <w:rFonts w:hint="eastAsia" w:ascii="宋体" w:hAnsi="宋体" w:eastAsia="宋体" w:cs="宋体"/>
          <w:b w:val="0"/>
          <w:bCs w:val="0"/>
          <w:color w:val="000000"/>
          <w:sz w:val="24"/>
          <w:szCs w:val="24"/>
          <w:highlight w:val="none"/>
          <w:lang w:eastAsia="zh-CN"/>
        </w:rPr>
        <w:t xml:space="preserve">合同自</w:t>
      </w:r>
      <w:r>
        <w:rPr>
          <w:rFonts w:hint="eastAsia" w:ascii="Calibri" w:hAnsi="Calibri" w:eastAsia="宋体" w:cs="Times New Roman"/>
          <w:color w:val="000000"/>
          <w:sz w:val="24"/>
          <w:szCs w:val="24"/>
          <w:highlight w:val="none"/>
          <w:lang w:val="en-US" w:eastAsia="zh-CN"/>
        </w:rPr>
        <w:t xml:space="preserve">通知到达乙方时解除。</w:t>
      </w:r>
      <w:r/>
    </w:p>
    <w:p>
      <w:pPr>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val="en-US" w:eastAsia="zh-CN"/>
        </w:rPr>
      </w:pPr>
      <w:r>
        <w:rPr>
          <w:rFonts w:hint="eastAsia" w:ascii="Calibri" w:hAnsi="Calibri" w:eastAsia="宋体" w:cs="Times New Roman"/>
          <w:color w:val="000000"/>
          <w:sz w:val="24"/>
          <w:szCs w:val="24"/>
          <w:highlight w:val="none"/>
          <w:lang w:val="en-US" w:eastAsia="zh-CN"/>
        </w:rPr>
        <w:t xml:space="preserve">3、乙方所交付的货物品种、型号、规格</w:t>
      </w:r>
      <w:r>
        <w:rPr>
          <w:rFonts w:hint="eastAsia" w:ascii="Calibri" w:hAnsi="Calibri" w:eastAsia="宋体" w:cs="Times New Roman"/>
          <w:color w:val="000000"/>
          <w:sz w:val="24"/>
          <w:szCs w:val="24"/>
          <w:highlight w:val="none"/>
          <w:lang w:val="en-US" w:eastAsia="en-US"/>
        </w:rPr>
        <w:t xml:space="preserve">等</w:t>
      </w:r>
      <w:r>
        <w:rPr>
          <w:rFonts w:hint="eastAsia" w:ascii="Calibri" w:hAnsi="Calibri" w:eastAsia="宋体" w:cs="Times New Roman"/>
          <w:color w:val="000000"/>
          <w:sz w:val="24"/>
          <w:szCs w:val="24"/>
          <w:highlight w:val="none"/>
          <w:lang w:val="en-US" w:eastAsia="zh-CN"/>
        </w:rPr>
        <w:t xml:space="preserve">不符合合同规定的，项目竣工验收中发现设备质量、安装质量不符合招标文件要求标准的，乙方应在连云港苏海检验检测服务有限公司书面通知送达后十日内完成整改并重新提请验收。</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、在乙方承诺的质量保证期内，如经乙方两次维修或更换，货物仍不能达到合同约定的质量标准，甲方有权退货，乙方应退回全部货款，乙方还须赔偿</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lang w:val="en-US" w:eastAsia="zh-CN"/>
        </w:rPr>
        <w:t xml:space="preserve">对应</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价款</w:t>
      </w:r>
      <w:r>
        <w:rPr>
          <w:rFonts w:hint="eastAsia" w:ascii="宋体" w:hAnsi="宋体" w:eastAsia="宋体" w:cs="宋体"/>
          <w:color w:val="000000"/>
          <w:sz w:val="24"/>
          <w:szCs w:val="24"/>
          <w:highlight w:val="none"/>
        </w:rPr>
        <w:t xml:space="preserve">百分之二十的违</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金</w:t>
      </w:r>
      <w:r>
        <w:rPr>
          <w:rFonts w:hint="eastAsia" w:ascii="宋体" w:hAnsi="宋体" w:eastAsia="宋体" w:cs="宋体"/>
          <w:color w:val="00000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、乙方未按本合同的规定和“服务承诺”提供伴随服务/售后服务的，应按合同总价款的10%向甲方承担违约责</w:t>
      </w:r>
      <w:r>
        <w:rPr>
          <w:rFonts w:hint="eastAsia" w:ascii="宋体" w:hAnsi="宋体" w:eastAsia="宋体" w:cs="宋体"/>
          <w:b w:val="0"/>
          <w:bCs w:val="0"/>
          <w:color w:val="000000"/>
          <w:sz w:val="24"/>
          <w:szCs w:val="24"/>
          <w:highlight w:val="none"/>
        </w:rPr>
        <w:t xml:space="preserve">任。</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2" w:name="_Toc6588"/>
      <w:r>
        <w:rPr>
          <w:rFonts w:hint="eastAsia" w:ascii="宋体" w:hAnsi="宋体" w:eastAsia="宋体" w:cs="宋体"/>
          <w:color w:val="000000"/>
          <w:sz w:val="24"/>
          <w:szCs w:val="24"/>
          <w:highlight w:val="none"/>
        </w:rPr>
        <w:t xml:space="preserve">九、</w:t>
      </w:r>
      <w:r>
        <w:rPr>
          <w:rFonts w:hint="eastAsia" w:ascii="宋体" w:hAnsi="宋体" w:eastAsia="宋体" w:cs="宋体"/>
          <w:b/>
          <w:color w:val="000000"/>
          <w:sz w:val="24"/>
          <w:szCs w:val="24"/>
          <w:highlight w:val="none"/>
        </w:rPr>
        <w:t xml:space="preserve">合同的变更和终止</w:t>
      </w:r>
      <w:bookmarkEnd w:id="202"/>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（一）合同变更</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如因国家相关法律、法规及国家政策发生变化，需变更本合同的，则双方应对相关条款进行依法变更；</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（二）合同终止</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出现下列情况之一的，</w:t>
      </w: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rPr>
        <w:t xml:space="preserve">将终止</w:t>
      </w:r>
      <w:r>
        <w:rPr>
          <w:rFonts w:hint="eastAsia" w:ascii="宋体" w:hAnsi="宋体" w:eastAsia="宋体" w:cs="宋体"/>
          <w:color w:val="00000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1、合同</w:t>
      </w:r>
      <w:r>
        <w:rPr>
          <w:rFonts w:hint="eastAsia" w:ascii="宋体" w:hAnsi="宋体" w:eastAsia="宋体" w:cs="宋体"/>
          <w:color w:val="000000"/>
          <w:sz w:val="24"/>
          <w:szCs w:val="24"/>
          <w:highlight w:val="none"/>
          <w:lang w:eastAsia="zh-CN"/>
        </w:rPr>
        <w:t xml:space="preserve">履行完毕、权利义务关系消灭的</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2、国家法律、法规、条例进行调整，禁止本合同延续的；或合同一方被国家执法机关处罚、查封关闭的；</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3、一方严重违约（如乙方逾期供货、质量</w:t>
      </w:r>
      <w:r>
        <w:rPr>
          <w:rFonts w:hint="eastAsia" w:ascii="宋体" w:hAnsi="宋体" w:eastAsia="宋体" w:cs="宋体"/>
          <w:b/>
          <w:bCs/>
          <w:color w:val="000000"/>
          <w:sz w:val="24"/>
          <w:szCs w:val="24"/>
          <w:highlight w:val="none"/>
          <w:lang w:eastAsia="zh-CN"/>
        </w:rPr>
        <w:t xml:space="preserve">不符合甲方要求</w:t>
      </w:r>
      <w:r>
        <w:rPr>
          <w:rFonts w:hint="eastAsia" w:ascii="宋体" w:hAnsi="宋体" w:eastAsia="宋体" w:cs="宋体"/>
          <w:color w:val="000000"/>
          <w:sz w:val="24"/>
          <w:szCs w:val="24"/>
          <w:highlight w:val="none"/>
        </w:rPr>
        <w:t xml:space="preserve">导致甲方使用中存在安全风险、以及可能会造成甲方其他严重后果）的；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4、发生严重纠纷、事故，影响医疗秩序的或存在严重纠纷、医疗事故隐患的，以及其他严重情况的；</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5、其他国家法律、法规规定的或经双方共同认可的其他可终止合同情况。</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03" w:name="_Toc10426"/>
      <w:r>
        <w:rPr>
          <w:rFonts w:hint="eastAsia" w:ascii="宋体" w:hAnsi="宋体" w:eastAsia="宋体" w:cs="宋体"/>
          <w:color w:val="000000"/>
          <w:sz w:val="24"/>
          <w:szCs w:val="24"/>
          <w:highlight w:val="none"/>
        </w:rPr>
        <w:t xml:space="preserve">十、</w:t>
      </w:r>
      <w:r>
        <w:rPr>
          <w:rFonts w:hint="eastAsia" w:ascii="宋体" w:hAnsi="宋体" w:eastAsia="宋体" w:cs="宋体"/>
          <w:b/>
          <w:color w:val="000000"/>
          <w:sz w:val="24"/>
          <w:szCs w:val="24"/>
          <w:highlight w:val="none"/>
        </w:rPr>
        <w:t xml:space="preserve">争议的解决</w:t>
      </w:r>
      <w:bookmarkEnd w:id="203"/>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1、因货物的质量问题发生争议的，应当邀请国家认可的质量检测机构对货物质量进行鉴定。货物符合标准的，鉴定费由甲方承担；货物不符合标准的，鉴定费用由乙方承担、更换有问题商品或部件、</w:t>
      </w:r>
      <w:r>
        <w:rPr>
          <w:rFonts w:hint="eastAsia" w:ascii="宋体" w:hAnsi="宋体" w:eastAsia="宋体" w:cs="宋体"/>
          <w:color w:val="000000"/>
          <w:sz w:val="24"/>
          <w:szCs w:val="24"/>
          <w:highlight w:val="none"/>
          <w:lang w:val="en-US" w:eastAsia="en-US"/>
        </w:rPr>
        <w:t xml:space="preserve">乙方应</w:t>
      </w:r>
      <w:r>
        <w:rPr>
          <w:rFonts w:hint="eastAsia" w:ascii="宋体" w:hAnsi="宋体" w:eastAsia="宋体" w:cs="宋体"/>
          <w:color w:val="000000"/>
          <w:sz w:val="24"/>
          <w:szCs w:val="24"/>
          <w:highlight w:val="none"/>
        </w:rPr>
        <w:t xml:space="preserve">全额赔偿甲方的损失</w:t>
      </w:r>
      <w:r>
        <w:rPr>
          <w:rFonts w:hint="eastAsia" w:ascii="宋体" w:hAnsi="宋体" w:eastAsia="宋体" w:cs="宋体"/>
          <w:color w:val="000000"/>
          <w:sz w:val="24"/>
          <w:szCs w:val="24"/>
          <w:highlight w:val="none"/>
          <w:lang w:val="en-US" w:eastAsia="en-US"/>
        </w:rPr>
        <w:t xml:space="preserve">包括但不限于甲方因此支付的律师费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诉讼费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交通费等一切费用</w:t>
      </w:r>
      <w:r>
        <w:rPr>
          <w:rFonts w:hint="eastAsia" w:ascii="宋体" w:hAnsi="宋体" w:eastAsia="宋体" w:cs="宋体"/>
          <w:color w:val="000000"/>
          <w:sz w:val="24"/>
          <w:szCs w:val="24"/>
          <w:highlight w:val="none"/>
          <w:lang w:eastAsia="en-U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2、因履行本合同引起的或与本合同有关的争议，甲、乙双方应首先通过友好协商解决，如果协商不能解决争议，向甲方所在地人民法院提起诉讼。</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04" w:name="_Toc18716"/>
      <w:r>
        <w:rPr>
          <w:rFonts w:hint="eastAsia" w:ascii="宋体" w:hAnsi="宋体" w:eastAsia="宋体" w:cs="宋体"/>
          <w:color w:val="000000"/>
          <w:sz w:val="24"/>
          <w:szCs w:val="24"/>
          <w:highlight w:val="none"/>
        </w:rPr>
        <w:t xml:space="preserve">十一、</w:t>
      </w:r>
      <w:r>
        <w:rPr>
          <w:rFonts w:hint="eastAsia" w:ascii="宋体" w:hAnsi="宋体" w:eastAsia="宋体" w:cs="宋体"/>
          <w:b/>
          <w:color w:val="000000"/>
          <w:sz w:val="24"/>
          <w:szCs w:val="24"/>
          <w:highlight w:val="none"/>
        </w:rPr>
        <w:t xml:space="preserve">合同生效及其他</w:t>
      </w:r>
      <w:bookmarkEnd w:id="204"/>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本合同及附件内容互补，具有同等法律效力，应按照中华人民共和国的现行法律进行解释。合同一式</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份，自</w:t>
      </w:r>
      <w:r>
        <w:rPr>
          <w:rFonts w:hint="eastAsia" w:ascii="宋体" w:hAnsi="宋体" w:eastAsia="宋体" w:cs="宋体"/>
          <w:b/>
          <w:bCs/>
          <w:color w:val="000000"/>
          <w:sz w:val="24"/>
          <w:szCs w:val="24"/>
          <w:highlight w:val="none"/>
          <w:lang w:val="en-US" w:eastAsia="en-US"/>
        </w:rPr>
        <w:t xml:space="preserve">双方签字盖章后</w:t>
      </w:r>
      <w:r>
        <w:rPr>
          <w:rFonts w:hint="eastAsia" w:ascii="宋体" w:hAnsi="宋体" w:eastAsia="宋体" w:cs="宋体"/>
          <w:color w:val="000000"/>
          <w:sz w:val="24"/>
          <w:szCs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both"/>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p>
    <w:p>
      <w:pPr>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法定（授权）代表人：</w:t>
      </w:r>
      <w:r/>
    </w:p>
    <w:p>
      <w:pPr>
        <w:pStyle w:val="9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       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pStyle w:val="903"/>
        <w:jc w:val="center"/>
        <w:rPr>
          <w:rFonts w:hint="eastAsia" w:ascii="黑体" w:hAnsi="Courier New" w:eastAsia="黑体" w:cs="Courier New"/>
          <w:bCs/>
          <w:color w:val="000000"/>
          <w:sz w:val="44"/>
          <w:szCs w:val="21"/>
        </w:rPr>
      </w:pPr>
      <w:r>
        <w:rPr>
          <w:rFonts w:hint="eastAsia" w:ascii="宋体" w:hAnsi="宋体" w:eastAsia="宋体" w:cs="宋体"/>
          <w:color w:val="000000"/>
          <w:sz w:val="24"/>
          <w:szCs w:val="24"/>
          <w:highlight w:val="none"/>
        </w:rPr>
        <w:br w:type="page" w:clear="all"/>
      </w:r>
      <w:bookmarkEnd w:id="182"/>
      <w:r>
        <w:rPr>
          <w:rFonts w:hint="eastAsia" w:ascii="黑体" w:hAnsi="Courier New" w:eastAsia="黑体" w:cs="Courier New"/>
          <w:bCs/>
          <w:color w:val="000000"/>
          <w:sz w:val="44"/>
          <w:szCs w:val="21"/>
          <w:lang w:val="en-US" w:eastAsia="zh-CN"/>
        </w:rPr>
        <w:t xml:space="preserve">第四章 </w:t>
      </w:r>
      <w:r>
        <w:rPr>
          <w:rFonts w:hint="eastAsia" w:ascii="黑体" w:hAnsi="Courier New" w:eastAsia="黑体" w:cs="Courier New"/>
          <w:bCs/>
          <w:color w:val="000000"/>
          <w:sz w:val="44"/>
          <w:szCs w:val="21"/>
        </w:rPr>
        <w:t xml:space="preserve">采购需求</w:t>
      </w:r>
      <w:bookmarkEnd w:id="183"/>
      <w:r/>
      <w:bookmarkEnd w:id="184"/>
      <w:r/>
      <w:bookmarkEnd w:id="185"/>
      <w:r/>
      <w:r/>
    </w:p>
    <w:p>
      <w:pPr>
        <w:ind w:left="0" w:right="0" w:firstLine="480"/>
        <w:jc w:val="left"/>
        <w:keepLines w:val="0"/>
        <w:keepNext w:val="0"/>
        <w:pageBreakBefore w:val="0"/>
        <w:spacing w:before="0" w:beforeAutospacing="0" w:after="0" w:afterAutospacing="0" w:line="360" w:lineRule="auto"/>
        <w:widowControl/>
        <w:rPr>
          <w:rFonts w:ascii="Times New Roman" w:hAnsi="Times New Roman" w:eastAsia="宋体" w:cs="Times New Roman"/>
          <w:sz w:val="24"/>
          <w:szCs w:val="21"/>
          <w:highlight w:val="none"/>
          <w:lang w:val="en-US" w:eastAsia="zh-CN" w:bidi="ar"/>
        </w:rPr>
        <w:suppressLineNumbers w:val="0"/>
      </w:pPr>
      <w:r>
        <w:rPr>
          <w:rFonts w:hint="eastAsia" w:ascii="新宋体" w:hAnsi="新宋体" w:eastAsia="新宋体" w:cs="新宋体"/>
          <w:b w:val="0"/>
          <w:bCs w:val="0"/>
          <w:i w:val="0"/>
          <w:iCs w:val="0"/>
          <w:color w:val="000000"/>
          <w:spacing w:val="0"/>
          <w:sz w:val="24"/>
          <w:szCs w:val="24"/>
          <w:highlight w:val="none"/>
          <w:vertAlign w:val="baseline"/>
          <w:lang w:val="en-US" w:eastAsia="zh-CN" w:bidi="ar"/>
        </w:rPr>
        <w:t xml:space="preserve">1、根据《政府采购需求管理办法》等有关规定，采购人确定采购需求。</w:t>
      </w:r>
      <w:r/>
    </w:p>
    <w:p>
      <w:pPr>
        <w:ind w:left="0" w:right="0" w:firstLine="480"/>
        <w:jc w:val="left"/>
        <w:keepLines w:val="0"/>
        <w:keepNext w:val="0"/>
        <w:pageBreakBefore w:val="0"/>
        <w:spacing w:before="0" w:beforeAutospacing="0" w:after="0" w:afterAutospacing="0" w:line="360" w:lineRule="auto"/>
        <w:widowControl/>
        <w:rPr>
          <w:rFonts w:hint="eastAsia" w:ascii="新宋体" w:hAnsi="新宋体" w:eastAsia="新宋体" w:cs="新宋体"/>
          <w:b w:val="0"/>
          <w:bCs w:val="0"/>
          <w:i w:val="0"/>
          <w:iCs w:val="0"/>
          <w:color w:val="000000"/>
          <w:spacing w:val="0"/>
          <w:sz w:val="24"/>
          <w:szCs w:val="24"/>
          <w:highlight w:val="none"/>
          <w:vertAlign w:val="baseline"/>
          <w:lang w:val="en-US" w:eastAsia="zh-CN" w:bidi="ar"/>
        </w:rPr>
      </w:pPr>
      <w:r>
        <w:rPr>
          <w:rFonts w:hint="eastAsia" w:ascii="新宋体" w:hAnsi="新宋体" w:eastAsia="新宋体" w:cs="新宋体"/>
          <w:b w:val="0"/>
          <w:bCs w:val="0"/>
          <w:i w:val="0"/>
          <w:iCs w:val="0"/>
          <w:color w:val="000000"/>
          <w:spacing w:val="0"/>
          <w:sz w:val="24"/>
          <w:szCs w:val="24"/>
          <w:highlight w:val="none"/>
          <w:vertAlign w:val="baseline"/>
          <w:lang w:val="en-US" w:eastAsia="zh-CN" w:bidi="ar"/>
        </w:rPr>
        <w:t xml:space="preserve">2、本项目需求中标注★号的款项为实质性要求和条件，由采购人根据实际情况设置，投标人必须逐条明确作出满足实质性要求和条件的响应，否则投标无效。</w:t>
      </w:r>
      <w:r/>
    </w:p>
    <w:p>
      <w:pPr>
        <w:numPr>
          <w:ilvl w:val="0"/>
          <w:numId w:val="0"/>
        </w:numPr>
        <w:ind w:firstLine="480"/>
        <w:jc w:val="both"/>
        <w:keepLines w:val="0"/>
        <w:keepNext w:val="0"/>
        <w:pageBreakBefore w:val="0"/>
        <w:spacing w:line="360" w:lineRule="auto"/>
        <w:rPr>
          <w:rFonts w:ascii="宋体" w:hAnsi="宋体"/>
          <w:color w:val="000000"/>
          <w:sz w:val="24"/>
          <w:szCs w:val="24"/>
        </w:rPr>
      </w:pP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rPr>
        <w:t xml:space="preserve">、说明：根据政府采购货物和服务招标投标管理办法（财政部令第87号）第31条规定：</w:t>
      </w:r>
      <w:r>
        <w:rPr>
          <w:rFonts w:hint="eastAsia" w:ascii="宋体" w:hAnsi="宋体" w:eastAsia="宋体" w:cs="宋体"/>
          <w:b/>
          <w:bCs/>
          <w:color w:val="000000"/>
          <w:sz w:val="24"/>
          <w:szCs w:val="24"/>
          <w:highlight w:val="none"/>
        </w:rPr>
        <w:t xml:space="preserve">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 w:val="24"/>
          <w:szCs w:val="24"/>
          <w:highlight w:val="none"/>
        </w:rPr>
        <w:t xml:space="preserve">。</w:t>
      </w:r>
      <w:bookmarkStart w:id="205" w:name="_Toc49090575"/>
      <w:r/>
      <w:bookmarkStart w:id="206" w:name="_Toc26554093"/>
      <w:r/>
      <w:r/>
    </w:p>
    <w:p>
      <w:pPr>
        <w:numPr>
          <w:ilvl w:val="0"/>
          <w:numId w:val="6"/>
        </w:numPr>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942"/>
        <w:tblW w:w="10775" w:type="dxa"/>
        <w:tblInd w:w="-1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763"/>
        <w:gridCol w:w="1087"/>
        <w:gridCol w:w="1113"/>
        <w:gridCol w:w="1273"/>
        <w:gridCol w:w="2163"/>
        <w:gridCol w:w="2639"/>
      </w:tblGrid>
      <w:tr>
        <w:trPr>
          <w:trHeight w:val="827"/>
        </w:trPr>
        <w:tc>
          <w:tcPr>
            <w:tcW w:w="737"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序号</w:t>
            </w:r>
            <w:r/>
          </w:p>
        </w:tc>
        <w:tc>
          <w:tcPr>
            <w:tcW w:w="176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采购标的</w:t>
            </w:r>
            <w:r/>
          </w:p>
        </w:tc>
        <w:tc>
          <w:tcPr>
            <w:tcW w:w="1087"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数量</w:t>
            </w:r>
            <w:r/>
          </w:p>
        </w:tc>
        <w:tc>
          <w:tcPr>
            <w:tcW w:w="111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单位</w:t>
            </w:r>
            <w:r/>
          </w:p>
        </w:tc>
        <w:tc>
          <w:tcPr>
            <w:tcW w:w="127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单价</w:t>
            </w:r>
            <w:r/>
          </w:p>
        </w:tc>
        <w:tc>
          <w:tcPr>
            <w:tcW w:w="216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对应中小企业划分标准所属行业</w:t>
            </w:r>
            <w:r/>
          </w:p>
        </w:tc>
        <w:tc>
          <w:tcPr>
            <w:tcW w:w="2639"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p>
        </w:tc>
      </w:tr>
      <w:tr>
        <w:trPr>
          <w:trHeight w:val="799"/>
        </w:trPr>
        <w:tc>
          <w:tcPr>
            <w:tcW w:w="737"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p>
        </w:tc>
        <w:tc>
          <w:tcPr>
            <w:tcW w:w="176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自动体外除颤器（AED）</w:t>
            </w:r>
            <w:r/>
          </w:p>
        </w:tc>
        <w:tc>
          <w:tcPr>
            <w:tcW w:w="1087"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163</w:t>
            </w:r>
            <w:r/>
          </w:p>
        </w:tc>
        <w:tc>
          <w:tcPr>
            <w:tcW w:w="111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套</w:t>
            </w:r>
            <w:r/>
          </w:p>
        </w:tc>
        <w:tc>
          <w:tcPr>
            <w:tcW w:w="127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9000元</w:t>
            </w:r>
            <w:r/>
          </w:p>
        </w:tc>
        <w:tc>
          <w:tcPr>
            <w:tcW w:w="216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sz w:val="21"/>
                <w:szCs w:val="21"/>
              </w:rPr>
              <w:t xml:space="preserve">工业</w:t>
            </w:r>
            <w:r/>
          </w:p>
        </w:tc>
        <w:tc>
          <w:tcPr>
            <w:tcW w:w="2639"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最终数量以实际采购数量为准（每套至少含一个立柜式或挂柜式机箱，一个急救包）</w:t>
            </w:r>
            <w:r/>
          </w:p>
        </w:tc>
      </w:tr>
    </w:tbl>
    <w:p>
      <w:pPr>
        <w:numPr>
          <w:ilvl w:val="0"/>
          <w:numId w:val="0"/>
        </w:num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二、政府采购中实施本国产品标准及相关政策</w:t>
      </w:r>
      <w:r/>
    </w:p>
    <w:p>
      <w:pPr>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p>
    <w:p>
      <w:pPr>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三、技术要求</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1.★采用双相波除颤技术，除颤方式为半自动，最终实施电击应由操作者操作。</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2.整机重量（含电池）≤2.6kg。</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3.▲为适应普通民众使用，防止误操作，设备按键数量≤3个（不包括上盖锁扣），设备具备中英文一键切换功能。</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4.防尘防水性能:裸机具备至少 IP55 防护性能。</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5.具备优异的抗冲击/跌落性能，机器可承受≥1.6 m跌落冲击。</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6.▲长期工作温度范围：最低温度≤-5ºC，最高温度≥50ºC，且从室温环境下进入-20ºC 环境后，至少能短期工作60分钟。</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7.工作湿度范围：0%～95%。</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8.▲设备开盖即开机，操作步骤不超过3步。</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9.主机配置彩色显示屏，屏幕尺寸≥7英寸，有清晰的动画或视频指导贴放电极片和心肺复苏（ CPR ）等操作。</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10.显示屏会根据环境光线亮度自动调节亮度。</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11.设备可自动调节语音音量，适应野外嘈杂环境。</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12.设备最大音量≥85分贝。</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13.▲抗干扰提示：具有心电噪声及运动干扰检测功能，如果检测到干扰，系统会发出语音</w:t>
      </w:r>
      <w:r>
        <w:rPr>
          <w:rFonts w:hint="eastAsia" w:ascii="宋体" w:hAnsi="宋体" w:eastAsia="宋体" w:cs="宋体"/>
          <w:b w:val="0"/>
          <w:bCs w:val="0"/>
          <w:color w:val="auto"/>
          <w:sz w:val="24"/>
          <w:szCs w:val="24"/>
          <w:highlight w:val="none"/>
          <w:lang w:val="en-US" w:eastAsia="zh-CN" w:bidi="ar-SA"/>
        </w:rPr>
        <w:t xml:space="preserve">提示施救者。</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14.故障提示：有明确的声／光或图形状态指示设备的运行状况，在故障时发出对应报警声／光或图形。</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15.▲开始心电分析到360J放电就绪≤12秒，主机开始心电分析到200J放电就绪≤5秒。</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16.▲设备成人最大输出能量≥360J，具备成人及儿童一键切换功能，根据成人和儿童模式提供相应的视频和语言操作指引。</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17.▲病人阻抗范围：最小≤25Ω，最大≥200Ω。</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18.▲心电分析：开机并在患者身上贴电极片后，屏幕可显示 ECG 心电波形等急救信息。</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19.除颤后恢复时间≤2S。</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20.心电波形显示时间最大不小于6s。</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21.具备录音功能，开机后自动录音，可保存≥120分钟抢救现场录音。</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22.电极片与主机预先连接。</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23.在200Ω负载下，体外除颤器的释放能量与额定的释放能量值之间的偏差不超过10%。</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24.设备具有状态显示屏或状态指示灯，可根据自检结果，无需开机即可查看设备状态，设备故障时可通过声音和灯光进行提示。</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25.▲数据传输功能：主机内置WiFi或4G无线数据传输功能，通过无线传输直接发送至管理平台。</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26.设备每日、每周、每月进行自检，并实时记录自检结果，自检数据可传输至管理平台，便于实时查看及管理。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27.设备内部可储存至少2000份自检报告。</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28.设备的内部存储容量≥8GB。</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29.▲具有</w:t>
      </w:r>
      <w:r>
        <w:rPr>
          <w:rFonts w:hint="eastAsia" w:ascii="宋体" w:hAnsi="宋体" w:eastAsia="宋体" w:cs="宋体"/>
          <w:b w:val="0"/>
          <w:bCs w:val="0"/>
          <w:color w:val="auto"/>
          <w:sz w:val="24"/>
          <w:szCs w:val="24"/>
          <w:highlight w:val="none"/>
          <w:lang w:val="en-US" w:eastAsia="zh-CN" w:bidi="ar-SA"/>
        </w:rPr>
        <w:t xml:space="preserve">按压反馈功能，心肺复苏时可通过屏幕或语音提醒施救者。</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30.支持USB接口。</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31.电池类型：一次性可更换电池。</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32.最大可支持单块电池容量≥4200mAH。</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33.▲电池的使用期限≥5年。</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34.设备执行最大能量除颤时，单块新电池支持放电次数≥300次；设备执行360J能量除颤时，单块新电池支持放电次数≥200次。</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35.电池首次低电量警示后，至少还可工作30分钟。</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36.▲更换提示：电池低电量或失效时具有报警功能，并通过主机内置无线网络同步发送报警信息至 AED 管理系统平台及管理人员。</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37.电极片类型：提供与机器配套的电极片，有明显的指示粘贴部位标记，防止粘贴错误。</w:t>
      </w:r>
      <w:r/>
    </w:p>
    <w:p>
      <w:pPr>
        <w:ind w:left="0" w:firstLine="456"/>
        <w:jc w:val="left"/>
        <w:keepLines w:val="0"/>
        <w:keepNext w:val="0"/>
        <w:pageBreakBefore w:val="0"/>
        <w:spacing w:line="360" w:lineRule="auto"/>
        <w:widowControl w:val="off"/>
        <w:rPr>
          <w:rFonts w:hint="eastAsia" w:ascii="宋体" w:hAnsi="宋体" w:eastAsia="宋体" w:cs="宋体"/>
          <w:b w:val="0"/>
          <w:bCs w:val="0"/>
          <w:color w:val="auto"/>
          <w:spacing w:val="-6"/>
          <w:sz w:val="24"/>
          <w:szCs w:val="24"/>
          <w:highlight w:val="none"/>
          <w:lang w:val="en-US" w:eastAsia="zh-CN" w:bidi="ar-SA"/>
        </w:rPr>
      </w:pPr>
      <w:r>
        <w:rPr>
          <w:rFonts w:hint="eastAsia" w:ascii="宋体" w:hAnsi="宋体" w:eastAsia="宋体" w:cs="宋体"/>
          <w:b w:val="0"/>
          <w:bCs w:val="0"/>
          <w:color w:val="auto"/>
          <w:spacing w:val="-6"/>
          <w:sz w:val="24"/>
          <w:szCs w:val="24"/>
          <w:highlight w:val="none"/>
          <w:lang w:val="en-US" w:eastAsia="zh-CN" w:bidi="ar-SA"/>
        </w:rPr>
        <w:t xml:space="preserve">38.主机外盖具有电极片日期查看窗，在不开盖不开机的</w:t>
      </w:r>
      <w:r>
        <w:rPr>
          <w:rFonts w:hint="eastAsia" w:ascii="宋体" w:hAnsi="宋体" w:eastAsia="宋体" w:cs="宋体"/>
          <w:b w:val="0"/>
          <w:bCs w:val="0"/>
          <w:color w:val="auto"/>
          <w:spacing w:val="-6"/>
          <w:sz w:val="24"/>
          <w:szCs w:val="24"/>
          <w:highlight w:val="none"/>
          <w:lang w:val="en-US" w:eastAsia="zh-CN" w:bidi="ar-SA"/>
        </w:rPr>
        <w:t xml:space="preserve">情况下查看电极片有效期。</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39.设备自动识别电极片类型为成人儿童通用电极片，可同时适用于成人/儿童。设备 可根据病人类型自动匹配对应的除颤能量。</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40.▲电极片的质保期限≥5年，在质保期限内，电极片如有过期或使用，供应商应免费更换。</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41.★配置及相关要求：设备上需要有明显的使用年限铭牌标志，使用寿命：≥10年（以铭牌出厂日期起）。</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42.AED管理系统平台可显示设备状态，方便日常维护，设备发生急救事件可通过管理平台通知绑定管理员。</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43.物联网功能：具有 AED 地图（可显示 AED 状态、设备编号、具体位置等）；物联网系统管理： AED 设备耗材管理、设备管理（包括自检日志、开机记录、急救记录等）、事件管理、系统管理等功能。</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44.系统反馈功能：系统根据 AED 自检结果，显示设备不同状态；具有急救事件实时反馈功能， AED一旦开机用于抢救病人时即刻反馈，在平台上提示急救状态，同时系统会自动通过短信、邮件等方式即刻通知 AED 所关联的管理者或急救员；具有位置管理功能，当 AED 偏离实际安装地点，系统提示 AED 所在位置。</w:t>
      </w:r>
      <w:r/>
    </w:p>
    <w:p>
      <w:pPr>
        <w:ind w:left="0" w:firstLine="480"/>
        <w:keepLines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四、商务要求</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供货时间:</w:t>
      </w:r>
      <w:r>
        <w:rPr>
          <w:rFonts w:hint="eastAsia" w:ascii="宋体" w:hAnsi="宋体" w:eastAsia="宋体" w:cs="宋体"/>
          <w:color w:val="000000"/>
          <w:sz w:val="24"/>
          <w:szCs w:val="24"/>
          <w:highlight w:val="none"/>
          <w:lang w:eastAsia="zh-CN"/>
        </w:rPr>
        <w:t xml:space="preserve">收到采购人通知后，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天内完成合同范围内所有设备的供货、安装调试。</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2.供货地点:由中标方免费将全套设备运送至各指定地点并安装调试到位，AED机箱需要的电源插座及网络设施由中标方负责安装到位。安装人员应具备相应资质，安装标准须符合国家有关安全技术规范和技术标准。</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3.要求所投产品制造商自愿与代理商承担售后连带责任。如果代理商后期丧失履约能力，制造商须在采购人通知后24 小时内无缝接管全部售后工作，延续原有质保期限、服务标准、响应时效，服务不中断、不另行收费。</w:t>
      </w:r>
      <w:r>
        <w:rPr>
          <w:rFonts w:hint="eastAsia" w:ascii="宋体" w:hAnsi="宋体" w:eastAsia="宋体" w:cs="宋体"/>
          <w:b/>
          <w:bCs/>
          <w:color w:val="000000"/>
          <w:sz w:val="24"/>
          <w:szCs w:val="24"/>
          <w:highlight w:val="none"/>
          <w:lang w:val="en-US" w:eastAsia="zh-CN"/>
        </w:rPr>
        <w:t xml:space="preserve">（提供承诺函加盖制造商及投标单位公章，否则做无效标处理）</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.备件要求：</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4.1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应设置备件库，存入所有必须的备件，保证必要时可以及时供应技术及维修服务。</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4.2</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应配置工程技术人员，随时提供开箱验货、安装、调试或维修等服务。</w:t>
      </w:r>
      <w:r/>
    </w:p>
    <w:p>
      <w:pPr>
        <w:ind w:left="0" w:firstLine="480"/>
        <w:jc w:val="left"/>
        <w:keepLines w:val="0"/>
        <w:keepNext w:val="0"/>
        <w:pageBreakBefore w:val="0"/>
        <w:spacing w:line="360" w:lineRule="auto"/>
        <w:widowControl w:val="off"/>
        <w:rPr>
          <w:rFonts w:hint="eastAsia" w:ascii="宋体" w:hAnsi="宋体" w:eastAsia="宋体" w:cs="宋体"/>
          <w:color w:val="ff0000"/>
          <w:sz w:val="24"/>
          <w:szCs w:val="24"/>
          <w:highlight w:val="none"/>
          <w:lang w:eastAsia="zh-CN"/>
        </w:rPr>
      </w:pPr>
      <w:r>
        <w:rPr>
          <w:rFonts w:hint="eastAsia" w:ascii="宋体" w:hAnsi="宋体" w:eastAsia="宋体" w:cs="宋体"/>
          <w:sz w:val="24"/>
          <w:szCs w:val="24"/>
          <w:highlight w:val="none"/>
          <w:lang w:val="en-US" w:eastAsia="zh-CN"/>
        </w:rPr>
        <w:t xml:space="preserve">4.3供应商</w:t>
      </w:r>
      <w:r>
        <w:rPr>
          <w:rFonts w:hint="eastAsia" w:ascii="宋体" w:hAnsi="宋体" w:eastAsia="宋体" w:cs="宋体"/>
          <w:sz w:val="24"/>
          <w:szCs w:val="24"/>
          <w:highlight w:val="none"/>
        </w:rPr>
        <w:t xml:space="preserve">应配置立柜式或挂柜式机箱（根据安装场所实际情况决定），</w:t>
      </w:r>
      <w:r>
        <w:rPr>
          <w:rFonts w:hint="eastAsia" w:ascii="宋体" w:hAnsi="宋体" w:eastAsia="宋体" w:cs="宋体"/>
          <w:b w:val="0"/>
          <w:bCs w:val="0"/>
          <w:color w:val="000000"/>
          <w:sz w:val="24"/>
          <w:szCs w:val="24"/>
          <w:highlight w:val="none"/>
          <w:lang w:val="en-US" w:eastAsia="zh-CN" w:bidi="ar-SA"/>
        </w:rPr>
        <w:t xml:space="preserve">按照招标人要求定制除颤器所需相应数量机箱。</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4.4供应商</w:t>
      </w:r>
      <w:r>
        <w:rPr>
          <w:rFonts w:hint="eastAsia" w:ascii="宋体" w:hAnsi="宋体" w:eastAsia="宋体" w:cs="宋体"/>
          <w:sz w:val="24"/>
          <w:szCs w:val="24"/>
          <w:highlight w:val="none"/>
        </w:rPr>
        <w:t xml:space="preserve">应配置</w:t>
      </w:r>
      <w:r>
        <w:rPr>
          <w:rFonts w:hint="eastAsia" w:ascii="宋体" w:hAnsi="宋体" w:eastAsia="宋体" w:cs="宋体"/>
          <w:b w:val="0"/>
          <w:bCs w:val="0"/>
          <w:color w:val="000000"/>
          <w:sz w:val="24"/>
          <w:szCs w:val="24"/>
          <w:highlight w:val="none"/>
          <w:lang w:val="en-US" w:eastAsia="zh-CN" w:bidi="ar-SA"/>
        </w:rPr>
        <w:t xml:space="preserve">除颤器所需相应数量</w:t>
      </w:r>
      <w:r>
        <w:rPr>
          <w:rFonts w:hint="eastAsia" w:ascii="宋体" w:hAnsi="宋体" w:eastAsia="宋体" w:cs="宋体"/>
          <w:sz w:val="24"/>
          <w:szCs w:val="24"/>
          <w:highlight w:val="none"/>
          <w:lang w:val="en-US" w:eastAsia="zh-CN"/>
        </w:rPr>
        <w:t xml:space="preserve">急救包。</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人员培训</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对采购人员工进行该技术内容操作使用和维护保养的培训。</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对采购人员工进行设备安全培训。</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5.3</w:t>
      </w:r>
      <w:r>
        <w:rPr>
          <w:rFonts w:hint="eastAsia" w:ascii="宋体" w:hAnsi="宋体" w:eastAsia="宋体" w:cs="宋体"/>
          <w:sz w:val="24"/>
          <w:szCs w:val="24"/>
          <w:highlight w:val="none"/>
        </w:rPr>
        <w:t xml:space="preserve">提供设备运行、调试、维护过程中必要的专用工具、软件，以及对相关人员进行工艺设置、设备运行、调试和维护过程中相关的专用工具及软件使用的培训。</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5.4中标单位</w:t>
      </w:r>
      <w:r>
        <w:rPr>
          <w:rFonts w:hint="eastAsia" w:ascii="宋体" w:hAnsi="宋体" w:eastAsia="宋体" w:cs="宋体"/>
          <w:sz w:val="24"/>
          <w:szCs w:val="24"/>
          <w:highlight w:val="none"/>
        </w:rPr>
        <w:t xml:space="preserve">应免费提供一定数量的培训资料。</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6.付款方式:</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无预付款，</w:t>
      </w:r>
      <w:r>
        <w:rPr>
          <w:rFonts w:hint="eastAsia" w:ascii="宋体" w:hAnsi="宋体" w:eastAsia="宋体" w:cs="宋体"/>
          <w:color w:val="000000"/>
          <w:sz w:val="24"/>
          <w:szCs w:val="24"/>
          <w:highlight w:val="none"/>
          <w:lang w:eastAsia="zh-CN"/>
        </w:rPr>
        <w:t xml:space="preserve">供货完成</w:t>
      </w:r>
      <w:r>
        <w:rPr>
          <w:rFonts w:hint="eastAsia" w:ascii="宋体" w:hAnsi="宋体" w:eastAsia="宋体" w:cs="宋体"/>
          <w:color w:val="000000"/>
          <w:sz w:val="24"/>
          <w:szCs w:val="24"/>
          <w:highlight w:val="none"/>
          <w:lang w:val="en-US" w:eastAsia="zh-CN"/>
        </w:rPr>
        <w:t xml:space="preserve">并经连云港苏海检验检测服务有限公司及采购人验收合格后</w:t>
      </w:r>
      <w:r>
        <w:rPr>
          <w:rFonts w:hint="eastAsia" w:ascii="宋体" w:hAnsi="宋体" w:eastAsia="宋体" w:cs="宋体"/>
          <w:color w:val="000000"/>
          <w:sz w:val="24"/>
          <w:szCs w:val="24"/>
          <w:highlight w:val="none"/>
          <w:lang w:eastAsia="zh-CN"/>
        </w:rPr>
        <w:t xml:space="preserve">支付合同总金额的100％。</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采购人付款前，中标人应向采购人出具符合采购人要求的发票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%增值税专用发票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，否则中标人自行承担延迟付款的责任，采购人在收到中标人发票</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内支付款项</w:t>
      </w:r>
      <w:r>
        <w:rPr>
          <w:rFonts w:hint="eastAsia" w:ascii="宋体" w:hAnsi="宋体" w:eastAsia="宋体" w:cs="宋体"/>
          <w:bCs/>
          <w:color w:val="000000"/>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当采购数量与实际使用数量不一致时，乙方应根据实际使用量提供产品和服务，合同的最终结算金额按实际使用量乘以中标单价计算。</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7.其他要求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★7.1投标单位报价时须承诺所供自动体外除颤器免费质保期≥10年（以铭牌出厂日期起）。中标人对质保期内所发生的设备维护、维修、更换等一切费用负责</w:t>
      </w:r>
      <w:r>
        <w:rPr>
          <w:rFonts w:hint="eastAsia" w:ascii="宋体" w:hAnsi="宋体" w:eastAsia="宋体" w:cs="宋体"/>
          <w:b/>
          <w:bCs/>
          <w:color w:val="000000"/>
          <w:sz w:val="24"/>
          <w:szCs w:val="24"/>
          <w:highlight w:val="none"/>
          <w:lang w:val="en-US" w:eastAsia="zh-CN"/>
        </w:rPr>
        <w:t xml:space="preserve">（提供承诺函加盖投标单位公章，否则做无效标处理）</w:t>
      </w:r>
      <w:r>
        <w:rPr>
          <w:rFonts w:hint="eastAsia" w:ascii="宋体" w:hAnsi="宋体" w:eastAsia="宋体" w:cs="宋体"/>
          <w:b w:val="0"/>
          <w:bCs w:val="0"/>
          <w:color w:val="000000"/>
          <w:sz w:val="24"/>
          <w:szCs w:val="24"/>
          <w:highlight w:val="none"/>
          <w:lang w:val="en-US" w:eastAsia="zh-CN" w:bidi="ar-SA"/>
        </w:rPr>
        <w:t xml:space="preserve">。</w:t>
      </w:r>
      <w:r/>
    </w:p>
    <w:p>
      <w:pPr>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★7.2产品不得有知识产权争议</w:t>
      </w:r>
      <w:r>
        <w:rPr>
          <w:rFonts w:hint="eastAsia" w:ascii="宋体" w:hAnsi="宋体" w:eastAsia="宋体" w:cs="宋体"/>
          <w:b/>
          <w:bCs/>
          <w:color w:val="000000"/>
          <w:sz w:val="24"/>
          <w:szCs w:val="24"/>
          <w:highlight w:val="none"/>
          <w:lang w:val="en-US" w:eastAsia="zh-CN"/>
        </w:rPr>
        <w:t xml:space="preserve">（提供承诺函加盖制造商及投标单位公章，否则做无效标处理）</w:t>
      </w:r>
      <w:r>
        <w:rPr>
          <w:rFonts w:hint="eastAsia" w:ascii="宋体" w:hAnsi="宋体" w:eastAsia="宋体" w:cs="宋体"/>
          <w:b/>
          <w:bCs/>
          <w:color w:val="000000"/>
          <w:sz w:val="24"/>
          <w:szCs w:val="24"/>
          <w:highlight w:val="none"/>
          <w:lang w:val="en-US" w:eastAsia="zh-CN" w:bidi="ar-SA"/>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7.3投标单位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7.4质保期内免费更换零配件（人为损坏除外），质保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保证零配件的供给。</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质保期结束，不能视为供应商对合同货物中存在的可能引起货物损坏的潜在缺陷所应负责任的解除。潜在缺陷指货物在制造过程中未被发现的隐患，供应商纠正潜在缺陷应负责任，其时间应延续至质保期终止后贰年。当发现这类潜在缺陷时（经双方确认），供应商应立即予以无偿修复或更换。</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7.6供应商应按照国家有关法律法规和“三包”规定以及招标文件中的“售后服务承诺”提供服务。</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7.7因供应商所提供的产品，造成采购人设备损坏或其他损失，以及其他第三方损失的，一经核实，供应商必须赔偿采购人或第三方因此造成的所有损失。</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7.8供应商所提供货物必须是全新未使用的并符合国家有关技术标准。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7.9供应商应在交付货物的同时向采购人提供产品全套随机资料一套（包括但不限于含产品合格证书、使用维护说明书、验收报告书、原厂保修单等）。根据采购人要求免费提供并安装操作应用软件。</w:t>
      </w:r>
      <w:r/>
    </w:p>
    <w:p>
      <w:pPr>
        <w:ind w:left="0" w:firstLine="456"/>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7.10.终身提供应用技术服务，设备出现故障时保证24小时内服务维修响应。</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7.12质保期过后，对于货物维修只收取基本材料备件费，不收取工时费。</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★7.13供应商需配置智能管理系统为AED设备原厂开发，保证信息传输的稳定可靠、升级拓展及端口终身免费使用。</w:t>
      </w:r>
      <w:r>
        <w:rPr>
          <w:rFonts w:hint="eastAsia" w:ascii="宋体" w:hAnsi="宋体" w:eastAsia="宋体" w:cs="宋体"/>
          <w:b/>
          <w:bCs/>
          <w:color w:val="000000"/>
          <w:sz w:val="24"/>
          <w:szCs w:val="24"/>
          <w:highlight w:val="none"/>
          <w:lang w:val="en-US" w:eastAsia="zh-CN" w:bidi="ar-SA"/>
        </w:rPr>
        <w:t xml:space="preserve">(需提供相关佐证材料)。</w:t>
      </w:r>
      <w:r/>
    </w:p>
    <w:p>
      <w:pPr>
        <w:ind w:left="0" w:firstLine="480"/>
        <w:keepLines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7.14供货验收时须提供出厂日期为2026年5月30日后出厂的设备。</w:t>
      </w:r>
      <w:r>
        <w:rPr>
          <w:rFonts w:hint="eastAsia" w:ascii="宋体" w:hAnsi="宋体" w:eastAsia="宋体" w:cs="宋体"/>
          <w:b/>
          <w:bCs/>
          <w:color w:val="000000"/>
          <w:sz w:val="24"/>
          <w:szCs w:val="24"/>
          <w:highlight w:val="none"/>
          <w:lang w:val="en-US" w:eastAsia="zh-CN"/>
        </w:rPr>
        <w:t xml:space="preserve">（提供承诺函加盖投标单位公章，否则做无效标处理）</w:t>
      </w:r>
      <w:r/>
    </w:p>
    <w:p>
      <w:p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五、其他要求</w:t>
      </w:r>
      <w:r/>
    </w:p>
    <w:p>
      <w:pPr>
        <w:ind w:left="0" w:firstLine="480"/>
        <w:keepLines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项目属性:货物类项目</w:t>
      </w:r>
      <w:r/>
    </w:p>
    <w:p>
      <w:pPr>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2．核心产品</w:t>
      </w:r>
      <w:r/>
    </w:p>
    <w:tbl>
      <w:tblPr>
        <w:tblStyle w:val="703"/>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5"/>
        <w:gridCol w:w="5300"/>
      </w:tblGrid>
      <w:tr>
        <w:trPr>
          <w:trHeight w:val="479"/>
        </w:trPr>
        <w:tc>
          <w:tcPr>
            <w:tcW w:w="2215"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5300"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核心产品</w:t>
            </w:r>
            <w:r/>
          </w:p>
        </w:tc>
      </w:tr>
      <w:tr>
        <w:trPr>
          <w:trHeight w:val="251"/>
        </w:trPr>
        <w:tc>
          <w:tcPr>
            <w:tcW w:w="2215"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00"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w:t>
            </w:r>
            <w:r/>
          </w:p>
        </w:tc>
      </w:tr>
    </w:tbl>
    <w:p>
      <w:pPr>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3.进口产品投标</w:t>
      </w:r>
      <w:r/>
    </w:p>
    <w:tbl>
      <w:tblPr>
        <w:tblStyle w:val="703"/>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5813"/>
      </w:tblGrid>
      <w:tr>
        <w:trPr>
          <w:trHeight w:val="544"/>
        </w:trPr>
        <w:tc>
          <w:tcPr>
            <w:tcW w:w="1706"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5813"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是否接受进口产品投标</w:t>
            </w:r>
            <w:r/>
          </w:p>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（是/否）</w:t>
            </w:r>
            <w:r/>
          </w:p>
        </w:tc>
      </w:tr>
      <w:tr>
        <w:trPr>
          <w:trHeight w:val="285"/>
        </w:trPr>
        <w:tc>
          <w:tcPr>
            <w:tcW w:w="1706"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813"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207" w:name="_Toc120614281"/>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、投标报价要求</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1、报价币种为人民币。</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要求：投标报价应涵盖采购人在招标文件中所要求的所有工作内容。包含了货物生产（含所有配件、备品备件、专用工具等）、包装、运输、装卸、保险、安装调试、管理费、产品保护、技术服务、税金、利润、维保服务、相关部门验收、税金、不可预见及其他相关所有费用，直至交付至采购人使用时所需要的各种费用。</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3、本项目的报价包括清单中未列出但项目实施所需要的其他一切费用。</w:t>
      </w:r>
      <w:r/>
    </w:p>
    <w:p>
      <w:pPr>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、其他</w:t>
      </w:r>
      <w:r/>
    </w:p>
    <w:p>
      <w:pPr>
        <w:ind w:left="0" w:firstLine="480"/>
        <w:keepLines w:val="0"/>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left="0" w:firstLine="480"/>
        <w:jc w:val="center"/>
        <w:keepLines w:val="0"/>
        <w:keepNext/>
        <w:pageBreakBefore w:val="0"/>
        <w:spacing w:line="360" w:lineRule="auto"/>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rFonts w:hint="eastAsia"/>
          <w:color w:val="000000"/>
          <w:szCs w:val="21"/>
        </w:rPr>
      </w:pPr>
      <w:r>
        <w:rPr>
          <w:rFonts w:hint="eastAsia"/>
          <w:color w:val="000000"/>
          <w:szCs w:val="21"/>
        </w:rPr>
      </w:r>
      <w:r/>
    </w:p>
    <w:tbl>
      <w:tblPr>
        <w:tblStyle w:val="703"/>
        <w:tblW w:w="8558" w:type="dxa"/>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1945"/>
        <w:gridCol w:w="5226"/>
      </w:tblGrid>
      <w:tr>
        <w:trPr>
          <w:trHeight w:val="490"/>
        </w:trPr>
        <w:tc>
          <w:tcPr>
            <w:tcW w:w="1387" w:type="dxa"/>
            <w:vAlign w:val="center"/>
            <w:textDirection w:val="lrTb"/>
            <w:noWrap w:val="false"/>
          </w:tcPr>
          <w:p>
            <w:pP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采购包号</w:t>
            </w:r>
            <w:r/>
          </w:p>
        </w:tc>
        <w:tc>
          <w:tcPr>
            <w:tcW w:w="1945" w:type="dxa"/>
            <w:vAlign w:val="center"/>
            <w:textDirection w:val="lrTb"/>
            <w:noWrap w:val="false"/>
          </w:tcPr>
          <w:p>
            <w:pP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中标候选人数量</w:t>
            </w:r>
            <w:r/>
          </w:p>
        </w:tc>
        <w:tc>
          <w:tcPr>
            <w:tcW w:w="5226" w:type="dxa"/>
            <w:vAlign w:val="center"/>
            <w:textDirection w:val="lrTb"/>
            <w:noWrap w:val="false"/>
          </w:tcPr>
          <w:p>
            <w:pPr>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中标候选人的原则</w:t>
            </w:r>
            <w:r/>
          </w:p>
        </w:tc>
      </w:tr>
      <w:tr>
        <w:trPr>
          <w:trHeight w:val="738"/>
        </w:trPr>
        <w:tc>
          <w:tcPr>
            <w:tcW w:w="1387" w:type="dxa"/>
            <w:vAlign w:val="center"/>
            <w:textDirection w:val="lrTb"/>
            <w:noWrap w:val="false"/>
          </w:tcPr>
          <w:p>
            <w:pPr>
              <w:ind w:firstLine="480"/>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945" w:type="dxa"/>
            <w:vAlign w:val="center"/>
            <w:textDirection w:val="lrTb"/>
            <w:noWrap w:val="false"/>
          </w:tcPr>
          <w:p>
            <w:pPr>
              <w:ind w:firstLine="480"/>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5226" w:type="dxa"/>
            <w:vAlign w:val="center"/>
            <w:textDirection w:val="lrTb"/>
            <w:noWrap w:val="false"/>
          </w:tcPr>
          <w:p>
            <w:pPr>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满足招标文件全部实质性要求，且按照评审因素的量化指标评审得分最高的投标人为中标候选人。</w:t>
            </w:r>
            <w:r/>
          </w:p>
        </w:tc>
      </w:tr>
    </w:tbl>
    <w:p>
      <w:pPr>
        <w:ind w:left="0" w:firstLine="441"/>
        <w:jc w:val="left"/>
        <w:keepLines w:val="0"/>
        <w:keepNext w:val="0"/>
        <w:pageBreakBefore w:val="0"/>
        <w:spacing w:line="288" w:lineRule="auto"/>
        <w:rPr>
          <w:rFonts w:ascii="Arial" w:hAnsi="Arial" w:eastAsia="宋体" w:cs="Arial"/>
          <w:b/>
          <w:bCs/>
          <w:color w:val="000000"/>
          <w:sz w:val="24"/>
          <w:szCs w:val="24"/>
          <w:highlight w:val="none"/>
          <w:shd w:val="clear" w:color="auto" w:fill="auto"/>
        </w:rPr>
      </w:pPr>
      <w:r>
        <w:rPr>
          <w:rFonts w:hint="eastAsia" w:ascii="Arial" w:hAnsi="Arial" w:eastAsia="宋体" w:cs="Arial"/>
          <w:b/>
          <w:bCs/>
          <w:color w:val="000000"/>
          <w:sz w:val="24"/>
          <w:szCs w:val="24"/>
          <w:highlight w:val="none"/>
          <w:shd w:val="clear" w:color="auto" w:fill="auto"/>
          <w:lang w:val="en-US" w:eastAsia="zh-CN"/>
        </w:rPr>
        <w:t xml:space="preserve">一</w:t>
      </w:r>
      <w:r>
        <w:rPr>
          <w:rFonts w:hint="eastAsia" w:ascii="Arial" w:hAnsi="Arial" w:eastAsia="宋体" w:cs="Arial"/>
          <w:b/>
          <w:bCs/>
          <w:color w:val="000000"/>
          <w:sz w:val="24"/>
          <w:szCs w:val="24"/>
          <w:highlight w:val="none"/>
          <w:shd w:val="clear" w:color="auto" w:fill="auto"/>
        </w:rPr>
        <w:t xml:space="preserve">、评标委员会构成：</w:t>
      </w:r>
      <w:r/>
    </w:p>
    <w:p>
      <w:pPr>
        <w:ind w:left="0" w:firstLine="480"/>
        <w:keepLines w:val="0"/>
        <w:keepNext w:val="0"/>
        <w:pageBreakBefore w:val="0"/>
        <w:spacing w:line="288" w:lineRule="auto"/>
        <w:widowControl/>
        <w:rPr>
          <w:rFonts w:hint="eastAsia" w:ascii="宋体" w:hAnsi="宋体" w:eastAsia="宋体" w:cs="Times New Roman"/>
          <w:b/>
          <w:color w:val="000000"/>
          <w:sz w:val="24"/>
          <w:szCs w:val="24"/>
          <w:highlight w:val="none"/>
          <w:shd w:val="clear" w:color="auto" w:fill="auto"/>
        </w:rPr>
      </w:pPr>
      <w:r>
        <w:rPr>
          <w:rFonts w:hint="eastAsia" w:ascii="Arial" w:hAnsi="Arial" w:eastAsia="宋体" w:cs="Arial"/>
          <w:color w:val="000000"/>
          <w:sz w:val="24"/>
          <w:szCs w:val="24"/>
          <w:highlight w:val="none"/>
          <w:shd w:val="clear" w:color="auto" w:fill="auto"/>
        </w:rPr>
        <w:t xml:space="preserve">本采购项目评标委员会的评委由采购人代表和评审专家组成。</w:t>
      </w:r>
      <w:r/>
    </w:p>
    <w:p>
      <w:pPr>
        <w:ind w:left="0" w:firstLine="482"/>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lang w:val="en-US" w:eastAsia="zh-CN"/>
        </w:rPr>
        <w:t xml:space="preserve">二</w:t>
      </w:r>
      <w:r>
        <w:rPr>
          <w:rFonts w:hint="eastAsia" w:ascii="宋体" w:hAnsi="宋体" w:eastAsia="宋体" w:cs="Times New Roman"/>
          <w:b/>
          <w:color w:val="000000"/>
          <w:sz w:val="24"/>
          <w:szCs w:val="24"/>
          <w:highlight w:val="none"/>
          <w:shd w:val="clear" w:color="auto" w:fill="auto"/>
        </w:rPr>
        <w:t xml:space="preserve">、评标原则</w:t>
      </w:r>
      <w:r>
        <w:rPr>
          <w:rFonts w:hint="eastAsia" w:ascii="宋体" w:hAnsi="宋体" w:eastAsia="宋体" w:cs="Times New Roman"/>
          <w:color w:val="000000"/>
          <w:sz w:val="24"/>
          <w:szCs w:val="24"/>
          <w:highlight w:val="none"/>
          <w:shd w:val="clear" w:color="auto" w:fill="auto"/>
        </w:rPr>
        <w:t xml:space="preserve">：</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keepNext w:val="0"/>
        <w:pageBreakBefore w:val="0"/>
        <w:spacing w:line="288" w:lineRule="auto"/>
        <w:widowControl/>
        <w:rPr>
          <w:rFonts w:ascii="宋体" w:hAnsi="宋体" w:eastAsia="宋体" w:cs="Times New Roman"/>
          <w:b/>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lang w:val="en-US" w:eastAsia="zh-CN"/>
        </w:rPr>
        <w:t xml:space="preserve">三</w:t>
      </w:r>
      <w:r>
        <w:rPr>
          <w:rFonts w:hint="eastAsia" w:ascii="宋体" w:hAnsi="宋体" w:eastAsia="宋体" w:cs="Times New Roman"/>
          <w:b/>
          <w:color w:val="000000"/>
          <w:sz w:val="24"/>
          <w:szCs w:val="24"/>
          <w:highlight w:val="none"/>
          <w:shd w:val="clear" w:color="auto" w:fill="auto"/>
        </w:rPr>
        <w:t xml:space="preserve">、评标标准：</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1.</w:t>
      </w:r>
      <w:r>
        <w:rPr>
          <w:rFonts w:hint="eastAsia" w:ascii="宋体" w:hAnsi="宋体" w:eastAsia="宋体" w:cs="Times New Roman"/>
          <w:color w:val="000000"/>
          <w:sz w:val="24"/>
          <w:szCs w:val="24"/>
          <w:highlight w:val="none"/>
          <w:shd w:val="clear" w:color="auto" w:fill="auto"/>
        </w:rPr>
        <w:t xml:space="preserve">评标时，评标委员会以招标文件为评标依据，评标委员会各成员独立对每个投标人的投标文件进行评价，并汇总每个投标人的得分。</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2.</w:t>
      </w:r>
      <w:r>
        <w:rPr>
          <w:rFonts w:hint="eastAsia" w:ascii="宋体" w:hAnsi="宋体" w:eastAsia="宋体" w:cs="Times New Roman"/>
          <w:color w:val="000000"/>
          <w:sz w:val="24"/>
          <w:szCs w:val="24"/>
          <w:highlight w:val="none"/>
          <w:shd w:val="clear" w:color="auto" w:fill="auto"/>
        </w:rPr>
        <w:t xml:space="preserve">本项目评分总分为100分，按四舍五入取至小数点后两位。</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3.</w:t>
      </w:r>
      <w:r>
        <w:rPr>
          <w:rFonts w:hint="eastAsia" w:ascii="宋体" w:hAnsi="宋体" w:eastAsia="宋体" w:cs="Times New Roman"/>
          <w:color w:val="000000"/>
          <w:sz w:val="24"/>
          <w:szCs w:val="24"/>
          <w:highlight w:val="none"/>
          <w:shd w:val="clear" w:color="auto" w:fill="auto"/>
        </w:rPr>
        <w:t xml:space="preserve">总得分=价格分+商务技术分</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4.</w:t>
      </w:r>
      <w:r>
        <w:rPr>
          <w:rFonts w:hint="eastAsia" w:ascii="宋体" w:hAnsi="宋体" w:eastAsia="宋体" w:cs="Times New Roman"/>
          <w:color w:val="000000"/>
          <w:sz w:val="24"/>
          <w:szCs w:val="24"/>
          <w:highlight w:val="none"/>
          <w:shd w:val="clear" w:color="auto" w:fill="auto"/>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hanging="343"/>
        <w:jc w:val="center"/>
        <w:keepLines w:val="0"/>
        <w:keepNext w:val="0"/>
        <w:pageBreakBefore w:val="0"/>
        <w:spacing w:line="288"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highlight w:val="none"/>
          <w:shd w:val="clear" w:color="auto" w:fill="auto"/>
          <w:lang w:val="en-US" w:eastAsia="zh-CN" w:bidi="ar-SA"/>
        </w:rPr>
      </w:pPr>
      <w:r>
        <w:rPr>
          <w:rFonts w:hint="eastAsia" w:ascii="宋体" w:hAnsi="宋体" w:eastAsia="宋体" w:cs="宋体"/>
          <w:b/>
          <w:color w:val="000000"/>
          <w:sz w:val="24"/>
          <w:szCs w:val="24"/>
          <w:highlight w:val="none"/>
          <w:shd w:val="clear" w:color="auto" w:fill="auto"/>
          <w:lang w:val="en-US" w:eastAsia="zh-CN" w:bidi="ar-SA"/>
        </w:rPr>
        <w:t xml:space="preserve">综合评分法</w:t>
      </w:r>
      <w:r/>
    </w:p>
    <w:p>
      <w:pPr>
        <w:ind w:left="0" w:firstLine="482"/>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b/>
          <w:bCs/>
          <w:color w:val="000000"/>
          <w:sz w:val="24"/>
          <w:szCs w:val="24"/>
          <w:highlight w:val="none"/>
          <w:shd w:val="clear" w:color="auto" w:fill="auto"/>
        </w:rPr>
        <w:t xml:space="preserve">1.价格分：</w:t>
      </w:r>
      <w:r>
        <w:rPr>
          <w:rFonts w:hint="eastAsia" w:ascii="宋体" w:hAnsi="宋体" w:eastAsia="宋体" w:cs="Times New Roman"/>
          <w:b/>
          <w:bCs/>
          <w:color w:val="000000"/>
          <w:sz w:val="24"/>
          <w:szCs w:val="24"/>
          <w:highlight w:val="none"/>
          <w:shd w:val="clear" w:color="auto" w:fill="auto"/>
          <w:lang w:val="en-US" w:eastAsia="zh-CN"/>
        </w:rPr>
        <w:t xml:space="preserve">40</w:t>
      </w:r>
      <w:r>
        <w:rPr>
          <w:rFonts w:hint="eastAsia" w:ascii="宋体" w:hAnsi="宋体" w:eastAsia="宋体" w:cs="Times New Roman"/>
          <w:b/>
          <w:bCs/>
          <w:color w:val="000000"/>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投标报价得分=（评标基准价/投标报价）</w:t>
      </w:r>
      <w:r>
        <w:rPr>
          <w:rFonts w:ascii="Arial" w:hAnsi="Arial" w:eastAsia="宋体" w:cs="Arial"/>
          <w:color w:val="000000"/>
          <w:sz w:val="24"/>
          <w:szCs w:val="24"/>
          <w:highlight w:val="none"/>
          <w:shd w:val="clear" w:color="auto" w:fill="auto"/>
        </w:rPr>
        <w:t xml:space="preserve">×</w:t>
      </w:r>
      <w:r>
        <w:rPr>
          <w:rFonts w:hint="eastAsia" w:ascii="宋体" w:hAnsi="宋体" w:eastAsia="宋体" w:cs="Times New Roman"/>
          <w:color w:val="000000"/>
          <w:sz w:val="24"/>
          <w:szCs w:val="24"/>
          <w:highlight w:val="none"/>
          <w:shd w:val="clear" w:color="auto" w:fill="auto"/>
          <w:lang w:val="en-US" w:eastAsia="zh-CN"/>
        </w:rPr>
        <w:t xml:space="preserve">40</w:t>
      </w:r>
      <w:r>
        <w:rPr>
          <w:rFonts w:hint="eastAsia" w:ascii="宋体" w:hAnsi="宋体" w:eastAsia="宋体" w:cs="Times New Roman"/>
          <w:color w:val="000000"/>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b/>
          <w:bCs/>
          <w:color w:val="000000"/>
          <w:sz w:val="24"/>
          <w:szCs w:val="24"/>
          <w:highlight w:val="none"/>
          <w:shd w:val="clear" w:color="auto" w:fill="auto"/>
        </w:rPr>
        <w:t xml:space="preserve">2.商务技术分：</w:t>
      </w:r>
      <w:r>
        <w:rPr>
          <w:rFonts w:hint="eastAsia" w:ascii="宋体" w:hAnsi="宋体" w:eastAsia="宋体" w:cs="Times New Roman"/>
          <w:b/>
          <w:bCs/>
          <w:color w:val="000000"/>
          <w:sz w:val="24"/>
          <w:szCs w:val="24"/>
          <w:highlight w:val="none"/>
          <w:shd w:val="clear" w:color="auto" w:fill="auto"/>
          <w:lang w:val="en-US" w:eastAsia="zh-CN"/>
        </w:rPr>
        <w:t xml:space="preserve">60</w:t>
      </w:r>
      <w:r>
        <w:rPr>
          <w:rFonts w:hint="eastAsia" w:ascii="宋体" w:hAnsi="宋体" w:eastAsia="宋体" w:cs="Times New Roman"/>
          <w:b/>
          <w:bCs/>
          <w:color w:val="000000"/>
          <w:sz w:val="24"/>
          <w:szCs w:val="24"/>
          <w:highlight w:val="none"/>
          <w:shd w:val="clear" w:color="auto" w:fill="auto"/>
        </w:rPr>
        <w:t xml:space="preserve">分</w:t>
      </w:r>
      <w:r/>
    </w:p>
    <w:tbl>
      <w:tblPr>
        <w:tblStyle w:val="703"/>
        <w:tblW w:w="891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03"/>
        <w:gridCol w:w="7416"/>
      </w:tblGrid>
      <w:tr>
        <w:trPr>
          <w:trHeight w:val="272"/>
        </w:trPr>
        <w:tc>
          <w:tcPr>
            <w:shd w:val="clear" w:color="auto" w:fill="ffffff"/>
            <w:tcW w:w="150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评审因素</w:t>
            </w:r>
            <w:r/>
          </w:p>
        </w:tc>
        <w:tc>
          <w:tcPr>
            <w:shd w:val="clear" w:color="auto" w:fill="ffffff"/>
            <w:tcW w:w="7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评审标准</w:t>
            </w:r>
            <w:r/>
          </w:p>
        </w:tc>
      </w:tr>
      <w:tr>
        <w:trPr>
          <w:trHeight w:val="1837"/>
        </w:trPr>
        <w:tc>
          <w:tcPr>
            <w:shd w:val="clear" w:color="auto" w:fill="ffffff"/>
            <w:tcW w:w="1503" w:type="dxa"/>
            <w:vAlign w:val="center"/>
            <w:textDirection w:val="lrTb"/>
            <w:noWrap w:val="false"/>
          </w:tcPr>
          <w:p>
            <w:pPr>
              <w:jc w:val="center"/>
              <w:keepLines w:val="0"/>
              <w:keepNext w:val="0"/>
              <w:pageBreakBefore w:val="0"/>
              <w:spacing w:line="288" w:lineRule="auto"/>
              <w:widowControl/>
              <w:rPr>
                <w:rFonts w:ascii="宋体" w:hAnsi="宋体" w:eastAsia="新宋体" w:cs="宋体"/>
                <w:i w:val="0"/>
                <w:iCs w:val="0"/>
                <w:color w:val="000000"/>
                <w:sz w:val="24"/>
                <w:szCs w:val="24"/>
                <w:highlight w:val="none"/>
                <w:u w:val="none"/>
                <w:lang w:val="en-US" w:eastAsia="zh-CN" w:bidi="ar"/>
              </w:rPr>
              <w:suppressLineNumbers w:val="0"/>
            </w:pPr>
            <w:r>
              <w:rPr>
                <w:rFonts w:hint="eastAsia" w:ascii="新宋体" w:hAnsi="新宋体" w:eastAsia="新宋体" w:cs="宋体"/>
                <w:color w:val="000000"/>
                <w:sz w:val="24"/>
                <w:szCs w:val="24"/>
                <w:highlight w:val="none"/>
              </w:rPr>
              <w:t xml:space="preserve">技术参数</w:t>
            </w:r>
            <w:r>
              <w:rPr>
                <w:rFonts w:hint="eastAsia" w:ascii="新宋体" w:hAnsi="新宋体" w:eastAsia="新宋体" w:cs="宋体"/>
                <w:color w:val="000000"/>
                <w:sz w:val="24"/>
                <w:szCs w:val="24"/>
                <w:highlight w:val="none"/>
                <w:lang w:eastAsia="zh-CN"/>
              </w:rPr>
              <w:t xml:space="preserve">（</w:t>
            </w:r>
            <w:r>
              <w:rPr>
                <w:rFonts w:hint="eastAsia" w:ascii="新宋体" w:hAnsi="新宋体" w:eastAsia="新宋体" w:cs="宋体"/>
                <w:color w:val="000000"/>
                <w:sz w:val="24"/>
                <w:szCs w:val="24"/>
                <w:highlight w:val="none"/>
                <w:lang w:val="en-US" w:eastAsia="zh-CN"/>
              </w:rPr>
              <w:t xml:space="preserve">34分</w:t>
            </w:r>
            <w:r>
              <w:rPr>
                <w:rFonts w:hint="eastAsia" w:ascii="新宋体" w:hAnsi="新宋体" w:eastAsia="新宋体" w:cs="宋体"/>
                <w:color w:val="000000"/>
                <w:sz w:val="24"/>
                <w:szCs w:val="24"/>
                <w:highlight w:val="none"/>
                <w:lang w:eastAsia="zh-CN"/>
              </w:rPr>
              <w:t xml:space="preserve">）</w:t>
            </w:r>
            <w:r/>
          </w:p>
        </w:tc>
        <w:tc>
          <w:tcPr>
            <w:shd w:val="clear" w:color="auto" w:fill="ffffff"/>
            <w:tcW w:w="7416" w:type="dxa"/>
            <w:vAlign w:val="center"/>
            <w:textDirection w:val="lrTb"/>
            <w:noWrap w:val="false"/>
          </w:tcPr>
          <w:p>
            <w:pPr>
              <w:spacing w:line="276" w:lineRule="auto"/>
              <w:widowControl/>
              <w:rPr>
                <w:rFonts w:hint="eastAsia" w:ascii="新宋体" w:hAnsi="新宋体" w:eastAsia="新宋体" w:cs="宋体"/>
                <w:color w:val="000000"/>
                <w:sz w:val="24"/>
                <w:szCs w:val="24"/>
                <w:highlight w:val="none"/>
              </w:rPr>
            </w:pPr>
            <w:r>
              <w:rPr>
                <w:rFonts w:hint="eastAsia" w:ascii="新宋体" w:hAnsi="新宋体" w:eastAsia="新宋体" w:cs="宋体"/>
                <w:color w:val="000000"/>
                <w:sz w:val="24"/>
                <w:szCs w:val="24"/>
                <w:highlight w:val="none"/>
              </w:rPr>
              <w:t xml:space="preserve">技术参数评审基准分</w:t>
            </w:r>
            <w:r>
              <w:rPr>
                <w:rFonts w:hint="eastAsia" w:ascii="新宋体" w:hAnsi="新宋体" w:eastAsia="新宋体" w:cs="宋体"/>
                <w:b/>
                <w:bCs/>
                <w:color w:val="000000"/>
                <w:sz w:val="24"/>
                <w:szCs w:val="24"/>
                <w:highlight w:val="none"/>
                <w:lang w:val="en-US" w:eastAsia="zh-CN"/>
              </w:rPr>
              <w:t xml:space="preserve">34</w:t>
            </w:r>
            <w:r>
              <w:rPr>
                <w:rFonts w:hint="eastAsia" w:ascii="新宋体" w:hAnsi="新宋体" w:eastAsia="新宋体" w:cs="宋体"/>
                <w:b/>
                <w:bCs/>
                <w:color w:val="000000"/>
                <w:sz w:val="24"/>
                <w:szCs w:val="24"/>
                <w:highlight w:val="none"/>
              </w:rPr>
              <w:t xml:space="preserve">分</w:t>
            </w:r>
            <w:r>
              <w:rPr>
                <w:rFonts w:hint="eastAsia" w:ascii="新宋体" w:hAnsi="新宋体" w:eastAsia="新宋体" w:cs="宋体"/>
                <w:color w:val="000000"/>
                <w:sz w:val="24"/>
                <w:szCs w:val="24"/>
                <w:highlight w:val="none"/>
              </w:rPr>
              <w:t xml:space="preserve">；加注“★”符号为关键指标，存在一项负偏离按无效投标处理；标注“▲”项为主要指标，每有一项负偏离扣</w:t>
            </w:r>
            <w:r>
              <w:rPr>
                <w:rFonts w:hint="eastAsia" w:ascii="新宋体" w:hAnsi="新宋体" w:eastAsia="新宋体" w:cs="宋体"/>
                <w:color w:val="000000"/>
                <w:sz w:val="24"/>
                <w:szCs w:val="24"/>
                <w:highlight w:val="none"/>
                <w:lang w:val="en-US" w:eastAsia="zh-CN"/>
              </w:rPr>
              <w:t xml:space="preserve">2</w:t>
            </w:r>
            <w:r>
              <w:rPr>
                <w:rFonts w:hint="eastAsia" w:ascii="新宋体" w:hAnsi="新宋体" w:eastAsia="新宋体" w:cs="宋体"/>
                <w:color w:val="000000"/>
                <w:sz w:val="24"/>
                <w:szCs w:val="24"/>
                <w:highlight w:val="none"/>
              </w:rPr>
              <w:t xml:space="preserve">分；其他技术参数每有一项负偏离扣</w:t>
            </w:r>
            <w:r>
              <w:rPr>
                <w:rFonts w:hint="eastAsia" w:ascii="新宋体" w:hAnsi="新宋体" w:eastAsia="新宋体" w:cs="宋体"/>
                <w:color w:val="000000"/>
                <w:sz w:val="24"/>
                <w:szCs w:val="24"/>
                <w:highlight w:val="none"/>
                <w:lang w:val="en-US" w:eastAsia="zh-CN"/>
              </w:rPr>
              <w:t xml:space="preserve">1</w:t>
            </w:r>
            <w:r>
              <w:rPr>
                <w:rFonts w:hint="eastAsia" w:ascii="新宋体" w:hAnsi="新宋体" w:eastAsia="新宋体" w:cs="宋体"/>
                <w:color w:val="000000"/>
                <w:sz w:val="24"/>
                <w:szCs w:val="24"/>
                <w:highlight w:val="none"/>
              </w:rPr>
              <w:t xml:space="preserve">分，扣完为止。</w:t>
            </w:r>
            <w:r/>
          </w:p>
          <w:p>
            <w:pPr>
              <w:jc w:val="both"/>
              <w:keepLines w:val="0"/>
              <w:keepNext w:val="0"/>
              <w:pageBreakBefore w:val="0"/>
              <w:spacing w:line="288" w:lineRule="auto"/>
              <w:widowControl/>
              <w:rPr>
                <w:rFonts w:hint="eastAsia" w:ascii="宋体" w:hAnsi="宋体" w:eastAsia="新宋体" w:cs="宋体"/>
                <w:b/>
                <w:bCs/>
                <w:i w:val="0"/>
                <w:iCs w:val="0"/>
                <w:color w:val="000000"/>
                <w:sz w:val="24"/>
                <w:szCs w:val="24"/>
                <w:highlight w:val="none"/>
                <w:u w:val="none"/>
                <w:lang w:val="en-US" w:eastAsia="zh-CN" w:bidi="ar"/>
              </w:rPr>
              <w:suppressLineNumbers w:val="0"/>
            </w:pPr>
            <w:r>
              <w:rPr>
                <w:rFonts w:hint="eastAsia" w:ascii="新宋体" w:hAnsi="新宋体" w:eastAsia="新宋体" w:cs="宋体"/>
                <w:b/>
                <w:bCs/>
                <w:color w:val="000000"/>
                <w:sz w:val="24"/>
                <w:szCs w:val="24"/>
                <w:highlight w:val="none"/>
                <w:lang w:val="en-US" w:eastAsia="zh-CN"/>
              </w:rPr>
              <w:t xml:space="preserve">注：</w:t>
            </w:r>
            <w:r>
              <w:rPr>
                <w:rFonts w:hint="eastAsia" w:ascii="新宋体" w:hAnsi="新宋体" w:eastAsia="新宋体" w:cs="宋体"/>
                <w:b/>
                <w:bCs/>
                <w:color w:val="000000"/>
                <w:sz w:val="24"/>
                <w:szCs w:val="24"/>
                <w:highlight w:val="none"/>
              </w:rPr>
              <w:t xml:space="preserve">投标文件中详细填写技术规格偏离表，逐条响应。</w:t>
            </w:r>
            <w:r>
              <w:rPr>
                <w:rFonts w:hint="eastAsia" w:ascii="新宋体" w:hAnsi="新宋体" w:eastAsia="新宋体" w:cs="宋体"/>
                <w:b/>
                <w:bCs/>
                <w:color w:val="000000"/>
                <w:sz w:val="24"/>
                <w:szCs w:val="24"/>
                <w:highlight w:val="none"/>
                <w:lang w:val="en-US" w:eastAsia="zh-CN"/>
              </w:rPr>
              <w:t xml:space="preserve">证明</w:t>
            </w:r>
            <w:r>
              <w:rPr>
                <w:rFonts w:hint="eastAsia" w:ascii="新宋体" w:hAnsi="新宋体" w:eastAsia="新宋体" w:cs="宋体"/>
                <w:b/>
                <w:bCs/>
                <w:color w:val="000000"/>
                <w:sz w:val="24"/>
                <w:szCs w:val="24"/>
                <w:highlight w:val="none"/>
              </w:rPr>
              <w:t xml:space="preserve">材料</w:t>
            </w:r>
            <w:r>
              <w:rPr>
                <w:rFonts w:hint="eastAsia" w:ascii="新宋体" w:hAnsi="新宋体" w:eastAsia="新宋体" w:cs="宋体"/>
                <w:b/>
                <w:bCs/>
                <w:color w:val="000000"/>
                <w:sz w:val="24"/>
                <w:szCs w:val="24"/>
                <w:highlight w:val="none"/>
                <w:lang w:val="en-US" w:eastAsia="zh-CN"/>
              </w:rPr>
              <w:t xml:space="preserve">应为</w:t>
            </w:r>
            <w:r>
              <w:rPr>
                <w:rFonts w:hint="eastAsia" w:ascii="新宋体" w:hAnsi="新宋体" w:eastAsia="新宋体" w:cs="宋体"/>
                <w:b/>
                <w:bCs/>
                <w:color w:val="000000"/>
                <w:sz w:val="24"/>
                <w:szCs w:val="24"/>
                <w:highlight w:val="none"/>
              </w:rPr>
              <w:t xml:space="preserve">原件彩色扫描件加盖投标单位公章，以投标人提供的技术资料（产品使用说明书</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医疗器械注册证</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检测报告</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官网公示的技术参数</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产品彩页</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技术白皮书等）证明材料为依据，当投标人提供的其他技术资料与产品使用说明书不一致时，以产品使用说明书为准，没有依据的不得判定其指标符合要求。且需在投标文件《技术要求响应及偏离表》中清楚标注每一证明材料对应项页码，以便评委审核，未提供或提供不符合招标文件技术参数要求的或未标注证明材料对应页码的，视为负偏离，</w:t>
            </w:r>
            <w:r>
              <w:rPr>
                <w:rFonts w:hint="eastAsia" w:ascii="新宋体" w:hAnsi="新宋体" w:eastAsia="新宋体" w:cs="宋体"/>
                <w:b/>
                <w:bCs/>
                <w:color w:val="000000"/>
                <w:sz w:val="24"/>
                <w:szCs w:val="24"/>
                <w:highlight w:val="none"/>
                <w:lang w:val="en-US" w:eastAsia="zh-CN"/>
              </w:rPr>
              <w:t xml:space="preserve">证明</w:t>
            </w:r>
            <w:r>
              <w:rPr>
                <w:rFonts w:hint="eastAsia" w:ascii="新宋体" w:hAnsi="新宋体" w:eastAsia="新宋体" w:cs="宋体"/>
                <w:b/>
                <w:bCs/>
                <w:color w:val="000000"/>
                <w:sz w:val="24"/>
                <w:szCs w:val="24"/>
                <w:highlight w:val="none"/>
              </w:rPr>
              <w:t xml:space="preserve">材料中不能体现的，评审时不予认可</w:t>
            </w:r>
            <w:r>
              <w:rPr>
                <w:rFonts w:hint="eastAsia" w:ascii="新宋体" w:hAnsi="新宋体" w:eastAsia="新宋体" w:cs="宋体"/>
                <w:b/>
                <w:bCs/>
                <w:color w:val="000000"/>
                <w:sz w:val="24"/>
                <w:szCs w:val="24"/>
                <w:highlight w:val="none"/>
                <w:lang w:eastAsia="zh-CN"/>
              </w:rPr>
              <w:t xml:space="preserve">。</w:t>
            </w:r>
            <w:r/>
          </w:p>
        </w:tc>
      </w:tr>
      <w:tr>
        <w:trPr>
          <w:trHeight w:val="1532"/>
        </w:trPr>
        <w:tc>
          <w:tcPr>
            <w:shd w:val="clear" w:color="auto" w:fill="ffffff"/>
            <w:tcW w:w="150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业绩</w:t>
            </w:r>
            <w:r/>
          </w:p>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（4分）</w:t>
            </w:r>
            <w:r/>
          </w:p>
        </w:tc>
        <w:tc>
          <w:tcPr>
            <w:shd w:val="clear" w:color="auto" w:fill="ffffff"/>
            <w:tcW w:w="7416"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bookmarkStart w:id="208" w:name="OLE_LINK6"/>
            <w:r>
              <w:rPr>
                <w:rFonts w:hint="eastAsia" w:ascii="宋体" w:hAnsi="宋体" w:eastAsia="宋体" w:cs="宋体"/>
                <w:i w:val="0"/>
                <w:iCs w:val="0"/>
                <w:color w:val="000000"/>
                <w:sz w:val="24"/>
                <w:szCs w:val="24"/>
                <w:highlight w:val="none"/>
                <w:u w:val="none"/>
                <w:lang w:val="en-US" w:eastAsia="zh-CN" w:bidi="ar-SA"/>
              </w:rPr>
              <w:t xml:space="preserve">自2022年1月1日以来（以合同签订时间为准），投标单位承担过AED设备采购类似业绩的，每提供一份业绩得1分，最高得4分。</w:t>
            </w:r>
            <w:bookmarkEnd w:id="208"/>
            <w:r/>
            <w:r/>
          </w:p>
          <w:p>
            <w:pPr>
              <w:jc w:val="both"/>
              <w:keepLines w:val="0"/>
              <w:keepNext w:val="0"/>
              <w:pageBreakBefore w:val="0"/>
              <w:spacing w:line="288" w:lineRule="auto"/>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注：需提供合同扫描件加盖公章，合同中应能体现项目名称、服务内容、签订时间等关键信息，未提供或提供不全不得分。</w:t>
            </w:r>
            <w:r/>
          </w:p>
        </w:tc>
      </w:tr>
      <w:tr>
        <w:trPr>
          <w:trHeight w:val="949"/>
        </w:trPr>
        <w:tc>
          <w:tcPr>
            <w:shd w:val="clear" w:color="auto" w:fill="ffffff"/>
            <w:tcW w:w="1503" w:type="dxa"/>
            <w:vAlign w:val="center"/>
            <w:textDirection w:val="lrTb"/>
            <w:noWrap w:val="false"/>
          </w:tcPr>
          <w:p>
            <w:pPr>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服务人员配置方案（4分）</w:t>
            </w:r>
            <w:r/>
          </w:p>
        </w:tc>
        <w:tc>
          <w:tcPr>
            <w:shd w:val="clear" w:color="auto" w:fill="ffffff"/>
            <w:tcW w:w="7416" w:type="dxa"/>
            <w:vAlign w:val="center"/>
            <w:textDirection w:val="lrTb"/>
            <w:noWrap w:val="false"/>
          </w:tcPr>
          <w:p>
            <w:pPr>
              <w:jc w:val="left"/>
              <w:spacing w:line="4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投标人针对本项目提出服务人员配置方案，包括且不限于：①岗位设置，②人员数量配置，③人员专业能力，④岗位职责分工等；根据以上内容进行综合评审，上述内容满足采购文件及采购需求的得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分，每缺失一项内容扣1分，方案每有一处存在错误或瑕疵的扣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p>
        </w:tc>
      </w:tr>
      <w:tr>
        <w:trPr>
          <w:trHeight w:val="949"/>
        </w:trPr>
        <w:tc>
          <w:tcPr>
            <w:shd w:val="clear" w:color="auto" w:fill="ffffff"/>
            <w:tcW w:w="1503" w:type="dxa"/>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供货实施方案（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shd w:val="clear" w:color="auto" w:fill="ffffff"/>
            <w:tcW w:w="7416" w:type="dxa"/>
            <w:vAlign w:val="center"/>
            <w:textDirection w:val="lrTb"/>
            <w:noWrap w:val="false"/>
          </w:tcPr>
          <w:p>
            <w:pPr>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投标人针对本项目提出供货实施方案，包括且不限于：①供货计划，②运输配送保障，③进度管控，④质量保证措施，⑤紧急供货预案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⑥供货阶段资料移交完整性等；根据以上内容进行综合评审，上述内容满足采购文件及采购需求的得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p>
          <w:p>
            <w:pPr>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p>
        </w:tc>
      </w:tr>
      <w:tr>
        <w:trPr>
          <w:trHeight w:val="779"/>
        </w:trPr>
        <w:tc>
          <w:tcPr>
            <w:shd w:val="clear" w:color="auto" w:fill="ffffff"/>
            <w:tcW w:w="1503" w:type="dxa"/>
            <w:vAlign w:val="center"/>
            <w:textDirection w:val="lrTb"/>
            <w:noWrap w:val="false"/>
          </w:tcPr>
          <w:p>
            <w:pPr>
              <w:numPr>
                <w:ilvl w:val="0"/>
                <w:numId w:val="0"/>
              </w:numPr>
              <w:ind w:left="0" w:firstLine="0"/>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日常服务方案（</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p>
        </w:tc>
        <w:tc>
          <w:tcPr>
            <w:shd w:val="clear" w:color="auto" w:fill="ffffff"/>
            <w:tcW w:w="7416" w:type="dxa"/>
            <w:vAlign w:val="center"/>
            <w:textDirection w:val="lrTb"/>
            <w:noWrap w:val="false"/>
          </w:tcPr>
          <w:p>
            <w:pPr>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投标人针对本项目提出日常服务方案，包括且不限于：①日常巡检服务，②耗材保障服务，③故障维修处置服务，④智慧平台运维（ AED 适用）</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⑤培训与科普服务</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⑥应急保障服务等；根据以上内容进行综合评审，上述内容满足采购文件及采购需求的得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p>
          <w:p>
            <w:pPr>
              <w:numPr>
                <w:ilvl w:val="0"/>
                <w:numId w:val="0"/>
              </w:numPr>
              <w:ind w:left="0" w:firstLine="0"/>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p>
        </w:tc>
      </w:tr>
      <w:tr>
        <w:trPr>
          <w:trHeight w:val="779"/>
        </w:trPr>
        <w:tc>
          <w:tcPr>
            <w:shd w:val="clear" w:color="auto" w:fill="ffffff"/>
            <w:tcW w:w="1503" w:type="dxa"/>
            <w:vAlign w:val="center"/>
            <w:textDirection w:val="lrTb"/>
            <w:noWrap w:val="false"/>
          </w:tcPr>
          <w:p>
            <w:pPr>
              <w:numPr>
                <w:ilvl w:val="0"/>
                <w:numId w:val="0"/>
              </w:numPr>
              <w:ind w:left="0" w:firstLine="0"/>
              <w:keepLines w:val="0"/>
              <w:keepNext w:val="0"/>
              <w:pageBreakBefore w:val="0"/>
              <w:spacing w:line="288"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售后服务管理体系方案（6分）</w:t>
            </w:r>
            <w:r/>
          </w:p>
        </w:tc>
        <w:tc>
          <w:tcPr>
            <w:shd w:val="clear" w:color="auto" w:fill="ffffff"/>
            <w:tcW w:w="7416" w:type="dxa"/>
            <w:vAlign w:val="center"/>
            <w:textDirection w:val="lrTb"/>
            <w:noWrap w:val="false"/>
          </w:tcPr>
          <w:p>
            <w:pPr>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售后服务方案，包括且不限于：①售后服务流程，②应急预案，③质量保障措施，④售后人员配置，⑤售后响应时间，⑥应急服务方案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分，方案每有一处存在错误或瑕疵的扣0.5分，扣完本项分值为止。 （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keepLines w:val="0"/>
              <w:keepNext w:val="0"/>
              <w:pageBreakBefore w:val="0"/>
              <w:spacing w:line="288"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未提供不得分。</w:t>
            </w:r>
            <w:r/>
          </w:p>
        </w:tc>
      </w:tr>
    </w:tbl>
    <w:p>
      <w:pPr>
        <w:keepLines w:val="0"/>
        <w:keepNext w:val="0"/>
        <w:pageBreakBefore w:val="0"/>
        <w:spacing w:line="288" w:lineRule="auto"/>
        <w:rPr>
          <w:rFonts w:hint="eastAsia" w:ascii="Times New Roman" w:hAnsi="Times New Roman" w:eastAsia="宋体" w:cs="Times New Roman"/>
          <w:b/>
          <w:bCs/>
          <w:color w:val="000000"/>
          <w:sz w:val="24"/>
          <w:szCs w:val="24"/>
          <w:highlight w:val="none"/>
          <w:shd w:val="clear" w:color="auto" w:fill="auto"/>
        </w:rPr>
      </w:pPr>
      <w:r>
        <w:rPr>
          <w:rFonts w:hint="eastAsia" w:ascii="Times New Roman" w:hAnsi="Times New Roman" w:eastAsia="宋体" w:cs="Times New Roman"/>
          <w:b/>
          <w:bCs/>
          <w:color w:val="000000"/>
          <w:sz w:val="24"/>
          <w:szCs w:val="24"/>
          <w:highlight w:val="none"/>
          <w:shd w:val="clear" w:color="auto" w:fill="auto"/>
        </w:rPr>
        <w:t xml:space="preserve">注：投标文件中所提供的全部证明材料，评审结束后</w:t>
      </w:r>
      <w:r>
        <w:rPr>
          <w:rFonts w:hint="eastAsia" w:ascii="Times New Roman" w:hAnsi="Times New Roman" w:eastAsia="宋体" w:cs="Times New Roman"/>
          <w:b/>
          <w:bCs/>
          <w:color w:val="000000"/>
          <w:sz w:val="24"/>
          <w:szCs w:val="24"/>
          <w:highlight w:val="none"/>
          <w:shd w:val="clear" w:color="auto" w:fill="auto"/>
          <w:lang w:val="en-US" w:eastAsia="zh-CN"/>
        </w:rPr>
        <w:t xml:space="preserve">采购人</w:t>
      </w:r>
      <w:r>
        <w:rPr>
          <w:rFonts w:hint="eastAsia" w:ascii="Times New Roman" w:hAnsi="Times New Roman" w:eastAsia="宋体" w:cs="Times New Roman"/>
          <w:b/>
          <w:bCs/>
          <w:color w:val="000000"/>
          <w:sz w:val="24"/>
          <w:szCs w:val="24"/>
          <w:highlight w:val="none"/>
          <w:shd w:val="clear" w:color="auto" w:fill="auto"/>
        </w:rPr>
        <w:t xml:space="preserve">有权进行核实，如有不实，将按照相关法律法规规定进行处理。</w:t>
      </w:r>
      <w:r/>
    </w:p>
    <w:p>
      <w:pP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205"/>
      <w:r/>
      <w:bookmarkEnd w:id="206"/>
      <w:r/>
      <w:bookmarkEnd w:id="207"/>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209" w:name="_Hlt26671244"/>
      <w:r/>
      <w:bookmarkEnd w:id="209"/>
      <w:r/>
      <w:bookmarkStart w:id="210" w:name="_Hlt26955039"/>
      <w:r/>
      <w:bookmarkEnd w:id="210"/>
      <w:r/>
      <w:bookmarkStart w:id="211" w:name="_Toc120614282"/>
      <w:r/>
      <w:bookmarkStart w:id="212" w:name="_Toc49090576"/>
      <w:r/>
      <w:bookmarkStart w:id="21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eastAsia="宋体"/>
          <w:sz w:val="24"/>
          <w:szCs w:val="21"/>
          <w:highlight w:val="yellow"/>
          <w:lang w:val="en-US" w:eastAsia="zh-CN"/>
        </w:rPr>
      </w:pPr>
      <w:r>
        <w:rPr>
          <w:rFonts w:hint="eastAsia" w:ascii="宋体" w:hAnsi="宋体"/>
          <w:sz w:val="24"/>
          <w:szCs w:val="21"/>
        </w:rPr>
        <w:t xml:space="preserve">5.</w:t>
      </w:r>
      <w:r>
        <w:rPr>
          <w:rFonts w:hint="eastAsia" w:ascii="宋体" w:hAnsi="宋体"/>
          <w:sz w:val="24"/>
          <w:szCs w:val="21"/>
          <w:lang w:val="en-US" w:eastAsia="zh-CN"/>
        </w:rPr>
        <w:t xml:space="preserve">其他资料</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color w:val="000000"/>
          <w:sz w:val="24"/>
          <w:szCs w:val="21"/>
          <w:highlight w:val="none"/>
        </w:rPr>
      </w:pPr>
      <w:r>
        <w:rPr>
          <w:rFonts w:ascii="宋体" w:hAnsi="宋体"/>
          <w:sz w:val="24"/>
          <w:szCs w:val="21"/>
        </w:rPr>
        <w:t xml:space="preserve">1.</w:t>
      </w:r>
      <w:r>
        <w:rPr>
          <w:rFonts w:hint="eastAsia" w:ascii="宋体" w:hAnsi="宋体"/>
          <w:sz w:val="24"/>
          <w:szCs w:val="21"/>
        </w:rPr>
        <w:t xml:space="preserve">中</w:t>
      </w:r>
      <w:r>
        <w:rPr>
          <w:rFonts w:hint="eastAsia" w:ascii="宋体" w:hAnsi="宋体"/>
          <w:color w:val="000000"/>
          <w:sz w:val="24"/>
          <w:szCs w:val="21"/>
          <w:highlight w:val="none"/>
        </w:rPr>
        <w:t xml:space="preserve">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p>
    <w:p>
      <w:pPr>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 关于符合本国产品标准的声明函（格式见附件13）</w:t>
      </w:r>
      <w:r/>
    </w:p>
    <w:p>
      <w:pPr>
        <w:rPr>
          <w:rFonts w:ascii="宋体" w:hAnsi="宋体"/>
          <w:b/>
          <w:sz w:val="24"/>
          <w:szCs w:val="21"/>
        </w:rPr>
      </w:pPr>
      <w:r>
        <w:rPr>
          <w:rFonts w:ascii="宋体" w:hAnsi="宋体"/>
          <w:b/>
          <w:sz w:val="24"/>
          <w:szCs w:val="21"/>
        </w:rPr>
      </w:r>
      <w:r/>
    </w:p>
    <w:p>
      <w:pP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03"/>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03"/>
        <w:tblW w:w="9522"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747"/>
        <w:gridCol w:w="1100"/>
        <w:gridCol w:w="1163"/>
        <w:gridCol w:w="737"/>
        <w:gridCol w:w="863"/>
        <w:gridCol w:w="725"/>
        <w:gridCol w:w="812"/>
        <w:gridCol w:w="900"/>
        <w:gridCol w:w="975"/>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1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16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3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63"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7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9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11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16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73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86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7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7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747"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自动体外除颤器（AED）</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highlight w:val="cyan"/>
              </w:rPr>
            </w:pPr>
            <w:r>
              <w:rPr>
                <w:rFonts w:hint="eastAsia" w:ascii="宋体" w:hAnsi="宋体"/>
                <w:color w:val="auto"/>
                <w:sz w:val="24"/>
                <w:szCs w:val="24"/>
                <w:highlight w:val="cyan"/>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747"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立柜或壁挂式机箱</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747"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急救包</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1747"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34"/>
        </w:trPr>
        <w:tc>
          <w:tcPr>
            <w:gridSpan w:val="10"/>
            <w:tcW w:w="9522" w:type="dxa"/>
            <w:vAlign w:val="top"/>
            <w:textDirection w:val="lrTb"/>
            <w:noWrap w:val="false"/>
          </w:tcPr>
          <w:p>
            <w:pPr>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投标总报价（人民币：元）</w:t>
            </w:r>
            <w:r>
              <w:rPr>
                <w:rFonts w:hint="eastAsia" w:ascii="宋体" w:hAnsi="宋体" w:eastAsia="宋体" w:cs="宋体"/>
                <w:color w:val="auto"/>
                <w:sz w:val="24"/>
                <w:szCs w:val="24"/>
                <w:u w:val="single"/>
              </w:rPr>
              <w:t xml:space="preserve">                             </w:t>
            </w:r>
            <w:r/>
          </w:p>
        </w:tc>
      </w:tr>
      <w:tr>
        <w:trPr>
          <w:cantSplit/>
          <w:trHeight w:val="767"/>
        </w:trPr>
        <w:tc>
          <w:tcPr>
            <w:gridSpan w:val="10"/>
            <w:tcW w:w="9522" w:type="dxa"/>
            <w:vAlign w:val="top"/>
            <w:textDirection w:val="lrTb"/>
            <w:noWrap w:val="false"/>
          </w:tcPr>
          <w:p>
            <w:pPr>
              <w:pStyle w:val="934"/>
              <w:spacing w:before="0" w:beforeAutospacing="0" w:after="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本采购包中提供的符合本国产品标准的产品成本之和占该采购包提供的全部产品成本之和的比例为</w:t>
            </w:r>
            <w:r>
              <w:rPr>
                <w:rFonts w:hint="eastAsia"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tc>
      </w:tr>
    </w:tbl>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2.“投标分项报价表”中“投标总报价”数额应当与“开标一览表”中“投标总报价”数额一致。</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4"/>
          <w:szCs w:val="24"/>
        </w:rPr>
      </w:pPr>
      <w:r>
        <w:rPr>
          <w:rFonts w:hint="eastAsia" w:ascii="宋体" w:hAnsi="宋体" w:eastAsia="宋体" w:cs="宋体"/>
          <w:b/>
          <w:color w:val="auto"/>
          <w:sz w:val="24"/>
          <w:szCs w:val="24"/>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eastAsia="宋体" w:cs="宋体"/>
          <w:sz w:val="24"/>
          <w:szCs w:val="24"/>
        </w:rPr>
        <w:t xml:space="preserve">5.项目经办人可以根据项目实际需要对表格结构进行调整。</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03"/>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b/>
          <w:bCs/>
          <w:sz w:val="24"/>
          <w:szCs w:val="21"/>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03"/>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b/>
          <w:bCs/>
          <w:sz w:val="24"/>
          <w:szCs w:val="21"/>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11"/>
      <w:r/>
      <w:bookmarkEnd w:id="212"/>
      <w:r/>
      <w:bookmarkEnd w:id="213"/>
      <w:r/>
      <w:bookmarkStart w:id="214"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215" w:name="_Hlt26671380"/>
      <w:r/>
      <w:bookmarkEnd w:id="215"/>
      <w:r/>
      <w:bookmarkStart w:id="216" w:name="_格式3__银行出具的资信证明"/>
      <w:r/>
      <w:bookmarkEnd w:id="216"/>
      <w:r/>
      <w:bookmarkStart w:id="217" w:name="_Hlt26955070"/>
      <w:r/>
      <w:bookmarkEnd w:id="217"/>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江苏博茂项目管理有限公司</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sz w:val="24"/>
          <w:szCs w:val="21"/>
          <w:u w:val="single"/>
          <w:lang w:val="en-US" w:eastAsia="zh-CN"/>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eastAsia="zh-CN"/>
        </w:rPr>
        <w:t xml:space="preserve">江苏博茂项目管理有限公司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hint="eastAsia"/>
          <w:color w:val="000000"/>
          <w:szCs w:val="21"/>
        </w:rPr>
      </w:pPr>
      <w:r>
        <w:rPr>
          <w:rFonts w:hint="eastAsia"/>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lang w:val="en-US" w:eastAsia="zh-CN"/>
        </w:rPr>
        <w:t xml:space="preserve">**</w:t>
      </w:r>
      <w:r>
        <w:rPr>
          <w:rFonts w:hint="eastAsia" w:ascii="宋体" w:hAnsi="宋体"/>
          <w:b/>
          <w:sz w:val="24"/>
          <w:szCs w:val="24"/>
        </w:rPr>
        <w:t xml:space="preserve">）</w:t>
      </w:r>
      <w:r/>
    </w:p>
    <w:tbl>
      <w:tblPr>
        <w:tblStyle w:val="703"/>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黑体" w:hAnsi="黑体" w:eastAsia="黑体" w:cs="宋体"/>
          <w:bCs/>
          <w:color w:val="000000"/>
          <w:sz w:val="24"/>
          <w:szCs w:val="24"/>
        </w:rPr>
        <w:outlineLvl w:val="1"/>
      </w:pPr>
      <w:r>
        <w:rPr>
          <w:rFonts w:hint="eastAsia" w:ascii="方正魏碑_GBK" w:hAnsi="方正魏碑_GBK" w:eastAsia="方正魏碑_GBK" w:cs="方正魏碑_GBK"/>
          <w:b/>
          <w:color w:val="ff0000"/>
          <w:sz w:val="24"/>
          <w:szCs w:val="24"/>
        </w:rPr>
        <w:br w:type="page" w:clear="all"/>
      </w:r>
      <w:r>
        <w:rPr>
          <w:rFonts w:hint="eastAsia" w:ascii="方正魏碑_GBK" w:hAnsi="方正魏碑_GBK" w:eastAsia="方正魏碑_GBK" w:cs="方正魏碑_GBK"/>
          <w:b/>
          <w:color w:val="000000"/>
          <w:sz w:val="24"/>
          <w:szCs w:val="24"/>
        </w:rPr>
        <w:t xml:space="preserve">附件13 </w:t>
      </w:r>
      <w:r>
        <w:rPr>
          <w:rFonts w:ascii="宋体" w:hAnsi="宋体" w:eastAsia="宋体" w:cs="宋体"/>
          <w:b/>
          <w:bCs/>
          <w:color w:val="000000"/>
          <w:sz w:val="24"/>
          <w:szCs w:val="24"/>
          <w:highlight w:val="none"/>
        </w:rPr>
        <w:t xml:space="preserve">关于符合本国产品标准的声明函</w:t>
      </w:r>
      <w:r/>
    </w:p>
    <w:p>
      <w:pPr>
        <w:ind w:firstLine="420"/>
        <w:spacing w:before="15" w:after="15" w:line="360"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firstLine="420"/>
        <w:spacing w:after="0" w:line="85" w:lineRule="atLeast"/>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firstLine="802"/>
        <w:spacing w:before="30" w:after="30" w:line="360"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firstLine="802"/>
        <w:jc w:val="right"/>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公司（单位）名称（加盖CA电子公章）：         </w:t>
      </w:r>
      <w:r/>
    </w:p>
    <w:p>
      <w:pPr>
        <w:ind w:firstLine="802"/>
        <w:jc w:val="center"/>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日 期：年月日</w:t>
      </w:r>
      <w:r/>
    </w:p>
    <w:p>
      <w:pPr>
        <w:pStyle w:val="934"/>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p>
    <w:p>
      <w:pPr>
        <w:pStyle w:val="93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p>
    <w:p>
      <w:pPr>
        <w:pStyle w:val="93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p>
    <w:p>
      <w:pPr>
        <w:pStyle w:val="93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p>
    <w:p>
      <w:pPr>
        <w:pStyle w:val="93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p>
    <w:p>
      <w:pPr>
        <w:pStyle w:val="93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p>
    <w:p>
      <w:pPr>
        <w:pStyle w:val="93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p>
    <w:p>
      <w:pPr>
        <w:pStyle w:val="93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86"/>
      <w:r/>
      <w:bookmarkEnd w:id="187"/>
      <w:r/>
      <w:bookmarkEnd w:id="214"/>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53</w:t>
    </w:r>
    <w:r>
      <w:rPr>
        <w:rFonts w:ascii="宋体" w:hAnsi="宋体"/>
      </w:rPr>
      <w:fldChar w:fldCharType="end"/>
    </w:r>
    <w:r/>
  </w:p>
  <w:p>
    <w:pPr>
      <w:pStyle w:val="91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9"/>
      <w:isLgl w:val="false"/>
      <w:suff w:val="nothing"/>
      <w:lvlText w:val=""/>
      <w:lvlJc w:val="left"/>
      <w:pPr>
        <w:ind w:left="0" w:firstLine="0"/>
      </w:pPr>
      <w:rPr>
        <w:rFonts w:hint="eastAsia"/>
      </w:rPr>
    </w:lvl>
    <w:lvl w:ilvl="6">
      <w:start w:val="1"/>
      <w:numFmt w:val="decimal"/>
      <w:pStyle w:val="880"/>
      <w:isLgl w:val="false"/>
      <w:suff w:val="nothing"/>
      <w:lvlText w:val=""/>
      <w:lvlJc w:val="left"/>
      <w:pPr>
        <w:ind w:left="0" w:firstLine="0"/>
      </w:pPr>
      <w:rPr>
        <w:rFonts w:hint="eastAsia"/>
      </w:rPr>
    </w:lvl>
    <w:lvl w:ilvl="7">
      <w:start w:val="1"/>
      <w:numFmt w:val="decimal"/>
      <w:pStyle w:val="881"/>
      <w:isLgl w:val="false"/>
      <w:suff w:val="nothing"/>
      <w:lvlText w:val=""/>
      <w:lvlJc w:val="left"/>
      <w:pPr>
        <w:ind w:left="0" w:firstLine="0"/>
      </w:pPr>
      <w:rPr>
        <w:rFonts w:hint="eastAsia"/>
      </w:rPr>
    </w:lvl>
    <w:lvl w:ilvl="8">
      <w:start w:val="1"/>
      <w:numFmt w:val="decimal"/>
      <w:pStyle w:val="882"/>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9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3">
    <w:name w:val="Heading 1"/>
    <w:basedOn w:val="692"/>
    <w:next w:val="692"/>
    <w:link w:val="725"/>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26"/>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2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28"/>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2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style>
  <w:style w:type="table" w:styleId="703" w:default="1">
    <w:name w:val="Normal Table"/>
    <w:uiPriority w:val="99"/>
    <w:semiHidden/>
    <w:unhideWhenUsed/>
    <w:tblPr>
      <w:tblCellMar>
        <w:left w:w="108" w:type="dxa"/>
        <w:top w:w="0" w:type="dxa"/>
        <w:right w:w="108" w:type="dxa"/>
        <w:bottom w:w="0" w:type="dxa"/>
      </w:tblCellMar>
    </w:tblPr>
  </w:style>
  <w:style w:type="paragraph" w:styleId="704">
    <w:name w:val="toc 7"/>
    <w:basedOn w:val="692"/>
    <w:next w:val="692"/>
    <w:uiPriority w:val="39"/>
    <w:unhideWhenUsed/>
    <w:pPr>
      <w:ind w:left="1701" w:right="0" w:firstLine="0"/>
      <w:spacing w:after="57"/>
    </w:pPr>
  </w:style>
  <w:style w:type="paragraph" w:styleId="705">
    <w:name w:val="Caption"/>
    <w:basedOn w:val="692"/>
    <w:next w:val="692"/>
    <w:uiPriority w:val="35"/>
    <w:semiHidden/>
    <w:unhideWhenUsed/>
    <w:qFormat/>
    <w:pPr>
      <w:spacing w:line="276" w:lineRule="auto"/>
    </w:pPr>
    <w:rPr>
      <w:b/>
      <w:bCs/>
      <w:color w:val="4f81bd" w:themeColor="accent1"/>
      <w:sz w:val="18"/>
      <w:szCs w:val="18"/>
    </w:rPr>
  </w:style>
  <w:style w:type="paragraph" w:styleId="706">
    <w:name w:val="toc 5"/>
    <w:basedOn w:val="692"/>
    <w:next w:val="692"/>
    <w:uiPriority w:val="39"/>
    <w:unhideWhenUsed/>
    <w:pPr>
      <w:ind w:left="1134" w:right="0" w:firstLine="0"/>
      <w:spacing w:after="57"/>
    </w:pPr>
  </w:style>
  <w:style w:type="paragraph" w:styleId="707">
    <w:name w:val="toc 3"/>
    <w:basedOn w:val="692"/>
    <w:next w:val="692"/>
    <w:uiPriority w:val="39"/>
    <w:unhideWhenUsed/>
    <w:pPr>
      <w:ind w:left="567" w:right="0" w:firstLine="0"/>
      <w:spacing w:after="57"/>
    </w:pPr>
  </w:style>
  <w:style w:type="paragraph" w:styleId="708">
    <w:name w:val="toc 8"/>
    <w:basedOn w:val="692"/>
    <w:next w:val="692"/>
    <w:uiPriority w:val="39"/>
    <w:unhideWhenUsed/>
    <w:pPr>
      <w:ind w:left="1984" w:right="0" w:firstLine="0"/>
      <w:spacing w:after="57"/>
    </w:pPr>
  </w:style>
  <w:style w:type="paragraph" w:styleId="709">
    <w:name w:val="endnote text"/>
    <w:basedOn w:val="692"/>
    <w:link w:val="871"/>
    <w:uiPriority w:val="99"/>
    <w:semiHidden/>
    <w:unhideWhenUsed/>
    <w:pPr>
      <w:spacing w:after="0" w:line="240" w:lineRule="auto"/>
    </w:pPr>
    <w:rPr>
      <w:sz w:val="20"/>
    </w:rPr>
  </w:style>
  <w:style w:type="paragraph" w:styleId="710">
    <w:name w:val="Footer"/>
    <w:basedOn w:val="692"/>
    <w:link w:val="744"/>
    <w:uiPriority w:val="99"/>
    <w:unhideWhenUsed/>
    <w:pPr>
      <w:spacing w:after="0" w:line="240" w:lineRule="auto"/>
      <w:tabs>
        <w:tab w:val="center" w:pos="7143" w:leader="none"/>
        <w:tab w:val="right" w:pos="14287" w:leader="none"/>
      </w:tabs>
    </w:pPr>
  </w:style>
  <w:style w:type="paragraph" w:styleId="711">
    <w:name w:val="Header"/>
    <w:basedOn w:val="692"/>
    <w:link w:val="742"/>
    <w:uiPriority w:val="99"/>
    <w:unhideWhenUsed/>
    <w:pPr>
      <w:spacing w:after="0" w:line="240" w:lineRule="auto"/>
      <w:tabs>
        <w:tab w:val="center" w:pos="7143" w:leader="none"/>
        <w:tab w:val="right" w:pos="14287" w:leader="none"/>
      </w:tabs>
    </w:pPr>
  </w:style>
  <w:style w:type="paragraph" w:styleId="712">
    <w:name w:val="toc 1"/>
    <w:basedOn w:val="692"/>
    <w:next w:val="692"/>
    <w:uiPriority w:val="39"/>
    <w:unhideWhenUsed/>
    <w:pPr>
      <w:ind w:left="0" w:right="0" w:firstLine="0"/>
      <w:spacing w:after="57"/>
    </w:pPr>
  </w:style>
  <w:style w:type="paragraph" w:styleId="713">
    <w:name w:val="toc 4"/>
    <w:basedOn w:val="692"/>
    <w:next w:val="692"/>
    <w:uiPriority w:val="39"/>
    <w:unhideWhenUsed/>
    <w:pPr>
      <w:ind w:left="850" w:right="0" w:firstLine="0"/>
      <w:spacing w:after="57"/>
    </w:pPr>
  </w:style>
  <w:style w:type="paragraph" w:styleId="714">
    <w:name w:val="Subtitle"/>
    <w:basedOn w:val="692"/>
    <w:next w:val="692"/>
    <w:link w:val="737"/>
    <w:uiPriority w:val="11"/>
    <w:qFormat/>
    <w:pPr>
      <w:spacing w:before="200" w:after="200"/>
    </w:pPr>
    <w:rPr>
      <w:sz w:val="24"/>
      <w:szCs w:val="24"/>
    </w:rPr>
  </w:style>
  <w:style w:type="paragraph" w:styleId="715">
    <w:name w:val="footnote text"/>
    <w:basedOn w:val="692"/>
    <w:link w:val="870"/>
    <w:uiPriority w:val="99"/>
    <w:semiHidden/>
    <w:unhideWhenUsed/>
    <w:pPr>
      <w:spacing w:after="40" w:line="240" w:lineRule="auto"/>
    </w:pPr>
    <w:rPr>
      <w:sz w:val="18"/>
    </w:rPr>
  </w:style>
  <w:style w:type="paragraph" w:styleId="716">
    <w:name w:val="toc 6"/>
    <w:basedOn w:val="692"/>
    <w:next w:val="692"/>
    <w:uiPriority w:val="39"/>
    <w:unhideWhenUsed/>
    <w:pPr>
      <w:ind w:left="1417" w:right="0" w:firstLine="0"/>
      <w:spacing w:after="57"/>
    </w:pPr>
  </w:style>
  <w:style w:type="paragraph" w:styleId="717">
    <w:name w:val="table of figures"/>
    <w:basedOn w:val="692"/>
    <w:next w:val="692"/>
    <w:uiPriority w:val="99"/>
    <w:unhideWhenUsed/>
    <w:pPr>
      <w:spacing w:after="0" w:afterAutospacing="0"/>
    </w:pPr>
  </w:style>
  <w:style w:type="paragraph" w:styleId="718">
    <w:name w:val="toc 2"/>
    <w:basedOn w:val="692"/>
    <w:next w:val="692"/>
    <w:uiPriority w:val="39"/>
    <w:unhideWhenUsed/>
    <w:pPr>
      <w:ind w:left="283" w:right="0" w:firstLine="0"/>
      <w:spacing w:after="57"/>
    </w:pPr>
  </w:style>
  <w:style w:type="paragraph" w:styleId="719">
    <w:name w:val="toc 9"/>
    <w:basedOn w:val="692"/>
    <w:next w:val="692"/>
    <w:uiPriority w:val="39"/>
    <w:unhideWhenUsed/>
    <w:pPr>
      <w:ind w:left="2268" w:right="0" w:firstLine="0"/>
      <w:spacing w:after="57"/>
    </w:pPr>
  </w:style>
  <w:style w:type="paragraph" w:styleId="720">
    <w:name w:val="Title"/>
    <w:basedOn w:val="692"/>
    <w:next w:val="692"/>
    <w:link w:val="736"/>
    <w:uiPriority w:val="10"/>
    <w:qFormat/>
    <w:pPr>
      <w:contextualSpacing/>
      <w:spacing w:before="300" w:after="200"/>
    </w:pPr>
    <w:rPr>
      <w:sz w:val="48"/>
      <w:szCs w:val="48"/>
    </w:rPr>
  </w:style>
  <w:style w:type="table" w:styleId="72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rPr>
      <w:vertAlign w:val="superscript"/>
    </w:rPr>
  </w:style>
  <w:style w:type="character" w:styleId="723">
    <w:name w:val="Hyperlink"/>
    <w:uiPriority w:val="99"/>
    <w:unhideWhenUsed/>
    <w:rPr>
      <w:color w:val="0000ff" w:themeColor="hyperlink"/>
      <w:u w:val="single"/>
    </w:rPr>
  </w:style>
  <w:style w:type="character" w:styleId="724">
    <w:name w:val="footnote reference"/>
    <w:uiPriority w:val="99"/>
    <w:unhideWhenUsed/>
    <w:rPr>
      <w:vertAlign w:val="superscript"/>
    </w:rPr>
  </w:style>
  <w:style w:type="character" w:styleId="725" w:customStyle="1">
    <w:name w:val="Heading 1 Char"/>
    <w:link w:val="693"/>
    <w:uiPriority w:val="9"/>
    <w:rPr>
      <w:rFonts w:ascii="Arial" w:hAnsi="Arial" w:eastAsia="Arial" w:cs="Arial"/>
      <w:sz w:val="40"/>
      <w:szCs w:val="40"/>
    </w:rPr>
  </w:style>
  <w:style w:type="character" w:styleId="726" w:customStyle="1">
    <w:name w:val="Heading 2 Char"/>
    <w:link w:val="694"/>
    <w:uiPriority w:val="9"/>
    <w:rPr>
      <w:rFonts w:ascii="Arial" w:hAnsi="Arial" w:eastAsia="Arial" w:cs="Arial"/>
      <w:sz w:val="34"/>
    </w:rPr>
  </w:style>
  <w:style w:type="character" w:styleId="727" w:customStyle="1">
    <w:name w:val="Heading 3 Char"/>
    <w:link w:val="695"/>
    <w:uiPriority w:val="9"/>
    <w:rPr>
      <w:rFonts w:ascii="Arial" w:hAnsi="Arial" w:eastAsia="Arial" w:cs="Arial"/>
      <w:sz w:val="30"/>
      <w:szCs w:val="30"/>
    </w:rPr>
  </w:style>
  <w:style w:type="character" w:styleId="728" w:customStyle="1">
    <w:name w:val="Heading 4 Char"/>
    <w:link w:val="696"/>
    <w:uiPriority w:val="9"/>
    <w:rPr>
      <w:rFonts w:ascii="Arial" w:hAnsi="Arial" w:eastAsia="Arial" w:cs="Arial"/>
      <w:b/>
      <w:bCs/>
      <w:sz w:val="26"/>
      <w:szCs w:val="26"/>
    </w:rPr>
  </w:style>
  <w:style w:type="character" w:styleId="729" w:customStyle="1">
    <w:name w:val="Heading 5 Char"/>
    <w:link w:val="697"/>
    <w:uiPriority w:val="9"/>
    <w:rPr>
      <w:rFonts w:ascii="Arial" w:hAnsi="Arial" w:eastAsia="Arial" w:cs="Arial"/>
      <w:b/>
      <w:bCs/>
      <w:sz w:val="24"/>
      <w:szCs w:val="24"/>
    </w:rPr>
  </w:style>
  <w:style w:type="character" w:styleId="730" w:customStyle="1">
    <w:name w:val="Heading 6 Char"/>
    <w:link w:val="698"/>
    <w:uiPriority w:val="9"/>
    <w:rPr>
      <w:rFonts w:ascii="Arial" w:hAnsi="Arial" w:eastAsia="Arial" w:cs="Arial"/>
      <w:b/>
      <w:bCs/>
      <w:sz w:val="22"/>
      <w:szCs w:val="22"/>
    </w:rPr>
  </w:style>
  <w:style w:type="character" w:styleId="731" w:customStyle="1">
    <w:name w:val="Heading 7 Char"/>
    <w:link w:val="699"/>
    <w:uiPriority w:val="9"/>
    <w:rPr>
      <w:rFonts w:ascii="Arial" w:hAnsi="Arial" w:eastAsia="Arial" w:cs="Arial"/>
      <w:b/>
      <w:bCs/>
      <w:i/>
      <w:iCs/>
      <w:sz w:val="22"/>
      <w:szCs w:val="22"/>
    </w:rPr>
  </w:style>
  <w:style w:type="character" w:styleId="732" w:customStyle="1">
    <w:name w:val="Heading 8 Char"/>
    <w:link w:val="700"/>
    <w:uiPriority w:val="9"/>
    <w:rPr>
      <w:rFonts w:ascii="Arial" w:hAnsi="Arial" w:eastAsia="Arial" w:cs="Arial"/>
      <w:i/>
      <w:iCs/>
      <w:sz w:val="22"/>
      <w:szCs w:val="22"/>
    </w:rPr>
  </w:style>
  <w:style w:type="character" w:styleId="733" w:customStyle="1">
    <w:name w:val="Heading 9 Char"/>
    <w:link w:val="701"/>
    <w:uiPriority w:val="9"/>
    <w:rPr>
      <w:rFonts w:ascii="Arial" w:hAnsi="Arial" w:eastAsia="Arial" w:cs="Arial"/>
      <w:i/>
      <w:iCs/>
      <w:sz w:val="21"/>
      <w:szCs w:val="21"/>
    </w:rPr>
  </w:style>
  <w:style w:type="paragraph" w:styleId="734">
    <w:name w:val="List Paragraph"/>
    <w:basedOn w:val="692"/>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link w:val="720"/>
    <w:uiPriority w:val="10"/>
    <w:rPr>
      <w:sz w:val="48"/>
      <w:szCs w:val="48"/>
    </w:rPr>
  </w:style>
  <w:style w:type="character" w:styleId="737" w:customStyle="1">
    <w:name w:val="Subtitle Char"/>
    <w:link w:val="714"/>
    <w:uiPriority w:val="11"/>
    <w:rPr>
      <w:sz w:val="24"/>
      <w:szCs w:val="24"/>
    </w:rPr>
  </w:style>
  <w:style w:type="paragraph" w:styleId="738">
    <w:name w:val="Quote"/>
    <w:basedOn w:val="692"/>
    <w:next w:val="692"/>
    <w:link w:val="739"/>
    <w:uiPriority w:val="29"/>
    <w:qFormat/>
    <w:pPr>
      <w:ind w:left="720" w:right="720"/>
    </w:pPr>
    <w:rPr>
      <w:i/>
    </w:rPr>
  </w:style>
  <w:style w:type="character" w:styleId="739" w:customStyle="1">
    <w:name w:val="Quote Char"/>
    <w:link w:val="738"/>
    <w:uiPriority w:val="29"/>
    <w:rPr>
      <w:i/>
    </w:rPr>
  </w:style>
  <w:style w:type="paragraph" w:styleId="740">
    <w:name w:val="Intense Quote"/>
    <w:basedOn w:val="692"/>
    <w:next w:val="6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rPr>
      <w:i/>
    </w:rPr>
  </w:style>
  <w:style w:type="character" w:styleId="742" w:customStyle="1">
    <w:name w:val="Header Char"/>
    <w:link w:val="711"/>
    <w:uiPriority w:val="99"/>
  </w:style>
  <w:style w:type="character" w:styleId="743" w:customStyle="1">
    <w:name w:val="Footer Char"/>
    <w:link w:val="710"/>
    <w:uiPriority w:val="99"/>
  </w:style>
  <w:style w:type="character" w:styleId="744" w:customStyle="1">
    <w:name w:val="Caption Char"/>
    <w:link w:val="710"/>
    <w:uiPriority w:val="99"/>
  </w:style>
  <w:style w:type="table" w:styleId="74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5"/>
    <w:uiPriority w:val="99"/>
    <w:rPr>
      <w:sz w:val="18"/>
    </w:rPr>
  </w:style>
  <w:style w:type="character" w:styleId="871" w:customStyle="1">
    <w:name w:val="Endnote Text Char"/>
    <w:link w:val="709"/>
    <w:uiPriority w:val="99"/>
    <w:rPr>
      <w:sz w:val="20"/>
    </w:rPr>
  </w:style>
  <w:style w:type="paragraph" w:styleId="872" w:customStyle="1">
    <w:name w:val="TOC Heading"/>
    <w:uiPriority w:val="39"/>
    <w:unhideWhenUsed/>
    <w:rPr>
      <w:rFonts w:hint="default" w:ascii="Times New Roman" w:hAnsi="Times New Roman" w:eastAsia="宋体" w:cs="Times New Roman"/>
    </w:rPr>
  </w:style>
  <w:style w:type="paragraph" w:styleId="873" w:customStyle="1">
    <w:name w:val="标题 11"/>
    <w:basedOn w:val="692"/>
    <w:next w:val="692"/>
    <w:link w:val="885"/>
    <w:uiPriority w:val="0"/>
    <w:qFormat/>
    <w:pPr>
      <w:jc w:val="center"/>
      <w:keepNext/>
      <w:outlineLvl w:val="0"/>
    </w:pPr>
    <w:rPr>
      <w:rFonts w:ascii="楷体_GB2312" w:hAnsi="Times New Roman" w:eastAsia="楷体_GB2312" w:cs="Times New Roman"/>
      <w:sz w:val="28"/>
      <w:szCs w:val="28"/>
    </w:rPr>
  </w:style>
  <w:style w:type="paragraph" w:styleId="874" w:customStyle="1">
    <w:name w:val="标题 21"/>
    <w:basedOn w:val="692"/>
    <w:next w:val="875"/>
    <w:link w:val="8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5" w:customStyle="1">
    <w:name w:val="正文缩进1"/>
    <w:basedOn w:val="692"/>
    <w:link w:val="887"/>
    <w:uiPriority w:val="0"/>
    <w:pPr>
      <w:ind w:firstLine="420"/>
    </w:pPr>
    <w:rPr>
      <w:szCs w:val="21"/>
    </w:rPr>
  </w:style>
  <w:style w:type="paragraph" w:styleId="876" w:customStyle="1">
    <w:name w:val="标题 31"/>
    <w:basedOn w:val="692"/>
    <w:next w:val="875"/>
    <w:link w:val="8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customStyle="1">
    <w:name w:val="标题 41"/>
    <w:basedOn w:val="692"/>
    <w:next w:val="875"/>
    <w:link w:val="889"/>
    <w:uiPriority w:val="0"/>
    <w:qFormat/>
    <w:pPr>
      <w:keepLines/>
      <w:keepNext/>
      <w:spacing w:before="280" w:after="290" w:line="376" w:lineRule="auto"/>
      <w:outlineLvl w:val="3"/>
    </w:pPr>
    <w:rPr>
      <w:rFonts w:ascii="Arial" w:hAnsi="Arial" w:eastAsia="黑体" w:cs="Arial"/>
      <w:b/>
      <w:bCs/>
      <w:sz w:val="28"/>
      <w:szCs w:val="28"/>
    </w:rPr>
  </w:style>
  <w:style w:type="paragraph" w:styleId="878" w:customStyle="1">
    <w:name w:val="标题 51"/>
    <w:basedOn w:val="692"/>
    <w:next w:val="875"/>
    <w:link w:val="890"/>
    <w:uiPriority w:val="0"/>
    <w:qFormat/>
    <w:pPr>
      <w:keepNext/>
      <w:outlineLvl w:val="4"/>
    </w:pPr>
    <w:rPr>
      <w:rFonts w:ascii="宋体" w:hAnsi="Times New Roman" w:eastAsia="宋体" w:cs="Times New Roman"/>
      <w:color w:val="000000"/>
      <w:sz w:val="28"/>
      <w:szCs w:val="28"/>
    </w:rPr>
  </w:style>
  <w:style w:type="paragraph" w:styleId="879" w:customStyle="1">
    <w:name w:val="标题 61"/>
    <w:basedOn w:val="692"/>
    <w:next w:val="692"/>
    <w:link w:val="89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customStyle="1">
    <w:name w:val="标题 71"/>
    <w:basedOn w:val="692"/>
    <w:next w:val="692"/>
    <w:link w:val="89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customStyle="1">
    <w:name w:val="标题 81"/>
    <w:basedOn w:val="692"/>
    <w:next w:val="692"/>
    <w:link w:val="89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customStyle="1">
    <w:name w:val="标题 91"/>
    <w:basedOn w:val="692"/>
    <w:next w:val="692"/>
    <w:link w:val="89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customStyle="1">
    <w:name w:val="默认段落字体1"/>
    <w:link w:val="692"/>
    <w:uiPriority w:val="1"/>
    <w:unhideWhenUsed/>
  </w:style>
  <w:style w:type="table" w:styleId="884" w:customStyle="1">
    <w:name w:val="普通表格1"/>
    <w:uiPriority w:val="99"/>
    <w:unhideWhenUsed/>
    <w:tblPr/>
  </w:style>
  <w:style w:type="character" w:styleId="885" w:customStyle="1">
    <w:name w:val="标题 1 字符"/>
    <w:link w:val="873"/>
    <w:uiPriority w:val="0"/>
    <w:rPr>
      <w:rFonts w:ascii="楷体_GB2312" w:hAnsi="Times New Roman" w:eastAsia="楷体_GB2312" w:cs="Times New Roman"/>
      <w:sz w:val="28"/>
      <w:szCs w:val="28"/>
    </w:rPr>
  </w:style>
  <w:style w:type="character" w:styleId="886" w:customStyle="1">
    <w:name w:val="标题 2 字符"/>
    <w:link w:val="874"/>
    <w:uiPriority w:val="0"/>
    <w:rPr>
      <w:rFonts w:ascii="Arial" w:hAnsi="Arial" w:eastAsia="幼圆" w:cs="Arial"/>
      <w:b/>
      <w:bCs/>
      <w:sz w:val="44"/>
      <w:szCs w:val="44"/>
    </w:rPr>
  </w:style>
  <w:style w:type="character" w:styleId="887" w:customStyle="1">
    <w:name w:val="正文缩进 字符"/>
    <w:link w:val="875"/>
    <w:uiPriority w:val="0"/>
    <w:rPr>
      <w:szCs w:val="21"/>
    </w:rPr>
  </w:style>
  <w:style w:type="character" w:styleId="888" w:customStyle="1">
    <w:name w:val="标题 3 字符"/>
    <w:link w:val="876"/>
    <w:uiPriority w:val="0"/>
    <w:rPr>
      <w:rFonts w:ascii="Times New Roman" w:hAnsi="Times New Roman" w:eastAsia="宋体" w:cs="Times New Roman"/>
      <w:b/>
      <w:bCs/>
      <w:sz w:val="32"/>
      <w:szCs w:val="32"/>
    </w:rPr>
  </w:style>
  <w:style w:type="character" w:styleId="889" w:customStyle="1">
    <w:name w:val="标题 4 字符"/>
    <w:link w:val="877"/>
    <w:uiPriority w:val="0"/>
    <w:rPr>
      <w:rFonts w:ascii="Arial" w:hAnsi="Arial" w:eastAsia="黑体" w:cs="Arial"/>
      <w:b/>
      <w:bCs/>
      <w:sz w:val="28"/>
      <w:szCs w:val="28"/>
    </w:rPr>
  </w:style>
  <w:style w:type="character" w:styleId="890" w:customStyle="1">
    <w:name w:val="标题 5 字符"/>
    <w:link w:val="878"/>
    <w:uiPriority w:val="0"/>
    <w:rPr>
      <w:rFonts w:ascii="宋体" w:hAnsi="Times New Roman" w:eastAsia="宋体" w:cs="Times New Roman"/>
      <w:color w:val="000000"/>
      <w:sz w:val="28"/>
      <w:szCs w:val="28"/>
    </w:rPr>
  </w:style>
  <w:style w:type="character" w:styleId="891" w:customStyle="1">
    <w:name w:val="标题 6 字符"/>
    <w:link w:val="879"/>
    <w:uiPriority w:val="0"/>
    <w:rPr>
      <w:rFonts w:ascii="Arial" w:hAnsi="Arial" w:eastAsia="黑体" w:cs="Times New Roman"/>
      <w:b/>
      <w:bCs/>
      <w:sz w:val="24"/>
      <w:szCs w:val="24"/>
    </w:rPr>
  </w:style>
  <w:style w:type="character" w:styleId="892" w:customStyle="1">
    <w:name w:val="标题 7 字符"/>
    <w:link w:val="880"/>
    <w:uiPriority w:val="0"/>
    <w:rPr>
      <w:rFonts w:ascii="Times New Roman" w:hAnsi="Times New Roman" w:eastAsia="宋体" w:cs="Times New Roman"/>
      <w:b/>
      <w:bCs/>
      <w:sz w:val="24"/>
      <w:szCs w:val="24"/>
    </w:rPr>
  </w:style>
  <w:style w:type="character" w:styleId="893" w:customStyle="1">
    <w:name w:val="标题 8 字符"/>
    <w:link w:val="881"/>
    <w:uiPriority w:val="0"/>
    <w:rPr>
      <w:rFonts w:ascii="Arial" w:hAnsi="Arial" w:eastAsia="黑体" w:cs="Times New Roman"/>
      <w:sz w:val="24"/>
      <w:szCs w:val="24"/>
    </w:rPr>
  </w:style>
  <w:style w:type="character" w:styleId="894" w:customStyle="1">
    <w:name w:val="标题 9 字符"/>
    <w:link w:val="882"/>
    <w:uiPriority w:val="0"/>
    <w:rPr>
      <w:rFonts w:ascii="Arial" w:hAnsi="Arial" w:eastAsia="黑体" w:cs="Times New Roman"/>
      <w:szCs w:val="21"/>
    </w:rPr>
  </w:style>
  <w:style w:type="paragraph" w:styleId="895" w:customStyle="1">
    <w:name w:val="列表 31"/>
    <w:basedOn w:val="692"/>
    <w:uiPriority w:val="0"/>
    <w:pPr>
      <w:ind w:left="100" w:hanging="200"/>
    </w:pPr>
    <w:rPr>
      <w:rFonts w:ascii="Times New Roman" w:hAnsi="Times New Roman" w:eastAsia="宋体" w:cs="Times New Roman"/>
      <w:szCs w:val="21"/>
    </w:rPr>
  </w:style>
  <w:style w:type="paragraph" w:styleId="896" w:customStyle="1">
    <w:name w:val="目录 71"/>
    <w:basedOn w:val="692"/>
    <w:next w:val="692"/>
    <w:uiPriority w:val="0"/>
    <w:semiHidden/>
    <w:pPr>
      <w:ind w:left="1260"/>
      <w:jc w:val="left"/>
    </w:pPr>
    <w:rPr>
      <w:rFonts w:ascii="Times New Roman" w:hAnsi="Times New Roman" w:eastAsia="宋体" w:cs="Times New Roman"/>
      <w:szCs w:val="21"/>
    </w:rPr>
  </w:style>
  <w:style w:type="paragraph" w:styleId="897" w:customStyle="1">
    <w:name w:val="文档结构图1"/>
    <w:basedOn w:val="692"/>
    <w:link w:val="898"/>
    <w:uiPriority w:val="0"/>
    <w:semiHidden/>
    <w:pPr>
      <w:shd w:val="clear" w:color="auto" w:fill="000080"/>
    </w:pPr>
    <w:rPr>
      <w:rFonts w:ascii="Times New Roman" w:hAnsi="Times New Roman" w:eastAsia="宋体" w:cs="Times New Roman"/>
      <w:szCs w:val="21"/>
    </w:rPr>
  </w:style>
  <w:style w:type="character" w:styleId="898" w:customStyle="1">
    <w:name w:val="文档结构图 字符"/>
    <w:link w:val="897"/>
    <w:uiPriority w:val="0"/>
    <w:semiHidden/>
    <w:rPr>
      <w:rFonts w:ascii="Times New Roman" w:hAnsi="Times New Roman" w:eastAsia="宋体" w:cs="Times New Roman"/>
      <w:szCs w:val="21"/>
      <w:shd w:val="clear" w:color="auto" w:fill="000080"/>
    </w:rPr>
  </w:style>
  <w:style w:type="paragraph" w:styleId="899" w:customStyle="1">
    <w:name w:val="批注文字1"/>
    <w:basedOn w:val="692"/>
    <w:link w:val="900"/>
    <w:uiPriority w:val="0"/>
    <w:unhideWhenUsed/>
    <w:pPr>
      <w:jc w:val="left"/>
    </w:pPr>
  </w:style>
  <w:style w:type="character" w:styleId="900" w:customStyle="1">
    <w:name w:val="批注文字 字符"/>
    <w:link w:val="899"/>
    <w:uiPriority w:val="99"/>
    <w:semiHidden/>
  </w:style>
  <w:style w:type="paragraph" w:styleId="901" w:customStyle="1">
    <w:name w:val="正文文本 31"/>
    <w:basedOn w:val="692"/>
    <w:link w:val="902"/>
    <w:uiPriority w:val="0"/>
    <w:rPr>
      <w:rFonts w:ascii="仿宋_GB2312" w:hAnsi="Arial" w:eastAsia="仿宋_GB2312" w:cs="Times New Roman"/>
      <w:sz w:val="32"/>
      <w:szCs w:val="32"/>
    </w:rPr>
  </w:style>
  <w:style w:type="character" w:styleId="902" w:customStyle="1">
    <w:name w:val="正文文本 3 字符"/>
    <w:link w:val="901"/>
    <w:uiPriority w:val="0"/>
    <w:rPr>
      <w:rFonts w:ascii="仿宋_GB2312" w:hAnsi="Arial" w:eastAsia="仿宋_GB2312" w:cs="Times New Roman"/>
      <w:sz w:val="32"/>
      <w:szCs w:val="32"/>
    </w:rPr>
  </w:style>
  <w:style w:type="paragraph" w:styleId="903" w:customStyle="1">
    <w:name w:val="正文文本1"/>
    <w:basedOn w:val="692"/>
    <w:link w:val="904"/>
    <w:uiPriority w:val="0"/>
    <w:rPr>
      <w:rFonts w:ascii="楷体_GB2312" w:hAnsi="Arial" w:eastAsia="楷体_GB2312" w:cs="Times New Roman"/>
      <w:sz w:val="28"/>
      <w:szCs w:val="28"/>
    </w:rPr>
  </w:style>
  <w:style w:type="character" w:styleId="904" w:customStyle="1">
    <w:name w:val="正文文本 字符"/>
    <w:link w:val="903"/>
    <w:uiPriority w:val="0"/>
    <w:rPr>
      <w:rFonts w:ascii="楷体_GB2312" w:hAnsi="Arial" w:eastAsia="楷体_GB2312" w:cs="Times New Roman"/>
      <w:sz w:val="28"/>
      <w:szCs w:val="28"/>
    </w:rPr>
  </w:style>
  <w:style w:type="paragraph" w:styleId="905" w:customStyle="1">
    <w:name w:val="正文文本缩进1"/>
    <w:basedOn w:val="692"/>
    <w:link w:val="906"/>
    <w:uiPriority w:val="0"/>
    <w:unhideWhenUsed/>
    <w:pPr>
      <w:ind w:left="420"/>
      <w:spacing w:after="120"/>
    </w:pPr>
  </w:style>
  <w:style w:type="character" w:styleId="906" w:customStyle="1">
    <w:name w:val="正文文本缩进 字符"/>
    <w:link w:val="905"/>
    <w:uiPriority w:val="99"/>
    <w:semiHidden/>
  </w:style>
  <w:style w:type="paragraph" w:styleId="907" w:customStyle="1">
    <w:name w:val="列表 21"/>
    <w:basedOn w:val="692"/>
    <w:uiPriority w:val="0"/>
    <w:pPr>
      <w:ind w:left="100" w:hanging="200"/>
    </w:pPr>
    <w:rPr>
      <w:rFonts w:ascii="Times New Roman" w:hAnsi="Times New Roman" w:eastAsia="宋体" w:cs="Times New Roman"/>
      <w:szCs w:val="21"/>
    </w:rPr>
  </w:style>
  <w:style w:type="paragraph" w:styleId="908" w:customStyle="1">
    <w:name w:val="目录 51"/>
    <w:basedOn w:val="692"/>
    <w:next w:val="692"/>
    <w:uiPriority w:val="0"/>
    <w:semiHidden/>
    <w:pPr>
      <w:ind w:left="840"/>
      <w:jc w:val="left"/>
    </w:pPr>
    <w:rPr>
      <w:rFonts w:ascii="Times New Roman" w:hAnsi="Times New Roman" w:eastAsia="宋体" w:cs="Times New Roman"/>
      <w:szCs w:val="21"/>
    </w:rPr>
  </w:style>
  <w:style w:type="paragraph" w:styleId="909" w:customStyle="1">
    <w:name w:val="目录 31"/>
    <w:basedOn w:val="692"/>
    <w:next w:val="692"/>
    <w:uiPriority w:val="0"/>
    <w:semiHidden/>
    <w:pPr>
      <w:ind w:left="420"/>
      <w:jc w:val="left"/>
    </w:pPr>
    <w:rPr>
      <w:rFonts w:ascii="Times New Roman" w:hAnsi="Times New Roman" w:eastAsia="宋体" w:cs="Times New Roman"/>
      <w:i/>
      <w:iCs/>
      <w:szCs w:val="24"/>
    </w:rPr>
  </w:style>
  <w:style w:type="paragraph" w:styleId="910" w:customStyle="1">
    <w:name w:val="纯文本1"/>
    <w:basedOn w:val="692"/>
    <w:link w:val="911"/>
    <w:uiPriority w:val="0"/>
    <w:qFormat/>
    <w:rPr>
      <w:rFonts w:ascii="宋体" w:hAnsi="Courier New" w:eastAsia="宋体" w:cs="Courier New"/>
      <w:szCs w:val="21"/>
    </w:rPr>
  </w:style>
  <w:style w:type="character" w:styleId="911" w:customStyle="1">
    <w:name w:val="纯文本 字符"/>
    <w:link w:val="910"/>
    <w:uiPriority w:val="0"/>
    <w:rPr>
      <w:rFonts w:ascii="宋体" w:hAnsi="Courier New" w:eastAsia="宋体" w:cs="Courier New"/>
      <w:szCs w:val="21"/>
    </w:rPr>
  </w:style>
  <w:style w:type="paragraph" w:styleId="912" w:customStyle="1">
    <w:name w:val="目录 81"/>
    <w:basedOn w:val="692"/>
    <w:next w:val="692"/>
    <w:uiPriority w:val="0"/>
    <w:semiHidden/>
    <w:pPr>
      <w:ind w:left="1470"/>
      <w:jc w:val="left"/>
    </w:pPr>
    <w:rPr>
      <w:rFonts w:ascii="Times New Roman" w:hAnsi="Times New Roman" w:eastAsia="宋体" w:cs="Times New Roman"/>
      <w:szCs w:val="21"/>
    </w:rPr>
  </w:style>
  <w:style w:type="paragraph" w:styleId="913" w:customStyle="1">
    <w:name w:val="日期1"/>
    <w:basedOn w:val="692"/>
    <w:next w:val="692"/>
    <w:link w:val="914"/>
    <w:uiPriority w:val="0"/>
    <w:rPr>
      <w:rFonts w:ascii="Times New Roman" w:hAnsi="Times New Roman" w:eastAsia="宋体" w:cs="Times New Roman"/>
      <w:sz w:val="24"/>
      <w:szCs w:val="24"/>
    </w:rPr>
  </w:style>
  <w:style w:type="character" w:styleId="914" w:customStyle="1">
    <w:name w:val="日期 字符"/>
    <w:link w:val="913"/>
    <w:uiPriority w:val="0"/>
    <w:rPr>
      <w:rFonts w:ascii="Times New Roman" w:hAnsi="Times New Roman" w:eastAsia="宋体" w:cs="Times New Roman"/>
      <w:sz w:val="24"/>
      <w:szCs w:val="24"/>
    </w:rPr>
  </w:style>
  <w:style w:type="paragraph" w:styleId="915" w:customStyle="1">
    <w:name w:val="正文文本缩进 21"/>
    <w:basedOn w:val="692"/>
    <w:link w:val="916"/>
    <w:uiPriority w:val="0"/>
    <w:pPr>
      <w:ind w:left="630" w:firstLine="645"/>
    </w:pPr>
    <w:rPr>
      <w:rFonts w:ascii="Arial" w:hAnsi="Arial" w:eastAsia="仿宋_GB2312" w:cs="Arial"/>
      <w:sz w:val="32"/>
      <w:szCs w:val="32"/>
    </w:rPr>
  </w:style>
  <w:style w:type="character" w:styleId="916" w:customStyle="1">
    <w:name w:val="正文文本缩进 2 字符"/>
    <w:link w:val="915"/>
    <w:uiPriority w:val="0"/>
    <w:rPr>
      <w:rFonts w:ascii="Arial" w:hAnsi="Arial" w:eastAsia="仿宋_GB2312" w:cs="Arial"/>
      <w:sz w:val="32"/>
      <w:szCs w:val="32"/>
    </w:rPr>
  </w:style>
  <w:style w:type="paragraph" w:styleId="917" w:customStyle="1">
    <w:name w:val="批注框文本1"/>
    <w:basedOn w:val="692"/>
    <w:link w:val="918"/>
    <w:uiPriority w:val="0"/>
    <w:semiHidden/>
    <w:rPr>
      <w:rFonts w:ascii="Times New Roman" w:hAnsi="Times New Roman" w:eastAsia="宋体" w:cs="Times New Roman"/>
      <w:sz w:val="18"/>
      <w:szCs w:val="18"/>
    </w:rPr>
  </w:style>
  <w:style w:type="character" w:styleId="918" w:customStyle="1">
    <w:name w:val="批注框文本 字符"/>
    <w:link w:val="917"/>
    <w:uiPriority w:val="0"/>
    <w:semiHidden/>
    <w:rPr>
      <w:rFonts w:ascii="Times New Roman" w:hAnsi="Times New Roman" w:eastAsia="宋体" w:cs="Times New Roman"/>
      <w:sz w:val="18"/>
      <w:szCs w:val="18"/>
    </w:rPr>
  </w:style>
  <w:style w:type="paragraph" w:styleId="919" w:customStyle="1">
    <w:name w:val="页脚1"/>
    <w:basedOn w:val="692"/>
    <w:link w:val="92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20" w:customStyle="1">
    <w:name w:val="页脚 字符"/>
    <w:link w:val="919"/>
    <w:uiPriority w:val="99"/>
    <w:rPr>
      <w:rFonts w:ascii="Times New Roman" w:hAnsi="Times New Roman" w:eastAsia="宋体" w:cs="Times New Roman"/>
      <w:sz w:val="18"/>
      <w:szCs w:val="18"/>
    </w:rPr>
  </w:style>
  <w:style w:type="paragraph" w:styleId="921" w:customStyle="1">
    <w:name w:val="页眉1"/>
    <w:basedOn w:val="692"/>
    <w:link w:val="922"/>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customStyle="1">
    <w:name w:val="页眉 字符"/>
    <w:link w:val="921"/>
    <w:uiPriority w:val="0"/>
    <w:rPr>
      <w:rFonts w:ascii="Times New Roman" w:hAnsi="Times New Roman" w:eastAsia="宋体" w:cs="Times New Roman"/>
      <w:sz w:val="18"/>
      <w:szCs w:val="18"/>
    </w:rPr>
  </w:style>
  <w:style w:type="paragraph" w:styleId="923" w:customStyle="1">
    <w:name w:val="目录 11"/>
    <w:basedOn w:val="692"/>
    <w:next w:val="692"/>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customStyle="1">
    <w:name w:val="目录 41"/>
    <w:basedOn w:val="692"/>
    <w:next w:val="692"/>
    <w:uiPriority w:val="0"/>
    <w:semiHidden/>
    <w:qFormat/>
    <w:pPr>
      <w:ind w:left="630"/>
      <w:jc w:val="left"/>
    </w:pPr>
    <w:rPr>
      <w:rFonts w:ascii="Times New Roman" w:hAnsi="Times New Roman" w:eastAsia="宋体" w:cs="Times New Roman"/>
      <w:szCs w:val="21"/>
    </w:rPr>
  </w:style>
  <w:style w:type="paragraph" w:styleId="925" w:customStyle="1">
    <w:name w:val="列表1"/>
    <w:basedOn w:val="692"/>
    <w:uiPriority w:val="0"/>
    <w:qFormat/>
    <w:pPr>
      <w:ind w:left="200" w:hanging="200"/>
    </w:pPr>
    <w:rPr>
      <w:rFonts w:ascii="Times New Roman" w:hAnsi="Times New Roman" w:eastAsia="宋体" w:cs="Times New Roman"/>
      <w:szCs w:val="21"/>
    </w:rPr>
  </w:style>
  <w:style w:type="paragraph" w:styleId="926" w:customStyle="1">
    <w:name w:val="目录 61"/>
    <w:basedOn w:val="692"/>
    <w:next w:val="692"/>
    <w:uiPriority w:val="0"/>
    <w:semiHidden/>
    <w:pPr>
      <w:ind w:left="1050"/>
      <w:jc w:val="left"/>
    </w:pPr>
    <w:rPr>
      <w:rFonts w:ascii="Times New Roman" w:hAnsi="Times New Roman" w:eastAsia="宋体" w:cs="Times New Roman"/>
      <w:szCs w:val="21"/>
    </w:rPr>
  </w:style>
  <w:style w:type="paragraph" w:styleId="927" w:customStyle="1">
    <w:name w:val="正文文本缩进 31"/>
    <w:basedOn w:val="692"/>
    <w:link w:val="928"/>
    <w:uiPriority w:val="0"/>
    <w:pPr>
      <w:ind w:left="645" w:firstLine="645"/>
    </w:pPr>
    <w:rPr>
      <w:rFonts w:ascii="Arial" w:hAnsi="Arial" w:eastAsia="仿宋_GB2312" w:cs="Arial"/>
      <w:color w:val="ffff00"/>
      <w:sz w:val="32"/>
      <w:szCs w:val="32"/>
    </w:rPr>
  </w:style>
  <w:style w:type="character" w:styleId="928" w:customStyle="1">
    <w:name w:val="正文文本缩进 3 字符"/>
    <w:link w:val="927"/>
    <w:uiPriority w:val="0"/>
    <w:rPr>
      <w:rFonts w:ascii="Arial" w:hAnsi="Arial" w:eastAsia="仿宋_GB2312" w:cs="Arial"/>
      <w:color w:val="ffff00"/>
      <w:sz w:val="32"/>
      <w:szCs w:val="32"/>
    </w:rPr>
  </w:style>
  <w:style w:type="paragraph" w:styleId="929" w:customStyle="1">
    <w:name w:val="图表目录1"/>
    <w:basedOn w:val="692"/>
    <w:next w:val="692"/>
    <w:uiPriority w:val="0"/>
    <w:semiHidden/>
    <w:pPr>
      <w:ind w:left="840" w:hanging="420"/>
    </w:pPr>
    <w:rPr>
      <w:rFonts w:ascii="Times New Roman" w:hAnsi="Times New Roman" w:eastAsia="宋体" w:cs="Times New Roman"/>
      <w:szCs w:val="21"/>
    </w:rPr>
  </w:style>
  <w:style w:type="paragraph" w:styleId="930" w:customStyle="1">
    <w:name w:val="目录 21"/>
    <w:basedOn w:val="692"/>
    <w:next w:val="692"/>
    <w:uiPriority w:val="0"/>
    <w:semiHidden/>
    <w:pPr>
      <w:ind w:left="210"/>
      <w:jc w:val="left"/>
    </w:pPr>
    <w:rPr>
      <w:rFonts w:ascii="Times New Roman" w:hAnsi="Times New Roman" w:eastAsia="宋体" w:cs="Times New Roman"/>
      <w:smallCaps/>
      <w:szCs w:val="24"/>
    </w:rPr>
  </w:style>
  <w:style w:type="paragraph" w:styleId="931" w:customStyle="1">
    <w:name w:val="目录 91"/>
    <w:basedOn w:val="692"/>
    <w:next w:val="692"/>
    <w:uiPriority w:val="0"/>
    <w:semiHidden/>
    <w:pPr>
      <w:ind w:left="1680"/>
      <w:jc w:val="left"/>
    </w:pPr>
    <w:rPr>
      <w:rFonts w:ascii="Times New Roman" w:hAnsi="Times New Roman" w:eastAsia="宋体" w:cs="Times New Roman"/>
      <w:szCs w:val="21"/>
    </w:rPr>
  </w:style>
  <w:style w:type="paragraph" w:styleId="932" w:customStyle="1">
    <w:name w:val="正文文本 21"/>
    <w:basedOn w:val="692"/>
    <w:link w:val="933"/>
    <w:uiPriority w:val="0"/>
    <w:pPr>
      <w:jc w:val="center"/>
      <w:widowControl/>
    </w:pPr>
    <w:rPr>
      <w:rFonts w:ascii="楷体_GB2312" w:hAnsi="Times New Roman" w:eastAsia="楷体_GB2312" w:cs="Times New Roman"/>
      <w:sz w:val="28"/>
      <w:szCs w:val="28"/>
    </w:rPr>
  </w:style>
  <w:style w:type="character" w:styleId="933" w:customStyle="1">
    <w:name w:val="正文文本 2 字符"/>
    <w:link w:val="932"/>
    <w:uiPriority w:val="0"/>
    <w:qFormat/>
    <w:rPr>
      <w:rFonts w:ascii="楷体_GB2312" w:hAnsi="Times New Roman" w:eastAsia="楷体_GB2312" w:cs="Times New Roman"/>
      <w:sz w:val="28"/>
      <w:szCs w:val="28"/>
    </w:rPr>
  </w:style>
  <w:style w:type="paragraph" w:styleId="934" w:customStyle="1">
    <w:name w:val="普通(网站)1"/>
    <w:basedOn w:val="692"/>
    <w:uiPriority w:val="99"/>
    <w:qFormat/>
    <w:pPr>
      <w:jc w:val="left"/>
      <w:spacing w:before="100" w:beforeAutospacing="1" w:after="100" w:afterAutospacing="1"/>
      <w:widowControl/>
    </w:pPr>
    <w:rPr>
      <w:rFonts w:ascii="宋体" w:hAnsi="宋体" w:eastAsia="宋体" w:cs="宋体"/>
      <w:sz w:val="24"/>
      <w:szCs w:val="24"/>
    </w:rPr>
  </w:style>
  <w:style w:type="paragraph" w:styleId="935" w:customStyle="1">
    <w:name w:val="索引 11"/>
    <w:basedOn w:val="692"/>
    <w:next w:val="692"/>
    <w:uiPriority w:val="0"/>
    <w:semiHidden/>
    <w:pPr>
      <w:spacing w:line="240" w:lineRule="atLeast"/>
    </w:pPr>
    <w:rPr>
      <w:rFonts w:ascii="Times New Roman" w:hAnsi="Times New Roman" w:eastAsia="宋体" w:cs="Times New Roman"/>
      <w:b/>
      <w:bCs/>
      <w:szCs w:val="21"/>
    </w:rPr>
  </w:style>
  <w:style w:type="paragraph" w:styleId="936" w:customStyle="1">
    <w:name w:val="批注主题1"/>
    <w:basedOn w:val="899"/>
    <w:next w:val="899"/>
    <w:link w:val="937"/>
    <w:uiPriority w:val="0"/>
    <w:semiHidden/>
    <w:rPr>
      <w:rFonts w:ascii="Times New Roman" w:hAnsi="Times New Roman" w:eastAsia="宋体" w:cs="Times New Roman"/>
      <w:b/>
      <w:bCs/>
      <w:szCs w:val="21"/>
    </w:rPr>
  </w:style>
  <w:style w:type="character" w:styleId="937" w:customStyle="1">
    <w:name w:val="批注主题 字符"/>
    <w:link w:val="936"/>
    <w:uiPriority w:val="0"/>
    <w:semiHidden/>
    <w:qFormat/>
    <w:rPr>
      <w:rFonts w:ascii="Times New Roman" w:hAnsi="Times New Roman" w:eastAsia="宋体" w:cs="Times New Roman"/>
      <w:b/>
      <w:bCs/>
      <w:szCs w:val="21"/>
    </w:rPr>
  </w:style>
  <w:style w:type="paragraph" w:styleId="938" w:customStyle="1">
    <w:name w:val="正文首行缩进1"/>
    <w:basedOn w:val="692"/>
    <w:link w:val="939"/>
    <w:uiPriority w:val="0"/>
    <w:qFormat/>
    <w:pPr>
      <w:ind w:firstLine="200"/>
      <w:spacing w:line="360" w:lineRule="auto"/>
    </w:pPr>
    <w:rPr>
      <w:rFonts w:ascii="仿宋_GB2312" w:hAnsi="Times New Roman" w:eastAsia="仿宋_GB2312" w:cs="Times New Roman"/>
      <w:sz w:val="30"/>
      <w:szCs w:val="30"/>
    </w:rPr>
  </w:style>
  <w:style w:type="character" w:styleId="939" w:customStyle="1">
    <w:name w:val="正文首行缩进 字符"/>
    <w:link w:val="938"/>
    <w:uiPriority w:val="0"/>
    <w:rPr>
      <w:rFonts w:ascii="仿宋_GB2312" w:hAnsi="Times New Roman" w:eastAsia="仿宋_GB2312" w:cs="Times New Roman"/>
      <w:sz w:val="30"/>
      <w:szCs w:val="30"/>
    </w:rPr>
  </w:style>
  <w:style w:type="paragraph" w:styleId="940" w:customStyle="1">
    <w:name w:val="正文首行缩进 21"/>
    <w:basedOn w:val="905"/>
    <w:link w:val="941"/>
    <w:uiPriority w:val="0"/>
    <w:pPr>
      <w:ind w:left="0" w:firstLine="420"/>
      <w:spacing w:after="0" w:line="360" w:lineRule="auto"/>
    </w:pPr>
    <w:rPr>
      <w:rFonts w:ascii="宋体" w:hAnsi="宋体" w:eastAsia="宋体" w:cs="Times New Roman"/>
      <w:szCs w:val="20"/>
    </w:rPr>
  </w:style>
  <w:style w:type="character" w:styleId="941" w:customStyle="1">
    <w:name w:val="正文首行缩进 2 字符"/>
    <w:link w:val="940"/>
    <w:uiPriority w:val="0"/>
    <w:rPr>
      <w:rFonts w:ascii="宋体" w:hAnsi="宋体" w:eastAsia="宋体" w:cs="Times New Roman"/>
      <w:szCs w:val="20"/>
    </w:rPr>
  </w:style>
  <w:style w:type="table" w:styleId="942" w:customStyle="1">
    <w:name w:val="网格型1"/>
    <w:basedOn w:val="884"/>
    <w:uiPriority w:val="0"/>
    <w:pPr>
      <w:jc w:val="both"/>
      <w:widowControl w:val="off"/>
    </w:pPr>
    <w:rPr>
      <w:rFonts w:ascii="Times New Roman" w:hAnsi="Times New Roman" w:eastAsia="宋体" w:cs="Times New Roman"/>
      <w:sz w:val="20"/>
      <w:szCs w:val="20"/>
    </w:rPr>
    <w:tblPr/>
  </w:style>
  <w:style w:type="character" w:styleId="943" w:customStyle="1">
    <w:name w:val="要点1"/>
    <w:link w:val="692"/>
    <w:uiPriority w:val="0"/>
    <w:qFormat/>
    <w:rPr>
      <w:b/>
      <w:bCs/>
    </w:rPr>
  </w:style>
  <w:style w:type="character" w:styleId="944" w:customStyle="1">
    <w:name w:val="页码1"/>
    <w:link w:val="692"/>
    <w:uiPriority w:val="0"/>
  </w:style>
  <w:style w:type="character" w:styleId="945" w:customStyle="1">
    <w:name w:val="已访问的超链接1"/>
    <w:link w:val="692"/>
    <w:uiPriority w:val="0"/>
    <w:qFormat/>
    <w:rPr>
      <w:color w:val="800080"/>
      <w:u w:val="single"/>
    </w:rPr>
  </w:style>
  <w:style w:type="character" w:styleId="946" w:customStyle="1">
    <w:name w:val="强调1"/>
    <w:link w:val="692"/>
    <w:uiPriority w:val="0"/>
    <w:qFormat/>
    <w:rPr>
      <w:i/>
    </w:rPr>
  </w:style>
  <w:style w:type="character" w:styleId="947" w:customStyle="1">
    <w:name w:val="超链接1"/>
    <w:link w:val="692"/>
    <w:uiPriority w:val="0"/>
    <w:rPr>
      <w:color w:val="0000ff"/>
      <w:u w:val="single"/>
    </w:rPr>
  </w:style>
  <w:style w:type="character" w:styleId="948" w:customStyle="1">
    <w:name w:val="批注引用1"/>
    <w:link w:val="692"/>
    <w:uiPriority w:val="0"/>
    <w:semiHidden/>
    <w:rPr>
      <w:sz w:val="21"/>
      <w:szCs w:val="21"/>
    </w:rPr>
  </w:style>
  <w:style w:type="character" w:styleId="949" w:customStyle="1">
    <w:name w:val="font5 Char"/>
    <w:link w:val="692"/>
    <w:uiPriority w:val="0"/>
    <w:rPr>
      <w:rFonts w:ascii="宋体" w:hAnsi="宋体" w:eastAsia="宋体"/>
      <w:sz w:val="28"/>
      <w:szCs w:val="28"/>
      <w:lang w:val="en-US" w:eastAsia="zh-CN" w:bidi="ar-SA"/>
    </w:rPr>
  </w:style>
  <w:style w:type="character" w:styleId="950" w:customStyle="1">
    <w:name w:val="二级目录 Char"/>
    <w:link w:val="951"/>
    <w:uiPriority w:val="0"/>
    <w:rPr>
      <w:b/>
      <w:sz w:val="30"/>
      <w:szCs w:val="28"/>
    </w:rPr>
  </w:style>
  <w:style w:type="paragraph" w:styleId="951" w:customStyle="1">
    <w:name w:val="二级目录"/>
    <w:next w:val="692"/>
    <w:link w:val="950"/>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2" w:customStyle="1">
    <w:name w:val="列出段落 Char"/>
    <w:link w:val="953"/>
    <w:uiPriority w:val="0"/>
    <w:rPr>
      <w:rFonts w:ascii="Calibri" w:hAnsi="Calibri"/>
      <w:sz w:val="24"/>
      <w:szCs w:val="24"/>
      <w:lang w:eastAsia="en-US" w:bidi="en-US"/>
    </w:rPr>
  </w:style>
  <w:style w:type="paragraph" w:styleId="953" w:customStyle="1">
    <w:name w:val="列出段落1"/>
    <w:basedOn w:val="692"/>
    <w:link w:val="952"/>
    <w:uiPriority w:val="0"/>
    <w:qFormat/>
    <w:pPr>
      <w:contextualSpacing/>
      <w:ind w:left="720"/>
      <w:jc w:val="left"/>
      <w:widowControl/>
    </w:pPr>
    <w:rPr>
      <w:rFonts w:ascii="Calibri" w:hAnsi="Calibri"/>
      <w:sz w:val="24"/>
      <w:szCs w:val="24"/>
      <w:lang w:eastAsia="en-US" w:bidi="en-US"/>
    </w:rPr>
  </w:style>
  <w:style w:type="paragraph" w:styleId="954" w:customStyle="1">
    <w:name w:val="Body Text(ch)"/>
    <w:basedOn w:val="692"/>
    <w:next w:val="903"/>
    <w:uiPriority w:val="0"/>
    <w:qFormat/>
    <w:pPr>
      <w:spacing w:after="120"/>
    </w:pPr>
    <w:rPr>
      <w:rFonts w:ascii="宋体" w:hAnsi="Arial" w:eastAsia="宋体" w:cs="Times New Roman"/>
      <w:bCs/>
      <w:iCs/>
      <w:szCs w:val="24"/>
    </w:rPr>
  </w:style>
  <w:style w:type="paragraph" w:styleId="955" w:customStyle="1">
    <w:name w:val="xl27"/>
    <w:basedOn w:val="69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xl26"/>
    <w:basedOn w:val="69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customStyle="1">
    <w:name w:val="Char"/>
    <w:basedOn w:val="692"/>
    <w:uiPriority w:val="0"/>
    <w:qFormat/>
    <w:pPr>
      <w:ind w:firstLine="200"/>
      <w:tabs>
        <w:tab w:val="left" w:pos="360" w:leader="none"/>
      </w:tabs>
    </w:pPr>
    <w:rPr>
      <w:rFonts w:ascii="Times New Roman" w:hAnsi="Times New Roman" w:eastAsia="宋体" w:cs="Times New Roman"/>
      <w:sz w:val="28"/>
      <w:szCs w:val="30"/>
    </w:rPr>
  </w:style>
  <w:style w:type="paragraph" w:styleId="958" w:customStyle="1">
    <w:name w:val=" Char"/>
    <w:basedOn w:val="897"/>
    <w:uiPriority w:val="0"/>
    <w:rPr>
      <w:rFonts w:ascii="Tahoma" w:hAnsi="Tahoma"/>
      <w:sz w:val="24"/>
      <w:szCs w:val="24"/>
    </w:rPr>
  </w:style>
  <w:style w:type="paragraph" w:styleId="959" w:customStyle="1">
    <w:name w:val="普通正文"/>
    <w:basedOn w:val="692"/>
    <w:uiPriority w:val="0"/>
    <w:pPr>
      <w:ind w:firstLine="480"/>
      <w:jc w:val="left"/>
      <w:spacing w:before="120" w:after="120" w:line="360" w:lineRule="auto"/>
    </w:pPr>
    <w:rPr>
      <w:rFonts w:ascii="Arial" w:hAnsi="Arial" w:eastAsia="宋体" w:cs="Times New Roman"/>
      <w:sz w:val="24"/>
      <w:szCs w:val="24"/>
    </w:rPr>
  </w:style>
  <w:style w:type="paragraph" w:styleId="960" w:customStyle="1">
    <w:name w:val="table_lines"/>
    <w:basedOn w:val="692"/>
    <w:uiPriority w:val="0"/>
    <w:pPr>
      <w:jc w:val="left"/>
      <w:widowControl/>
    </w:pPr>
    <w:rPr>
      <w:rFonts w:ascii="Times New Roman" w:hAnsi="Times New Roman" w:eastAsia="宋体" w:cs="Times New Roman"/>
      <w:sz w:val="20"/>
      <w:szCs w:val="20"/>
      <w:lang w:val="de-DE" w:eastAsia="de-DE"/>
    </w:rPr>
  </w:style>
  <w:style w:type="paragraph" w:styleId="96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2" w:customStyle="1">
    <w:name w:val="font7"/>
    <w:basedOn w:val="692"/>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63" w:customStyle="1">
    <w:name w:val=" Char Char Char Char"/>
    <w:basedOn w:val="897"/>
    <w:uiPriority w:val="0"/>
    <w:pPr>
      <w:spacing w:line="360" w:lineRule="auto"/>
    </w:pPr>
    <w:rPr>
      <w:rFonts w:ascii="Tahoma" w:hAnsi="Tahoma"/>
      <w:sz w:val="24"/>
      <w:szCs w:val="24"/>
    </w:rPr>
  </w:style>
  <w:style w:type="paragraph" w:styleId="964" w:customStyle="1">
    <w:name w:val="列出段落"/>
    <w:basedOn w:val="692"/>
    <w:uiPriority w:val="0"/>
    <w:qFormat/>
    <w:pPr>
      <w:contextualSpacing/>
      <w:ind w:left="720"/>
      <w:jc w:val="left"/>
      <w:widowControl/>
    </w:pPr>
    <w:rPr>
      <w:rFonts w:ascii="Calibri" w:hAnsi="Calibri" w:eastAsia="宋体" w:cs="Times New Roman"/>
      <w:sz w:val="24"/>
      <w:szCs w:val="24"/>
      <w:lang w:eastAsia="en-US" w:bidi="en-US"/>
    </w:rPr>
  </w:style>
  <w:style w:type="paragraph" w:styleId="965" w:customStyle="1">
    <w:name w:val="4"/>
    <w:basedOn w:val="692"/>
    <w:next w:val="927"/>
    <w:uiPriority w:val="0"/>
    <w:pPr>
      <w:ind w:firstLine="420"/>
      <w:spacing w:line="360" w:lineRule="auto"/>
    </w:pPr>
    <w:rPr>
      <w:rFonts w:ascii="Times New Roman" w:hAnsi="Times New Roman" w:eastAsia="宋体" w:cs="Times New Roman"/>
      <w:color w:val="ff0000"/>
      <w:sz w:val="24"/>
      <w:szCs w:val="24"/>
    </w:rPr>
  </w:style>
  <w:style w:type="paragraph" w:styleId="966" w:customStyle="1">
    <w:name w:val="普通 (Web)"/>
    <w:basedOn w:val="692"/>
    <w:uiPriority w:val="0"/>
    <w:pPr>
      <w:jc w:val="left"/>
      <w:spacing w:before="100" w:beforeAutospacing="1" w:after="100" w:afterAutospacing="1"/>
      <w:widowControl/>
    </w:pPr>
    <w:rPr>
      <w:rFonts w:ascii="宋体" w:hAnsi="宋体" w:eastAsia="宋体" w:cs="Times New Roman"/>
      <w:sz w:val="24"/>
      <w:szCs w:val="24"/>
    </w:rPr>
  </w:style>
  <w:style w:type="paragraph" w:styleId="967" w:customStyle="1">
    <w:name w:val=" Char Char Char Char Char Char Char Char Char Char"/>
    <w:basedOn w:val="692"/>
    <w:uiPriority w:val="0"/>
    <w:pPr>
      <w:spacing w:line="360" w:lineRule="auto"/>
    </w:pPr>
    <w:rPr>
      <w:rFonts w:ascii="Times New Roman" w:hAnsi="Times New Roman" w:eastAsia="宋体" w:cs="Times New Roman"/>
      <w:sz w:val="24"/>
      <w:szCs w:val="20"/>
    </w:rPr>
  </w:style>
  <w:style w:type="paragraph" w:styleId="968" w:customStyle="1">
    <w:name w:val="样式1"/>
    <w:basedOn w:val="692"/>
    <w:uiPriority w:val="0"/>
    <w:pPr>
      <w:numPr>
        <w:ilvl w:val="0"/>
        <w:numId w:val="3"/>
      </w:numPr>
    </w:pPr>
    <w:rPr>
      <w:rFonts w:ascii="宋体" w:hAnsi="宋体" w:eastAsia="宋体" w:cs="Times New Roman"/>
      <w:szCs w:val="21"/>
    </w:rPr>
  </w:style>
  <w:style w:type="paragraph" w:styleId="969" w:customStyle="1">
    <w:name w:val="font6"/>
    <w:basedOn w:val="692"/>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customStyle="1">
    <w:name w:val="xl25"/>
    <w:basedOn w:val="69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692"/>
    <w:next w:val="692"/>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customStyle="1">
    <w:name w:val="标题3"/>
    <w:basedOn w:val="692"/>
    <w:next w:val="692"/>
    <w:uiPriority w:val="0"/>
    <w:pPr>
      <w:ind w:firstLine="624"/>
      <w:spacing w:line="590" w:lineRule="atLeast"/>
    </w:pPr>
    <w:rPr>
      <w:rFonts w:ascii="方正黑体_GBK" w:hAnsi="Times New Roman" w:eastAsia="方正黑体_GBK" w:cs="Times New Roman"/>
      <w:sz w:val="32"/>
      <w:szCs w:val="32"/>
    </w:rPr>
  </w:style>
  <w:style w:type="paragraph" w:styleId="973" w:customStyle="1">
    <w:name w:val="xl24"/>
    <w:basedOn w:val="69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customStyle="1">
    <w:name w:val="xl29"/>
    <w:basedOn w:val="692"/>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customStyle="1">
    <w:name w:val="Char Char Char Char Char Char Char Char"/>
    <w:basedOn w:val="692"/>
    <w:uiPriority w:val="0"/>
    <w:pPr>
      <w:jc w:val="left"/>
      <w:spacing w:after="160" w:line="240" w:lineRule="exact"/>
      <w:widowControl/>
    </w:pPr>
    <w:rPr>
      <w:rFonts w:ascii="Verdana" w:hAnsi="Verdana" w:eastAsia="宋体" w:cs="Times New Roman"/>
      <w:sz w:val="20"/>
      <w:szCs w:val="20"/>
      <w:lang w:eastAsia="en-US"/>
    </w:rPr>
  </w:style>
  <w:style w:type="paragraph" w:styleId="976" w:customStyle="1">
    <w:name w:val="xl28"/>
    <w:basedOn w:val="69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customStyle="1">
    <w:name w:val=" 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978" w:customStyle="1">
    <w:name w:val="xl30"/>
    <w:basedOn w:val="69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9" w:customStyle="1">
    <w:name w:val="Char Char Char Char"/>
    <w:basedOn w:val="897"/>
    <w:uiPriority w:val="0"/>
    <w:qFormat/>
    <w:pPr>
      <w:spacing w:line="360" w:lineRule="auto"/>
    </w:pPr>
    <w:rPr>
      <w:rFonts w:ascii="Tahoma" w:hAnsi="Tahoma"/>
      <w:sz w:val="24"/>
      <w:szCs w:val="24"/>
    </w:rPr>
  </w:style>
  <w:style w:type="paragraph" w:styleId="980" w:customStyle="1">
    <w:name w:val="table_1stline"/>
    <w:basedOn w:val="692"/>
    <w:uiPriority w:val="0"/>
    <w:qFormat/>
    <w:pPr>
      <w:jc w:val="left"/>
      <w:spacing w:before="120"/>
      <w:widowControl/>
    </w:pPr>
    <w:rPr>
      <w:rFonts w:ascii="Times New Roman" w:hAnsi="Times New Roman" w:eastAsia="宋体" w:cs="Times New Roman"/>
      <w:bCs/>
      <w:sz w:val="20"/>
      <w:szCs w:val="20"/>
      <w:lang w:val="de-DE" w:eastAsia="de-DE"/>
    </w:rPr>
  </w:style>
  <w:style w:type="paragraph" w:styleId="981" w:customStyle="1">
    <w:name w:val="font5"/>
    <w:basedOn w:val="692"/>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2" w:customStyle="1">
    <w:name w:val="标题1"/>
    <w:basedOn w:val="692"/>
    <w:next w:val="692"/>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江苏博茂项目管理有限公司LYG</cp:lastModifiedBy>
  <cp:revision>9</cp:revision>
  <dcterms:created xsi:type="dcterms:W3CDTF">2025-12-26T11:51:00Z</dcterms:created>
  <dcterms:modified xsi:type="dcterms:W3CDTF">2026-09-22T10:50:32Z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eyJoZGlkIjoiMjIxYjYxZjcxZTBkMTk5MDI1ZjM5MDc5MGEwYWM2OTgiLCJ1c2VySWQiOiI2MzM4MjQ1NjUifQ==</vt:lpwstr>
  </property>
  <property fmtid="{D5CDD505-2E9C-101B-9397-08002B2CF9AE}" pid="3" name="KSOProductBuildVer">
    <vt:lpwstr>2052-12.1.0.28505</vt:lpwstr>
  </property>
  <property fmtid="{D5CDD505-2E9C-101B-9397-08002B2CF9AE}" pid="4" name="ICV">
    <vt:lpwstr>EC752D376A5049C0B150E2E27F784F69_13</vt:lpwstr>
  </property>
</Properties>
</file>