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560" w:lineRule="exact"/>
        <w:tabs>
          <w:tab w:val="left" w:pos="390" w:leader="none"/>
          <w:tab w:val="center" w:pos="4404" w:leader="none"/>
        </w:tabs>
        <w:rPr>
          <w:rFonts w:hint="eastAsia" w:ascii="宋体" w:hAnsi="宋体"/>
          <w:b/>
          <w:color w:val="auto"/>
          <w:sz w:val="24"/>
          <w:szCs w:val="24"/>
          <w:highlight w:val="none"/>
        </w:rPr>
      </w:pPr>
      <w:r>
        <w:rPr>
          <w:rFonts w:hint="eastAsia" w:ascii="宋体" w:hAnsi="宋体"/>
          <w:color w:val="auto"/>
          <w:sz w:val="24"/>
          <w:szCs w:val="24"/>
          <w:highlight w:val="none"/>
        </w:rPr>
      </w:r>
      <w:r>
        <w:rPr>
          <w:rFonts w:hint="eastAsia" w:ascii="宋体" w:hAnsi="宋体"/>
          <w:color w:val="auto"/>
          <w:sz w:val="24"/>
          <w:szCs w:val="24"/>
          <w:highlight w:val="none"/>
        </w:rPr>
      </w:r>
      <w:r>
        <w:rPr>
          <w:rFonts w:hint="eastAsia" w:ascii="宋体" w:hAnsi="宋体"/>
          <w:color w:val="auto"/>
          <w:sz w:val="24"/>
          <w:szCs w:val="24"/>
          <w:highlight w:val="none"/>
        </w:rPr>
      </w:r>
      <w:r/>
    </w:p>
    <w:p>
      <w:pPr>
        <w:jc w:val="center"/>
        <w:spacing w:line="560" w:lineRule="exact"/>
        <w:tabs>
          <w:tab w:val="left" w:pos="390" w:leader="none"/>
          <w:tab w:val="center" w:pos="4404" w:leader="none"/>
        </w:tabs>
        <w:rPr>
          <w:rFonts w:hint="eastAsia" w:ascii="宋体" w:hAnsi="宋体"/>
          <w:b/>
          <w:color w:val="auto"/>
          <w:sz w:val="48"/>
          <w:szCs w:val="48"/>
          <w:highlight w:val="none"/>
        </w:rPr>
      </w:pPr>
      <w:r>
        <w:rPr>
          <w:rFonts w:hint="eastAsia" w:ascii="宋体" w:hAnsi="宋体"/>
          <w:b/>
          <w:color w:val="auto"/>
          <w:sz w:val="48"/>
          <w:szCs w:val="48"/>
          <w:highlight w:val="none"/>
        </w:rPr>
      </w:r>
      <w:r/>
    </w:p>
    <w:p>
      <w:pPr>
        <w:jc w:val="both"/>
        <w:spacing w:line="560" w:lineRule="exact"/>
        <w:tabs>
          <w:tab w:val="left" w:pos="390" w:leader="none"/>
          <w:tab w:val="center" w:pos="4404" w:leader="none"/>
        </w:tabs>
        <w:rPr>
          <w:rFonts w:hint="eastAsia" w:ascii="宋体" w:hAnsi="宋体"/>
          <w:b/>
          <w:color w:val="auto"/>
          <w:sz w:val="48"/>
          <w:szCs w:val="48"/>
          <w:highlight w:val="none"/>
        </w:rPr>
      </w:pPr>
      <w:r>
        <w:rPr>
          <w:rFonts w:hint="eastAsia" w:ascii="宋体" w:hAnsi="宋体"/>
          <w:b/>
          <w:color w:val="auto"/>
          <w:sz w:val="48"/>
          <w:szCs w:val="48"/>
          <w:highlight w:val="none"/>
        </w:rPr>
      </w:r>
      <w:r/>
    </w:p>
    <w:p>
      <w:pPr>
        <w:jc w:val="center"/>
        <w:spacing w:line="560" w:lineRule="exact"/>
        <w:tabs>
          <w:tab w:val="left" w:pos="390" w:leader="none"/>
          <w:tab w:val="center" w:pos="4404" w:leader="none"/>
        </w:tabs>
        <w:rPr>
          <w:rFonts w:hint="eastAsia" w:ascii="宋体" w:hAnsi="宋体"/>
          <w:b/>
          <w:color w:val="auto"/>
          <w:sz w:val="48"/>
          <w:szCs w:val="48"/>
          <w:highlight w:val="none"/>
        </w:rPr>
      </w:pPr>
      <w:r>
        <w:rPr>
          <w:rFonts w:hint="eastAsia" w:ascii="宋体" w:hAnsi="宋体"/>
          <w:b/>
          <w:color w:val="auto"/>
          <w:sz w:val="48"/>
          <w:szCs w:val="48"/>
          <w:highlight w:val="none"/>
        </w:rPr>
      </w:r>
      <w:r/>
    </w:p>
    <w:p>
      <w:pPr>
        <w:jc w:val="center"/>
        <w:spacing w:line="560" w:lineRule="exact"/>
        <w:tabs>
          <w:tab w:val="left" w:pos="390" w:leader="none"/>
          <w:tab w:val="center" w:pos="4404" w:leader="none"/>
        </w:tabs>
        <w:rPr>
          <w:rFonts w:hint="eastAsia" w:ascii="宋体" w:hAnsi="宋体"/>
          <w:b/>
          <w:color w:val="auto"/>
          <w:sz w:val="48"/>
          <w:szCs w:val="48"/>
          <w:highlight w:val="none"/>
        </w:rPr>
      </w:pPr>
      <w:r>
        <w:rPr>
          <w:rFonts w:hint="eastAsia" w:ascii="宋体" w:hAnsi="宋体"/>
          <w:b/>
          <w:color w:val="auto"/>
          <w:sz w:val="48"/>
          <w:szCs w:val="48"/>
          <w:highlight w:val="none"/>
        </w:rPr>
      </w:r>
      <w:r/>
    </w:p>
    <w:p>
      <w:pPr>
        <w:jc w:val="center"/>
        <w:spacing w:line="560" w:lineRule="exact"/>
        <w:tabs>
          <w:tab w:val="left" w:pos="390" w:leader="none"/>
          <w:tab w:val="center" w:pos="4404" w:leader="none"/>
        </w:tabs>
        <w:rPr>
          <w:rFonts w:hint="eastAsia" w:ascii="宋体" w:hAnsi="宋体"/>
          <w:b/>
          <w:color w:val="auto"/>
          <w:sz w:val="48"/>
          <w:szCs w:val="48"/>
          <w:highlight w:val="none"/>
        </w:rPr>
      </w:pPr>
      <w:r>
        <w:rPr>
          <w:rFonts w:hint="eastAsia" w:ascii="宋体" w:hAnsi="宋体"/>
          <w:b/>
          <w:color w:val="auto"/>
          <w:sz w:val="48"/>
          <w:szCs w:val="48"/>
          <w:highlight w:val="none"/>
        </w:rPr>
        <w:t xml:space="preserve">南京市社会儿童福利院高淳分院柴油采购</w:t>
      </w:r>
      <w:r/>
    </w:p>
    <w:p>
      <w:pPr>
        <w:jc w:val="center"/>
        <w:spacing w:line="560" w:lineRule="exact"/>
        <w:tabs>
          <w:tab w:val="left" w:pos="390" w:leader="none"/>
          <w:tab w:val="center" w:pos="4404" w:leader="none"/>
        </w:tabs>
        <w:rPr>
          <w:rFonts w:hint="eastAsia" w:ascii="宋体" w:hAnsi="宋体" w:eastAsia="宋体"/>
          <w:b/>
          <w:color w:val="auto"/>
          <w:sz w:val="48"/>
          <w:szCs w:val="48"/>
          <w:highlight w:val="none"/>
          <w:lang w:eastAsia="zh-CN"/>
        </w:rPr>
      </w:pPr>
      <w:r>
        <w:rPr>
          <w:rFonts w:hint="eastAsia" w:ascii="宋体" w:hAnsi="宋体"/>
          <w:b/>
          <w:color w:val="auto"/>
          <w:sz w:val="48"/>
          <w:szCs w:val="48"/>
          <w:highlight w:val="none"/>
          <w:lang w:val="en-US" w:eastAsia="zh-CN"/>
        </w:rPr>
        <w:t xml:space="preserve">竞争性</w:t>
      </w:r>
      <w:r>
        <w:rPr>
          <w:rFonts w:hint="eastAsia" w:ascii="宋体" w:hAnsi="宋体"/>
          <w:b/>
          <w:color w:val="auto"/>
          <w:sz w:val="48"/>
          <w:szCs w:val="48"/>
          <w:highlight w:val="none"/>
          <w:lang w:eastAsia="zh-CN"/>
        </w:rPr>
        <w:t xml:space="preserve">磋商文件</w:t>
      </w:r>
      <w:r/>
    </w:p>
    <w:p>
      <w:pPr>
        <w:jc w:val="center"/>
        <w:spacing w:line="560" w:lineRule="exact"/>
        <w:rPr>
          <w:rFonts w:hint="eastAsia" w:ascii="宋体" w:hAnsi="宋体"/>
          <w:b/>
          <w:color w:val="auto"/>
          <w:sz w:val="48"/>
          <w:szCs w:val="48"/>
          <w:highlight w:val="none"/>
        </w:rPr>
      </w:pPr>
      <w:r>
        <w:rPr>
          <w:rFonts w:hint="eastAsia" w:ascii="宋体" w:hAnsi="宋体"/>
          <w:b/>
          <w:color w:val="auto"/>
          <w:sz w:val="48"/>
          <w:szCs w:val="48"/>
          <w:highlight w:val="none"/>
        </w:rPr>
      </w:r>
      <w:r/>
    </w:p>
    <w:p>
      <w:pPr>
        <w:jc w:val="center"/>
        <w:spacing w:line="560" w:lineRule="exact"/>
        <w:rPr>
          <w:rFonts w:hint="eastAsia" w:ascii="宋体" w:hAnsi="宋体"/>
          <w:b/>
          <w:color w:val="auto"/>
          <w:sz w:val="48"/>
          <w:szCs w:val="48"/>
          <w:highlight w:val="none"/>
        </w:rPr>
      </w:pPr>
      <w:r>
        <w:rPr>
          <w:rFonts w:hint="eastAsia" w:ascii="宋体" w:hAnsi="宋体"/>
          <w:b/>
          <w:color w:val="auto"/>
          <w:sz w:val="48"/>
          <w:szCs w:val="48"/>
          <w:highlight w:val="none"/>
        </w:rPr>
      </w:r>
      <w:r/>
    </w:p>
    <w:p>
      <w:pPr>
        <w:jc w:val="center"/>
        <w:spacing w:line="560" w:lineRule="exact"/>
        <w:rPr>
          <w:rFonts w:hint="eastAsia" w:ascii="宋体" w:hAnsi="宋体"/>
          <w:b/>
          <w:color w:val="auto"/>
          <w:sz w:val="48"/>
          <w:szCs w:val="48"/>
          <w:highlight w:val="none"/>
        </w:rPr>
      </w:pPr>
      <w:r>
        <w:rPr>
          <w:rFonts w:hint="eastAsia" w:ascii="宋体" w:hAnsi="宋体"/>
          <w:b/>
          <w:color w:val="auto"/>
          <w:sz w:val="48"/>
          <w:szCs w:val="48"/>
          <w:highlight w:val="none"/>
        </w:rPr>
      </w:r>
      <w:r/>
    </w:p>
    <w:p>
      <w:pPr>
        <w:jc w:val="center"/>
        <w:spacing w:line="560" w:lineRule="exact"/>
        <w:rPr>
          <w:rFonts w:hint="eastAsia" w:ascii="宋体" w:hAnsi="宋体"/>
          <w:b/>
          <w:color w:val="auto"/>
          <w:sz w:val="48"/>
          <w:szCs w:val="48"/>
          <w:highlight w:val="none"/>
        </w:rPr>
      </w:pPr>
      <w:r>
        <w:rPr>
          <w:rFonts w:hint="eastAsia" w:ascii="宋体" w:hAnsi="宋体"/>
          <w:b/>
          <w:color w:val="auto"/>
          <w:sz w:val="48"/>
          <w:szCs w:val="48"/>
          <w:highlight w:val="none"/>
        </w:rPr>
      </w:r>
      <w:r/>
    </w:p>
    <w:p>
      <w:pPr>
        <w:jc w:val="center"/>
        <w:spacing w:line="560" w:lineRule="exact"/>
        <w:rPr>
          <w:rFonts w:hint="eastAsia" w:ascii="宋体" w:hAnsi="宋体"/>
          <w:b/>
          <w:color w:val="auto"/>
          <w:sz w:val="48"/>
          <w:szCs w:val="48"/>
          <w:highlight w:val="none"/>
        </w:rPr>
      </w:pPr>
      <w:r>
        <w:rPr>
          <w:rFonts w:hint="eastAsia" w:ascii="宋体" w:hAnsi="宋体"/>
          <w:b/>
          <w:color w:val="auto"/>
          <w:sz w:val="48"/>
          <w:szCs w:val="48"/>
          <w:highlight w:val="none"/>
        </w:rPr>
      </w:r>
      <w:r/>
    </w:p>
    <w:p>
      <w:pPr>
        <w:jc w:val="center"/>
        <w:spacing w:line="560" w:lineRule="exact"/>
        <w:rPr>
          <w:rFonts w:hint="eastAsia" w:ascii="宋体" w:hAnsi="宋体" w:eastAsia="宋体"/>
          <w:b/>
          <w:color w:val="auto"/>
          <w:sz w:val="48"/>
          <w:szCs w:val="48"/>
          <w:highlight w:val="none"/>
          <w:lang w:val="en-US" w:eastAsia="zh-CN"/>
        </w:rPr>
      </w:pPr>
      <w:r>
        <w:rPr>
          <w:rFonts w:hint="eastAsia" w:ascii="宋体" w:hAnsi="宋体"/>
          <w:b/>
          <w:color w:val="auto"/>
          <w:sz w:val="48"/>
          <w:szCs w:val="48"/>
          <w:highlight w:val="none"/>
        </w:rPr>
        <w:t xml:space="preserve">项目编号：</w:t>
      </w:r>
      <w:r>
        <w:rPr>
          <w:rFonts w:hint="eastAsia" w:ascii="宋体" w:hAnsi="宋体"/>
          <w:b/>
          <w:color w:val="auto"/>
          <w:sz w:val="48"/>
          <w:szCs w:val="48"/>
          <w:highlight w:val="none"/>
          <w:lang w:eastAsia="zh-CN"/>
        </w:rPr>
        <w:t xml:space="preserve">JSZC-320100-YDZB-C2026-0017</w:t>
      </w:r>
      <w:r/>
    </w:p>
    <w:p>
      <w:pPr>
        <w:jc w:val="center"/>
        <w:spacing w:line="560" w:lineRule="exact"/>
        <w:rPr>
          <w:rFonts w:hint="eastAsia" w:ascii="宋体" w:hAnsi="宋体"/>
          <w:b/>
          <w:color w:val="auto"/>
          <w:sz w:val="48"/>
          <w:szCs w:val="48"/>
          <w:highlight w:val="none"/>
        </w:rPr>
      </w:pPr>
      <w:r>
        <w:rPr>
          <w:rFonts w:hint="eastAsia" w:ascii="宋体" w:hAnsi="宋体"/>
          <w:b/>
          <w:color w:val="auto"/>
          <w:sz w:val="48"/>
          <w:szCs w:val="48"/>
          <w:highlight w:val="none"/>
        </w:rPr>
      </w:r>
      <w:r/>
    </w:p>
    <w:p>
      <w:pPr>
        <w:jc w:val="center"/>
        <w:spacing w:line="560" w:lineRule="exact"/>
        <w:rPr>
          <w:rFonts w:hint="eastAsia" w:ascii="宋体" w:hAnsi="宋体"/>
          <w:b/>
          <w:color w:val="auto"/>
          <w:sz w:val="48"/>
          <w:szCs w:val="48"/>
          <w:highlight w:val="none"/>
        </w:rPr>
      </w:pPr>
      <w:r>
        <w:rPr>
          <w:rFonts w:hint="eastAsia" w:ascii="宋体" w:hAnsi="宋体"/>
          <w:b/>
          <w:color w:val="auto"/>
          <w:sz w:val="48"/>
          <w:szCs w:val="48"/>
          <w:highlight w:val="none"/>
        </w:rPr>
      </w:r>
      <w:r/>
    </w:p>
    <w:p>
      <w:pPr>
        <w:jc w:val="center"/>
        <w:spacing w:line="560" w:lineRule="exact"/>
        <w:rPr>
          <w:rFonts w:hint="eastAsia" w:ascii="宋体" w:hAnsi="宋体"/>
          <w:b/>
          <w:color w:val="auto"/>
          <w:sz w:val="48"/>
          <w:szCs w:val="48"/>
          <w:highlight w:val="none"/>
        </w:rPr>
      </w:pPr>
      <w:r>
        <w:rPr>
          <w:rFonts w:hint="eastAsia" w:ascii="宋体" w:hAnsi="宋体"/>
          <w:b/>
          <w:color w:val="auto"/>
          <w:sz w:val="48"/>
          <w:szCs w:val="48"/>
          <w:highlight w:val="none"/>
        </w:rPr>
      </w:r>
      <w:r/>
    </w:p>
    <w:p>
      <w:pPr>
        <w:jc w:val="center"/>
        <w:spacing w:line="560" w:lineRule="exact"/>
        <w:rPr>
          <w:rFonts w:hint="eastAsia" w:ascii="宋体" w:hAnsi="宋体"/>
          <w:b/>
          <w:color w:val="auto"/>
          <w:sz w:val="48"/>
          <w:szCs w:val="48"/>
          <w:highlight w:val="none"/>
        </w:rPr>
      </w:pPr>
      <w:r>
        <w:rPr>
          <w:rFonts w:hint="eastAsia" w:ascii="宋体" w:hAnsi="宋体"/>
          <w:b/>
          <w:color w:val="auto"/>
          <w:sz w:val="48"/>
          <w:szCs w:val="48"/>
          <w:highlight w:val="none"/>
        </w:rPr>
      </w:r>
      <w:r/>
    </w:p>
    <w:p>
      <w:pPr>
        <w:jc w:val="center"/>
        <w:spacing w:line="560" w:lineRule="exact"/>
        <w:rPr>
          <w:rFonts w:hint="eastAsia" w:ascii="宋体" w:hAnsi="宋体"/>
          <w:b/>
          <w:color w:val="auto"/>
          <w:sz w:val="48"/>
          <w:szCs w:val="48"/>
          <w:highlight w:val="none"/>
        </w:rPr>
      </w:pPr>
      <w:r>
        <w:rPr>
          <w:rFonts w:hint="eastAsia" w:ascii="宋体" w:hAnsi="宋体"/>
          <w:b/>
          <w:color w:val="auto"/>
          <w:sz w:val="48"/>
          <w:szCs w:val="48"/>
          <w:highlight w:val="none"/>
        </w:rPr>
      </w:r>
      <w:r/>
    </w:p>
    <w:p>
      <w:pPr>
        <w:jc w:val="center"/>
        <w:spacing w:line="560" w:lineRule="exact"/>
        <w:rPr>
          <w:rFonts w:hint="eastAsia" w:ascii="宋体" w:hAnsi="宋体"/>
          <w:b/>
          <w:color w:val="auto"/>
          <w:sz w:val="48"/>
          <w:szCs w:val="48"/>
          <w:highlight w:val="none"/>
        </w:rPr>
      </w:pPr>
      <w:r>
        <w:rPr>
          <w:rFonts w:hint="eastAsia" w:ascii="宋体" w:hAnsi="宋体"/>
          <w:b/>
          <w:color w:val="auto"/>
          <w:sz w:val="48"/>
          <w:szCs w:val="48"/>
          <w:highlight w:val="none"/>
        </w:rPr>
      </w:r>
      <w:r/>
    </w:p>
    <w:p>
      <w:pPr>
        <w:jc w:val="center"/>
        <w:spacing w:line="560" w:lineRule="exact"/>
        <w:rPr>
          <w:rFonts w:hint="eastAsia" w:ascii="宋体" w:hAnsi="宋体"/>
          <w:b/>
          <w:color w:val="auto"/>
          <w:sz w:val="48"/>
          <w:szCs w:val="48"/>
          <w:highlight w:val="none"/>
        </w:rPr>
      </w:pPr>
      <w:r>
        <w:rPr>
          <w:rFonts w:hint="eastAsia" w:ascii="宋体" w:hAnsi="宋体"/>
          <w:b/>
          <w:color w:val="auto"/>
          <w:sz w:val="48"/>
          <w:szCs w:val="48"/>
          <w:highlight w:val="none"/>
        </w:rPr>
        <w:t xml:space="preserve">江苏有点招标代理有限公司</w:t>
      </w:r>
      <w:r/>
    </w:p>
    <w:p>
      <w:pPr>
        <w:spacing w:line="560" w:lineRule="exact"/>
        <w:rPr>
          <w:rFonts w:hint="eastAsia" w:ascii="宋体" w:hAnsi="宋体"/>
          <w:b/>
          <w:color w:val="auto"/>
          <w:sz w:val="48"/>
          <w:szCs w:val="48"/>
          <w:highlight w:val="none"/>
        </w:rPr>
      </w:pPr>
      <w:r>
        <w:rPr>
          <w:rFonts w:hint="eastAsia" w:ascii="宋体" w:hAnsi="宋体"/>
          <w:b/>
          <w:color w:val="auto"/>
          <w:sz w:val="48"/>
          <w:szCs w:val="48"/>
          <w:highlight w:val="none"/>
        </w:rPr>
      </w:r>
      <w:r/>
    </w:p>
    <w:p>
      <w:pPr>
        <w:jc w:val="center"/>
        <w:spacing w:line="560" w:lineRule="exact"/>
        <w:rPr>
          <w:rFonts w:hint="eastAsia" w:ascii="宋体" w:hAnsi="宋体"/>
          <w:b/>
          <w:color w:val="auto"/>
          <w:sz w:val="48"/>
          <w:szCs w:val="48"/>
          <w:highlight w:val="none"/>
        </w:rPr>
      </w:pPr>
      <w:r>
        <w:rPr>
          <w:rFonts w:hint="eastAsia" w:ascii="宋体" w:hAnsi="宋体"/>
          <w:b/>
          <w:color w:val="auto"/>
          <w:sz w:val="48"/>
          <w:szCs w:val="48"/>
          <w:highlight w:val="none"/>
        </w:rPr>
        <w:t xml:space="preserve">二〇二六年</w:t>
      </w:r>
      <w:r>
        <w:rPr>
          <w:rFonts w:hint="eastAsia" w:ascii="宋体" w:hAnsi="宋体"/>
          <w:b/>
          <w:color w:val="auto"/>
          <w:sz w:val="48"/>
          <w:szCs w:val="48"/>
          <w:highlight w:val="none"/>
          <w:lang w:val="en-US" w:eastAsia="zh-CN"/>
        </w:rPr>
        <w:t xml:space="preserve">八</w:t>
      </w:r>
      <w:r>
        <w:rPr>
          <w:rFonts w:hint="eastAsia" w:ascii="宋体" w:hAnsi="宋体"/>
          <w:b/>
          <w:color w:val="auto"/>
          <w:sz w:val="48"/>
          <w:szCs w:val="48"/>
          <w:highlight w:val="none"/>
        </w:rPr>
        <w:t xml:space="preserve">月</w:t>
      </w:r>
      <w:r/>
    </w:p>
    <w:p>
      <w:pPr>
        <w:pStyle w:val="773"/>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tabs>
          <w:tab w:val="center" w:pos="4153" w:leader="none"/>
          <w:tab w:val="left" w:pos="5910"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pacing w:line="560" w:lineRule="exact"/>
        <w:tabs>
          <w:tab w:val="center" w:pos="4153" w:leader="none"/>
          <w:tab w:val="left" w:pos="5910"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目  录</w:t>
      </w:r>
      <w:r/>
    </w:p>
    <w:p>
      <w:pPr>
        <w:pStyle w:val="784"/>
        <w:tabs>
          <w:tab w:val="right" w:pos="9746" w:leader="dot"/>
        </w:tabs>
      </w:pPr>
      <w:r>
        <w:rPr>
          <w:rFonts w:hint="eastAsia" w:ascii="宋体" w:hAnsi="宋体"/>
          <w:color w:val="auto"/>
          <w:sz w:val="24"/>
          <w:szCs w:val="24"/>
          <w:highlight w:val="none"/>
        </w:rPr>
        <w:fldChar w:fldCharType="begin"/>
      </w:r>
      <w:r>
        <w:rPr>
          <w:rFonts w:hint="eastAsia" w:ascii="宋体" w:hAnsi="宋体"/>
          <w:color w:val="auto"/>
          <w:sz w:val="24"/>
          <w:szCs w:val="24"/>
          <w:highlight w:val="none"/>
        </w:rPr>
        <w:instrText xml:space="preserve"> TOC \o "1-3" \h \z \u </w:instrText>
      </w:r>
      <w:r>
        <w:rPr>
          <w:rFonts w:hint="eastAsia" w:ascii="宋体" w:hAnsi="宋体"/>
          <w:color w:val="auto"/>
          <w:sz w:val="24"/>
          <w:szCs w:val="24"/>
          <w:highlight w:val="none"/>
        </w:rPr>
        <w:fldChar w:fldCharType="separate"/>
      </w:r>
      <w:r>
        <w:rPr>
          <w:rFonts w:hint="eastAsia" w:ascii="宋体" w:hAnsi="宋体"/>
          <w:color w:val="auto"/>
          <w:szCs w:val="24"/>
          <w:highlight w:val="none"/>
        </w:rPr>
        <w:fldChar w:fldCharType="begin"/>
      </w:r>
      <w:r>
        <w:rPr>
          <w:rFonts w:hint="eastAsia" w:ascii="宋体" w:hAnsi="宋体"/>
          <w:szCs w:val="24"/>
          <w:highlight w:val="none"/>
        </w:rPr>
        <w:instrText xml:space="preserve"> HYPERLINK \l _Toc25579 </w:instrText>
      </w:r>
      <w:r>
        <w:rPr>
          <w:rFonts w:hint="eastAsia" w:ascii="宋体" w:hAnsi="宋体"/>
          <w:szCs w:val="24"/>
          <w:highlight w:val="none"/>
        </w:rPr>
        <w:fldChar w:fldCharType="separate"/>
      </w:r>
      <w:r>
        <w:rPr>
          <w:rFonts w:hint="eastAsia" w:ascii="宋体" w:hAnsi="宋体"/>
          <w:szCs w:val="24"/>
          <w:highlight w:val="none"/>
        </w:rPr>
        <w:t xml:space="preserve">第一章  </w:t>
      </w:r>
      <w:r>
        <w:rPr>
          <w:rFonts w:hint="eastAsia" w:ascii="宋体" w:hAnsi="宋体"/>
          <w:szCs w:val="24"/>
          <w:highlight w:val="none"/>
          <w:lang w:val="en-US" w:eastAsia="zh-CN"/>
        </w:rPr>
        <w:t xml:space="preserve">磋商</w:t>
      </w:r>
      <w:r>
        <w:rPr>
          <w:rFonts w:hint="eastAsia" w:ascii="宋体" w:hAnsi="宋体"/>
          <w:szCs w:val="24"/>
          <w:highlight w:val="none"/>
        </w:rPr>
        <w:t xml:space="preserve">邀请</w:t>
      </w:r>
      <w:r>
        <w:tab/>
      </w:r>
      <w:r>
        <w:fldChar w:fldCharType="begin"/>
      </w:r>
      <w:r>
        <w:instrText xml:space="preserve"> PAGEREF _Toc25579 \h </w:instrText>
      </w:r>
      <w:r>
        <w:fldChar w:fldCharType="separate"/>
      </w:r>
      <w:r>
        <w:t xml:space="preserve">1</w:t>
      </w:r>
      <w:r>
        <w:fldChar w:fldCharType="end"/>
      </w:r>
      <w:r>
        <w:rPr>
          <w:rFonts w:hint="eastAsia" w:ascii="宋体" w:hAnsi="宋体"/>
          <w:color w:val="auto"/>
          <w:szCs w:val="24"/>
          <w:highlight w:val="none"/>
        </w:rPr>
        <w:fldChar w:fldCharType="end"/>
      </w:r>
      <w:r/>
    </w:p>
    <w:p>
      <w:pPr>
        <w:pStyle w:val="784"/>
        <w:tabs>
          <w:tab w:val="right" w:pos="9746" w:leader="dot"/>
        </w:tabs>
      </w:pPr>
      <w:r>
        <w:rPr>
          <w:rFonts w:hint="eastAsia" w:ascii="宋体" w:hAnsi="宋体"/>
          <w:color w:val="auto"/>
          <w:szCs w:val="24"/>
          <w:highlight w:val="none"/>
        </w:rPr>
        <w:fldChar w:fldCharType="begin"/>
      </w:r>
      <w:r>
        <w:rPr>
          <w:rFonts w:hint="eastAsia" w:ascii="宋体" w:hAnsi="宋体"/>
          <w:szCs w:val="24"/>
          <w:highlight w:val="none"/>
        </w:rPr>
        <w:instrText xml:space="preserve"> HYPERLINK \l _Toc154 </w:instrText>
      </w:r>
      <w:r>
        <w:rPr>
          <w:rFonts w:hint="eastAsia" w:ascii="宋体" w:hAnsi="宋体"/>
          <w:szCs w:val="24"/>
          <w:highlight w:val="none"/>
        </w:rPr>
        <w:fldChar w:fldCharType="separate"/>
      </w:r>
      <w:r>
        <w:rPr>
          <w:rFonts w:hint="eastAsia" w:ascii="宋体" w:hAnsi="宋体"/>
          <w:szCs w:val="24"/>
          <w:highlight w:val="none"/>
        </w:rPr>
        <w:t xml:space="preserve">第二章  </w:t>
      </w:r>
      <w:r>
        <w:rPr>
          <w:rFonts w:hint="eastAsia" w:ascii="宋体" w:hAnsi="宋体"/>
          <w:szCs w:val="24"/>
          <w:highlight w:val="none"/>
          <w:lang w:eastAsia="zh-CN"/>
        </w:rPr>
        <w:t xml:space="preserve">供应商</w:t>
      </w:r>
      <w:r>
        <w:rPr>
          <w:rFonts w:hint="eastAsia" w:ascii="宋体" w:hAnsi="宋体"/>
          <w:szCs w:val="24"/>
          <w:highlight w:val="none"/>
        </w:rPr>
        <w:t xml:space="preserve">须知</w:t>
      </w:r>
      <w:r>
        <w:tab/>
      </w:r>
      <w:r>
        <w:fldChar w:fldCharType="begin"/>
      </w:r>
      <w:r>
        <w:instrText xml:space="preserve"> PAGEREF _Toc154 \h </w:instrText>
      </w:r>
      <w:r>
        <w:fldChar w:fldCharType="separate"/>
      </w:r>
      <w:r>
        <w:t xml:space="preserve">6</w:t>
      </w:r>
      <w:r>
        <w:fldChar w:fldCharType="end"/>
      </w:r>
      <w:r>
        <w:rPr>
          <w:rFonts w:hint="eastAsia" w:ascii="宋体" w:hAnsi="宋体"/>
          <w:color w:val="auto"/>
          <w:szCs w:val="24"/>
          <w:highlight w:val="none"/>
        </w:rPr>
        <w:fldChar w:fldCharType="end"/>
      </w:r>
      <w:r/>
    </w:p>
    <w:p>
      <w:pPr>
        <w:pStyle w:val="784"/>
        <w:tabs>
          <w:tab w:val="right" w:pos="9746" w:leader="dot"/>
        </w:tabs>
      </w:pPr>
      <w:r>
        <w:rPr>
          <w:rFonts w:hint="eastAsia" w:ascii="宋体" w:hAnsi="宋体"/>
          <w:color w:val="auto"/>
          <w:szCs w:val="24"/>
          <w:highlight w:val="none"/>
        </w:rPr>
        <w:fldChar w:fldCharType="begin"/>
      </w:r>
      <w:r>
        <w:rPr>
          <w:rFonts w:hint="eastAsia" w:ascii="宋体" w:hAnsi="宋体"/>
          <w:szCs w:val="24"/>
          <w:highlight w:val="none"/>
        </w:rPr>
        <w:instrText xml:space="preserve"> HYPERLINK \l _Toc1291 </w:instrText>
      </w:r>
      <w:r>
        <w:rPr>
          <w:rFonts w:hint="eastAsia" w:ascii="宋体" w:hAnsi="宋体"/>
          <w:szCs w:val="24"/>
          <w:highlight w:val="none"/>
        </w:rPr>
        <w:fldChar w:fldCharType="separate"/>
      </w:r>
      <w:r>
        <w:rPr>
          <w:rFonts w:hint="eastAsia" w:ascii="宋体" w:hAnsi="宋体"/>
          <w:szCs w:val="24"/>
          <w:highlight w:val="none"/>
        </w:rPr>
        <w:t xml:space="preserve">第三章  评审标准</w:t>
      </w:r>
      <w:r>
        <w:tab/>
      </w:r>
      <w:r>
        <w:fldChar w:fldCharType="begin"/>
      </w:r>
      <w:r>
        <w:instrText xml:space="preserve"> PAGEREF _Toc1291 \h </w:instrText>
      </w:r>
      <w:r>
        <w:fldChar w:fldCharType="separate"/>
      </w:r>
      <w:r>
        <w:t xml:space="preserve">21</w:t>
      </w:r>
      <w:r>
        <w:fldChar w:fldCharType="end"/>
      </w:r>
      <w:r>
        <w:rPr>
          <w:rFonts w:hint="eastAsia" w:ascii="宋体" w:hAnsi="宋体"/>
          <w:color w:val="auto"/>
          <w:szCs w:val="24"/>
          <w:highlight w:val="none"/>
        </w:rPr>
        <w:fldChar w:fldCharType="end"/>
      </w:r>
      <w:r/>
    </w:p>
    <w:p>
      <w:pPr>
        <w:pStyle w:val="784"/>
        <w:tabs>
          <w:tab w:val="right" w:pos="9746" w:leader="dot"/>
        </w:tabs>
      </w:pPr>
      <w:r>
        <w:rPr>
          <w:rFonts w:hint="eastAsia" w:ascii="宋体" w:hAnsi="宋体"/>
          <w:color w:val="auto"/>
          <w:szCs w:val="24"/>
          <w:highlight w:val="none"/>
        </w:rPr>
        <w:fldChar w:fldCharType="begin"/>
      </w:r>
      <w:r>
        <w:rPr>
          <w:rFonts w:hint="eastAsia" w:ascii="宋体" w:hAnsi="宋体"/>
          <w:szCs w:val="24"/>
          <w:highlight w:val="none"/>
        </w:rPr>
        <w:instrText xml:space="preserve"> HYPERLINK \l _Toc7917 </w:instrText>
      </w:r>
      <w:r>
        <w:rPr>
          <w:rFonts w:hint="eastAsia" w:ascii="宋体" w:hAnsi="宋体"/>
          <w:szCs w:val="24"/>
          <w:highlight w:val="none"/>
        </w:rPr>
        <w:fldChar w:fldCharType="separate"/>
      </w:r>
      <w:r>
        <w:rPr>
          <w:rFonts w:hint="eastAsia" w:ascii="宋体" w:hAnsi="宋体"/>
          <w:szCs w:val="24"/>
          <w:highlight w:val="none"/>
        </w:rPr>
        <w:t xml:space="preserve">第四章  </w:t>
      </w:r>
      <w:r>
        <w:rPr>
          <w:rFonts w:hint="eastAsia" w:ascii="宋体" w:hAnsi="宋体"/>
          <w:szCs w:val="24"/>
          <w:highlight w:val="none"/>
          <w:lang w:val="en-US" w:eastAsia="zh-CN"/>
        </w:rPr>
        <w:t xml:space="preserve">采购</w:t>
      </w:r>
      <w:r>
        <w:rPr>
          <w:rFonts w:hint="eastAsia" w:ascii="宋体" w:hAnsi="宋体"/>
          <w:szCs w:val="24"/>
          <w:highlight w:val="none"/>
        </w:rPr>
        <w:t xml:space="preserve">项目的服务要求和数量等</w:t>
      </w:r>
      <w:r>
        <w:tab/>
      </w:r>
      <w:r>
        <w:fldChar w:fldCharType="begin"/>
      </w:r>
      <w:r>
        <w:instrText xml:space="preserve"> PAGEREF _Toc7917 \h </w:instrText>
      </w:r>
      <w:r>
        <w:fldChar w:fldCharType="separate"/>
      </w:r>
      <w:r>
        <w:t xml:space="preserve">25</w:t>
      </w:r>
      <w:r>
        <w:fldChar w:fldCharType="end"/>
      </w:r>
      <w:r>
        <w:rPr>
          <w:rFonts w:hint="eastAsia" w:ascii="宋体" w:hAnsi="宋体"/>
          <w:color w:val="auto"/>
          <w:szCs w:val="24"/>
          <w:highlight w:val="none"/>
        </w:rPr>
        <w:fldChar w:fldCharType="end"/>
      </w:r>
      <w:r/>
    </w:p>
    <w:p>
      <w:pPr>
        <w:pStyle w:val="784"/>
        <w:tabs>
          <w:tab w:val="right" w:pos="9746" w:leader="dot"/>
        </w:tabs>
      </w:pPr>
      <w:r>
        <w:rPr>
          <w:rFonts w:hint="eastAsia" w:ascii="宋体" w:hAnsi="宋体"/>
          <w:color w:val="auto"/>
          <w:szCs w:val="24"/>
          <w:highlight w:val="none"/>
        </w:rPr>
        <w:fldChar w:fldCharType="begin"/>
      </w:r>
      <w:r>
        <w:rPr>
          <w:rFonts w:hint="eastAsia" w:ascii="宋体" w:hAnsi="宋体"/>
          <w:szCs w:val="24"/>
          <w:highlight w:val="none"/>
        </w:rPr>
        <w:instrText xml:space="preserve"> HYPERLINK \l _Toc30613 </w:instrText>
      </w:r>
      <w:r>
        <w:rPr>
          <w:rFonts w:hint="eastAsia" w:ascii="宋体" w:hAnsi="宋体"/>
          <w:szCs w:val="24"/>
          <w:highlight w:val="none"/>
        </w:rPr>
        <w:fldChar w:fldCharType="separate"/>
      </w:r>
      <w:r>
        <w:rPr>
          <w:rFonts w:hint="eastAsia" w:ascii="宋体" w:hAnsi="宋体"/>
          <w:szCs w:val="24"/>
          <w:highlight w:val="none"/>
        </w:rPr>
        <w:t xml:space="preserve">第五章  合同主要条款及格式</w:t>
      </w:r>
      <w:r>
        <w:tab/>
      </w:r>
      <w:r>
        <w:fldChar w:fldCharType="begin"/>
      </w:r>
      <w:r>
        <w:instrText xml:space="preserve"> PAGEREF _Toc30613 \h </w:instrText>
      </w:r>
      <w:r>
        <w:fldChar w:fldCharType="separate"/>
      </w:r>
      <w:r>
        <w:t xml:space="preserve">30</w:t>
      </w:r>
      <w:r>
        <w:fldChar w:fldCharType="end"/>
      </w:r>
      <w:r>
        <w:rPr>
          <w:rFonts w:hint="eastAsia" w:ascii="宋体" w:hAnsi="宋体"/>
          <w:color w:val="auto"/>
          <w:szCs w:val="24"/>
          <w:highlight w:val="none"/>
        </w:rPr>
        <w:fldChar w:fldCharType="end"/>
      </w:r>
      <w:r/>
    </w:p>
    <w:p>
      <w:pPr>
        <w:pStyle w:val="784"/>
        <w:tabs>
          <w:tab w:val="right" w:pos="9746" w:leader="dot"/>
        </w:tabs>
      </w:pPr>
      <w:r>
        <w:rPr>
          <w:rFonts w:hint="eastAsia" w:ascii="宋体" w:hAnsi="宋体"/>
          <w:color w:val="auto"/>
          <w:szCs w:val="24"/>
          <w:highlight w:val="none"/>
        </w:rPr>
        <w:fldChar w:fldCharType="begin"/>
      </w:r>
      <w:r>
        <w:rPr>
          <w:rFonts w:hint="eastAsia" w:ascii="宋体" w:hAnsi="宋体"/>
          <w:szCs w:val="24"/>
          <w:highlight w:val="none"/>
        </w:rPr>
        <w:instrText xml:space="preserve"> HYPERLINK \l _Toc26341 </w:instrText>
      </w:r>
      <w:r>
        <w:rPr>
          <w:rFonts w:hint="eastAsia" w:ascii="宋体" w:hAnsi="宋体"/>
          <w:szCs w:val="24"/>
          <w:highlight w:val="none"/>
        </w:rPr>
        <w:fldChar w:fldCharType="separate"/>
      </w:r>
      <w:r>
        <w:rPr>
          <w:rFonts w:hint="eastAsia" w:ascii="宋体" w:hAnsi="宋体"/>
          <w:szCs w:val="24"/>
          <w:highlight w:val="none"/>
        </w:rPr>
        <w:t xml:space="preserve">第六章  附件</w:t>
      </w:r>
      <w:r>
        <w:tab/>
      </w:r>
      <w:r>
        <w:fldChar w:fldCharType="begin"/>
      </w:r>
      <w:r>
        <w:instrText xml:space="preserve"> PAGEREF _Toc26341 \h </w:instrText>
      </w:r>
      <w:r>
        <w:fldChar w:fldCharType="separate"/>
      </w:r>
      <w:r>
        <w:t xml:space="preserve">35</w:t>
      </w:r>
      <w:r>
        <w:fldChar w:fldCharType="end"/>
      </w:r>
      <w:r>
        <w:rPr>
          <w:rFonts w:hint="eastAsia" w:ascii="宋体" w:hAnsi="宋体"/>
          <w:color w:val="auto"/>
          <w:szCs w:val="24"/>
          <w:highlight w:val="none"/>
        </w:rPr>
        <w:fldChar w:fldCharType="end"/>
      </w:r>
      <w:r/>
    </w:p>
    <w:p>
      <w:pPr>
        <w:spacing w:line="560" w:lineRule="exact"/>
        <w:rPr>
          <w:rStyle w:val="802"/>
          <w:rFonts w:hint="eastAsia" w:ascii="宋体" w:hAnsi="宋体"/>
          <w:color w:val="auto"/>
          <w:sz w:val="24"/>
          <w:szCs w:val="24"/>
          <w:highlight w:val="none"/>
        </w:rPr>
      </w:pPr>
      <w:r>
        <w:rPr>
          <w:rFonts w:hint="eastAsia" w:ascii="宋体" w:hAnsi="宋体"/>
          <w:color w:val="auto"/>
          <w:szCs w:val="24"/>
          <w:highlight w:val="none"/>
        </w:rPr>
        <w:fldChar w:fldCharType="end"/>
      </w:r>
      <w:r/>
    </w:p>
    <w:p>
      <w:pPr>
        <w:spacing w:line="560" w:lineRule="exact"/>
        <w:rPr>
          <w:rStyle w:val="802"/>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Style w:val="802"/>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Style w:val="802"/>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Style w:val="802"/>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Style w:val="802"/>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Style w:val="802"/>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Style w:val="802"/>
          <w:rFonts w:hint="eastAsia" w:ascii="宋体" w:hAnsi="宋体"/>
          <w:color w:val="auto"/>
          <w:sz w:val="24"/>
          <w:szCs w:val="24"/>
          <w:highlight w:val="none"/>
        </w:rPr>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color w:val="auto"/>
          <w:sz w:val="24"/>
          <w:szCs w:val="24"/>
          <w:highlight w:val="none"/>
        </w:rPr>
      </w:r>
      <w:r/>
    </w:p>
    <w:p>
      <w:pPr>
        <w:spacing w:line="560" w:lineRule="exact"/>
        <w:rPr>
          <w:rStyle w:val="802"/>
          <w:rFonts w:hint="eastAsia" w:ascii="宋体" w:hAnsi="宋体"/>
          <w:color w:val="auto"/>
          <w:sz w:val="24"/>
          <w:szCs w:val="24"/>
          <w:highlight w:val="none"/>
        </w:rPr>
      </w:pPr>
      <w:r>
        <w:rPr>
          <w:rFonts w:hint="eastAsia" w:ascii="宋体" w:hAnsi="宋体"/>
          <w:color w:val="auto"/>
          <w:sz w:val="24"/>
          <w:szCs w:val="24"/>
          <w:highlight w:val="none"/>
        </w:rPr>
      </w:r>
      <w:r/>
    </w:p>
    <w:p>
      <w:pPr>
        <w:pStyle w:val="755"/>
        <w:jc w:val="center"/>
        <w:spacing w:line="560" w:lineRule="exact"/>
        <w:rPr>
          <w:rFonts w:hint="eastAsia" w:ascii="宋体" w:hAnsi="宋体"/>
          <w:color w:val="auto"/>
          <w:sz w:val="24"/>
          <w:szCs w:val="24"/>
          <w:highlight w:val="none"/>
        </w:rPr>
      </w:pPr>
      <w:r/>
      <w:bookmarkStart w:id="0" w:name="_Toc25579"/>
      <w:r/>
      <w:bookmarkStart w:id="1" w:name="_Toc123027834"/>
      <w:r>
        <w:rPr>
          <w:rFonts w:hint="eastAsia" w:ascii="宋体" w:hAnsi="宋体"/>
          <w:color w:val="auto"/>
          <w:sz w:val="24"/>
          <w:szCs w:val="24"/>
          <w:highlight w:val="none"/>
        </w:rPr>
        <w:t xml:space="preserve">第一章  </w:t>
      </w:r>
      <w:r>
        <w:rPr>
          <w:rFonts w:hint="eastAsia" w:ascii="宋体" w:hAnsi="宋体"/>
          <w:color w:val="auto"/>
          <w:sz w:val="24"/>
          <w:szCs w:val="24"/>
          <w:highlight w:val="none"/>
          <w:lang w:val="en-US" w:eastAsia="zh-CN"/>
        </w:rPr>
        <w:t xml:space="preserve">磋商</w:t>
      </w:r>
      <w:r>
        <w:rPr>
          <w:rFonts w:hint="eastAsia" w:ascii="宋体" w:hAnsi="宋体"/>
          <w:color w:val="auto"/>
          <w:sz w:val="24"/>
          <w:szCs w:val="24"/>
          <w:highlight w:val="none"/>
        </w:rPr>
        <w:t xml:space="preserve">邀请</w:t>
      </w:r>
      <w:bookmarkEnd w:id="0"/>
      <w:r/>
      <w:bookmarkEnd w:id="1"/>
      <w:r/>
      <w:r/>
    </w:p>
    <w:p>
      <w:pPr>
        <w:ind w:firstLine="482"/>
        <w:spacing w:line="560" w:lineRule="exact"/>
        <w:rPr>
          <w:rFonts w:hint="eastAsia" w:ascii="宋体" w:hAnsi="宋体"/>
          <w:b/>
          <w:bCs/>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b/>
          <w:bCs/>
          <w:color w:val="auto"/>
          <w:sz w:val="24"/>
          <w:szCs w:val="24"/>
          <w:highlight w:val="none"/>
        </w:rPr>
        <w:t xml:space="preserve">项目概况</w:t>
      </w:r>
      <w:r/>
    </w:p>
    <w:p>
      <w:pPr>
        <w:ind w:firstLine="480"/>
        <w:spacing w:line="560" w:lineRule="exact"/>
        <w:rPr>
          <w:rFonts w:hint="eastAsia" w:ascii="宋体" w:hAnsi="宋体"/>
          <w:bCs/>
          <w:color w:val="auto"/>
          <w:sz w:val="24"/>
          <w:szCs w:val="24"/>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u w:val="single"/>
        </w:rPr>
        <w:t xml:space="preserve">南京市社会儿童福利院高淳分院柴油采购</w:t>
      </w:r>
      <w:r>
        <w:rPr>
          <w:rFonts w:hint="eastAsia" w:ascii="宋体" w:hAnsi="宋体"/>
          <w:color w:val="auto"/>
          <w:sz w:val="24"/>
          <w:szCs w:val="24"/>
          <w:highlight w:val="none"/>
        </w:rPr>
        <w:t xml:space="preserve">的潜在</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应在</w:t>
      </w:r>
      <w:r>
        <w:rPr>
          <w:rFonts w:hint="eastAsia" w:ascii="宋体" w:hAnsi="宋体"/>
          <w:color w:val="auto"/>
          <w:sz w:val="24"/>
          <w:szCs w:val="24"/>
          <w:highlight w:val="none"/>
          <w:u w:val="single"/>
        </w:rPr>
        <w:t xml:space="preserve">“江苏政府采购网”自行下载</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，并于</w:t>
      </w:r>
      <w:r>
        <w:rPr>
          <w:rFonts w:hint="eastAsia" w:ascii="宋体" w:hAnsi="宋体"/>
          <w:color w:val="auto"/>
          <w:sz w:val="24"/>
          <w:szCs w:val="24"/>
          <w:highlight w:val="none"/>
          <w:u w:val="single"/>
        </w:rPr>
        <w:t xml:space="preserve">2026年</w:t>
      </w:r>
      <w:r>
        <w:rPr>
          <w:rFonts w:hint="eastAsia" w:ascii="宋体" w:hAnsi="宋体"/>
          <w:color w:val="auto"/>
          <w:sz w:val="24"/>
          <w:szCs w:val="24"/>
          <w:highlight w:val="none"/>
          <w:u w:val="single"/>
          <w:lang w:val="en-US" w:eastAsia="zh-CN"/>
        </w:rPr>
        <w:t xml:space="preserve">09</w:t>
      </w:r>
      <w:r>
        <w:rPr>
          <w:rFonts w:hint="eastAsia" w:ascii="宋体" w:hAnsi="宋体"/>
          <w:color w:val="auto"/>
          <w:sz w:val="24"/>
          <w:szCs w:val="24"/>
          <w:highlight w:val="none"/>
          <w:u w:val="single"/>
        </w:rPr>
        <w:t xml:space="preserve">月</w:t>
      </w:r>
      <w:r>
        <w:rPr>
          <w:rFonts w:hint="eastAsia" w:ascii="宋体" w:hAnsi="宋体"/>
          <w:color w:val="auto"/>
          <w:sz w:val="24"/>
          <w:szCs w:val="24"/>
          <w:highlight w:val="none"/>
          <w:u w:val="single"/>
          <w:lang w:val="en-US" w:eastAsia="zh-CN"/>
        </w:rPr>
        <w:t xml:space="preserve">01日09</w:t>
      </w:r>
      <w:r>
        <w:rPr>
          <w:rFonts w:hint="eastAsia" w:ascii="宋体" w:hAnsi="宋体"/>
          <w:color w:val="auto"/>
          <w:sz w:val="24"/>
          <w:szCs w:val="24"/>
          <w:highlight w:val="none"/>
          <w:u w:val="single"/>
        </w:rPr>
        <w:t xml:space="preserve">点</w:t>
      </w:r>
      <w:r>
        <w:rPr>
          <w:rFonts w:hint="eastAsia" w:ascii="宋体" w:hAnsi="宋体"/>
          <w:color w:val="auto"/>
          <w:sz w:val="24"/>
          <w:szCs w:val="24"/>
          <w:highlight w:val="none"/>
          <w:u w:val="single"/>
          <w:lang w:val="en-US" w:eastAsia="zh-CN"/>
        </w:rPr>
        <w:t xml:space="preserve">30</w:t>
      </w:r>
      <w:r>
        <w:rPr>
          <w:rFonts w:hint="eastAsia" w:ascii="宋体" w:hAnsi="宋体"/>
          <w:color w:val="auto"/>
          <w:sz w:val="24"/>
          <w:szCs w:val="24"/>
          <w:highlight w:val="none"/>
          <w:u w:val="single"/>
        </w:rPr>
        <w:t xml:space="preserve">分</w:t>
      </w:r>
      <w:r>
        <w:rPr>
          <w:rFonts w:hint="eastAsia" w:ascii="宋体" w:hAnsi="宋体"/>
          <w:bCs/>
          <w:color w:val="auto"/>
          <w:sz w:val="24"/>
          <w:szCs w:val="24"/>
          <w:highlight w:val="none"/>
          <w:u w:val="single"/>
        </w:rPr>
        <w:t xml:space="preserve">（北京时间）</w:t>
      </w:r>
      <w:r>
        <w:rPr>
          <w:rFonts w:hint="eastAsia" w:ascii="宋体" w:hAnsi="宋体"/>
          <w:bCs/>
          <w:color w:val="auto"/>
          <w:sz w:val="24"/>
          <w:szCs w:val="24"/>
          <w:highlight w:val="none"/>
        </w:rPr>
        <w:t xml:space="preserve">前提交电子</w:t>
      </w:r>
      <w:r>
        <w:rPr>
          <w:rFonts w:hint="eastAsia" w:ascii="宋体" w:hAnsi="宋体"/>
          <w:bCs/>
          <w:color w:val="auto"/>
          <w:sz w:val="24"/>
          <w:szCs w:val="24"/>
          <w:highlight w:val="none"/>
          <w:lang w:eastAsia="zh-CN"/>
        </w:rPr>
        <w:t xml:space="preserve">响应文件</w:t>
      </w:r>
      <w:r>
        <w:rPr>
          <w:rFonts w:hint="eastAsia" w:ascii="宋体" w:hAnsi="宋体"/>
          <w:color w:val="auto"/>
          <w:sz w:val="24"/>
          <w:szCs w:val="24"/>
          <w:highlight w:val="none"/>
        </w:rPr>
        <w:t xml:space="preserve">。</w:t>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一、项目基本情况</w:t>
      </w:r>
      <w:r/>
    </w:p>
    <w:p>
      <w:pPr>
        <w:spacing w:line="560" w:lineRule="exact"/>
        <w:rPr>
          <w:rFonts w:hint="default" w:ascii="宋体" w:hAnsi="宋体" w:eastAsia="宋体"/>
          <w:bCs/>
          <w:color w:val="auto"/>
          <w:sz w:val="24"/>
          <w:szCs w:val="24"/>
          <w:highlight w:val="none"/>
          <w:u w:val="single"/>
          <w:lang w:val="en-US" w:eastAsia="zh-CN"/>
        </w:rPr>
      </w:pPr>
      <w:r>
        <w:rPr>
          <w:rFonts w:hint="eastAsia" w:ascii="宋体" w:hAnsi="宋体"/>
          <w:color w:val="auto"/>
          <w:sz w:val="24"/>
          <w:szCs w:val="24"/>
          <w:highlight w:val="none"/>
        </w:rPr>
        <w:t xml:space="preserve">1、项目编号：</w:t>
      </w:r>
      <w:r>
        <w:rPr>
          <w:rFonts w:hint="eastAsia" w:ascii="宋体" w:hAnsi="宋体"/>
          <w:bCs/>
          <w:color w:val="auto"/>
          <w:sz w:val="24"/>
          <w:szCs w:val="24"/>
          <w:highlight w:val="none"/>
          <w:u w:val="none"/>
          <w:lang w:val="zh-CN"/>
        </w:rPr>
        <w:t xml:space="preserve">JSZC-320100-YDZB-C2026-0017</w:t>
      </w:r>
      <w:r/>
    </w:p>
    <w:p>
      <w:pPr>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2、项目名称：南京市社会儿童福利院高淳分院柴油采购</w:t>
      </w:r>
      <w:r/>
    </w:p>
    <w:p>
      <w:pPr>
        <w:spacing w:line="56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3、招标方式：</w:t>
      </w:r>
      <w:r>
        <w:rPr>
          <w:rFonts w:hint="eastAsia" w:ascii="宋体" w:hAnsi="宋体"/>
          <w:color w:val="auto"/>
          <w:sz w:val="24"/>
          <w:szCs w:val="24"/>
          <w:highlight w:val="none"/>
          <w:lang w:val="en-US" w:eastAsia="zh-CN"/>
        </w:rPr>
        <w:t xml:space="preserve">竞争性磋商</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4、预算金额：1</w:t>
      </w:r>
      <w:r>
        <w:rPr>
          <w:rFonts w:hint="eastAsia" w:ascii="宋体" w:hAnsi="宋体"/>
          <w:color w:val="auto"/>
          <w:sz w:val="24"/>
          <w:szCs w:val="24"/>
          <w:highlight w:val="none"/>
          <w:lang w:val="en-US" w:eastAsia="zh-CN"/>
        </w:rPr>
        <w:t xml:space="preserve">60</w:t>
      </w:r>
      <w:r>
        <w:rPr>
          <w:rFonts w:hint="eastAsia" w:ascii="宋体" w:hAnsi="宋体"/>
          <w:color w:val="auto"/>
          <w:sz w:val="24"/>
          <w:szCs w:val="24"/>
          <w:highlight w:val="none"/>
        </w:rPr>
        <w:t xml:space="preserve">万元</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5、最高限价：各供应商报价按照江苏省发展和改革委员会最新公布的关于成品油价格调整通知规定的油品（国Ⅵ）最高零售价格统一进行优惠率报价。优惠率最高限价为 100%（即 0%≤优惠率≤100%）投标优惠率报价超过100%的按无效投标处理。</w:t>
      </w:r>
      <w:r/>
    </w:p>
    <w:p>
      <w:pPr>
        <w:spacing w:line="56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招标需求：南京市儿童福利院本次拟采购柴油，专供院内蒸汽锅炉使用，锅炉产出蒸汽用于全院儿童日常洗浴生活热水供应，同时保障洗衣房烘干机持续运转，完成儿童衣物、寝具、尿布等清洗烘干工作，需全年稳定供油，保障院内儿童基础生活照料不间断，保障福利院安全、稳定、合规用油</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详情请见磋商文件。</w:t>
      </w:r>
      <w:r/>
    </w:p>
    <w:p>
      <w:pPr>
        <w:spacing w:line="560" w:lineRule="exac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7、合同履行期限：</w:t>
      </w:r>
      <w:r>
        <w:rPr>
          <w:rFonts w:hint="eastAsia" w:ascii="宋体" w:hAnsi="宋体"/>
          <w:color w:val="000000" w:themeColor="text1"/>
          <w:sz w:val="24"/>
          <w:szCs w:val="24"/>
          <w:highlight w:val="none"/>
          <w:u w:val="none"/>
          <w:lang w:eastAsia="zh-CN"/>
          <w14:textFill>
            <w14:solidFill>
              <w14:schemeClr w14:val="tx1"/>
            </w14:solidFill>
          </w14:textFill>
        </w:rPr>
        <w:t xml:space="preserve">2</w:t>
      </w:r>
      <w:r>
        <w:rPr>
          <w:rFonts w:hint="eastAsia" w:ascii="宋体" w:hAnsi="宋体"/>
          <w:color w:val="000000" w:themeColor="text1"/>
          <w:sz w:val="24"/>
          <w:szCs w:val="24"/>
          <w:highlight w:val="none"/>
          <w:u w:val="none"/>
          <w:lang w:val="en-US" w:eastAsia="zh-CN"/>
          <w14:textFill>
            <w14:solidFill>
              <w14:schemeClr w14:val="tx1"/>
            </w14:solidFill>
          </w14:textFill>
        </w:rPr>
        <w:t xml:space="preserve">026年09月07日至2027年09月06日。</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8、本项目是否专门面向中小企业采购项目：否。</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9、本项目不接受联合体投标。</w:t>
      </w:r>
      <w:r/>
    </w:p>
    <w:p>
      <w:pPr>
        <w:spacing w:line="560" w:lineRule="exact"/>
        <w:rPr>
          <w:rFonts w:hint="eastAsia" w:ascii="宋体" w:hAnsi="宋体"/>
          <w:b/>
          <w:color w:val="auto"/>
          <w:sz w:val="24"/>
          <w:szCs w:val="24"/>
          <w:highlight w:val="none"/>
          <w:lang w:val="zh-CN"/>
        </w:rPr>
      </w:pPr>
      <w:r>
        <w:rPr>
          <w:rFonts w:hint="eastAsia" w:ascii="宋体" w:hAnsi="宋体"/>
          <w:b/>
          <w:color w:val="auto"/>
          <w:sz w:val="24"/>
          <w:szCs w:val="24"/>
          <w:highlight w:val="none"/>
        </w:rPr>
        <w:t xml:space="preserve">二、申请人资格条件</w:t>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1、满足《中华人民共和国政府采购法》第二十二条规定：</w:t>
      </w:r>
      <w:r/>
    </w:p>
    <w:p>
      <w:pPr>
        <w:spacing w:line="560" w:lineRule="exact"/>
        <w:rPr>
          <w:rFonts w:hint="eastAsia" w:ascii="宋体" w:hAnsi="宋体"/>
          <w:sz w:val="24"/>
          <w:szCs w:val="24"/>
        </w:rPr>
      </w:pPr>
      <w:r>
        <w:rPr>
          <w:rFonts w:hint="eastAsia" w:ascii="宋体" w:hAnsi="宋体"/>
          <w:sz w:val="24"/>
          <w:szCs w:val="24"/>
        </w:rPr>
        <w:t xml:space="preserve">（1）具有独立承担民事责任的能力（提供法人或者其他组织的营业执照，自然人的身份证）；</w:t>
      </w:r>
      <w:r/>
    </w:p>
    <w:p>
      <w:pPr>
        <w:spacing w:line="560" w:lineRule="exact"/>
        <w:rPr>
          <w:rFonts w:hint="eastAsia" w:ascii="宋体" w:hAnsi="宋体"/>
          <w:sz w:val="24"/>
          <w:szCs w:val="24"/>
        </w:rPr>
      </w:pPr>
      <w:r>
        <w:rPr>
          <w:rFonts w:hint="eastAsia" w:ascii="宋体" w:hAnsi="宋体"/>
          <w:sz w:val="24"/>
          <w:szCs w:val="24"/>
        </w:rPr>
        <w:t xml:space="preserve">（2）具有良好的商业信誉和健全的财务会计制度（提供参加本次政府采购活动前上一年度的会计报表），或提供《南京市政府采购供应商信用记录表暨信用承诺书》；</w:t>
      </w:r>
      <w:r/>
    </w:p>
    <w:p>
      <w:pPr>
        <w:spacing w:line="560" w:lineRule="exact"/>
        <w:rPr>
          <w:rFonts w:hint="eastAsia" w:ascii="宋体" w:hAnsi="宋体"/>
          <w:sz w:val="24"/>
          <w:szCs w:val="24"/>
        </w:rPr>
      </w:pPr>
      <w:r>
        <w:rPr>
          <w:rFonts w:hint="eastAsia" w:ascii="宋体" w:hAnsi="宋体"/>
          <w:sz w:val="24"/>
          <w:szCs w:val="24"/>
        </w:rPr>
        <w:t xml:space="preserve">（3）具有履行合同所必需的设备和专业技术能力（根据项目需求提供履行合同所必需的设备和专业技术能力的声明及证明材料），或提供《南京市政府采购供应商信用记录表暨信用承诺书》；</w:t>
      </w:r>
      <w:r/>
    </w:p>
    <w:p>
      <w:pPr>
        <w:spacing w:line="560" w:lineRule="exact"/>
        <w:rPr>
          <w:rFonts w:hint="eastAsia" w:ascii="宋体" w:hAnsi="宋体"/>
          <w:sz w:val="24"/>
          <w:szCs w:val="24"/>
        </w:rPr>
      </w:pPr>
      <w:r>
        <w:rPr>
          <w:rFonts w:hint="eastAsia" w:ascii="宋体" w:hAnsi="宋体"/>
          <w:sz w:val="24"/>
          <w:szCs w:val="24"/>
        </w:rPr>
        <w:t xml:space="preserve">（4）有依法缴纳税收和社会保障资金的良好记录（提供参加本次采购活动前一年内（至少一个月）依法缴纳税收和社会保障资金的相关材料），或提供《南京市政府采购供应商信用记录表暨信用承诺书》；</w:t>
      </w:r>
      <w:r/>
    </w:p>
    <w:p>
      <w:pPr>
        <w:spacing w:line="560" w:lineRule="exact"/>
        <w:rPr>
          <w:rFonts w:hint="eastAsia" w:ascii="宋体" w:hAnsi="宋体"/>
          <w:sz w:val="24"/>
          <w:szCs w:val="24"/>
        </w:rPr>
      </w:pPr>
      <w:r>
        <w:rPr>
          <w:rFonts w:hint="eastAsia" w:ascii="宋体" w:hAnsi="宋体"/>
          <w:sz w:val="24"/>
          <w:szCs w:val="24"/>
        </w:rPr>
        <w:t xml:space="preserve">（5）参加政府采购活动前三年内，在经营活动中没有重大违法记录（提供参加本次政府采购活动前3年内在经营活动中没有重大违法记录的书面声明）；</w:t>
      </w:r>
      <w:r/>
    </w:p>
    <w:p>
      <w:pPr>
        <w:spacing w:line="560" w:lineRule="exact"/>
        <w:rPr>
          <w:rFonts w:hint="eastAsia" w:ascii="宋体" w:hAnsi="宋体"/>
          <w:sz w:val="24"/>
          <w:szCs w:val="24"/>
        </w:rPr>
      </w:pPr>
      <w:r>
        <w:rPr>
          <w:rFonts w:hint="eastAsia" w:ascii="宋体" w:hAnsi="宋体"/>
          <w:sz w:val="24"/>
          <w:szCs w:val="24"/>
        </w:rPr>
        <w:t xml:space="preserve">（6）法律、行政法规规定的其他条件（提供项目实施所必须的许可资质证明材料）：无。</w:t>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2、落实政府采购政策需满足的资格要求：</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本项目按照以下第（4）种方式落实政府采购促进中小企业发展的要求：</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（1）本项目整体专门面向中小企业采购服务。</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（2）本项目为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（项目编号）的采购包，专门面向中小企业采购服务。</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（3）本项目通过以下第（） 种方式预留部分采购份额采购给中小企业服务：</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①本项目要求</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以联合体形式参加，中小企业合同金额应当达到的比例为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%，其中小微企业所占比例应为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%（两项比例均应符合《政府采购促进中小企业发展管理办法》第八条规定）。</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②本项目要求</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进行合同分包，中小企业合同金额应当达到的比例为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%，其中小微企业所占比例应为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%（两项比例均应符合《政府采购促进中小企业发展管理办法》第八条规定）。</w:t>
      </w:r>
      <w:r/>
    </w:p>
    <w:p>
      <w:pPr>
        <w:numPr>
          <w:ilvl w:val="0"/>
          <w:numId w:val="4"/>
        </w:numPr>
        <w:spacing w:line="560" w:lineRule="exact"/>
        <w:rPr>
          <w:rFonts w:hint="eastAsia" w:ascii="宋体" w:hAnsi="宋体"/>
          <w:color w:val="auto"/>
          <w:sz w:val="24"/>
          <w:szCs w:val="24"/>
          <w:highlight w:val="none"/>
        </w:rPr>
      </w:pPr>
      <w:r/>
      <w:bookmarkStart w:id="2" w:name="_Hlk101541071"/>
      <w:r>
        <w:rPr>
          <w:rFonts w:hint="eastAsia" w:ascii="宋体" w:hAnsi="宋体"/>
          <w:color w:val="auto"/>
          <w:sz w:val="24"/>
          <w:szCs w:val="24"/>
          <w:highlight w:val="none"/>
        </w:rPr>
        <w:t xml:space="preserve">本项目为非预留份额的采购项目或采购包，执行价格扣除优惠政策，具体详见第三章评标办法与标准。</w:t>
      </w:r>
      <w:bookmarkEnd w:id="2"/>
      <w:r/>
      <w:r/>
    </w:p>
    <w:p>
      <w:pPr>
        <w:numPr>
          <w:ilvl w:val="0"/>
          <w:numId w:val="5"/>
        </w:numPr>
        <w:spacing w:line="560" w:lineRule="exact"/>
        <w:rPr>
          <w:rFonts w:hint="eastAsia" w:ascii="宋体" w:hAnsi="宋体" w:eastAsia="宋体" w:cs="宋体"/>
          <w:b/>
          <w:bCs/>
          <w:color w:val="auto"/>
          <w:sz w:val="24"/>
          <w:szCs w:val="24"/>
          <w:highlight w:val="none"/>
          <w:lang w:val="en-US" w:eastAsia="zh-CN" w:bidi="ar-SA"/>
        </w:rPr>
      </w:pPr>
      <w:r>
        <w:rPr>
          <w:rFonts w:hint="eastAsia" w:ascii="宋体" w:hAnsi="宋体"/>
          <w:b/>
          <w:bCs/>
          <w:color w:val="auto"/>
          <w:sz w:val="24"/>
          <w:szCs w:val="24"/>
          <w:highlight w:val="none"/>
          <w:lang w:eastAsia="zh-CN"/>
        </w:rPr>
        <w:t xml:space="preserve">采购人</w:t>
      </w:r>
      <w:r>
        <w:rPr>
          <w:rFonts w:hint="eastAsia" w:ascii="宋体" w:hAnsi="宋体"/>
          <w:b/>
          <w:bCs/>
          <w:color w:val="auto"/>
          <w:sz w:val="24"/>
          <w:szCs w:val="24"/>
          <w:highlight w:val="none"/>
        </w:rPr>
        <w:t xml:space="preserve">根据采购项目的特殊要求规定的特定条件：</w:t>
      </w:r>
      <w:r>
        <w:rPr>
          <w:rFonts w:hint="eastAsia" w:ascii="宋体" w:hAnsi="宋体" w:eastAsia="宋体" w:cs="宋体"/>
          <w:b/>
          <w:bCs/>
          <w:color w:val="auto"/>
          <w:sz w:val="24"/>
          <w:szCs w:val="24"/>
          <w:highlight w:val="none"/>
          <w:lang w:val="en-US" w:eastAsia="zh-CN" w:bidi="ar-SA"/>
        </w:rPr>
        <w:t xml:space="preserve">供应商需具有有效期内的（危险化学品经营许可证）经营许可范围必须包含柴油或者加油站具备（成品油零售经营批准证书）经营许可范围必须包含柴油</w:t>
      </w:r>
      <w:r/>
    </w:p>
    <w:p>
      <w:pPr>
        <w:pStyle w:val="792"/>
        <w:spacing w:before="0" w:beforeAutospacing="0" w:after="0" w:afterAutospacing="0" w:line="560" w:lineRule="exact"/>
        <w:rPr>
          <w:rFonts w:hint="eastAsia"/>
          <w:color w:val="auto"/>
          <w:highlight w:val="none"/>
        </w:rPr>
      </w:pPr>
      <w:r>
        <w:rPr>
          <w:rFonts w:hint="eastAsia"/>
          <w:color w:val="auto"/>
          <w:highlight w:val="none"/>
        </w:rPr>
        <w:t xml:space="preserve">4、第1（5）条所称的重大违法记录是指</w:t>
      </w:r>
      <w:r>
        <w:rPr>
          <w:rFonts w:hint="eastAsia"/>
          <w:color w:val="auto"/>
          <w:highlight w:val="none"/>
          <w:lang w:eastAsia="zh-CN"/>
        </w:rPr>
        <w:t xml:space="preserve">供应商</w:t>
      </w:r>
      <w:r>
        <w:rPr>
          <w:rFonts w:hint="eastAsia"/>
          <w:color w:val="auto"/>
          <w:highlight w:val="none"/>
        </w:rPr>
        <w:t xml:space="preserve">因违法经营受到刑事处罚或者责令停产停业、吊销许可证或者执照、较大数额罚款等行政处罚。</w:t>
      </w:r>
      <w:r/>
    </w:p>
    <w:p>
      <w:pPr>
        <w:pStyle w:val="792"/>
        <w:spacing w:before="0" w:beforeAutospacing="0" w:after="0" w:afterAutospacing="0" w:line="560" w:lineRule="exact"/>
        <w:rPr>
          <w:rFonts w:hint="eastAsia"/>
          <w:color w:val="auto"/>
          <w:highlight w:val="none"/>
        </w:rPr>
      </w:pPr>
      <w:r>
        <w:rPr>
          <w:rFonts w:hint="eastAsia"/>
          <w:color w:val="auto"/>
          <w:highlight w:val="none"/>
        </w:rPr>
        <w:t xml:space="preserve">5、</w:t>
      </w:r>
      <w:r>
        <w:rPr>
          <w:rFonts w:hint="eastAsia"/>
          <w:color w:val="auto"/>
          <w:highlight w:val="none"/>
          <w:lang w:eastAsia="zh-CN"/>
        </w:rPr>
        <w:t xml:space="preserve">供应商</w:t>
      </w:r>
      <w:r>
        <w:rPr>
          <w:rFonts w:hint="eastAsia"/>
          <w:color w:val="auto"/>
          <w:highlight w:val="none"/>
        </w:rPr>
        <w:t xml:space="preserve">在参加政府采购活动前 3 年内因违法经营被禁止在一定期限内参加政府采购活动，期限届满的，可以参加政府采购活动。</w:t>
      </w:r>
      <w:r/>
    </w:p>
    <w:p>
      <w:pPr>
        <w:pStyle w:val="792"/>
        <w:spacing w:before="0" w:beforeAutospacing="0" w:after="0" w:afterAutospacing="0" w:line="560" w:lineRule="exact"/>
        <w:rPr>
          <w:rFonts w:hint="eastAsia"/>
          <w:color w:val="auto"/>
          <w:highlight w:val="none"/>
        </w:rPr>
      </w:pPr>
      <w:r>
        <w:rPr>
          <w:rFonts w:hint="eastAsia"/>
          <w:color w:val="auto"/>
          <w:highlight w:val="none"/>
        </w:rPr>
        <w:t xml:space="preserve">6、单位负责人为同一人或者存在直接控股、管理关系的不同</w:t>
      </w:r>
      <w:r>
        <w:rPr>
          <w:rFonts w:hint="eastAsia"/>
          <w:color w:val="auto"/>
          <w:highlight w:val="none"/>
          <w:lang w:eastAsia="zh-CN"/>
        </w:rPr>
        <w:t xml:space="preserve">供应商</w:t>
      </w:r>
      <w:r>
        <w:rPr>
          <w:rFonts w:hint="eastAsia"/>
          <w:color w:val="auto"/>
          <w:highlight w:val="none"/>
        </w:rPr>
        <w:t xml:space="preserve">，不得参加同一合同项下的政府采购活动。为采购项目提供整体设计、规范编制或者项目管理、监理、检测等服务的</w:t>
      </w:r>
      <w:r>
        <w:rPr>
          <w:rFonts w:hint="eastAsia"/>
          <w:color w:val="auto"/>
          <w:highlight w:val="none"/>
          <w:lang w:eastAsia="zh-CN"/>
        </w:rPr>
        <w:t xml:space="preserve">供应商</w:t>
      </w:r>
      <w:r>
        <w:rPr>
          <w:rFonts w:hint="eastAsia"/>
          <w:color w:val="auto"/>
          <w:highlight w:val="none"/>
        </w:rPr>
        <w:t xml:space="preserve">，不得再参加该采购项目的其他采购活动。</w:t>
      </w:r>
      <w:r/>
    </w:p>
    <w:p>
      <w:pPr>
        <w:pStyle w:val="792"/>
        <w:spacing w:before="0" w:beforeAutospacing="0" w:after="0" w:afterAutospacing="0" w:line="560" w:lineRule="exact"/>
        <w:rPr>
          <w:rFonts w:hint="eastAsia"/>
          <w:color w:val="auto"/>
          <w:highlight w:val="none"/>
        </w:rPr>
      </w:pPr>
      <w:r>
        <w:rPr>
          <w:rFonts w:hint="eastAsia"/>
          <w:color w:val="auto"/>
          <w:highlight w:val="none"/>
        </w:rPr>
        <w:t xml:space="preserve">7、拒绝列入失信被执行人、重大税收违法案件当事人名单、政府采购严重违法失信行为记录名单的</w:t>
      </w:r>
      <w:r>
        <w:rPr>
          <w:rFonts w:hint="eastAsia"/>
          <w:color w:val="auto"/>
          <w:highlight w:val="none"/>
          <w:lang w:eastAsia="zh-CN"/>
        </w:rPr>
        <w:t xml:space="preserve">供应商</w:t>
      </w:r>
      <w:r>
        <w:rPr>
          <w:rFonts w:hint="eastAsia"/>
          <w:color w:val="auto"/>
          <w:highlight w:val="none"/>
        </w:rPr>
        <w:t xml:space="preserve">参与政府采购活动。采购代理机构将在开标结束后，通过“中国政府采购网”、“信用中国”网站、“信用江苏”网站等渠道查询</w:t>
      </w:r>
      <w:r>
        <w:rPr>
          <w:rFonts w:hint="eastAsia"/>
          <w:color w:val="auto"/>
          <w:highlight w:val="none"/>
          <w:lang w:eastAsia="zh-CN"/>
        </w:rPr>
        <w:t xml:space="preserve">供应商</w:t>
      </w:r>
      <w:r>
        <w:rPr>
          <w:rFonts w:hint="eastAsia"/>
          <w:color w:val="auto"/>
          <w:highlight w:val="none"/>
        </w:rPr>
        <w:t xml:space="preserve">信用记录。</w:t>
      </w:r>
      <w:r/>
    </w:p>
    <w:p>
      <w:pPr>
        <w:spacing w:line="560" w:lineRule="exact"/>
        <w:rPr>
          <w:rFonts w:hint="eastAsia" w:ascii="宋体" w:hAnsi="宋体"/>
          <w:b/>
          <w:color w:val="auto"/>
          <w:sz w:val="24"/>
          <w:szCs w:val="24"/>
          <w:highlight w:val="none"/>
          <w:lang w:val="zh-CN"/>
        </w:rPr>
      </w:pPr>
      <w:r>
        <w:rPr>
          <w:rFonts w:hint="eastAsia" w:ascii="宋体" w:hAnsi="宋体"/>
          <w:b/>
          <w:color w:val="auto"/>
          <w:sz w:val="24"/>
          <w:szCs w:val="24"/>
          <w:highlight w:val="none"/>
        </w:rPr>
        <w:t xml:space="preserve">三、</w:t>
      </w:r>
      <w:r>
        <w:rPr>
          <w:rFonts w:hint="eastAsia" w:ascii="宋体" w:hAnsi="宋体"/>
          <w:b/>
          <w:color w:val="auto"/>
          <w:sz w:val="24"/>
          <w:szCs w:val="24"/>
          <w:highlight w:val="none"/>
          <w:lang w:val="zh-CN"/>
        </w:rPr>
        <w:t xml:space="preserve">获取</w:t>
      </w:r>
      <w:r>
        <w:rPr>
          <w:rFonts w:hint="eastAsia" w:ascii="宋体" w:hAnsi="宋体"/>
          <w:b/>
          <w:color w:val="auto"/>
          <w:sz w:val="24"/>
          <w:szCs w:val="24"/>
          <w:highlight w:val="none"/>
        </w:rPr>
        <w:t xml:space="preserve">采购</w:t>
      </w:r>
      <w:r>
        <w:rPr>
          <w:rFonts w:hint="eastAsia" w:ascii="宋体" w:hAnsi="宋体"/>
          <w:b/>
          <w:color w:val="auto"/>
          <w:sz w:val="24"/>
          <w:szCs w:val="24"/>
          <w:highlight w:val="none"/>
          <w:lang w:val="zh-CN"/>
        </w:rPr>
        <w:t xml:space="preserve">文件</w:t>
      </w:r>
      <w:r/>
    </w:p>
    <w:p>
      <w:pPr>
        <w:spacing w:line="560" w:lineRule="exact"/>
        <w:rPr>
          <w:rFonts w:hint="eastAsia" w:ascii="宋体" w:hAnsi="宋体"/>
          <w:color w:val="auto"/>
          <w:sz w:val="24"/>
          <w:szCs w:val="24"/>
          <w:highlight w:val="none"/>
        </w:rPr>
      </w:pPr>
      <w:r/>
      <w:bookmarkStart w:id="3" w:name="_Toc26958"/>
      <w:r/>
      <w:bookmarkStart w:id="4" w:name="_Toc3840"/>
      <w:r>
        <w:rPr>
          <w:rFonts w:hint="eastAsia" w:ascii="宋体" w:hAnsi="宋体"/>
          <w:color w:val="auto"/>
          <w:sz w:val="24"/>
          <w:szCs w:val="24"/>
          <w:highlight w:val="none"/>
        </w:rPr>
        <w:t xml:space="preserve">1、获取时间：2026年</w:t>
      </w:r>
      <w:r>
        <w:rPr>
          <w:rFonts w:hint="eastAsia" w:ascii="宋体" w:hAnsi="宋体"/>
          <w:color w:val="auto"/>
          <w:sz w:val="24"/>
          <w:szCs w:val="24"/>
          <w:highlight w:val="none"/>
          <w:lang w:val="en-US" w:eastAsia="zh-CN"/>
        </w:rPr>
        <w:t xml:space="preserve">08</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19</w:t>
      </w:r>
      <w:r>
        <w:rPr>
          <w:rFonts w:hint="eastAsia" w:ascii="宋体" w:hAnsi="宋体"/>
          <w:color w:val="auto"/>
          <w:sz w:val="24"/>
          <w:szCs w:val="24"/>
          <w:highlight w:val="none"/>
        </w:rPr>
        <w:t xml:space="preserve">日至2026年</w:t>
      </w:r>
      <w:r>
        <w:rPr>
          <w:rFonts w:hint="eastAsia" w:ascii="宋体" w:hAnsi="宋体"/>
          <w:color w:val="auto"/>
          <w:sz w:val="24"/>
          <w:szCs w:val="24"/>
          <w:highlight w:val="none"/>
          <w:lang w:val="en-US" w:eastAsia="zh-CN"/>
        </w:rPr>
        <w:t xml:space="preserve">08</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25</w:t>
      </w:r>
      <w:r>
        <w:rPr>
          <w:rFonts w:hint="eastAsia" w:ascii="宋体" w:hAnsi="宋体"/>
          <w:color w:val="auto"/>
          <w:sz w:val="24"/>
          <w:szCs w:val="24"/>
          <w:highlight w:val="none"/>
        </w:rPr>
        <w:t xml:space="preserve">日，每天上午00:00-12:00，下午12:00-23:59（北京时间，法定节假日除外）。</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2、获取地点：在“江苏政府采购网”自行下载</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3、获取方式：</w:t>
      </w:r>
      <w:r>
        <w:rPr>
          <w:rFonts w:hint="eastAsia" w:ascii="宋体" w:hAnsi="宋体"/>
          <w:color w:val="auto"/>
          <w:sz w:val="24"/>
          <w:szCs w:val="24"/>
          <w:highlight w:val="none"/>
          <w:lang w:eastAsia="zh-CN"/>
        </w:rPr>
        <w:t xml:space="preserve">供应商登录</w:t>
      </w:r>
      <w:r>
        <w:rPr>
          <w:rFonts w:hint="eastAsia" w:ascii="宋体" w:hAnsi="宋体"/>
          <w:color w:val="auto"/>
          <w:sz w:val="24"/>
          <w:szCs w:val="24"/>
          <w:highlight w:val="none"/>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p>
    <w:p>
      <w:pPr>
        <w:spacing w:line="56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4、</w:t>
      </w:r>
      <w:r>
        <w:rPr>
          <w:rFonts w:hint="eastAsia" w:ascii="宋体" w:hAnsi="宋体"/>
          <w:bCs/>
          <w:color w:val="auto"/>
          <w:sz w:val="24"/>
          <w:szCs w:val="24"/>
          <w:highlight w:val="none"/>
        </w:rPr>
        <w:t xml:space="preserve">售价：0.00元。</w:t>
      </w:r>
      <w:bookmarkEnd w:id="3"/>
      <w:bookmarkEnd w:id="4"/>
      <w:r/>
    </w:p>
    <w:p>
      <w:pPr>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四、提交</w:t>
      </w:r>
      <w:r>
        <w:rPr>
          <w:rFonts w:hint="eastAsia" w:ascii="宋体" w:hAnsi="宋体"/>
          <w:b/>
          <w:color w:val="auto"/>
          <w:sz w:val="24"/>
          <w:szCs w:val="24"/>
          <w:highlight w:val="none"/>
          <w:lang w:eastAsia="zh-CN"/>
        </w:rPr>
        <w:t xml:space="preserve">响应文件</w:t>
      </w:r>
      <w:r>
        <w:rPr>
          <w:rFonts w:hint="eastAsia" w:ascii="宋体" w:hAnsi="宋体"/>
          <w:b/>
          <w:color w:val="auto"/>
          <w:sz w:val="24"/>
          <w:szCs w:val="24"/>
          <w:highlight w:val="none"/>
        </w:rPr>
        <w:t xml:space="preserve">截止时间、开标时间和地点</w:t>
      </w:r>
      <w:r/>
    </w:p>
    <w:p>
      <w:pPr>
        <w:spacing w:line="560" w:lineRule="exact"/>
        <w:rPr>
          <w:rFonts w:hint="eastAsia" w:ascii="宋体" w:hAnsi="宋体"/>
          <w:b/>
          <w:bCs/>
          <w:color w:val="auto"/>
          <w:sz w:val="24"/>
          <w:szCs w:val="24"/>
          <w:highlight w:val="none"/>
        </w:rPr>
      </w:pPr>
      <w:r>
        <w:rPr>
          <w:rFonts w:hint="eastAsia" w:ascii="宋体" w:hAnsi="宋体"/>
          <w:color w:val="auto"/>
          <w:sz w:val="24"/>
          <w:szCs w:val="24"/>
          <w:highlight w:val="none"/>
        </w:rPr>
        <w:t xml:space="preserve">时间：2026年</w:t>
      </w:r>
      <w:r>
        <w:rPr>
          <w:rFonts w:hint="eastAsia" w:ascii="宋体" w:hAnsi="宋体"/>
          <w:color w:val="auto"/>
          <w:sz w:val="24"/>
          <w:szCs w:val="24"/>
          <w:highlight w:val="none"/>
          <w:lang w:val="en-US" w:eastAsia="zh-CN"/>
        </w:rPr>
        <w:t xml:space="preserve">09</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01</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09</w:t>
      </w:r>
      <w:r>
        <w:rPr>
          <w:rFonts w:hint="eastAsia" w:ascii="宋体" w:hAnsi="宋体"/>
          <w:color w:val="auto"/>
          <w:sz w:val="24"/>
          <w:szCs w:val="24"/>
          <w:highlight w:val="none"/>
        </w:rPr>
        <w:t xml:space="preserve">点</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分（北京时间）；</w:t>
      </w:r>
      <w:r/>
    </w:p>
    <w:p>
      <w:pPr>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地点：“苏采云”政府采购交易系统网上开标大厅</w:t>
      </w:r>
      <w:r/>
    </w:p>
    <w:p>
      <w:pPr>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五、公告期限</w:t>
      </w:r>
      <w:r/>
    </w:p>
    <w:p>
      <w:pPr>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自本公告发布之日起5个工作日</w:t>
      </w:r>
      <w:r>
        <w:rPr>
          <w:rFonts w:hint="eastAsia" w:ascii="宋体" w:hAnsi="宋体"/>
          <w:color w:val="auto"/>
          <w:sz w:val="24"/>
          <w:szCs w:val="24"/>
          <w:highlight w:val="none"/>
          <w:lang w:eastAsia="zh-CN"/>
        </w:rPr>
        <w:t xml:space="preserve">。</w:t>
      </w:r>
      <w:r/>
    </w:p>
    <w:p>
      <w:pPr>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六、其他补充事宜</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6.1本项目中标后不允许分包、转包。</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6.2现场考察、答疑时间：</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不组织，</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可自行考察。</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6.3是否接受进口产品：不接受。</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6.4根据省财政厅《关于更换全省政府采购交易系统C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通过苏采云系统参与政府采购项目，需要更换或办理CA数字证书和电子签章。具体办理指南和操作手册见链接：http://www.ccgp-jiangsu.gov.cn/jiangsu/zlxz/ee/ee3a4bc5a3454aa2b0d9312230633ce9.html。</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领取CA和办理电子签章（请至南京汉中门大街145号江苏省政务服务中心二期三楼大厅CA办理窗口办理，具体联系方式见《苏采云系统</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操作手册》（以下简称《操作手册》）、进行注册并按《操作手册》要求制作、上传电子</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也可前往“江苏政务服务网”（www.jszwfw.gov.cn），“一企来办”专栏下“政府采购”模块详细了解关于CA办理、标书制作、开标投标指引等事宜。</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如果“江苏政府采购网”（www.ccgp-jiangsu.gov.cn）信息与“江苏政务服务网” （www.jszwfw.gov.cn），“一企来办”专栏下“政府采购”模块中信息不一致，以“江苏政府采购网”信息为准。</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6.5本</w:t>
      </w:r>
      <w:r>
        <w:rPr>
          <w:rFonts w:hint="eastAsia" w:ascii="宋体" w:hAnsi="宋体"/>
          <w:color w:val="auto"/>
          <w:sz w:val="24"/>
          <w:szCs w:val="24"/>
          <w:highlight w:val="none"/>
          <w:lang w:eastAsia="zh-CN"/>
        </w:rPr>
        <w:t xml:space="preserve">竞争性磋商</w:t>
      </w:r>
      <w:r>
        <w:rPr>
          <w:rFonts w:hint="eastAsia" w:ascii="宋体" w:hAnsi="宋体"/>
          <w:color w:val="auto"/>
          <w:sz w:val="24"/>
          <w:szCs w:val="24"/>
          <w:highlight w:val="none"/>
        </w:rPr>
        <w:t xml:space="preserve">公告在江苏政府采购网（http://www.ccgp-jiangsu.gov.cn/）公示发布。若有关本次</w:t>
      </w:r>
      <w:r>
        <w:rPr>
          <w:rFonts w:hint="eastAsia" w:ascii="宋体" w:hAnsi="宋体"/>
          <w:color w:val="auto"/>
          <w:sz w:val="24"/>
          <w:szCs w:val="24"/>
          <w:highlight w:val="none"/>
          <w:lang w:eastAsia="zh-CN"/>
        </w:rPr>
        <w:t xml:space="preserve">竞争性磋商</w:t>
      </w:r>
      <w:r>
        <w:rPr>
          <w:rFonts w:hint="eastAsia" w:ascii="宋体" w:hAnsi="宋体"/>
          <w:color w:val="auto"/>
          <w:sz w:val="24"/>
          <w:szCs w:val="24"/>
          <w:highlight w:val="none"/>
        </w:rPr>
        <w:t xml:space="preserve">存在的变动或修改，敬请各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及时关注江苏政府采购网发布的关于本项目的信息更正公告。</w:t>
      </w:r>
      <w:r/>
    </w:p>
    <w:p>
      <w:pPr>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七、凡对</w:t>
      </w:r>
      <w:bookmarkStart w:id="5" w:name="_Hlk124759339"/>
      <w:r>
        <w:rPr>
          <w:rFonts w:hint="eastAsia" w:ascii="宋体" w:hAnsi="宋体"/>
          <w:b/>
          <w:color w:val="auto"/>
          <w:sz w:val="24"/>
          <w:szCs w:val="24"/>
          <w:highlight w:val="none"/>
        </w:rPr>
        <w:t xml:space="preserve">本次采购提出询问，请按以下方式联系</w:t>
      </w:r>
      <w:bookmarkEnd w:id="5"/>
      <w:r/>
    </w:p>
    <w:p>
      <w:pPr>
        <w:spacing w:line="560" w:lineRule="exact"/>
        <w:tabs>
          <w:tab w:val="left" w:pos="0" w:leader="none"/>
          <w:tab w:val="left" w:pos="510" w:leader="none"/>
          <w:tab w:val="left" w:pos="1134"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信息</w:t>
      </w:r>
      <w:r/>
    </w:p>
    <w:p>
      <w:pPr>
        <w:spacing w:line="560" w:lineRule="exact"/>
        <w:tabs>
          <w:tab w:val="left" w:pos="0" w:leader="none"/>
          <w:tab w:val="left" w:pos="510" w:leader="none"/>
          <w:tab w:val="left" w:pos="1134" w:leader="none"/>
        </w:tabs>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名称：南京市社会儿童福利院</w:t>
      </w:r>
      <w:r/>
    </w:p>
    <w:p>
      <w:pPr>
        <w:spacing w:line="560" w:lineRule="exact"/>
        <w:tabs>
          <w:tab w:val="left" w:pos="0" w:leader="none"/>
          <w:tab w:val="left" w:pos="510" w:leader="none"/>
          <w:tab w:val="left" w:pos="1134" w:leader="none"/>
        </w:tabs>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地址：南京市江宁区秣陵街道秣周西路8号（东善桥祖堂山）</w:t>
      </w:r>
      <w:r/>
    </w:p>
    <w:p>
      <w:pPr>
        <w:spacing w:line="560" w:lineRule="exact"/>
        <w:tabs>
          <w:tab w:val="left" w:pos="0" w:leader="none"/>
          <w:tab w:val="left" w:pos="510" w:leader="none"/>
          <w:tab w:val="left" w:pos="1134" w:leader="none"/>
        </w:tabs>
        <w:rPr>
          <w:rFonts w:hint="eastAsia" w:ascii="宋体" w:hAnsi="宋体" w:eastAsia="宋体"/>
          <w:color w:val="auto"/>
          <w:sz w:val="24"/>
          <w:szCs w:val="24"/>
          <w:highlight w:val="none"/>
          <w:lang w:val="en-US" w:eastAsia="zh-CN"/>
        </w:rPr>
      </w:pPr>
      <w:r>
        <w:rPr>
          <w:rFonts w:hint="eastAsia" w:ascii="宋体" w:hAnsi="宋体"/>
          <w:color w:val="000000" w:themeColor="text1"/>
          <w:sz w:val="24"/>
          <w:szCs w:val="24"/>
          <w:highlight w:val="none"/>
          <w14:textFill>
            <w14:solidFill>
              <w14:schemeClr w14:val="tx1"/>
            </w14:solidFill>
          </w14:textFill>
        </w:rPr>
        <w:t xml:space="preserve">联 系 人：</w:t>
      </w:r>
      <w:r>
        <w:rPr>
          <w:rFonts w:hint="eastAsia" w:ascii="宋体" w:hAnsi="宋体"/>
          <w:color w:val="auto"/>
          <w:sz w:val="24"/>
          <w:szCs w:val="24"/>
          <w:highlight w:val="none"/>
        </w:rPr>
        <w:t xml:space="preserve">董科</w:t>
      </w:r>
      <w:r/>
    </w:p>
    <w:p>
      <w:pPr>
        <w:spacing w:line="560" w:lineRule="exact"/>
        <w:tabs>
          <w:tab w:val="left" w:pos="0" w:leader="none"/>
          <w:tab w:val="left" w:pos="510" w:leader="none"/>
          <w:tab w:val="left" w:pos="1134" w:leader="none"/>
        </w:tabs>
        <w:rPr>
          <w:rFonts w:hint="eastAsia" w:ascii="宋体" w:hAnsi="宋体" w:eastAsia="宋体"/>
          <w:color w:val="auto"/>
          <w:sz w:val="24"/>
          <w:szCs w:val="24"/>
          <w:highlight w:val="none"/>
          <w:lang w:val="en-US" w:eastAsia="zh-CN"/>
        </w:rPr>
      </w:pPr>
      <w:r>
        <w:rPr>
          <w:rFonts w:hint="eastAsia" w:ascii="宋体" w:hAnsi="宋体"/>
          <w:color w:val="000000" w:themeColor="text1"/>
          <w:sz w:val="24"/>
          <w:szCs w:val="24"/>
          <w:highlight w:val="none"/>
          <w14:textFill>
            <w14:solidFill>
              <w14:schemeClr w14:val="tx1"/>
            </w14:solidFill>
          </w14:textFill>
        </w:rPr>
        <w:t xml:space="preserve">联系方式：</w:t>
      </w:r>
      <w:r>
        <w:rPr>
          <w:rFonts w:hint="eastAsia" w:ascii="宋体" w:hAnsi="宋体"/>
          <w:color w:val="auto"/>
          <w:sz w:val="24"/>
          <w:szCs w:val="24"/>
          <w:highlight w:val="none"/>
        </w:rPr>
        <w:t xml:space="preserve">17751042445</w:t>
      </w:r>
      <w:r/>
    </w:p>
    <w:p>
      <w:pPr>
        <w:spacing w:line="560" w:lineRule="exact"/>
        <w:tabs>
          <w:tab w:val="left" w:pos="0" w:leader="none"/>
          <w:tab w:val="left" w:pos="510" w:leader="none"/>
          <w:tab w:val="left" w:pos="1134"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2.采购代理机构信息</w:t>
      </w:r>
      <w:r/>
    </w:p>
    <w:p>
      <w:pPr>
        <w:spacing w:line="560" w:lineRule="exact"/>
        <w:tabs>
          <w:tab w:val="left" w:pos="0" w:leader="none"/>
          <w:tab w:val="left" w:pos="510" w:leader="none"/>
          <w:tab w:val="left" w:pos="1134"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名    称：江苏有点招标代理有限公司</w:t>
      </w:r>
      <w:r/>
    </w:p>
    <w:p>
      <w:pPr>
        <w:spacing w:line="560" w:lineRule="exact"/>
        <w:tabs>
          <w:tab w:val="left" w:pos="0" w:leader="none"/>
          <w:tab w:val="left" w:pos="510" w:leader="none"/>
          <w:tab w:val="left" w:pos="1134"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地    址：南京市玄武区长江路99号长江贸易大楼1001室</w:t>
      </w:r>
      <w:r/>
    </w:p>
    <w:p>
      <w:pPr>
        <w:spacing w:line="560" w:lineRule="exact"/>
        <w:tabs>
          <w:tab w:val="left" w:pos="0" w:leader="none"/>
          <w:tab w:val="left" w:pos="510" w:leader="none"/>
          <w:tab w:val="left" w:pos="1134"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联系方式：025-57712503</w:t>
      </w:r>
      <w:r/>
    </w:p>
    <w:p>
      <w:pPr>
        <w:spacing w:line="560" w:lineRule="exact"/>
        <w:tabs>
          <w:tab w:val="left" w:pos="0" w:leader="none"/>
          <w:tab w:val="left" w:pos="510" w:leader="none"/>
          <w:tab w:val="left" w:pos="1134"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3.项目联系方式</w:t>
      </w:r>
      <w:r/>
    </w:p>
    <w:p>
      <w:pPr>
        <w:spacing w:line="560" w:lineRule="exact"/>
        <w:tabs>
          <w:tab w:val="left" w:pos="0" w:leader="none"/>
          <w:tab w:val="left" w:pos="510" w:leader="none"/>
          <w:tab w:val="left" w:pos="1134"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项目联系人：</w:t>
      </w:r>
      <w:r>
        <w:rPr>
          <w:rFonts w:hint="eastAsia" w:ascii="宋体" w:hAnsi="宋体"/>
          <w:color w:val="auto"/>
          <w:sz w:val="24"/>
          <w:szCs w:val="24"/>
          <w:highlight w:val="none"/>
          <w:lang w:val="en-US" w:eastAsia="zh-CN"/>
        </w:rPr>
        <w:t xml:space="preserve">罗</w:t>
      </w:r>
      <w:r>
        <w:rPr>
          <w:rFonts w:hint="eastAsia" w:ascii="宋体" w:hAnsi="宋体"/>
          <w:color w:val="auto"/>
          <w:sz w:val="24"/>
          <w:szCs w:val="24"/>
          <w:highlight w:val="none"/>
        </w:rPr>
        <w:t xml:space="preserve">工</w:t>
      </w:r>
      <w:r/>
    </w:p>
    <w:p>
      <w:pPr>
        <w:spacing w:line="560" w:lineRule="exact"/>
        <w:tabs>
          <w:tab w:val="left" w:pos="0" w:leader="none"/>
          <w:tab w:val="left" w:pos="510" w:leader="none"/>
          <w:tab w:val="left" w:pos="1134"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电      话：025-57712503</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p>
      <w:pPr>
        <w:pStyle w:val="773"/>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br w:type="page" w:clear="all"/>
      </w:r>
      <w:r/>
    </w:p>
    <w:p>
      <w:pPr>
        <w:pStyle w:val="755"/>
        <w:jc w:val="center"/>
        <w:spacing w:line="560" w:lineRule="exact"/>
        <w:rPr>
          <w:rFonts w:hint="eastAsia" w:ascii="宋体" w:hAnsi="宋体"/>
          <w:color w:val="auto"/>
          <w:sz w:val="24"/>
          <w:szCs w:val="24"/>
          <w:highlight w:val="none"/>
        </w:rPr>
      </w:pPr>
      <w:r/>
      <w:bookmarkStart w:id="6" w:name="_Toc123027835"/>
      <w:r/>
      <w:bookmarkStart w:id="7" w:name="_Toc154"/>
      <w:r>
        <w:rPr>
          <w:rFonts w:hint="eastAsia" w:ascii="宋体" w:hAnsi="宋体"/>
          <w:color w:val="auto"/>
          <w:sz w:val="24"/>
          <w:szCs w:val="24"/>
          <w:highlight w:val="none"/>
        </w:rPr>
        <w:t xml:space="preserve">第二章  </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须知</w:t>
      </w:r>
      <w:bookmarkEnd w:id="6"/>
      <w:r/>
      <w:bookmarkEnd w:id="7"/>
      <w:r/>
      <w:r/>
    </w:p>
    <w:p>
      <w:pPr>
        <w:spacing w:line="560" w:lineRule="exact"/>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一、总    则</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1、适用法律</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1.1《中华人民共和国政府采购法》、《中华人民共和国政府采购法实施条例》、《中华人民共和国招标投标法》等有关法律、法规、规章和规定等。</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2、定义</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rPr>
        <w:t xml:space="preserve">2.1“</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”是指依法进行政府采购的国家机关、事业单位、团体组织。</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rPr>
        <w:t xml:space="preserve">2.2“</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”是指参加响应竞争，并符合</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规定资格条件的法人、其他组织或者自然人。</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rPr>
        <w:t xml:space="preserve">2.3“采购代理机构”是指集中采购机构和集中采购机构以外的采购代理机构，集中采购机构以外的采购代理机构，是从事采购代理业务的社会中介机构。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rPr>
        <w:t xml:space="preserve">2.4“服务”指本</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中所述相关服务。</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rPr>
        <w:t xml:space="preserve">2.5“用户或使用单位”是指接受服务的单位。</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3、政策功能</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3.1政府采购促进中小企业发展，在政府采购活动中，</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提供的货物、工程或者服务符合下列情形的，享受中小企业扶持政策：</w:t>
      </w:r>
      <w:r/>
    </w:p>
    <w:p>
      <w:pPr>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（1）在货物采购项目中，货物由中小企业制造，即货物由中小企业生产且使用该中小企业商号或者注册商标</w:t>
      </w:r>
      <w:r>
        <w:rPr>
          <w:rFonts w:hint="eastAsia" w:ascii="宋体" w:hAnsi="宋体"/>
          <w:color w:val="auto"/>
          <w:sz w:val="24"/>
          <w:szCs w:val="24"/>
          <w:highlight w:val="none"/>
          <w:lang w:eastAsia="zh-CN"/>
        </w:rPr>
        <w:t xml:space="preserve">。</w:t>
      </w:r>
      <w:r/>
    </w:p>
    <w:p>
      <w:pPr>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（2）在工程采购项目中，工程由中小企业承建，即工程施工单位为中小企业</w:t>
      </w:r>
      <w:r>
        <w:rPr>
          <w:rFonts w:hint="eastAsia" w:ascii="宋体" w:hAnsi="宋体"/>
          <w:color w:val="auto"/>
          <w:sz w:val="24"/>
          <w:szCs w:val="24"/>
          <w:highlight w:val="none"/>
          <w:lang w:eastAsia="zh-CN"/>
        </w:rPr>
        <w:t xml:space="preserve">。</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（3）在服务采购项目中，服务由中小企业承接，即提供服务的人员为中小企业依照《中华人民共和国劳动合同法》订立劳动合同的从业人员。 </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在货物采购项目中，</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提供的货物既有中小企业制造货物，也有大型企业制造货物的，不享受中小企业扶持政策。</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参加政府采购活动，应当出具《中小企业声明函》（格式见后附件），否则不得享受相关中小企业扶持政策。</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 政府采购支持监狱和戒毒企业发展政策，监狱和戒毒企业提供的产品和服务在投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3.3 政府采购促进残疾人就业政策，残疾人福利性单位提供的产品和服务在投标时将获得优势，参加投标的残疾人福利性单位，应当提供《残疾人福利性单位声明函》，残疾人福利性单位享受政府采购支持政策的要求详见财库〔2017〕141号。</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3.5 提供的产品属于信息安全产品的，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应当选择经国家认证的信息安全产品投标，并提供由中国信息安全认证中心按国家标准认证颁发的有效认证证书复印件。</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3.6 提供的产品属于政府强制采购节能产品的，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应当选择依据国家标准中二级能效（水效）指标认证的节能产品投标，并提供有效的节能产品认证证书复印件。</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3.7 提供的产品属于环境标志产品的，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应当选择依据相关标准的最新版本认证的环境标志产品投标，并提供有效的环境标志产品认证证书复印件。</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3.8进口产品政策</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（1）除招标公告载明接受进口产品参加外，不允许进口产品参加。进口产品认定依照《财政部关于政府采购进口产品管理有关问题的通知》（财办库〔2008〕248 号）的规定。</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（2）允许进口产品参加的，满足需求的国内产品可以参加。</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（3）允许进口产品参加的，优先采购向我国企业转让技术、与我国企业签订消化吸收再创新方案的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的进口产品。</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3.9 未按要求提供相关材料的，不享受相关政策。</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zh-CN"/>
        </w:rPr>
        <w:t xml:space="preserve">评标费用</w:t>
      </w:r>
      <w:r/>
    </w:p>
    <w:p>
      <w:pPr>
        <w:spacing w:line="560" w:lineRule="exact"/>
        <w:rPr>
          <w:rFonts w:hint="eastAsia" w:ascii="宋体" w:hAnsi="宋体"/>
          <w:sz w:val="24"/>
          <w:szCs w:val="24"/>
        </w:rPr>
      </w:pPr>
      <w:r>
        <w:rPr>
          <w:rFonts w:hint="eastAsia" w:ascii="宋体" w:hAnsi="宋体"/>
          <w:color w:val="auto"/>
          <w:sz w:val="24"/>
          <w:szCs w:val="24"/>
          <w:highlight w:val="none"/>
          <w:lang w:val="zh-CN"/>
        </w:rPr>
        <w:t xml:space="preserve">4.1</w:t>
      </w:r>
      <w:r>
        <w:rPr>
          <w:rFonts w:hint="eastAsia" w:ascii="宋体" w:hAnsi="宋体"/>
          <w:b/>
          <w:bCs/>
          <w:sz w:val="24"/>
          <w:szCs w:val="24"/>
        </w:rPr>
        <w:t xml:space="preserve">本次项目代理服务费按计价格(2002)1980号文标准费率20%计算，由</w:t>
      </w:r>
      <w:r>
        <w:rPr>
          <w:rFonts w:hint="eastAsia" w:ascii="宋体" w:hAnsi="宋体"/>
          <w:b/>
          <w:bCs/>
          <w:sz w:val="24"/>
          <w:szCs w:val="24"/>
          <w:lang w:val="en-US" w:eastAsia="zh-CN"/>
        </w:rPr>
        <w:t xml:space="preserve">采购人</w:t>
      </w:r>
      <w:r>
        <w:rPr>
          <w:rFonts w:ascii="宋体" w:hAnsi="宋体"/>
          <w:b/>
          <w:bCs/>
          <w:sz w:val="24"/>
          <w:szCs w:val="24"/>
        </w:rPr>
        <w:t xml:space="preserve">一次性支付给代理机构</w:t>
      </w:r>
      <w:r>
        <w:rPr>
          <w:rFonts w:hint="eastAsia" w:ascii="宋体" w:hAnsi="宋体"/>
          <w:b/>
          <w:bCs/>
          <w:sz w:val="24"/>
          <w:szCs w:val="24"/>
        </w:rPr>
        <w:t xml:space="preserve">。</w:t>
      </w:r>
      <w:r/>
    </w:p>
    <w:p>
      <w:pPr>
        <w:spacing w:line="560" w:lineRule="exact"/>
        <w:rPr>
          <w:rFonts w:hint="eastAsia" w:ascii="宋体" w:hAnsi="宋体"/>
          <w:b/>
          <w:bCs/>
          <w:sz w:val="24"/>
          <w:szCs w:val="24"/>
        </w:rPr>
      </w:pPr>
      <w:r>
        <w:rPr>
          <w:rFonts w:hint="eastAsia" w:ascii="宋体" w:hAnsi="宋体"/>
          <w:b/>
          <w:bCs/>
          <w:sz w:val="24"/>
          <w:szCs w:val="24"/>
        </w:rPr>
        <w:t xml:space="preserve">相关费用由</w:t>
      </w:r>
      <w:r>
        <w:rPr>
          <w:rFonts w:hint="eastAsia" w:ascii="宋体" w:hAnsi="宋体"/>
          <w:b/>
          <w:bCs/>
          <w:sz w:val="24"/>
          <w:szCs w:val="24"/>
          <w:lang w:eastAsia="zh-CN"/>
        </w:rPr>
        <w:t xml:space="preserve">采购人</w:t>
      </w:r>
      <w:r>
        <w:rPr>
          <w:rFonts w:hint="eastAsia" w:ascii="宋体" w:hAnsi="宋体"/>
          <w:b/>
          <w:bCs/>
          <w:sz w:val="24"/>
          <w:szCs w:val="24"/>
        </w:rPr>
        <w:t xml:space="preserve">支付。代理机构应当在采购文件中明示费用收取方式及标准，随中标、成交结果一并公开各项目收费情况，包括具体收费标准及收费金额等。</w:t>
      </w:r>
      <w:r/>
    </w:p>
    <w:p>
      <w:pPr>
        <w:spacing w:line="560" w:lineRule="exact"/>
        <w:rPr>
          <w:rFonts w:ascii="宋体" w:hAnsi="宋体"/>
          <w:b/>
          <w:bCs/>
          <w:sz w:val="24"/>
          <w:szCs w:val="24"/>
        </w:rPr>
      </w:pPr>
      <w:r>
        <w:rPr>
          <w:rFonts w:hint="eastAsia" w:ascii="宋体" w:hAnsi="宋体"/>
          <w:b/>
          <w:bCs/>
          <w:sz w:val="24"/>
          <w:szCs w:val="24"/>
        </w:rPr>
        <w:t xml:space="preserve">4.2专家评审费用由</w:t>
      </w:r>
      <w:r>
        <w:rPr>
          <w:rFonts w:hint="eastAsia" w:ascii="宋体" w:hAnsi="宋体"/>
          <w:b/>
          <w:bCs/>
          <w:sz w:val="24"/>
          <w:szCs w:val="24"/>
          <w:lang w:val="en-US" w:eastAsia="zh-CN"/>
        </w:rPr>
        <w:t xml:space="preserve">采购人</w:t>
      </w:r>
      <w:r>
        <w:rPr>
          <w:rFonts w:hint="eastAsia" w:ascii="宋体" w:hAnsi="宋体"/>
          <w:b/>
          <w:bCs/>
          <w:sz w:val="24"/>
          <w:szCs w:val="24"/>
        </w:rPr>
        <w:t xml:space="preserve">按照500元/人/三个小时（三个小时基础上每超出一小时按100增加费用，不足一小时的仍按一小时计取）的标准支付给</w:t>
      </w:r>
      <w:r>
        <w:rPr>
          <w:rFonts w:hint="eastAsia" w:ascii="宋体" w:hAnsi="宋体"/>
          <w:b/>
          <w:bCs/>
          <w:sz w:val="24"/>
          <w:szCs w:val="24"/>
          <w:lang w:val="en-US" w:eastAsia="zh-CN"/>
        </w:rPr>
        <w:t xml:space="preserve">磋商小组</w:t>
      </w:r>
      <w:r>
        <w:rPr>
          <w:rFonts w:hint="eastAsia" w:ascii="宋体" w:hAnsi="宋体"/>
          <w:b/>
          <w:bCs/>
          <w:sz w:val="24"/>
          <w:szCs w:val="24"/>
        </w:rPr>
        <w:t xml:space="preserve">成</w:t>
      </w:r>
      <w:bookmarkStart w:id="88" w:name="_GoBack"/>
      <w:r/>
      <w:bookmarkEnd w:id="88"/>
      <w:r>
        <w:rPr>
          <w:rFonts w:hint="eastAsia" w:ascii="宋体" w:hAnsi="宋体"/>
          <w:b/>
          <w:bCs/>
          <w:sz w:val="24"/>
          <w:szCs w:val="24"/>
        </w:rPr>
        <w:t xml:space="preserve">员。</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账户名称：江苏有点招标代理有限公司</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开 户 行：中国建设银行股份有限公司南京鼓楼支行</w:t>
      </w:r>
      <w:r/>
    </w:p>
    <w:p>
      <w:pPr>
        <w:spacing w:line="56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账   号：32050159553600002041</w:t>
      </w:r>
      <w:r/>
    </w:p>
    <w:p>
      <w:pPr>
        <w:spacing w:line="560" w:lineRule="exact"/>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二、响应文件编制</w:t>
      </w:r>
      <w:r/>
    </w:p>
    <w:p>
      <w:pPr>
        <w:spacing w:line="560" w:lineRule="exact"/>
        <w:rPr>
          <w:rFonts w:hint="eastAsia" w:ascii="宋体" w:hAnsi="宋体"/>
          <w:b/>
          <w:bCs/>
          <w:color w:val="auto"/>
          <w:sz w:val="24"/>
          <w:szCs w:val="24"/>
          <w:highlight w:val="none"/>
          <w:lang w:val="zh-CN"/>
        </w:rPr>
      </w:pPr>
      <w:r>
        <w:rPr>
          <w:rFonts w:hint="eastAsia" w:ascii="宋体" w:hAnsi="宋体"/>
          <w:bCs/>
          <w:color w:val="auto"/>
          <w:sz w:val="24"/>
          <w:szCs w:val="24"/>
          <w:highlight w:val="none"/>
          <w:lang w:val="zh-CN"/>
        </w:rPr>
        <w:t xml:space="preserve">5、</w:t>
      </w:r>
      <w:r>
        <w:rPr>
          <w:rFonts w:hint="eastAsia" w:ascii="宋体" w:hAnsi="宋体"/>
          <w:color w:val="auto"/>
          <w:sz w:val="24"/>
          <w:szCs w:val="24"/>
          <w:highlight w:val="none"/>
          <w:lang w:val="zh-CN"/>
        </w:rPr>
        <w:t xml:space="preserve">供应商应当按照磋商文件的要求编制响应文件，并对其提交的响应文件的真实性、合法性承担法律责任。</w:t>
      </w:r>
      <w:r/>
    </w:p>
    <w:p>
      <w:pPr>
        <w:spacing w:line="560" w:lineRule="exac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6、响应文件的语言、计量单位、货币和编制</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6.1 提交的响应文件、技术文件和资料，包括图纸中的说明，以及供应商与代理机构就有关招标的所有来往函电均应使用中文。响应文件中若有英文或其他语言文字的资料，应提供相应的中文翻译资料。对不同文本响应文件的解释发生异议的，以中文文本为准。</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6.2 供应商所使用的计量单位应为国家法定计量单位。</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6.3 供应商应用人民币报价。</w:t>
      </w:r>
      <w:r/>
    </w:p>
    <w:p>
      <w:pPr>
        <w:spacing w:line="560" w:lineRule="exac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7、响应文件的组成</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7.1 </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应当根据</w:t>
      </w:r>
      <w:r>
        <w:rPr>
          <w:rFonts w:hint="eastAsia" w:ascii="宋体" w:hAnsi="宋体"/>
          <w:color w:val="auto"/>
          <w:sz w:val="24"/>
          <w:szCs w:val="24"/>
          <w:highlight w:val="none"/>
          <w:lang w:val="zh-CN"/>
        </w:rPr>
        <w:t xml:space="preserve">磋商文件</w:t>
      </w:r>
      <w:r>
        <w:rPr>
          <w:rFonts w:hint="eastAsia" w:ascii="宋体" w:hAnsi="宋体"/>
          <w:color w:val="auto"/>
          <w:sz w:val="24"/>
          <w:szCs w:val="24"/>
          <w:highlight w:val="none"/>
        </w:rPr>
        <w:t xml:space="preserve">要求编制</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，并根据自己的商务能力、技术水平对</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提出的要求和条件逐条标明是否响应。</w:t>
      </w:r>
      <w:r>
        <w:rPr>
          <w:rFonts w:hint="eastAsia" w:ascii="宋体" w:hAnsi="宋体"/>
          <w:color w:val="auto"/>
          <w:sz w:val="24"/>
          <w:szCs w:val="24"/>
          <w:highlight w:val="none"/>
          <w:lang w:val="zh-CN"/>
        </w:rPr>
        <w:t xml:space="preserve">响应文件由商务部分、技术部分、价格部分，以及其他部分组成。如标书制作工具中格式和内容与“江苏政府采购网”发布的磋商文件不一致，请以“江苏政府采购网”发布的磋商文件为准。</w:t>
      </w:r>
      <w:r/>
    </w:p>
    <w:p>
      <w:pPr>
        <w:spacing w:line="560" w:lineRule="exact"/>
        <w:rPr>
          <w:rFonts w:hint="eastAsia" w:ascii="宋体" w:hAnsi="宋体"/>
          <w:color w:val="auto"/>
          <w:sz w:val="24"/>
          <w:szCs w:val="24"/>
          <w:highlight w:val="none"/>
          <w:lang w:val="zh-CN"/>
        </w:rPr>
      </w:pPr>
      <w:r>
        <w:rPr>
          <w:rFonts w:hint="eastAsia" w:ascii="宋体" w:hAnsi="宋体"/>
          <w:bCs/>
          <w:color w:val="auto"/>
          <w:sz w:val="24"/>
          <w:szCs w:val="24"/>
          <w:highlight w:val="none"/>
          <w:lang w:val="zh-CN"/>
        </w:rPr>
        <w:t xml:space="preserve">7.2 响应文件的商务部分。</w:t>
      </w:r>
      <w:r>
        <w:rPr>
          <w:rFonts w:hint="eastAsia" w:ascii="宋体" w:hAnsi="宋体"/>
          <w:color w:val="auto"/>
          <w:sz w:val="24"/>
          <w:szCs w:val="24"/>
          <w:highlight w:val="none"/>
          <w:lang w:val="zh-CN"/>
        </w:rPr>
        <w:t xml:space="preserve">商务部分是证明供应商有资格参加评标和中标后有能力履行合同的文件，</w:t>
      </w:r>
      <w:r>
        <w:rPr>
          <w:rFonts w:hint="eastAsia" w:ascii="宋体" w:hAnsi="宋体"/>
          <w:color w:val="auto"/>
          <w:sz w:val="24"/>
          <w:szCs w:val="24"/>
          <w:highlight w:val="none"/>
        </w:rPr>
        <w:t xml:space="preserve">这些文件应能满足</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的要求</w:t>
      </w:r>
      <w:r>
        <w:rPr>
          <w:rFonts w:hint="eastAsia" w:ascii="宋体" w:hAnsi="宋体"/>
          <w:color w:val="auto"/>
          <w:sz w:val="24"/>
          <w:szCs w:val="24"/>
          <w:highlight w:val="none"/>
          <w:lang w:val="zh-CN"/>
        </w:rPr>
        <w:t xml:space="preserve">，商务条款偏离表</w:t>
      </w:r>
      <w:r>
        <w:rPr>
          <w:rFonts w:hint="eastAsia" w:ascii="宋体" w:hAnsi="宋体"/>
          <w:color w:val="auto"/>
          <w:sz w:val="24"/>
          <w:szCs w:val="24"/>
          <w:highlight w:val="none"/>
          <w:lang w:val="en-US" w:eastAsia="zh-CN"/>
        </w:rPr>
        <w:t xml:space="preserve">中</w:t>
      </w:r>
      <w:r>
        <w:rPr>
          <w:rFonts w:hint="eastAsia" w:ascii="宋体" w:hAnsi="宋体"/>
          <w:color w:val="auto"/>
          <w:sz w:val="24"/>
          <w:szCs w:val="24"/>
          <w:highlight w:val="none"/>
          <w:lang w:val="zh-CN"/>
        </w:rPr>
        <w:t xml:space="preserve">包括但不限于下列文件，其中加“★”项目不得有缺失或无效：</w:t>
      </w:r>
      <w:r/>
    </w:p>
    <w:p>
      <w:pPr>
        <w:jc w:val="left"/>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lang w:val="en-US" w:eastAsia="zh-CN"/>
        </w:rPr>
        <w:t xml:space="preserve">磋商</w:t>
      </w:r>
      <w:r>
        <w:rPr>
          <w:rFonts w:hint="eastAsia" w:ascii="宋体" w:hAnsi="宋体"/>
          <w:color w:val="auto"/>
          <w:sz w:val="24"/>
          <w:szCs w:val="24"/>
          <w:highlight w:val="none"/>
          <w:lang w:val="zh-CN"/>
        </w:rPr>
        <w:t xml:space="preserve">申请及声明。</w:t>
      </w:r>
      <w:r/>
    </w:p>
    <w:p>
      <w:pPr>
        <w:jc w:val="left"/>
        <w:spacing w:line="560" w:lineRule="exact"/>
        <w:widowControl/>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lang w:val="zh-CN"/>
        </w:rPr>
        <w:t xml:space="preserve">法定代表人授权委托书及委托代理人的身份证复印件。 </w:t>
      </w:r>
      <w:r/>
    </w:p>
    <w:p>
      <w:pPr>
        <w:spacing w:line="560" w:lineRule="exact"/>
        <w:rPr>
          <w:rFonts w:hint="eastAsia" w:ascii="宋体" w:hAnsi="宋体"/>
          <w:b/>
          <w:bCs/>
          <w:color w:val="auto"/>
          <w:sz w:val="24"/>
          <w:szCs w:val="24"/>
          <w:highlight w:val="none"/>
          <w:lang w:val="zh-CN"/>
        </w:rPr>
      </w:pPr>
      <w:r>
        <w:rPr>
          <w:rFonts w:hint="eastAsia" w:ascii="宋体" w:hAnsi="宋体"/>
          <w:color w:val="auto"/>
          <w:sz w:val="24"/>
          <w:szCs w:val="24"/>
          <w:highlight w:val="none"/>
          <w:lang w:val="zh-CN"/>
        </w:rPr>
        <w:t xml:space="preserve">（3）</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lang w:val="zh-CN"/>
        </w:rPr>
        <w:t xml:space="preserve">供应商资格资信证明文件</w:t>
      </w:r>
      <w:r>
        <w:rPr>
          <w:rFonts w:hint="eastAsia" w:ascii="宋体" w:hAnsi="宋体"/>
          <w:color w:val="auto"/>
          <w:sz w:val="24"/>
          <w:szCs w:val="24"/>
          <w:highlight w:val="none"/>
        </w:rPr>
        <w:t xml:space="preserve">等</w:t>
      </w:r>
      <w:r>
        <w:rPr>
          <w:rFonts w:hint="eastAsia" w:ascii="宋体" w:hAnsi="宋体"/>
          <w:b w:val="0"/>
          <w:bCs w:val="0"/>
          <w:color w:val="auto"/>
          <w:sz w:val="24"/>
          <w:szCs w:val="24"/>
          <w:highlight w:val="none"/>
          <w:lang w:val="zh-CN"/>
        </w:rPr>
        <w:t xml:space="preserve">。</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4</w:t>
      </w:r>
      <w:r>
        <w:rPr>
          <w:rFonts w:hint="eastAsia" w:ascii="宋体" w:hAnsi="宋体"/>
          <w:color w:val="auto"/>
          <w:sz w:val="24"/>
          <w:szCs w:val="24"/>
          <w:highlight w:val="none"/>
          <w:lang w:val="zh-CN"/>
        </w:rPr>
        <w:t xml:space="preserve">）★《商务条款偏离表》。</w:t>
      </w:r>
      <w:r/>
    </w:p>
    <w:p>
      <w:pPr>
        <w:spacing w:line="560" w:lineRule="exact"/>
        <w:rPr>
          <w:rFonts w:hint="eastAsia" w:ascii="宋体" w:hAnsi="宋体"/>
          <w:color w:val="auto"/>
          <w:sz w:val="24"/>
          <w:szCs w:val="24"/>
          <w:highlight w:val="none"/>
          <w:lang w:val="zh-CN" w:eastAsia="zh-CN"/>
        </w:rPr>
      </w:pPr>
      <w:r>
        <w:rPr>
          <w:rFonts w:hint="eastAsia" w:ascii="宋体" w:hAnsi="宋体"/>
          <w:color w:val="auto"/>
          <w:sz w:val="24"/>
          <w:szCs w:val="24"/>
          <w:highlight w:val="none"/>
          <w:lang w:val="zh-CN" w:eastAsia="zh-CN"/>
        </w:rPr>
        <w:t xml:space="preserve">（</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val="zh-CN" w:eastAsia="zh-CN"/>
        </w:rPr>
        <w:t xml:space="preserve">★采购人根据采购项目的特殊要求规定的特定条件证明材料；</w:t>
      </w:r>
      <w:r/>
    </w:p>
    <w:p>
      <w:pPr>
        <w:spacing w:line="560" w:lineRule="exact"/>
        <w:widowControl/>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val="zh-CN"/>
        </w:rPr>
        <w:t xml:space="preserve">）合同条款；</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认为需要</w:t>
      </w:r>
      <w:r>
        <w:rPr>
          <w:rFonts w:hint="eastAsia" w:ascii="宋体" w:hAnsi="宋体"/>
          <w:color w:val="auto"/>
          <w:sz w:val="24"/>
          <w:szCs w:val="24"/>
          <w:highlight w:val="none"/>
          <w:lang w:val="zh-CN"/>
        </w:rPr>
        <w:t xml:space="preserve">提供的其他资格证明文件和商务资料等。</w:t>
      </w:r>
      <w:r/>
    </w:p>
    <w:p>
      <w:pPr>
        <w:spacing w:line="560" w:lineRule="exact"/>
        <w:rPr>
          <w:rFonts w:hint="eastAsia" w:ascii="宋体" w:hAnsi="宋体"/>
          <w:color w:val="auto"/>
          <w:sz w:val="24"/>
          <w:szCs w:val="24"/>
          <w:highlight w:val="none"/>
          <w:lang w:val="zh-CN"/>
        </w:rPr>
      </w:pPr>
      <w:r>
        <w:rPr>
          <w:rFonts w:hint="eastAsia" w:ascii="宋体" w:hAnsi="宋体"/>
          <w:bCs/>
          <w:color w:val="auto"/>
          <w:sz w:val="24"/>
          <w:szCs w:val="24"/>
          <w:highlight w:val="none"/>
          <w:lang w:val="zh-CN"/>
        </w:rPr>
        <w:t xml:space="preserve">7.3 响应文件的技术部分。</w:t>
      </w:r>
      <w:r>
        <w:rPr>
          <w:rFonts w:hint="eastAsia" w:ascii="宋体" w:hAnsi="宋体"/>
          <w:color w:val="auto"/>
          <w:sz w:val="24"/>
          <w:szCs w:val="24"/>
          <w:highlight w:val="none"/>
          <w:lang w:val="zh-CN"/>
        </w:rPr>
        <w:t xml:space="preserve">技术部分是证明</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提供的服务是合格的，并符合</w:t>
      </w:r>
      <w:r>
        <w:rPr>
          <w:rFonts w:hint="eastAsia" w:ascii="宋体" w:hAnsi="宋体"/>
          <w:color w:val="auto"/>
          <w:sz w:val="24"/>
          <w:szCs w:val="24"/>
          <w:highlight w:val="none"/>
          <w:lang w:val="zh-CN"/>
        </w:rPr>
        <w:t xml:space="preserve">磋商文件</w:t>
      </w:r>
      <w:r>
        <w:rPr>
          <w:rFonts w:hint="eastAsia" w:ascii="宋体" w:hAnsi="宋体"/>
          <w:color w:val="auto"/>
          <w:sz w:val="24"/>
          <w:szCs w:val="24"/>
          <w:highlight w:val="none"/>
        </w:rPr>
        <w:t xml:space="preserve">要求的证明文件，以及</w:t>
      </w:r>
      <w:r>
        <w:rPr>
          <w:rFonts w:hint="eastAsia" w:ascii="宋体" w:hAnsi="宋体"/>
          <w:color w:val="auto"/>
          <w:sz w:val="24"/>
          <w:szCs w:val="24"/>
          <w:highlight w:val="none"/>
          <w:lang w:val="zh-CN"/>
        </w:rPr>
        <w:t xml:space="preserve">对服务的详细说明，这些文件可以是文字资料、图纸和数据等。提供的服务如与磋商文件要求有不符之处，应说明其差别之所在。</w:t>
      </w:r>
      <w:r>
        <w:rPr>
          <w:rFonts w:hint="eastAsia" w:ascii="宋体" w:hAnsi="宋体"/>
          <w:color w:val="auto"/>
          <w:sz w:val="24"/>
          <w:szCs w:val="24"/>
          <w:highlight w:val="none"/>
          <w:lang w:val="zh-CN"/>
        </w:rPr>
        <w:t xml:space="preserve">《采购需求条款偏离表（技术条款偏离表）》</w:t>
      </w:r>
      <w:r>
        <w:rPr>
          <w:rFonts w:hint="eastAsia" w:ascii="宋体" w:hAnsi="宋体"/>
          <w:color w:val="auto"/>
          <w:sz w:val="24"/>
          <w:szCs w:val="24"/>
          <w:highlight w:val="none"/>
          <w:lang w:val="zh-CN"/>
        </w:rPr>
        <w:t xml:space="preserve">包括但不限于下列文件，其中加</w:t>
      </w:r>
      <w:r>
        <w:rPr>
          <w:rFonts w:hint="eastAsia" w:ascii="宋体" w:hAnsi="宋体"/>
          <w:color w:val="auto"/>
          <w:sz w:val="24"/>
          <w:szCs w:val="24"/>
          <w:highlight w:val="none"/>
        </w:rPr>
        <w:t xml:space="preserve">“</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lang w:val="zh-CN"/>
        </w:rPr>
        <w:t xml:space="preserve">项目不得有缺失或无效：</w:t>
      </w:r>
      <w:r/>
    </w:p>
    <w:p>
      <w:pPr>
        <w:spacing w:line="560" w:lineRule="exact"/>
        <w:widowControl/>
        <w:rPr>
          <w:rFonts w:hint="eastAsia"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1</w:t>
      </w:r>
      <w:r>
        <w:rPr>
          <w:rFonts w:hint="eastAsia" w:ascii="宋体" w:hAnsi="宋体"/>
          <w:sz w:val="24"/>
          <w:szCs w:val="24"/>
          <w:lang w:val="zh-CN"/>
        </w:rPr>
        <w:t xml:space="preserve">）★《采购（技术）需求条款偏离表》；</w:t>
      </w:r>
      <w:r/>
    </w:p>
    <w:p>
      <w:pPr>
        <w:spacing w:line="560" w:lineRule="exact"/>
        <w:widowControl/>
        <w:rPr>
          <w:rFonts w:hint="eastAsia"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2</w:t>
      </w:r>
      <w:r>
        <w:rPr>
          <w:rFonts w:hint="eastAsia" w:ascii="宋体" w:hAnsi="宋体"/>
          <w:sz w:val="24"/>
          <w:szCs w:val="24"/>
          <w:lang w:val="zh-CN"/>
        </w:rPr>
        <w:t xml:space="preserve">）技术说明或服务方案（根据文件要求自行编制）；</w:t>
      </w:r>
      <w:r/>
    </w:p>
    <w:p>
      <w:pPr>
        <w:spacing w:line="560" w:lineRule="exact"/>
        <w:widowControl/>
        <w:rPr>
          <w:rFonts w:hint="eastAsia" w:ascii="宋体" w:hAnsi="宋体"/>
          <w:sz w:val="24"/>
          <w:szCs w:val="24"/>
          <w:lang w:val="zh-CN"/>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w:t>
      </w:r>
      <w:r>
        <w:rPr>
          <w:rFonts w:hint="eastAsia" w:ascii="宋体" w:hAnsi="宋体"/>
          <w:sz w:val="24"/>
          <w:szCs w:val="24"/>
          <w:lang w:eastAsia="zh-CN"/>
        </w:rPr>
        <w:t xml:space="preserve">供应商</w:t>
      </w:r>
      <w:r>
        <w:rPr>
          <w:rFonts w:hint="eastAsia" w:ascii="宋体" w:hAnsi="宋体"/>
          <w:sz w:val="24"/>
          <w:szCs w:val="24"/>
        </w:rPr>
        <w:t xml:space="preserve">认为需要</w:t>
      </w:r>
      <w:r>
        <w:rPr>
          <w:rFonts w:hint="eastAsia" w:ascii="宋体" w:hAnsi="宋体"/>
          <w:sz w:val="24"/>
          <w:szCs w:val="24"/>
          <w:lang w:val="zh-CN"/>
        </w:rPr>
        <w:t xml:space="preserve">提供的其他技术资料。</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7.4 响应文件的价格部分</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（1）价格部分是对服务价格构成的说明，磋商文件如没有特别说明的话，对每一项服务仅接受一个价格。</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lang w:val="zh-CN"/>
        </w:rPr>
        <w:t xml:space="preserve">报价应包含完成本服务项目发生的所有含税费用、支付给员工的工资和国家强制缴纳的各种社会保障资金</w:t>
      </w:r>
      <w:r>
        <w:rPr>
          <w:rFonts w:hint="eastAsia" w:ascii="宋体" w:hAnsi="宋体"/>
          <w:bCs/>
          <w:color w:val="auto"/>
          <w:sz w:val="24"/>
          <w:szCs w:val="24"/>
          <w:highlight w:val="none"/>
        </w:rPr>
        <w:t xml:space="preserve">，以</w:t>
      </w:r>
      <w:r>
        <w:rPr>
          <w:rFonts w:hint="eastAsia" w:ascii="宋体" w:hAnsi="宋体"/>
          <w:color w:val="auto"/>
          <w:sz w:val="24"/>
          <w:szCs w:val="24"/>
          <w:highlight w:val="none"/>
        </w:rPr>
        <w:t xml:space="preserve">及</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认为需要的其他费用等</w:t>
      </w:r>
      <w:r>
        <w:rPr>
          <w:rFonts w:hint="eastAsia" w:ascii="宋体" w:hAnsi="宋体"/>
          <w:b/>
          <w:color w:val="auto"/>
          <w:sz w:val="24"/>
          <w:szCs w:val="24"/>
          <w:highlight w:val="none"/>
        </w:rPr>
        <w:t xml:space="preserve">。</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（3）供应商应充分考虑到市场价格变动，以及项目实施过程中的不可预见因素，一旦中标，总价格不变。如果有漏项，视同让利。</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（4）经评标后，如果中标价低于供应商在响应文件首次报价的，分项报价同比例调整。</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7.5 响应文件的其他部分。其他部分由供应商根据编制响应文件需要提供的其他相关文件。</w:t>
      </w:r>
      <w:r/>
    </w:p>
    <w:p>
      <w:pPr>
        <w:spacing w:line="560" w:lineRule="exact"/>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三、电子响应文件递交与撤回</w:t>
      </w:r>
      <w:r/>
    </w:p>
    <w:p>
      <w:pPr>
        <w:spacing w:line="560" w:lineRule="exac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8、电子响应文件递交</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供应商应当按照《操作手册》规定，在截止时间前制作并上传电子响应文件。</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9、响应截止日期</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9.1 供应商上传电子响应文件的时间不得迟于竞争性磋商中规定的响应截止时间。</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供应商应充分考虑到网络环境、网络宽带等风险因素，如因供应商自身原因造成的电子响应文件上传不成功的按照本磋商文件第二章第16.1.2条规定做无效投标处理。</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9.2 代理机构可以按照规定，通过修改磋商文件酌情延长响应截止日期，在此情况下，供应商的所有权利和义务以及供应商受制的截止日期均应以延长后新的截止日期为准。</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10、电子响应文件的撤回和修改</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10.1 电子响应文件的撤回</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10.1.1 供应商可在响应截止时间前，撤回其电子响应文件，具体操作方法见《操作手册》。</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10.1.2 供应商撤回电子响应文件，则认为其不再参与本项目采购活动。</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10.2 电子响应文件的修改</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10.2.1 供应商可在响应截止时间前，对其电子响应文件进行修改，具体操作方法见《操作手册》。</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10.2.2 在</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lang w:val="zh-CN"/>
        </w:rPr>
        <w:t xml:space="preserve">截止时间之后，供应商不得对其电子响应文件作任何修改。</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10.3 在</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lang w:val="zh-CN"/>
        </w:rPr>
        <w:t xml:space="preserve">截止时间至磋商文件中规定的投标有效期满之间的这段时间内，供应商不得撤回响应文件。</w:t>
      </w:r>
      <w:r/>
    </w:p>
    <w:p>
      <w:pPr>
        <w:spacing w:line="560" w:lineRule="exact"/>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四、开标与评标</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11、开标</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11.1 代理机构将在竞争性磋商公告中规定的时间和地点组织开标。供应商应当按照《操作手册》规定，参加开标活动和在苏采云系统规定的时间内对电子响应文件进行解密。</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11.2 开标仪式由代理机构组织。苏采云系统将自动对项目进行开标，并宣布各供应商名称和投标价格。</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11.3 供应商在开标过程中涉及到的电子响应文件解密、开标结果确认等工作，应按照《操作手册》规定执行。</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11.4 供应商如果对开标过程和开标记录有疑义，应当根据《操作手册》规定提出，如苏采云系统中《开标记录表》宣布后5分钟内未提出的，视同认可开标结果。</w:t>
      </w:r>
      <w:r/>
    </w:p>
    <w:p>
      <w:pPr>
        <w:spacing w:line="560" w:lineRule="exact"/>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rPr>
        <w:t xml:space="preserve">12、</w:t>
      </w:r>
      <w:r>
        <w:rPr>
          <w:rFonts w:hint="eastAsia" w:ascii="宋体" w:hAnsi="宋体"/>
          <w:b/>
          <w:bCs/>
          <w:color w:val="auto"/>
          <w:sz w:val="24"/>
          <w:szCs w:val="24"/>
          <w:highlight w:val="none"/>
          <w:lang w:eastAsia="zh-CN"/>
        </w:rPr>
        <w:t xml:space="preserve">磋商小组</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12.1 开标后，代理机构将立即组织</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进行评标。</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 </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由五个有关技术、经济等方面的专家或</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代表和四个有关技术、经济等方面的专家组成，且人员构成符合政府采购有关规定。</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12.3 </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独立工作，负责评标所有电子</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并确定成交供应商。</w:t>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13、评标过程的保密与公正</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13.1 凡是与审查、澄清、评价和比较投标的有关资料以及授标建议等，</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、代理机构均不得向</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或与评标无关的其他人员透露。</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13.2 在评标过程中，</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不得以任何行为影响评标过程，否则其电子</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将被作为无效</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13.3 代理机构和</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不向未</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rPr>
        <w:t xml:space="preserve">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解释未中标原因，也不公布评标过程中的相关细节。</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13.4 采用综合评分法的项目，未</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rPr>
        <w:t xml:space="preserve">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可于中标结果公告期限届满之日起通过苏采云系统查看自己的评审得分及排序情况。</w:t>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14、电子</w:t>
      </w:r>
      <w:r>
        <w:rPr>
          <w:rFonts w:hint="eastAsia" w:ascii="宋体" w:hAnsi="宋体"/>
          <w:b/>
          <w:bCs/>
          <w:color w:val="auto"/>
          <w:sz w:val="24"/>
          <w:szCs w:val="24"/>
          <w:highlight w:val="none"/>
          <w:lang w:eastAsia="zh-CN"/>
        </w:rPr>
        <w:t xml:space="preserve">响应文件</w:t>
      </w:r>
      <w:r>
        <w:rPr>
          <w:rFonts w:hint="eastAsia" w:ascii="宋体" w:hAnsi="宋体"/>
          <w:b/>
          <w:bCs/>
          <w:color w:val="auto"/>
          <w:sz w:val="24"/>
          <w:szCs w:val="24"/>
          <w:highlight w:val="none"/>
        </w:rPr>
        <w:t xml:space="preserve">的澄清</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14.1 评标期间，</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对电子</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中含义不明确、同类问题表述不一致或者有明显文字和计算错误的内容 ，有权要求</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作出必要的澄清、说明或者补正。</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的澄清、说明或者补正不得超出电子</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的范围或者改变电子</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的实质性内容。</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并非对每个</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都做澄清要求。</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14.2 需要</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进行澄清、说明和补正的，</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将通过苏采云系统向</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发出“澄清要求函”，接到“澄清要求函”的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应当按照要求在苏采云系统中提交“澄清响应函”并加盖CA电子公章。澄清、说明和补正的内容作为电子</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的补充部分，具体操作方式见《操作手册》。</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14.3 在接到</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澄清、说明和补正要求的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如未按规定作出澄清、说明和补正，其风险由</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自行承担。</w:t>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15、对电子</w:t>
      </w:r>
      <w:r>
        <w:rPr>
          <w:rFonts w:hint="eastAsia" w:ascii="宋体" w:hAnsi="宋体"/>
          <w:b/>
          <w:bCs/>
          <w:color w:val="auto"/>
          <w:sz w:val="24"/>
          <w:szCs w:val="24"/>
          <w:highlight w:val="none"/>
          <w:lang w:eastAsia="zh-CN"/>
        </w:rPr>
        <w:t xml:space="preserve">响应文件</w:t>
      </w:r>
      <w:r>
        <w:rPr>
          <w:rFonts w:hint="eastAsia" w:ascii="宋体" w:hAnsi="宋体"/>
          <w:b/>
          <w:bCs/>
          <w:color w:val="auto"/>
          <w:sz w:val="24"/>
          <w:szCs w:val="24"/>
          <w:highlight w:val="none"/>
        </w:rPr>
        <w:t xml:space="preserve">的初审</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 电子</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初审分为资格审查和符合性审查。</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15.1.1 资格审查：依据法律法规和</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的规定，由</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或</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评委对电子</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中的资格证明文件进行审查。资格审查的结论，</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或</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评委以书面形式向</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进行反馈。</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或</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评委在进行资格性审查的同时，将在“信用中国”网站（www.creditchina.gov.cn）查询</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的信用记录，以确定</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是否具备投标资格。</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15.1.2 符合性审查：依据</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的规定，由</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从电子</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的有效性、完整性和对</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的投标程度进行审查，以确定是否对</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的实质性要求作出响应。</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15.1.3 未通过资格审查或符合性审查的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，代理机构将在苏采云系统中告知未通过资格审查或符合性审查的原因，评标结束后，代理机构将不再告知未通过资格审查或符合性审查的原因。</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15.2 在详细评标之前，</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将首先审查每份电子</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是否实质性响应了</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的要求。实质性响应的响应应该是与</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要求的全部条款、条件和规格相符，没有重大偏离或保留的响应。</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规定的实质性要求存在负偏离，或者在实质上与</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不一致，而且限制了合同中买方和代理机构的权利或</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的义务，纠正这些偏离或保留将会对其他实质性响应要求的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的竞争地位产生不公正的影响。重大偏离的认定需经过</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以少数服从多数的原则作出结论。</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决定电子</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的响应性只根据电子</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本身的内容，而不寻求外部的证据。</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15.3 如果电子</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实质上没有响应</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的要求，</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将予以拒绝，</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不得通过修改或撤销不合要求的偏离或保留而使其响应成为实质性响应的响应。</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15.4 </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将对确定为实质性响应的响应进行进一步审核，看其是否有计算上或累加上的算术错误，修正错误的原则如下：</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（1）电子</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中开标一览表内容与电子</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中相应内容不一致的，以开标一览表为准。</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（2）大写金额和小写金额不一致的，以大写金额为准。</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（3）单价金额小数点或者百分比有明显错位的，以开标一览表的总价为准，并修改单价。</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（4）总价金额与按单价汇总金额不一致的，以单价金额计算结果为准。</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同时出现两种以上错误的，按照前款规定的顺序修正。</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15.5 </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将按上述修正错误的方法调整电子</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中的投标报价，并通过苏采云系统告知</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，调整后的价格应对</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具有约束力。如果</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不接受修正后的价格，则其投标将被拒绝。</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15.6 本次项目采用综合评分法，在综合比较与评价后按照得分由高到低顺序对</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进行排列。得分相同的，按报价由低到高顺序排列。得分且报价相同的，按服务标准优劣顺序排列。</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根据排名确定1-3名</w:t>
      </w:r>
      <w:r>
        <w:rPr>
          <w:rFonts w:hint="eastAsia" w:ascii="宋体" w:hAnsi="宋体"/>
          <w:color w:val="auto"/>
          <w:sz w:val="24"/>
          <w:szCs w:val="24"/>
          <w:highlight w:val="none"/>
          <w:lang w:eastAsia="zh-CN"/>
        </w:rPr>
        <w:t xml:space="preserve">成交候选人</w:t>
      </w:r>
      <w:r>
        <w:rPr>
          <w:rFonts w:hint="eastAsia" w:ascii="宋体" w:hAnsi="宋体"/>
          <w:color w:val="auto"/>
          <w:sz w:val="24"/>
          <w:szCs w:val="24"/>
          <w:highlight w:val="none"/>
        </w:rPr>
        <w:t xml:space="preserve">。</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15.7 </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在开、评标全过程中应保持通讯畅通，及时登录苏采云系统查阅、答复相关信息，并安排专人与代理机构及</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联系。</w:t>
      </w:r>
      <w:r/>
    </w:p>
    <w:p>
      <w:pPr>
        <w:spacing w:line="560" w:lineRule="exact"/>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五、无效投标条款和废标条款</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16.1无效投标条款</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16.1.1 供应商在苏采云系统规定的时间内未成功解密电子响应文件的。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16.1.2 供应商未按照磋商文件要求上传电子响应文件的。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16.1.3 供应商同一采购包提交两个（含两个）以上不同的投标报价的。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16.1.4 供应商不具备磋商文件中规定资格要求的。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16.1.5 供应商的报价超过了采购预算或最高限价的。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16.1.6 未通过符合性审查的。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16.1.7 不符合磋商文件中规定的实质性要求的。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16.1.9  电子响应文件含有采购人不能接受的附加条件的。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16.1.10强化政府采购异常低价审查：</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（一）、政府采购评审中出现下列情形之一的，评审委员会应当启动异常低价投标（响应）审查程序： </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1.投标（响应）报价低于全部通过符合性审查供应商投标（响应）报价平均值50%的，即投标（响应）报价&lt;全部通过符合性审查供应商投标（响应）报价平均值×50%。 </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2.投标（响应）报价低于通过符合性审查的次低报价供应商投标（响应）报价50%的，即投标（响应）报价&lt;通过符合性审查的次低报价供应商投标（响应）报价×50%。 </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3.投标（响应）报价低于采购项目最高限价45%的，即投标（响应）报价&lt;采购项目最高限价×45%。 </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4.评审委员会基于专业判断，认为供应商报价过低，有可能影响产品质量或者不能诚信履约的其他情形。</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评审委员会依据专业经验，参考同类项目</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val="zh-CN"/>
        </w:rPr>
        <w:t xml:space="preserve">（中标）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采购人、采购代理机构应当为评审委员会在评审现场及时获取同类项目</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val="zh-CN"/>
        </w:rPr>
        <w:t xml:space="preserve">（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 </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四）、采购人应当落实履约验收责任，依法组织履约验收工作，验收内容要包括每一项技术和商务要求的履约情况。对报价触发异常低价投标（响应）审查程序后仍中标（中标）的供应商，采购人要重点关注其履约承诺、实际履约情况等。对可以分期实施的采购项目，实行分期考核、分期验收、分期支付，及时掌握供应商履约进展。如供应商中标（中标）后无正当理由拒不签订政府采购合同的，依法予以处理；如供应商不履行合同或者未按合同约定履行合同导致验收不合格的，采购人应当依法追究其违约责任。</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16.1.11 如本项目采购产品被财政部、国家发改委、生态环境部等列入“节能产品品目清单”、“环境标志产品品目清单”强制采购范围，而供应商所投标产品不在强制采购范围内的。（投标产品如属于政府强制采购节能产品品目清单范围内，电子响应文件中必须提供国家确定的认证机构出具的、处于有效期之内的该节能产品认证证书图片）</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16.1.12 电子响应文件未按照磋商文件要求加盖CA电子公章的。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16.1.13 其他法律、法规及本磋商文件规定的属无效投标的情形。</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16.2 废标条款</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16.2.1 投标截止时间结束后参加投标的供应商不足三家的。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16.2.2 出现影响采购公正的违法、违规行为的。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16.2.3 因重大变故，采购任务取消的。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16.2.4 磋商小组认定磋商文件存在歧义、重大缺陷导致评标工作无法进行。</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16.2.5 因苏采云系统故障原因造成开标不成功的。</w:t>
      </w:r>
      <w:r/>
    </w:p>
    <w:p>
      <w:pPr>
        <w:spacing w:line="560" w:lineRule="exact"/>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六、定标</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17、确定</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val="zh-CN"/>
        </w:rPr>
        <w:t xml:space="preserve">单位</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17.1 </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val="zh-CN"/>
        </w:rPr>
        <w:t xml:space="preserve">候选人的选取原则详见磋商文件第二章规定。 </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17.2 采购人应根据磋商小组推荐的</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val="zh-CN"/>
        </w:rPr>
        <w:t xml:space="preserve">候选人确定中标人或磋商小组根据排名确定1-3名成交候选人。</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17.3 代理机构将在“江苏政府采购网”发布中标公告，公告期限为1个工作日。</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17.4 若有充分证据证明，</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lang w:val="zh-CN"/>
        </w:rPr>
        <w:t xml:space="preserve">出现下列情况之一的，一经查实，将被取消中标资格：</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17.4.1 提供虚假材料谋取</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val="zh-CN"/>
        </w:rPr>
        <w:t xml:space="preserve">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17.4.2 向采购人、代理机构行贿或者提供其他不正当利益的。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17.4.3 属于本文件规定的无效条件，但在评标过程中又未被磋商小组发现的。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17.4.4 与采购人或者其他供应商恶意串通的。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17.4.5 采取不正当手段诋毁、排挤其他供应商的。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17.5 有下列情形之一的，视为供应商串通投标，投标无效：</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17.5.1 不同供应商的电子响应文件由同一单位或者个人编制。</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17.5.2 不同供应商委托同一单位或者个人办理投标事宜。</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17.5.3 不同供应商的电子响应文件载明的项目管理成员或者联系人员为同一人。</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17.5.4 不同供应商的电子响应文件异常一致或者投标报价呈规律性差异。</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17.5.5 不同供应商使用同一电脑上传电子响应文件的。</w:t>
      </w:r>
      <w:r/>
    </w:p>
    <w:p>
      <w:pPr>
        <w:spacing w:line="560" w:lineRule="exact"/>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提醒：不同供应商使用同一ip地址上传响应文件的可能会被苏彩云系统认定为串标，请各位供应商予以关注。</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18、质疑处理</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18.1 提出质疑的供应商应当是参与所质疑项目采购活动的供应商。潜在供应商依法获取其可质疑的采购文件的，可以对采购文件提出质疑。</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18.2 供应商认为采购文件、采购过程和采购结果使自己的权益受到损害的，可以在知道或应知其权益受到损害之日起七个工作日内，以书面形式根据下述18.4-18.8条款的规定向代理机构或采购人提出质疑。</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18.2.1 对可以质疑的采购文件提出质疑的，为收到采购文件之日或者采购文件公告期限届满之日。</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18.2.2 对采购过程提出质疑的，为各采购程序环节结束之日。</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18.2.3 对中标结果提出质疑的，为中标结果公告期限届满之日。</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18.3 以下情形的质疑不予受理</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18.3.1 内容不符合《政府采购质疑和投诉办法》第十二条规定的质疑。</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18.3.2 超出政府采购法定期限的质疑。</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18.3.3 以传真、电子邮件等方式递交的非原件形式的质疑。</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18.3.4 未参加投标活动的供应商或在投标活动中自身权益未受到损害的供应商所提出的质疑。</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18.3.5 供应商组成联合体参加投标，联合体中任何一方或多方未按要求签字、加盖公章的质疑。</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18.4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18.5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18.6 质疑函应当使用中文。相关当事人提供外文书证或者外国语视听资料的，应当附有中文译本，由翻译机构盖章或者翻译人员签名。</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18.7 质疑函应当书面提交至采购代理机构联系人（详见竞争性磋商公告）处，如为现场提交的，提交时应出示有效身份证明。</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18.8 质疑供应商在法定质疑期内应当一次性提出针对同一采购环节的质疑事项。</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18.9 代理机构在收到供应商的质疑后将及时组织调查核实，在七个工作日内作出答复，答复的内容不涉及商业秘密。</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18.10 代理机构遵循“谁过错谁负担”的原则，有过错的一方承担调查论证费用。质疑查无实据或质疑不成立的，将报财政部门记入供应商诚信档案。</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19、</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val="zh-CN"/>
        </w:rPr>
        <w:t xml:space="preserve">通知书</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19.l </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val="zh-CN"/>
        </w:rPr>
        <w:t xml:space="preserve">结果确定后，代理机构将向</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lang w:val="zh-CN"/>
        </w:rPr>
        <w:t xml:space="preserve">发出</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val="zh-CN"/>
        </w:rPr>
        <w:t xml:space="preserve">通知书。请</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lang w:val="zh-CN"/>
        </w:rPr>
        <w:t xml:space="preserve">在</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val="zh-CN"/>
        </w:rPr>
        <w:t xml:space="preserve">结果公告届满之日起30日内，使用CA数字证书登录苏采云系统及时下载</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val="zh-CN"/>
        </w:rPr>
        <w:t xml:space="preserve">通知书。因系统存储空间有限，自</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val="zh-CN"/>
        </w:rPr>
        <w:t xml:space="preserve">结果公告届满之日起30日后，苏采云系统不再保证提供下载</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val="zh-CN"/>
        </w:rPr>
        <w:t xml:space="preserve">通知书服务，因未及时下载而造成的不利后果由</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lang w:val="zh-CN"/>
        </w:rPr>
        <w:t xml:space="preserve">自行承担。</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19.2 </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val="zh-CN"/>
        </w:rPr>
        <w:t xml:space="preserve">通知书将是合同的一个组成部分。对采购人和</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lang w:val="zh-CN"/>
        </w:rPr>
        <w:t xml:space="preserve">均具有法律效力。</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val="zh-CN"/>
        </w:rPr>
        <w:t xml:space="preserve">通知书发出后，采购人改变</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val="zh-CN"/>
        </w:rPr>
        <w:t xml:space="preserve">结果的，或者</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lang w:val="zh-CN"/>
        </w:rPr>
        <w:t xml:space="preserve">放弃中标项目的，应当依法承担法律责任。</w:t>
      </w:r>
      <w:r/>
    </w:p>
    <w:p>
      <w:pPr>
        <w:spacing w:line="560" w:lineRule="exact"/>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七、合同签订</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20、签订合同</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20.l </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lang w:val="zh-CN"/>
        </w:rPr>
        <w:t xml:space="preserve">应当在</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val="zh-CN"/>
        </w:rPr>
        <w:t xml:space="preserve">通知书发出之日起三十日内，按照磋商文件确定的事项与采购人签订政府采购合同。</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20.2 磋商文件、</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lang w:val="zh-CN"/>
        </w:rPr>
        <w:t xml:space="preserve">的电子响应文件及采购过程中有关澄清、承诺文件均应作为合同附件。</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20.3 签订合同后，</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lang w:val="zh-CN"/>
        </w:rPr>
        <w:t xml:space="preserve">不得将合同标的进行转包。未经采购人同意，</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lang w:val="zh-CN"/>
        </w:rPr>
        <w:t xml:space="preserve">也不得采用分包的形式履行合同，否则采购人有权终止合同。转包或分包造成采购人损失的，</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lang w:val="zh-CN"/>
        </w:rPr>
        <w:t xml:space="preserve">应承担相应赔偿责任。</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20.4 </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lang w:val="zh-CN"/>
        </w:rPr>
        <w:t xml:space="preserve">除发生法律规定的不能预见、不能避免并不能克服的客观情况外不得放弃或拒绝签订合同。放弃或拒绝签订合同的，财政部门视情将其列入不良行为名单，在一至三年内不得参加南京市政府采购活动。</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20.5 </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lang w:val="zh-CN"/>
        </w:rPr>
        <w:t xml:space="preserve">拒绝签订政府采购合同的，或因不可抗力或者自身原因不能履行政府采购合同的，采购人可以按照评标报告推荐的成交候选人名单排序，确定下一候选人为</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lang w:val="zh-CN"/>
        </w:rPr>
        <w:t xml:space="preserve">，也可以重新开展政府采购活动。评标报告未推荐成交候选人的，应重新开展政府采购活动。</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21、货物（包含与货物相关的服务）的追加</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21.1 政府采购合同履行中，采购人需追加与合同标的相同的货物（包含与货物相关的服务）的，在不改变合同其他条款的前提下，可以与中标人协商签订补充合同，但所有补充合同的采购金额不超过原合同金额10%。</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八、中国境内生产的组件成本核算基本规则</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一、产品的一级组件是指直接组成产品的组件。产品的二级组件是指直接组成产品一级组件的组件。一级组件不可分解的，视同二级组件。</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三、产品总成本和组件成本以相关会计核算数据、采购合同、进货记录等为基础进行计算。</w:t>
      </w:r>
      <w:r/>
    </w:p>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rPr>
        <w:t xml:space="preserve">四、需要对成本核算规则予以进一步明确的其他有关事项，由财政部会同有关部门另行规定。</w:t>
      </w:r>
      <w:r>
        <w:rPr>
          <w:rFonts w:hint="eastAsia" w:ascii="宋体" w:hAnsi="宋体"/>
          <w:color w:val="auto"/>
          <w:sz w:val="24"/>
          <w:szCs w:val="24"/>
          <w:highlight w:val="none"/>
          <w:lang w:val="zh-CN"/>
        </w:rPr>
        <w:br w:type="page" w:clear="all"/>
      </w:r>
      <w:r/>
    </w:p>
    <w:p>
      <w:pPr>
        <w:pStyle w:val="755"/>
        <w:jc w:val="center"/>
        <w:spacing w:line="560" w:lineRule="exact"/>
        <w:rPr>
          <w:color w:val="auto"/>
          <w:highlight w:val="none"/>
        </w:rPr>
      </w:pPr>
      <w:r/>
      <w:bookmarkStart w:id="8" w:name="_Toc1291"/>
      <w:r>
        <w:rPr>
          <w:rFonts w:hint="eastAsia" w:ascii="宋体" w:hAnsi="宋体"/>
          <w:color w:val="auto"/>
          <w:sz w:val="24"/>
          <w:szCs w:val="24"/>
          <w:highlight w:val="none"/>
        </w:rPr>
        <w:t xml:space="preserve">第三章  评审标准</w:t>
      </w:r>
      <w:bookmarkEnd w:id="8"/>
      <w:r/>
      <w:r/>
    </w:p>
    <w:tbl>
      <w:tblPr>
        <w:tblStyle w:val="765"/>
        <w:tblpPr w:horzAnchor="page" w:tblpX="630" w:vertAnchor="text" w:tblpY="1008" w:leftFromText="180" w:topFromText="0" w:rightFromText="180" w:bottomFromText="0"/>
        <w:tblW w:w="1025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1623"/>
        <w:gridCol w:w="7044"/>
        <w:gridCol w:w="756"/>
      </w:tblGrid>
      <w:tr>
        <w:trPr>
          <w:trHeight w:val="793"/>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auto" w:sz="4" w:space="0"/>
            </w:tcBorders>
            <w:tcW w:w="1623" w:type="dxa"/>
            <w:vAlign w:val="center"/>
            <w:textDirection w:val="lrTb"/>
            <w:noWrap w:val="false"/>
          </w:tcPr>
          <w:p>
            <w:pPr>
              <w:jc w:val="cente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评分因素</w:t>
            </w:r>
            <w:r/>
          </w:p>
        </w:tc>
        <w:tc>
          <w:tcPr>
            <w:tcBorders>
              <w:top w:val="single" w:color="auto" w:sz="4" w:space="0"/>
              <w:left w:val="single" w:color="auto" w:sz="4" w:space="0"/>
              <w:bottom w:val="single" w:color="auto" w:sz="4" w:space="0"/>
              <w:right w:val="single" w:color="auto" w:sz="4" w:space="0"/>
            </w:tcBorders>
            <w:tcW w:w="7044" w:type="dxa"/>
            <w:vAlign w:val="center"/>
            <w:textDirection w:val="lrTb"/>
            <w:noWrap w:val="false"/>
          </w:tcPr>
          <w:p>
            <w:pPr>
              <w:jc w:val="cente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评分标准</w:t>
            </w:r>
            <w:r/>
          </w:p>
        </w:tc>
        <w:tc>
          <w:tcPr>
            <w:tcBorders>
              <w:top w:val="single" w:color="000000" w:sz="4" w:space="0"/>
              <w:left w:val="single" w:color="auto" w:sz="4" w:space="0"/>
              <w:bottom w:val="single" w:color="000000" w:sz="4" w:space="0"/>
              <w:right w:val="single" w:color="000000" w:sz="4" w:space="0"/>
            </w:tcBorders>
            <w:tcW w:w="756" w:type="dxa"/>
            <w:textDirection w:val="lrTb"/>
            <w:noWrap w:val="false"/>
          </w:tcPr>
          <w:p>
            <w:pPr>
              <w:jc w:val="cente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分值</w:t>
            </w:r>
            <w:r/>
          </w:p>
        </w:tc>
      </w:tr>
      <w:tr>
        <w:trPr>
          <w:trHeight w:val="1286"/>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000000" w:sz="4" w:space="0"/>
              <w:left w:val="single" w:color="000000" w:sz="4" w:space="0"/>
              <w:bottom w:val="single" w:color="auto" w:sz="4" w:space="0"/>
              <w:right w:val="single" w:color="000000" w:sz="4" w:space="0"/>
            </w:tcBorders>
            <w:tcW w:w="1623" w:type="dxa"/>
            <w:vAlign w:val="center"/>
            <w:textDirection w:val="lrTb"/>
            <w:noWrap w:val="false"/>
          </w:tcPr>
          <w:p>
            <w:pPr>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价格</w:t>
            </w:r>
            <w:r/>
          </w:p>
          <w:p>
            <w:pPr>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（30分）</w:t>
            </w:r>
            <w:r/>
          </w:p>
        </w:tc>
        <w:tc>
          <w:tcPr>
            <w:tcBorders>
              <w:top w:val="single" w:color="auto" w:sz="4" w:space="0"/>
              <w:left w:val="single" w:color="000000" w:sz="4" w:space="0"/>
              <w:bottom w:val="single" w:color="000000" w:sz="4" w:space="0"/>
              <w:right w:val="single" w:color="000000" w:sz="4" w:space="0"/>
            </w:tcBorders>
            <w:tcW w:w="7044" w:type="dxa"/>
            <w:vAlign w:val="center"/>
            <w:textDirection w:val="lrTb"/>
            <w:noWrap w:val="false"/>
          </w:tcPr>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采用低价优先法计算，即满足</w:t>
            </w:r>
            <w:r>
              <w:rPr>
                <w:rFonts w:hint="eastAsia" w:ascii="宋体" w:hAnsi="宋体"/>
                <w:color w:val="auto"/>
                <w:sz w:val="24"/>
                <w:szCs w:val="24"/>
                <w:highlight w:val="none"/>
                <w:lang w:val="en-US" w:eastAsia="zh-CN"/>
              </w:rPr>
              <w:t xml:space="preserve">磋商</w:t>
            </w:r>
            <w:r>
              <w:rPr>
                <w:rFonts w:hint="eastAsia" w:ascii="宋体" w:hAnsi="宋体"/>
                <w:color w:val="auto"/>
                <w:sz w:val="24"/>
                <w:szCs w:val="24"/>
                <w:highlight w:val="none"/>
              </w:rPr>
              <w:t xml:space="preserve">文件要求且按照食材基准单价优惠率最高的投标报价为评审基准价，其价格分为满分。</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其他供应商的价格分统一按照下列公式计算：报价得分=（1-评审基准价/1-投标报价）×30（小数点保留两位）。</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30</w:t>
            </w:r>
            <w:r/>
          </w:p>
        </w:tc>
      </w:tr>
      <w:tr>
        <w:trPr>
          <w:trHeight w:val="1286"/>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2.1</w:t>
            </w:r>
            <w:r/>
          </w:p>
        </w:tc>
        <w:tc>
          <w:tcPr>
            <w:tcBorders>
              <w:top w:val="single" w:color="000000" w:sz="4" w:space="0"/>
              <w:left w:val="single" w:color="000000" w:sz="4" w:space="0"/>
              <w:right w:val="single" w:color="000000" w:sz="4" w:space="0"/>
            </w:tcBorders>
            <w:tcW w:w="1623" w:type="dxa"/>
            <w:vAlign w:val="center"/>
            <w:vMerge w:val="restart"/>
            <w:textDirection w:val="lrTb"/>
            <w:noWrap w:val="false"/>
          </w:tcPr>
          <w:p>
            <w:pPr>
              <w:jc w:val="center"/>
              <w:keepLines w:val="0"/>
              <w:keepNext w:val="0"/>
              <w:pageBreakBefore w:val="0"/>
              <w:spacing w:line="560" w:lineRule="exact"/>
              <w:widowControl w:val="off"/>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服务方案（49分）</w:t>
            </w:r>
            <w:r/>
          </w:p>
        </w:tc>
        <w:tc>
          <w:tcPr>
            <w:tcBorders>
              <w:top w:val="single" w:color="auto" w:sz="4" w:space="0"/>
              <w:left w:val="single" w:color="000000" w:sz="4" w:space="0"/>
              <w:bottom w:val="single" w:color="000000" w:sz="4" w:space="0"/>
              <w:right w:val="single" w:color="000000" w:sz="4" w:space="0"/>
            </w:tcBorders>
            <w:tcW w:w="7044" w:type="dxa"/>
            <w:vAlign w:val="center"/>
            <w:textDirection w:val="lrTb"/>
            <w:noWrap w:val="false"/>
          </w:tcPr>
          <w:p>
            <w:pPr>
              <w:keepLines w:val="0"/>
              <w:keepNext w:val="0"/>
              <w:pageBreakBefore w:val="0"/>
              <w:spacing w:line="560" w:lineRule="exact"/>
              <w:widowControl w:val="off"/>
              <w:rPr>
                <w:rFonts w:ascii="宋体" w:hAnsi="宋体"/>
                <w:sz w:val="24"/>
                <w:szCs w:val="24"/>
              </w:rPr>
            </w:pPr>
            <w:r>
              <w:rPr>
                <w:rFonts w:hint="eastAsia" w:ascii="宋体" w:hAnsi="宋体"/>
                <w:sz w:val="24"/>
                <w:szCs w:val="24"/>
              </w:rPr>
              <w:t xml:space="preserve">根据供应商提供的项目实施方案进行综合评审：</w:t>
            </w:r>
            <w:r/>
          </w:p>
          <w:p>
            <w:pPr>
              <w:keepLines w:val="0"/>
              <w:keepNext w:val="0"/>
              <w:pageBreakBefore w:val="0"/>
              <w:spacing w:line="560" w:lineRule="exact"/>
              <w:widowControl w:val="off"/>
              <w:rPr>
                <w:rFonts w:ascii="宋体" w:hAnsi="宋体"/>
                <w:sz w:val="24"/>
                <w:szCs w:val="24"/>
              </w:rPr>
            </w:pPr>
            <w:r>
              <w:rPr>
                <w:rFonts w:hint="eastAsia" w:ascii="宋体" w:hAnsi="宋体"/>
                <w:sz w:val="24"/>
                <w:szCs w:val="24"/>
              </w:rPr>
              <w:t xml:space="preserve">服务方案详尽，科学合理，切实可行的得1</w:t>
            </w:r>
            <w:r>
              <w:rPr>
                <w:rFonts w:hint="eastAsia" w:ascii="宋体" w:hAnsi="宋体"/>
                <w:sz w:val="24"/>
                <w:szCs w:val="24"/>
                <w:lang w:val="en-US" w:eastAsia="zh-CN"/>
              </w:rPr>
              <w:t xml:space="preserve">5</w:t>
            </w:r>
            <w:r>
              <w:rPr>
                <w:rFonts w:hint="eastAsia" w:ascii="宋体" w:hAnsi="宋体"/>
                <w:sz w:val="24"/>
                <w:szCs w:val="24"/>
              </w:rPr>
              <w:t xml:space="preserve">分；</w:t>
            </w:r>
            <w:r/>
          </w:p>
          <w:p>
            <w:pPr>
              <w:keepLines w:val="0"/>
              <w:keepNext w:val="0"/>
              <w:pageBreakBefore w:val="0"/>
              <w:spacing w:line="560" w:lineRule="exact"/>
              <w:widowControl w:val="off"/>
              <w:rPr>
                <w:rFonts w:ascii="宋体" w:hAnsi="宋体"/>
                <w:sz w:val="24"/>
                <w:szCs w:val="24"/>
              </w:rPr>
            </w:pPr>
            <w:r>
              <w:rPr>
                <w:rFonts w:hint="eastAsia" w:ascii="宋体" w:hAnsi="宋体"/>
                <w:sz w:val="24"/>
                <w:szCs w:val="24"/>
              </w:rPr>
              <w:t xml:space="preserve">服务方案完整，项目重点基本把握的得</w:t>
            </w:r>
            <w:r>
              <w:rPr>
                <w:rFonts w:hint="eastAsia" w:ascii="宋体" w:hAnsi="宋体"/>
                <w:sz w:val="24"/>
                <w:szCs w:val="24"/>
                <w:lang w:val="en-US" w:eastAsia="zh-CN"/>
              </w:rPr>
              <w:t xml:space="preserve">12</w:t>
            </w:r>
            <w:r>
              <w:rPr>
                <w:rFonts w:hint="eastAsia" w:ascii="宋体" w:hAnsi="宋体"/>
                <w:sz w:val="24"/>
                <w:szCs w:val="24"/>
              </w:rPr>
              <w:t xml:space="preserve">分；</w:t>
            </w:r>
            <w:r/>
          </w:p>
          <w:p>
            <w:pPr>
              <w:keepLines w:val="0"/>
              <w:keepNext w:val="0"/>
              <w:pageBreakBefore w:val="0"/>
              <w:spacing w:line="560" w:lineRule="exact"/>
              <w:widowControl w:val="off"/>
              <w:rPr>
                <w:rFonts w:ascii="宋体" w:hAnsi="宋体"/>
                <w:sz w:val="24"/>
                <w:szCs w:val="24"/>
              </w:rPr>
            </w:pPr>
            <w:r>
              <w:rPr>
                <w:rFonts w:hint="eastAsia" w:ascii="宋体" w:hAnsi="宋体"/>
                <w:sz w:val="24"/>
                <w:szCs w:val="24"/>
              </w:rPr>
              <w:t xml:space="preserve">服务方案一般，存在一定的瑕疵的得</w:t>
            </w:r>
            <w:r>
              <w:rPr>
                <w:rFonts w:hint="eastAsia" w:ascii="宋体" w:hAnsi="宋体"/>
                <w:sz w:val="24"/>
                <w:szCs w:val="24"/>
                <w:lang w:val="en-US" w:eastAsia="zh-CN"/>
              </w:rPr>
              <w:t xml:space="preserve">9</w:t>
            </w:r>
            <w:r>
              <w:rPr>
                <w:rFonts w:hint="eastAsia" w:ascii="宋体" w:hAnsi="宋体"/>
                <w:sz w:val="24"/>
                <w:szCs w:val="24"/>
              </w:rPr>
              <w:t xml:space="preserve">分；</w:t>
            </w:r>
            <w:r/>
          </w:p>
          <w:p>
            <w:pPr>
              <w:keepLines w:val="0"/>
              <w:keepNext w:val="0"/>
              <w:pageBreakBefore w:val="0"/>
              <w:spacing w:line="560" w:lineRule="exact"/>
              <w:widowControl w:val="off"/>
              <w:rPr>
                <w:rFonts w:hint="eastAsia" w:ascii="宋体" w:hAnsi="宋体"/>
                <w:bCs/>
                <w:color w:val="auto"/>
                <w:sz w:val="24"/>
                <w:szCs w:val="24"/>
                <w:highlight w:val="none"/>
              </w:rPr>
            </w:pPr>
            <w:r>
              <w:rPr>
                <w:rFonts w:hint="eastAsia" w:ascii="宋体" w:hAnsi="宋体" w:cs="微软雅黑"/>
                <w:sz w:val="24"/>
                <w:szCs w:val="24"/>
              </w:rPr>
              <w:t xml:space="preserve">未提供方案不得分。</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15</w:t>
            </w:r>
            <w:r/>
          </w:p>
        </w:tc>
      </w:tr>
      <w:tr>
        <w:trPr>
          <w:trHeight w:val="1286"/>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2.2</w:t>
            </w:r>
            <w:r/>
          </w:p>
        </w:tc>
        <w:tc>
          <w:tcPr>
            <w:tcBorders>
              <w:left w:val="single" w:color="000000" w:sz="4" w:space="0"/>
              <w:right w:val="single" w:color="000000" w:sz="4" w:space="0"/>
            </w:tcBorders>
            <w:tcW w:w="1623" w:type="dxa"/>
            <w:vAlign w:val="center"/>
            <w:vMerge w:val="continue"/>
            <w:textDirection w:val="lrTb"/>
            <w:noWrap w:val="false"/>
          </w:tcPr>
          <w:p>
            <w:pPr>
              <w:jc w:val="center"/>
              <w:keepLines w:val="0"/>
              <w:keepNext w:val="0"/>
              <w:pageBreakBefore w:val="0"/>
              <w:spacing w:line="5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W w:w="7044" w:type="dxa"/>
            <w:vAlign w:val="center"/>
            <w:textDirection w:val="lrTb"/>
            <w:noWrap w:val="false"/>
          </w:tcPr>
          <w:p>
            <w:pPr>
              <w:keepLines w:val="0"/>
              <w:keepNext w:val="0"/>
              <w:pageBreakBefore w:val="0"/>
              <w:spacing w:line="560" w:lineRule="exact"/>
              <w:widowControl w:val="off"/>
              <w:rPr>
                <w:rFonts w:ascii="宋体" w:hAnsi="宋体" w:cs="微软雅黑"/>
                <w:sz w:val="24"/>
                <w:szCs w:val="24"/>
              </w:rPr>
            </w:pPr>
            <w:r>
              <w:rPr>
                <w:rFonts w:hint="eastAsia" w:ascii="宋体" w:hAnsi="宋体" w:cs="微软雅黑"/>
                <w:sz w:val="24"/>
                <w:szCs w:val="24"/>
              </w:rPr>
              <w:t xml:space="preserve">根据供应商针对本项目实际情况提供的突发事件应急处理预案内容（包括但不限于雨雪天气道路封闭情况下运输措施、特殊事故（情况）措施、治安应急措施、消防应急措施等）进行综合评审：</w:t>
            </w:r>
            <w:r/>
          </w:p>
          <w:p>
            <w:pPr>
              <w:keepLines w:val="0"/>
              <w:keepNext w:val="0"/>
              <w:pageBreakBefore w:val="0"/>
              <w:spacing w:line="560" w:lineRule="exact"/>
              <w:widowControl w:val="off"/>
              <w:rPr>
                <w:rFonts w:ascii="宋体" w:hAnsi="宋体" w:cs="微软雅黑"/>
                <w:sz w:val="24"/>
                <w:szCs w:val="24"/>
              </w:rPr>
            </w:pPr>
            <w:r>
              <w:rPr>
                <w:rFonts w:hint="eastAsia" w:ascii="宋体" w:hAnsi="宋体" w:cs="微软雅黑"/>
                <w:sz w:val="24"/>
                <w:szCs w:val="24"/>
              </w:rPr>
              <w:t xml:space="preserve">突发应急预案详细、全面、可行的得12分；</w:t>
            </w:r>
            <w:r/>
          </w:p>
          <w:p>
            <w:pPr>
              <w:keepLines w:val="0"/>
              <w:keepNext w:val="0"/>
              <w:pageBreakBefore w:val="0"/>
              <w:spacing w:line="560" w:lineRule="exact"/>
              <w:widowControl w:val="off"/>
              <w:rPr>
                <w:rFonts w:ascii="宋体" w:hAnsi="宋体" w:cs="微软雅黑"/>
                <w:sz w:val="24"/>
                <w:szCs w:val="24"/>
              </w:rPr>
            </w:pPr>
            <w:r>
              <w:rPr>
                <w:rFonts w:hint="eastAsia" w:ascii="宋体" w:hAnsi="宋体" w:cs="微软雅黑"/>
                <w:sz w:val="24"/>
                <w:szCs w:val="24"/>
              </w:rPr>
              <w:t xml:space="preserve">突发应急预案基本完整、可行的得9分；</w:t>
            </w:r>
            <w:r/>
          </w:p>
          <w:p>
            <w:pPr>
              <w:keepLines w:val="0"/>
              <w:keepNext w:val="0"/>
              <w:pageBreakBefore w:val="0"/>
              <w:spacing w:line="560" w:lineRule="exact"/>
              <w:widowControl w:val="off"/>
              <w:rPr>
                <w:rFonts w:ascii="宋体" w:hAnsi="宋体" w:cs="微软雅黑"/>
                <w:sz w:val="24"/>
                <w:szCs w:val="24"/>
              </w:rPr>
            </w:pPr>
            <w:r>
              <w:rPr>
                <w:rFonts w:hint="eastAsia" w:ascii="宋体" w:hAnsi="宋体" w:cs="微软雅黑"/>
                <w:sz w:val="24"/>
                <w:szCs w:val="24"/>
              </w:rPr>
              <w:t xml:space="preserve">预案内容不全、可行性差的得6分；</w:t>
            </w:r>
            <w:r/>
          </w:p>
          <w:p>
            <w:pPr>
              <w:keepLines w:val="0"/>
              <w:keepNext w:val="0"/>
              <w:pageBreakBefore w:val="0"/>
              <w:spacing w:line="560" w:lineRule="exact"/>
              <w:widowControl w:val="off"/>
              <w:rPr>
                <w:rFonts w:hint="eastAsia" w:ascii="宋体" w:hAnsi="宋体" w:eastAsia="宋体" w:cs="微软雅黑"/>
                <w:sz w:val="24"/>
                <w:szCs w:val="24"/>
                <w:lang w:val="en-US" w:eastAsia="zh-CN" w:bidi="ar-SA"/>
              </w:rPr>
            </w:pPr>
            <w:r>
              <w:rPr>
                <w:rFonts w:hint="eastAsia" w:ascii="宋体" w:hAnsi="宋体" w:cs="微软雅黑"/>
                <w:sz w:val="24"/>
                <w:szCs w:val="24"/>
              </w:rPr>
              <w:t xml:space="preserve">未提供方案不得分。</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12</w:t>
            </w:r>
            <w:r/>
          </w:p>
        </w:tc>
      </w:tr>
      <w:tr>
        <w:trPr>
          <w:trHeight w:val="52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2.3</w:t>
            </w:r>
            <w:r/>
          </w:p>
        </w:tc>
        <w:tc>
          <w:tcPr>
            <w:tcBorders>
              <w:left w:val="single" w:color="000000" w:sz="4" w:space="0"/>
              <w:right w:val="single" w:color="000000" w:sz="4" w:space="0"/>
            </w:tcBorders>
            <w:tcW w:w="1623" w:type="dxa"/>
            <w:vAlign w:val="center"/>
            <w:vMerge w:val="continue"/>
            <w:textDirection w:val="lrTb"/>
            <w:noWrap w:val="false"/>
          </w:tcPr>
          <w:p>
            <w:pPr>
              <w:jc w:val="center"/>
              <w:keepLines w:val="0"/>
              <w:keepNext w:val="0"/>
              <w:pageBreakBefore w:val="0"/>
              <w:spacing w:line="5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000000" w:sz="4" w:space="0"/>
              <w:bottom w:val="single" w:color="000000" w:sz="4" w:space="0"/>
              <w:right w:val="single" w:color="000000" w:sz="4" w:space="0"/>
            </w:tcBorders>
            <w:tcW w:w="7044" w:type="dxa"/>
            <w:vAlign w:val="center"/>
            <w:textDirection w:val="lrTb"/>
            <w:noWrap w:val="false"/>
          </w:tcPr>
          <w:p>
            <w:pPr>
              <w:keepLines w:val="0"/>
              <w:keepNext w:val="0"/>
              <w:pageBreakBefore w:val="0"/>
              <w:spacing w:line="560" w:lineRule="exact"/>
              <w:widowControl w:val="off"/>
              <w:rPr>
                <w:rFonts w:ascii="宋体" w:hAnsi="宋体" w:cs="微软雅黑"/>
                <w:sz w:val="24"/>
                <w:szCs w:val="24"/>
              </w:rPr>
            </w:pPr>
            <w:r>
              <w:rPr>
                <w:rFonts w:hint="eastAsia" w:ascii="宋体" w:hAnsi="宋体" w:cs="微软雅黑"/>
                <w:sz w:val="24"/>
                <w:szCs w:val="24"/>
              </w:rPr>
              <w:t xml:space="preserve">根据供应商针对本项目实际情况提供的产品质量保证能力进行综合评审：</w:t>
            </w:r>
            <w:r/>
          </w:p>
          <w:p>
            <w:pPr>
              <w:keepLines w:val="0"/>
              <w:keepNext w:val="0"/>
              <w:pageBreakBefore w:val="0"/>
              <w:spacing w:line="560" w:lineRule="exact"/>
              <w:widowControl w:val="off"/>
              <w:rPr>
                <w:rFonts w:ascii="宋体" w:hAnsi="宋体" w:cs="微软雅黑"/>
                <w:sz w:val="24"/>
                <w:szCs w:val="24"/>
              </w:rPr>
            </w:pPr>
            <w:r>
              <w:rPr>
                <w:rFonts w:hint="eastAsia" w:ascii="宋体" w:hAnsi="宋体" w:cs="微软雅黑"/>
                <w:sz w:val="24"/>
                <w:szCs w:val="24"/>
              </w:rPr>
              <w:t xml:space="preserve">质量保证措施切实可行、合理、可靠，质量检测控制合理有效的得12分；</w:t>
            </w:r>
            <w:r/>
          </w:p>
          <w:p>
            <w:pPr>
              <w:keepLines w:val="0"/>
              <w:keepNext w:val="0"/>
              <w:pageBreakBefore w:val="0"/>
              <w:spacing w:line="560" w:lineRule="exact"/>
              <w:widowControl w:val="off"/>
              <w:rPr>
                <w:rFonts w:ascii="宋体" w:hAnsi="宋体" w:cs="微软雅黑"/>
                <w:sz w:val="24"/>
                <w:szCs w:val="24"/>
              </w:rPr>
            </w:pPr>
            <w:r>
              <w:rPr>
                <w:rFonts w:hint="eastAsia" w:ascii="宋体" w:hAnsi="宋体" w:cs="微软雅黑"/>
                <w:sz w:val="24"/>
                <w:szCs w:val="24"/>
              </w:rPr>
              <w:t xml:space="preserve">质量保证措施较可行、较合理、可靠，质量检测控制较可行的得9分；</w:t>
            </w:r>
            <w:r/>
          </w:p>
          <w:p>
            <w:pPr>
              <w:keepLines w:val="0"/>
              <w:keepNext w:val="0"/>
              <w:pageBreakBefore w:val="0"/>
              <w:spacing w:line="560" w:lineRule="exact"/>
              <w:widowControl w:val="off"/>
              <w:rPr>
                <w:rFonts w:ascii="宋体" w:hAnsi="宋体" w:cs="微软雅黑"/>
                <w:sz w:val="24"/>
                <w:szCs w:val="24"/>
              </w:rPr>
            </w:pPr>
            <w:r>
              <w:rPr>
                <w:rFonts w:hint="eastAsia" w:ascii="宋体" w:hAnsi="宋体" w:cs="微软雅黑"/>
                <w:sz w:val="24"/>
                <w:szCs w:val="24"/>
              </w:rPr>
              <w:t xml:space="preserve">质量保证措施基本切实可行、基本合理、可靠，质量检测控制基本合理得6分；</w:t>
            </w:r>
            <w:r/>
          </w:p>
          <w:p>
            <w:pPr>
              <w:keepLines w:val="0"/>
              <w:keepNext w:val="0"/>
              <w:pageBreakBefore w:val="0"/>
              <w:spacing w:line="560" w:lineRule="exact"/>
              <w:widowControl w:val="off"/>
              <w:rPr>
                <w:rFonts w:hint="eastAsia" w:ascii="宋体" w:hAnsi="宋体"/>
                <w:bCs/>
                <w:color w:val="auto"/>
                <w:sz w:val="24"/>
                <w:szCs w:val="24"/>
                <w:highlight w:val="none"/>
              </w:rPr>
            </w:pPr>
            <w:r>
              <w:rPr>
                <w:rFonts w:hint="eastAsia" w:ascii="宋体" w:hAnsi="宋体" w:cs="微软雅黑"/>
                <w:sz w:val="24"/>
                <w:szCs w:val="24"/>
              </w:rPr>
              <w:t xml:space="preserve">未提供的不得分。</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12</w:t>
            </w:r>
            <w:r/>
          </w:p>
        </w:tc>
      </w:tr>
      <w:tr>
        <w:trPr>
          <w:trHeight w:val="1286"/>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2.4</w:t>
            </w:r>
            <w:r/>
          </w:p>
        </w:tc>
        <w:tc>
          <w:tcPr>
            <w:tcBorders>
              <w:left w:val="single" w:color="000000" w:sz="4" w:space="0"/>
              <w:right w:val="single" w:color="000000" w:sz="4" w:space="0"/>
            </w:tcBorders>
            <w:tcW w:w="1623" w:type="dxa"/>
            <w:vAlign w:val="center"/>
            <w:vMerge w:val="continue"/>
            <w:textDirection w:val="lrTb"/>
            <w:noWrap w:val="false"/>
          </w:tcPr>
          <w:p>
            <w:pPr>
              <w:jc w:val="center"/>
              <w:keepLines w:val="0"/>
              <w:keepNext w:val="0"/>
              <w:pageBreakBefore w:val="0"/>
              <w:spacing w:line="5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000000" w:sz="4" w:space="0"/>
              <w:bottom w:val="single" w:color="000000" w:sz="4" w:space="0"/>
              <w:right w:val="single" w:color="000000" w:sz="4" w:space="0"/>
            </w:tcBorders>
            <w:tcW w:w="7044" w:type="dxa"/>
            <w:vAlign w:val="center"/>
            <w:textDirection w:val="lrTb"/>
            <w:noWrap w:val="false"/>
          </w:tcPr>
          <w:p>
            <w:pPr>
              <w:keepLines w:val="0"/>
              <w:keepNext w:val="0"/>
              <w:pageBreakBefore w:val="0"/>
              <w:spacing w:line="560" w:lineRule="exact"/>
              <w:widowControl w:val="off"/>
              <w:rPr>
                <w:rFonts w:ascii="宋体" w:hAnsi="宋体" w:cs="微软雅黑"/>
                <w:sz w:val="24"/>
                <w:szCs w:val="24"/>
              </w:rPr>
            </w:pPr>
            <w:r>
              <w:rPr>
                <w:rFonts w:hint="eastAsia" w:ascii="宋体" w:hAnsi="宋体" w:cs="微软雅黑"/>
                <w:sz w:val="24"/>
                <w:szCs w:val="24"/>
              </w:rPr>
              <w:t xml:space="preserve">根据供应商针对本项目实际情况提供的售后服务进行综合评审：</w:t>
            </w:r>
            <w:r/>
          </w:p>
          <w:p>
            <w:pPr>
              <w:keepLines w:val="0"/>
              <w:keepNext w:val="0"/>
              <w:pageBreakBefore w:val="0"/>
              <w:spacing w:line="560" w:lineRule="exact"/>
              <w:widowControl w:val="off"/>
              <w:rPr>
                <w:rFonts w:ascii="宋体" w:hAnsi="宋体" w:cs="微软雅黑"/>
                <w:sz w:val="24"/>
                <w:szCs w:val="24"/>
              </w:rPr>
            </w:pPr>
            <w:r>
              <w:rPr>
                <w:rFonts w:hint="eastAsia" w:ascii="宋体" w:hAnsi="宋体" w:cs="微软雅黑"/>
                <w:sz w:val="24"/>
                <w:szCs w:val="24"/>
              </w:rPr>
              <w:t xml:space="preserve">售后服务方案详细，可操作性强，服务响应时间及时的得10分；</w:t>
            </w:r>
            <w:r/>
          </w:p>
          <w:p>
            <w:pPr>
              <w:keepLines w:val="0"/>
              <w:keepNext w:val="0"/>
              <w:pageBreakBefore w:val="0"/>
              <w:spacing w:line="560" w:lineRule="exact"/>
              <w:widowControl w:val="off"/>
              <w:rPr>
                <w:rFonts w:ascii="宋体" w:hAnsi="宋体" w:cs="微软雅黑"/>
                <w:sz w:val="24"/>
                <w:szCs w:val="24"/>
              </w:rPr>
            </w:pPr>
            <w:r>
              <w:rPr>
                <w:rFonts w:hint="eastAsia" w:ascii="宋体" w:hAnsi="宋体" w:cs="微软雅黑"/>
                <w:sz w:val="24"/>
                <w:szCs w:val="24"/>
              </w:rPr>
              <w:t xml:space="preserve">售后服务、测试方案较详细，可操作性较强，服务响应时间较及时的得7分；</w:t>
            </w:r>
            <w:r/>
          </w:p>
          <w:p>
            <w:pPr>
              <w:keepLines w:val="0"/>
              <w:keepNext w:val="0"/>
              <w:pageBreakBefore w:val="0"/>
              <w:spacing w:line="560" w:lineRule="exact"/>
              <w:widowControl w:val="off"/>
              <w:rPr>
                <w:rFonts w:ascii="宋体" w:hAnsi="宋体" w:cs="微软雅黑"/>
                <w:sz w:val="24"/>
                <w:szCs w:val="24"/>
              </w:rPr>
            </w:pPr>
            <w:r>
              <w:rPr>
                <w:rFonts w:hint="eastAsia" w:ascii="宋体" w:hAnsi="宋体" w:cs="微软雅黑"/>
                <w:sz w:val="24"/>
                <w:szCs w:val="24"/>
              </w:rPr>
              <w:t xml:space="preserve">售后服务、测试方案基本详细，可操作性一般，服务响应时间基本及时的得4分；</w:t>
            </w:r>
            <w:r/>
          </w:p>
          <w:p>
            <w:pPr>
              <w:keepLines w:val="0"/>
              <w:keepNext w:val="0"/>
              <w:pageBreakBefore w:val="0"/>
              <w:spacing w:line="560" w:lineRule="exact"/>
              <w:widowControl w:val="off"/>
              <w:rPr>
                <w:rFonts w:hint="eastAsia" w:ascii="宋体" w:hAnsi="宋体"/>
                <w:bCs/>
                <w:color w:val="auto"/>
                <w:sz w:val="24"/>
                <w:szCs w:val="24"/>
                <w:highlight w:val="none"/>
              </w:rPr>
            </w:pPr>
            <w:r>
              <w:rPr>
                <w:rFonts w:hint="eastAsia" w:ascii="宋体" w:hAnsi="宋体" w:cs="微软雅黑"/>
                <w:sz w:val="24"/>
                <w:szCs w:val="24"/>
              </w:rPr>
              <w:t xml:space="preserve">未提供方案不得分。</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10</w:t>
            </w:r>
            <w:r/>
          </w:p>
        </w:tc>
      </w:tr>
      <w:tr>
        <w:trPr>
          <w:trHeight w:val="1286"/>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w:t>
            </w:r>
            <w:r/>
          </w:p>
        </w:tc>
        <w:tc>
          <w:tcPr>
            <w:tcBorders>
              <w:top w:val="single" w:color="auto"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pageBreakBefore w:val="0"/>
              <w:spacing w:line="5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业绩</w:t>
            </w:r>
            <w:r/>
          </w:p>
          <w:p>
            <w:pPr>
              <w:jc w:val="center"/>
              <w:keepLines w:val="0"/>
              <w:keepNext w:val="0"/>
              <w:pageBreakBefore w:val="0"/>
              <w:spacing w:line="5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color w:val="auto"/>
                <w:sz w:val="24"/>
                <w:szCs w:val="24"/>
                <w:highlight w:val="none"/>
              </w:rPr>
              <w:t xml:space="preserve">（9分）</w:t>
            </w:r>
            <w:r/>
          </w:p>
        </w:tc>
        <w:tc>
          <w:tcPr>
            <w:tcBorders>
              <w:top w:val="single" w:color="000000" w:sz="4" w:space="0"/>
              <w:left w:val="single" w:color="000000" w:sz="4" w:space="0"/>
              <w:bottom w:val="single" w:color="000000" w:sz="4" w:space="0"/>
              <w:right w:val="single" w:color="000000" w:sz="4" w:space="0"/>
            </w:tcBorders>
            <w:tcW w:w="7044" w:type="dxa"/>
            <w:vAlign w:val="center"/>
            <w:textDirection w:val="lrTb"/>
            <w:noWrap w:val="false"/>
          </w:tcPr>
          <w:p>
            <w:pPr>
              <w:keepLines w:val="0"/>
              <w:keepNext w:val="0"/>
              <w:pageBreakBefore w:val="0"/>
              <w:spacing w:line="5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bCs/>
                <w:color w:val="auto"/>
                <w:sz w:val="24"/>
                <w:szCs w:val="24"/>
                <w:highlight w:val="none"/>
              </w:rPr>
              <w:t xml:space="preserve">供应商提供自2023年</w:t>
            </w:r>
            <w:r>
              <w:rPr>
                <w:rFonts w:hint="eastAsia" w:ascii="宋体" w:hAnsi="宋体"/>
                <w:bCs/>
                <w:color w:val="auto"/>
                <w:sz w:val="24"/>
                <w:szCs w:val="24"/>
                <w:highlight w:val="none"/>
                <w:lang w:val="en-US" w:eastAsia="zh-CN"/>
              </w:rPr>
              <w:t xml:space="preserve">07</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rPr>
              <w:t xml:space="preserve">1日（以合同签订日期为准）至今，承担过类似销售柴油业绩，每提供有一个得3分，最高得9分（须提供合同复印件并加盖公章，合同须能体现出关键信息，签订时间和签章清晰可见，未按要求提供或未提供的不得分）。</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pageBreakBefore w:val="0"/>
              <w:spacing w:line="560" w:lineRule="exact"/>
              <w:rPr>
                <w:rFonts w:hint="eastAsia" w:ascii="宋体" w:hAnsi="宋体" w:eastAsia="宋体" w:cs="宋体"/>
                <w:bCs/>
                <w:color w:val="auto"/>
                <w:sz w:val="24"/>
                <w:szCs w:val="24"/>
                <w:highlight w:val="none"/>
                <w:lang w:val="en-US" w:eastAsia="zh-CN" w:bidi="ar-SA"/>
              </w:rPr>
            </w:pPr>
            <w:r>
              <w:rPr>
                <w:rFonts w:hint="eastAsia" w:ascii="宋体" w:hAnsi="宋体"/>
                <w:color w:val="auto"/>
                <w:sz w:val="24"/>
                <w:szCs w:val="24"/>
                <w:highlight w:val="none"/>
                <w:lang w:val="en-US" w:eastAsia="zh-CN"/>
              </w:rPr>
              <w:t xml:space="preserve">9</w:t>
            </w:r>
            <w:r/>
          </w:p>
        </w:tc>
      </w:tr>
      <w:tr>
        <w:trPr>
          <w:trHeight w:val="65"/>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4.1</w:t>
            </w:r>
            <w:r/>
          </w:p>
        </w:tc>
        <w:tc>
          <w:tcPr>
            <w:tcBorders>
              <w:top w:val="single" w:color="000000" w:sz="4" w:space="0"/>
              <w:left w:val="single" w:color="000000" w:sz="4" w:space="0"/>
              <w:right w:val="single" w:color="000000" w:sz="4" w:space="0"/>
            </w:tcBorders>
            <w:tcW w:w="1623" w:type="dxa"/>
            <w:vAlign w:val="center"/>
            <w:vMerge w:val="restart"/>
            <w:textDirection w:val="lrTb"/>
            <w:noWrap w:val="false"/>
          </w:tcPr>
          <w:p>
            <w:pPr>
              <w:jc w:val="center"/>
              <w:keepLines w:val="0"/>
              <w:keepNext w:val="0"/>
              <w:pageBreakBefore w:val="0"/>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履约能力（12分）</w:t>
            </w:r>
            <w:r/>
          </w:p>
        </w:tc>
        <w:tc>
          <w:tcPr>
            <w:tcBorders>
              <w:top w:val="single" w:color="000000" w:sz="4" w:space="0"/>
              <w:left w:val="single" w:color="000000" w:sz="4" w:space="0"/>
              <w:bottom w:val="single" w:color="000000" w:sz="4" w:space="0"/>
              <w:right w:val="single" w:color="000000" w:sz="4" w:space="0"/>
            </w:tcBorders>
            <w:tcW w:w="7044" w:type="dxa"/>
            <w:vAlign w:val="center"/>
            <w:textDirection w:val="lrTb"/>
            <w:noWrap w:val="false"/>
          </w:tcPr>
          <w:p>
            <w:pPr>
              <w:keepLines w:val="0"/>
              <w:keepNext w:val="0"/>
              <w:pageBreakBefore w:val="0"/>
              <w:spacing w:line="560" w:lineRule="exact"/>
              <w:rPr>
                <w:rFonts w:hint="eastAsia" w:ascii="宋体" w:hAnsi="宋体"/>
                <w:bCs/>
                <w:color w:val="auto"/>
                <w:sz w:val="24"/>
                <w:szCs w:val="24"/>
                <w:highlight w:val="none"/>
              </w:rPr>
            </w:pPr>
            <w:r>
              <w:rPr>
                <w:rFonts w:hint="eastAsia" w:cs="宋体"/>
                <w:color w:val="000000"/>
                <w:sz w:val="24"/>
                <w:szCs w:val="24"/>
              </w:rPr>
              <w:t xml:space="preserve">供油时间（自通知供油单位时开始计算），响应时间在24小时基础上，每承诺提前1小时加1分，最高得</w:t>
            </w:r>
            <w:r>
              <w:rPr>
                <w:rFonts w:hint="eastAsia" w:cs="宋体"/>
                <w:color w:val="000000"/>
                <w:sz w:val="24"/>
                <w:szCs w:val="24"/>
                <w:lang w:val="en-US"/>
              </w:rPr>
              <w:t xml:space="preserve">4</w:t>
            </w:r>
            <w:r>
              <w:rPr>
                <w:rFonts w:hint="eastAsia" w:cs="宋体"/>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pageBreakBefore w:val="0"/>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p>
        </w:tc>
      </w:tr>
      <w:tr>
        <w:trPr>
          <w:trHeight w:val="65"/>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4.2</w:t>
            </w:r>
            <w:r/>
          </w:p>
        </w:tc>
        <w:tc>
          <w:tcPr>
            <w:tcBorders>
              <w:left w:val="single" w:color="000000" w:sz="4" w:space="0"/>
              <w:bottom w:val="single" w:color="000000" w:sz="4" w:space="0"/>
              <w:right w:val="single" w:color="000000" w:sz="4" w:space="0"/>
            </w:tcBorders>
            <w:tcW w:w="1623" w:type="dxa"/>
            <w:vAlign w:val="center"/>
            <w:vMerge w:val="continue"/>
            <w:textDirection w:val="lrTb"/>
            <w:noWrap w:val="false"/>
          </w:tcPr>
          <w:p>
            <w:pPr>
              <w:jc w:val="center"/>
              <w:keepLines w:val="0"/>
              <w:keepNext w:val="0"/>
              <w:pageBreakBefore w:val="0"/>
              <w:spacing w:line="560" w:lineRule="exact"/>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044" w:type="dxa"/>
            <w:vAlign w:val="center"/>
            <w:textDirection w:val="lrTb"/>
            <w:noWrap w:val="false"/>
          </w:tcPr>
          <w:p>
            <w:pPr>
              <w:pStyle w:val="1015"/>
              <w:ind w:firstLine="0"/>
              <w:keepLines w:val="0"/>
              <w:keepNext w:val="0"/>
              <w:pageBreakBefore w:val="0"/>
              <w:spacing w:line="560" w:lineRule="exact"/>
              <w:rPr>
                <w:rFonts w:hint="eastAsia" w:ascii="宋体" w:hAnsi="宋体" w:eastAsia="宋体"/>
                <w:bCs/>
                <w:color w:val="auto"/>
                <w:sz w:val="24"/>
                <w:szCs w:val="24"/>
                <w:highlight w:val="none"/>
                <w:lang w:val="en-US" w:eastAsia="zh-CN"/>
              </w:rPr>
            </w:pPr>
            <w:r>
              <w:rPr>
                <w:rFonts w:hint="eastAsia" w:cs="宋体"/>
                <w:color w:val="000000"/>
                <w:sz w:val="24"/>
                <w:szCs w:val="24"/>
              </w:rPr>
              <w:t xml:space="preserve">供应商提供自有或租赁运输车辆，每提供1辆得2分，满分</w:t>
            </w:r>
            <w:r>
              <w:rPr>
                <w:rFonts w:hint="eastAsia" w:cs="宋体"/>
                <w:color w:val="000000"/>
                <w:sz w:val="24"/>
                <w:szCs w:val="24"/>
                <w:lang w:val="en-US"/>
              </w:rPr>
              <w:t xml:space="preserve">8</w:t>
            </w:r>
            <w:r>
              <w:rPr>
                <w:rFonts w:hint="eastAsia" w:cs="宋体"/>
                <w:color w:val="000000"/>
                <w:sz w:val="24"/>
                <w:szCs w:val="24"/>
              </w:rPr>
              <w:t xml:space="preserve">分。注：自有产权的车辆只需提供购车发票复印件或行驶证复印件（所有人为投标公司），租赁的车辆需提供租赁协议复印件，且服务期需在租赁有效期内，不提供的不得分。</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pageBreakBefore w:val="0"/>
              <w:spacing w:line="56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8</w:t>
            </w:r>
            <w:r/>
          </w:p>
        </w:tc>
      </w:tr>
      <w:tr>
        <w:trPr>
          <w:trHeight w:val="65"/>
        </w:trPr>
        <w:tc>
          <w:tcPr>
            <w:gridSpan w:val="3"/>
            <w:tcBorders>
              <w:top w:val="single" w:color="000000" w:sz="4" w:space="0"/>
              <w:left w:val="single" w:color="000000" w:sz="4" w:space="0"/>
              <w:bottom w:val="single" w:color="000000" w:sz="4" w:space="0"/>
              <w:right w:val="single" w:color="000000" w:sz="4" w:space="0"/>
            </w:tcBorders>
            <w:tcW w:w="9498" w:type="dxa"/>
            <w:vAlign w:val="center"/>
            <w:textDirection w:val="lrTb"/>
            <w:noWrap w:val="false"/>
          </w:tcPr>
          <w:p>
            <w:pPr>
              <w:pStyle w:val="1015"/>
              <w:ind w:firstLine="0"/>
              <w:jc w:val="left"/>
              <w:rPr>
                <w:rFonts w:hint="default" w:eastAsia="宋体" w:cs="宋体"/>
                <w:color w:val="000000"/>
                <w:sz w:val="24"/>
                <w:szCs w:val="24"/>
                <w:lang w:val="en-US" w:eastAsia="zh-CN"/>
              </w:rPr>
            </w:pPr>
            <w:r>
              <w:rPr>
                <w:rFonts w:hint="eastAsia" w:cs="宋体"/>
                <w:color w:val="000000"/>
                <w:sz w:val="24"/>
                <w:szCs w:val="24"/>
                <w:lang w:val="en-US" w:eastAsia="zh-CN"/>
              </w:rPr>
              <w:t xml:space="preserve">合计</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100</w:t>
            </w:r>
            <w:r/>
          </w:p>
        </w:tc>
      </w:tr>
    </w:tbl>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jc w:val="left"/>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说明：</w:t>
      </w:r>
      <w:r/>
    </w:p>
    <w:p>
      <w:pPr>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（一）对国家认定的节能产品和环保产品分别给予报价的5%价格扣除，用扣除后的价格参与评标。</w:t>
      </w:r>
      <w:r/>
    </w:p>
    <w:p>
      <w:pPr>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（二）小微企业的价格扣除</w:t>
      </w:r>
      <w:r/>
    </w:p>
    <w:p>
      <w:pPr>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对于未预留份额专门面向中小企业采购的采购项目或预留份额项目中的非预留部分采购包，给予小微企业报价10%的扣除，用扣除后的价格参加评标。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标。联合体各方均为小微企业的，联合体视同为小微企业，享受10%的价格扣除。</w:t>
      </w:r>
      <w:r/>
    </w:p>
    <w:p>
      <w:pPr>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2.价格扣除比例或者价格分加分比例对小型企业和微型企业同等对待，不作区分。</w:t>
      </w:r>
      <w:r/>
    </w:p>
    <w:p>
      <w:pPr>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说明：价格扣除优惠政策仅适用于“第一章 4、申请人的资格要求 4.2落实政府采购政策需满足的资格要求”中“本项目采用以下第（4）种方式落实政府采购促进中小企业发展的要求”的采购项目中。</w:t>
      </w:r>
      <w:r/>
    </w:p>
    <w:p>
      <w:pPr>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（三）监狱和戒毒企业的价格扣除</w:t>
      </w:r>
      <w:r/>
    </w:p>
    <w:p>
      <w:pPr>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1.本项目对监狱和戒毒企业（简称监狱企业）视同小型、微型企业，给予10%的价格扣除，用扣除后的价格参与评标。</w:t>
      </w:r>
      <w:r/>
    </w:p>
    <w:p>
      <w:pPr>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2.监狱企业需提供由省级以上监狱管理局、戒毒管理局（含新疆生产建设兵团）出具的属于监狱企业的证明文件。</w:t>
      </w:r>
      <w:r/>
    </w:p>
    <w:p>
      <w:pPr>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3.监狱企业标准请参照《关于政府采购支持监狱企业发展有关问题的通知》（财库〔2014〕68号）。</w:t>
      </w:r>
      <w:r/>
    </w:p>
    <w:p>
      <w:pPr>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（四）残疾人福利性单位的价格扣除</w:t>
      </w:r>
      <w:r/>
    </w:p>
    <w:p>
      <w:pPr>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1.本项目对残疾人福利性单位视同小型、微型企业，给予10%的价格扣除，用扣除后的价格参与评标。</w:t>
      </w:r>
      <w:r/>
    </w:p>
    <w:p>
      <w:pPr>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2.残疾人福利单位需按照</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的要求提供《残疾人福利性单位声明函》。</w:t>
      </w:r>
      <w:r/>
    </w:p>
    <w:p>
      <w:pPr>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3.残疾人福利单位标准请参照《关于促进残疾人就业政府采购政策的通知》（财库〔2017〕141号）。</w:t>
      </w:r>
      <w:r/>
    </w:p>
    <w:p>
      <w:pPr>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（五）监狱企业、残疾人福利单位属于小型、微型企业的，不重复享受政策。</w:t>
      </w:r>
      <w:r/>
    </w:p>
    <w:p>
      <w:pPr>
        <w:pStyle w:val="774"/>
        <w:ind w:firstLine="0"/>
        <w:jc w:val="left"/>
        <w:spacing w:line="560" w:lineRule="exact"/>
        <w:rPr>
          <w:rFonts w:hint="eastAsia" w:hAnsi="宋体"/>
          <w:color w:val="auto"/>
          <w:sz w:val="24"/>
          <w:szCs w:val="24"/>
          <w:highlight w:val="none"/>
        </w:rPr>
        <w:sectPr>
          <w:footerReference w:type="default" r:id="rId10"/>
          <w:footnotePr/>
          <w:endnotePr/>
          <w:type w:val="nextPage"/>
          <w:pgSz w:w="11906" w:h="16838" w:orient="portrait"/>
          <w:pgMar w:top="1440" w:right="1080" w:bottom="1440" w:left="1080" w:header="851" w:footer="992" w:gutter="0"/>
          <w:pgNumType w:start="1"/>
          <w:cols w:num="1" w:sep="0" w:space="425" w:equalWidth="1"/>
          <w:docGrid w:linePitch="360"/>
        </w:sectPr>
      </w:pPr>
      <w:r>
        <w:rPr>
          <w:rFonts w:hint="eastAsia" w:hAnsi="宋体"/>
          <w:color w:val="auto"/>
          <w:sz w:val="24"/>
          <w:szCs w:val="24"/>
          <w:highlight w:val="none"/>
        </w:rPr>
        <w:t xml:space="preserve">（六）除评分标准中另有说明外，所有认证、证明和业绩均以有效的证明文件的复印件为依据</w:t>
      </w:r>
      <w:r/>
    </w:p>
    <w:p>
      <w:pPr>
        <w:pStyle w:val="755"/>
        <w:jc w:val="center"/>
        <w:spacing w:line="560" w:lineRule="exact"/>
        <w:rPr>
          <w:rFonts w:hint="eastAsia" w:ascii="宋体" w:hAnsi="宋体"/>
          <w:color w:val="auto"/>
          <w:sz w:val="24"/>
          <w:szCs w:val="24"/>
          <w:highlight w:val="none"/>
        </w:rPr>
      </w:pPr>
      <w:r/>
      <w:bookmarkStart w:id="9" w:name="_Toc123027837"/>
      <w:r/>
      <w:bookmarkStart w:id="10" w:name="_Toc7917"/>
      <w:r/>
      <w:bookmarkStart w:id="11" w:name="_Toc123027838"/>
      <w:r>
        <w:rPr>
          <w:rFonts w:hint="eastAsia" w:ascii="宋体" w:hAnsi="宋体"/>
          <w:color w:val="auto"/>
          <w:sz w:val="24"/>
          <w:szCs w:val="24"/>
          <w:highlight w:val="none"/>
        </w:rPr>
        <w:t xml:space="preserve">第四章  </w:t>
      </w:r>
      <w:r>
        <w:rPr>
          <w:rFonts w:hint="eastAsia" w:ascii="宋体" w:hAnsi="宋体"/>
          <w:color w:val="auto"/>
          <w:sz w:val="24"/>
          <w:szCs w:val="24"/>
          <w:highlight w:val="none"/>
          <w:lang w:val="en-US" w:eastAsia="zh-CN"/>
        </w:rPr>
        <w:t xml:space="preserve">采购</w:t>
      </w:r>
      <w:r>
        <w:rPr>
          <w:rFonts w:hint="eastAsia" w:ascii="宋体" w:hAnsi="宋体"/>
          <w:color w:val="auto"/>
          <w:sz w:val="24"/>
          <w:szCs w:val="24"/>
          <w:highlight w:val="none"/>
        </w:rPr>
        <w:t xml:space="preserve">项目的服务要求和数量等</w:t>
      </w:r>
      <w:bookmarkEnd w:id="9"/>
      <w:r/>
      <w:bookmarkEnd w:id="10"/>
      <w:r/>
      <w:r/>
    </w:p>
    <w:p>
      <w:pPr>
        <w:rPr>
          <w:rFonts w:hint="eastAsia"/>
          <w:b/>
          <w:bCs/>
          <w:sz w:val="24"/>
          <w:szCs w:val="24"/>
          <w:lang w:val="en-US" w:eastAsia="zh-CN"/>
        </w:rPr>
      </w:pPr>
      <w:r>
        <w:rPr>
          <w:rFonts w:hint="eastAsia"/>
          <w:b/>
          <w:bCs/>
          <w:sz w:val="24"/>
          <w:szCs w:val="24"/>
          <w:lang w:val="en-US" w:eastAsia="zh-CN"/>
        </w:rPr>
        <w:t xml:space="preserve">一、项目需求</w:t>
      </w:r>
      <w:r/>
    </w:p>
    <w:p>
      <w:pPr>
        <w:ind w:firstLine="480"/>
        <w:pageBreakBefore w:val="0"/>
        <w:spacing w:line="560" w:lineRule="exact"/>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南京市儿童福利院本次拟采购柴油，专供院内蒸汽锅炉使用，锅炉产出蒸汽用于全院儿童日常洗浴生活热水供应，同时保障洗衣房烘干机持续运转，完成儿童衣物、寝具、尿布等清洗烘干工作，需全年稳定供油，保障院内儿童基础生活照料不间断，保障福利院安全、稳定、合规用油</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详情请见磋商文件。</w:t>
      </w:r>
      <w:r/>
    </w:p>
    <w:p>
      <w:pPr>
        <w:ind w:firstLine="480"/>
        <w:pageBreakBefore w:val="0"/>
        <w:spacing w:line="560" w:lineRule="exact"/>
        <w:widowControl w:val="off"/>
      </w:pPr>
      <w:r>
        <w:rPr>
          <w:rFonts w:hint="eastAsia" w:ascii="宋体" w:hAnsi="宋体"/>
          <w:bCs/>
          <w:color w:val="000000" w:themeColor="text1"/>
          <w:sz w:val="24"/>
          <w:szCs w:val="24"/>
          <w:highlight w:val="none"/>
          <w14:textFill>
            <w14:solidFill>
              <w14:schemeClr w14:val="tx1"/>
            </w14:solidFill>
          </w14:textFill>
        </w:rPr>
        <w:t xml:space="preserve">合同履行</w:t>
      </w:r>
      <w:r>
        <w:rPr>
          <w:rFonts w:hint="eastAsia" w:ascii="宋体" w:hAnsi="宋体"/>
          <w:bCs/>
          <w:color w:val="000000" w:themeColor="text1"/>
          <w:sz w:val="24"/>
          <w:szCs w:val="24"/>
          <w:highlight w:val="none"/>
          <w:lang w:val="en-US" w:eastAsia="zh-CN"/>
          <w14:textFill>
            <w14:solidFill>
              <w14:schemeClr w14:val="tx1"/>
            </w14:solidFill>
          </w14:textFill>
        </w:rPr>
        <w:t xml:space="preserve">期限：2026年09月07日至2027年09月06日。</w:t>
      </w:r>
      <w:r/>
    </w:p>
    <w:p>
      <w:pPr>
        <w:rPr>
          <w:rFonts w:hint="eastAsia"/>
          <w:b/>
          <w:bCs/>
          <w:sz w:val="24"/>
          <w:szCs w:val="24"/>
          <w:lang w:val="en-US" w:eastAsia="zh-CN"/>
        </w:rPr>
      </w:pPr>
      <w:r>
        <w:rPr>
          <w:rFonts w:hint="eastAsia"/>
          <w:b/>
          <w:bCs/>
          <w:sz w:val="24"/>
          <w:szCs w:val="24"/>
          <w:lang w:val="en-US" w:eastAsia="zh-CN"/>
        </w:rPr>
        <w:t xml:space="preserve">二、项目概况</w:t>
      </w:r>
      <w:r/>
    </w:p>
    <w:tbl>
      <w:tblPr>
        <w:tblStyle w:val="765"/>
        <w:tblW w:w="51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6"/>
        <w:gridCol w:w="1900"/>
        <w:gridCol w:w="1184"/>
        <w:gridCol w:w="1131"/>
        <w:gridCol w:w="4870"/>
      </w:tblGrid>
      <w:tr>
        <w:trPr>
          <w:jc w:val="center"/>
          <w:trHeight w:val="694"/>
        </w:trPr>
        <w:tc>
          <w:tcPr>
            <w:tcW w:w="547" w:type="pct"/>
            <w:vAlign w:val="center"/>
            <w:textDirection w:val="lrTb"/>
            <w:noWrap w:val="false"/>
          </w:tcPr>
          <w:p>
            <w:pPr>
              <w:pStyle w:val="996"/>
              <w:ind w:left="0" w:firstLine="0"/>
              <w:jc w:val="center"/>
              <w:keepLines w:val="0"/>
              <w:keepNext w:val="0"/>
              <w:pageBreakBefore w:val="0"/>
              <w:spacing w:line="560" w:lineRule="exact"/>
              <w:rPr>
                <w:rFonts w:ascii="宋体" w:hAnsi="宋体" w:eastAsia="宋体"/>
                <w:b/>
                <w:bCs/>
                <w:sz w:val="24"/>
                <w:szCs w:val="24"/>
              </w:rPr>
            </w:pPr>
            <w:r>
              <w:rPr>
                <w:rFonts w:hint="eastAsia" w:ascii="宋体" w:hAnsi="宋体" w:eastAsia="宋体"/>
                <w:b/>
                <w:sz w:val="24"/>
                <w:szCs w:val="24"/>
                <w:lang w:val="en-US" w:bidi="ar"/>
              </w:rPr>
              <w:t xml:space="preserve">序号</w:t>
            </w:r>
            <w:r/>
          </w:p>
        </w:tc>
        <w:tc>
          <w:tcPr>
            <w:tcW w:w="931" w:type="pct"/>
            <w:vAlign w:val="center"/>
            <w:textDirection w:val="lrTb"/>
            <w:noWrap w:val="false"/>
          </w:tcPr>
          <w:p>
            <w:pPr>
              <w:pStyle w:val="996"/>
              <w:ind w:left="0" w:firstLine="241"/>
              <w:jc w:val="both"/>
              <w:keepLines w:val="0"/>
              <w:keepNext w:val="0"/>
              <w:pageBreakBefore w:val="0"/>
              <w:spacing w:line="560" w:lineRule="exact"/>
              <w:rPr>
                <w:rFonts w:ascii="宋体" w:hAnsi="宋体" w:eastAsia="宋体"/>
                <w:b/>
                <w:bCs/>
                <w:sz w:val="24"/>
                <w:szCs w:val="24"/>
              </w:rPr>
            </w:pPr>
            <w:r>
              <w:rPr>
                <w:rFonts w:hint="eastAsia" w:ascii="宋体" w:hAnsi="宋体" w:eastAsia="宋体"/>
                <w:b/>
                <w:sz w:val="24"/>
                <w:szCs w:val="24"/>
                <w:lang w:val="en-US" w:bidi="ar"/>
              </w:rPr>
              <w:t xml:space="preserve">产品名称</w:t>
            </w:r>
            <w:r/>
          </w:p>
        </w:tc>
        <w:tc>
          <w:tcPr>
            <w:tcW w:w="580" w:type="pct"/>
            <w:vAlign w:val="center"/>
            <w:textDirection w:val="lrTb"/>
            <w:noWrap w:val="false"/>
          </w:tcPr>
          <w:p>
            <w:pPr>
              <w:pStyle w:val="996"/>
              <w:ind w:left="0" w:firstLine="241"/>
              <w:jc w:val="both"/>
              <w:keepLines w:val="0"/>
              <w:keepNext w:val="0"/>
              <w:pageBreakBefore w:val="0"/>
              <w:spacing w:line="560" w:lineRule="exact"/>
              <w:rPr>
                <w:rFonts w:ascii="宋体" w:hAnsi="宋体" w:eastAsia="宋体"/>
                <w:b/>
                <w:bCs/>
                <w:sz w:val="24"/>
                <w:szCs w:val="24"/>
              </w:rPr>
            </w:pPr>
            <w:r>
              <w:rPr>
                <w:rFonts w:hint="eastAsia" w:ascii="宋体" w:hAnsi="宋体" w:eastAsia="宋体"/>
                <w:b/>
                <w:bCs/>
                <w:sz w:val="24"/>
                <w:szCs w:val="24"/>
                <w:lang w:val="en-US"/>
              </w:rPr>
              <w:t xml:space="preserve">数量</w:t>
            </w:r>
            <w:r/>
          </w:p>
        </w:tc>
        <w:tc>
          <w:tcPr>
            <w:tcW w:w="554" w:type="pct"/>
            <w:vAlign w:val="center"/>
            <w:textDirection w:val="lrTb"/>
            <w:noWrap w:val="false"/>
          </w:tcPr>
          <w:p>
            <w:pPr>
              <w:pStyle w:val="996"/>
              <w:ind w:left="0" w:firstLine="0"/>
              <w:jc w:val="center"/>
              <w:keepLines w:val="0"/>
              <w:keepNext w:val="0"/>
              <w:pageBreakBefore w:val="0"/>
              <w:spacing w:line="560" w:lineRule="exact"/>
              <w:rPr>
                <w:rFonts w:ascii="宋体" w:hAnsi="宋体" w:eastAsia="宋体"/>
                <w:b/>
                <w:bCs/>
                <w:sz w:val="24"/>
                <w:szCs w:val="24"/>
              </w:rPr>
            </w:pPr>
            <w:r>
              <w:rPr>
                <w:rFonts w:hint="eastAsia" w:ascii="宋体" w:hAnsi="宋体" w:eastAsia="宋体"/>
                <w:b/>
                <w:bCs/>
                <w:sz w:val="24"/>
                <w:szCs w:val="24"/>
                <w:lang w:val="en-US"/>
              </w:rPr>
              <w:t xml:space="preserve">单位</w:t>
            </w:r>
            <w:r/>
          </w:p>
        </w:tc>
        <w:tc>
          <w:tcPr>
            <w:tcW w:w="2386" w:type="pct"/>
            <w:vAlign w:val="center"/>
            <w:textDirection w:val="lrTb"/>
            <w:noWrap w:val="false"/>
          </w:tcPr>
          <w:p>
            <w:pPr>
              <w:pStyle w:val="996"/>
              <w:ind w:firstLine="0"/>
              <w:jc w:val="center"/>
              <w:keepLines w:val="0"/>
              <w:keepNext w:val="0"/>
              <w:pageBreakBefore w:val="0"/>
              <w:spacing w:line="560" w:lineRule="exact"/>
              <w:rPr>
                <w:rFonts w:ascii="宋体" w:hAnsi="宋体" w:eastAsia="宋体"/>
                <w:b/>
                <w:bCs/>
                <w:sz w:val="24"/>
                <w:szCs w:val="24"/>
                <w:lang w:val="en-US"/>
              </w:rPr>
            </w:pPr>
            <w:r>
              <w:rPr>
                <w:rFonts w:hint="eastAsia" w:ascii="宋体" w:hAnsi="宋体" w:eastAsia="宋体"/>
                <w:b/>
                <w:bCs/>
                <w:sz w:val="24"/>
                <w:szCs w:val="24"/>
                <w:lang w:val="en-US"/>
              </w:rPr>
              <w:t xml:space="preserve">备注</w:t>
            </w:r>
            <w:r/>
          </w:p>
        </w:tc>
      </w:tr>
      <w:tr>
        <w:trPr>
          <w:jc w:val="center"/>
          <w:trHeight w:val="471"/>
        </w:trPr>
        <w:tc>
          <w:tcPr>
            <w:tcW w:w="547" w:type="pct"/>
            <w:vAlign w:val="center"/>
            <w:textDirection w:val="lrTb"/>
            <w:noWrap w:val="false"/>
          </w:tcPr>
          <w:p>
            <w:pPr>
              <w:jc w:val="center"/>
              <w:keepLines w:val="0"/>
              <w:keepNext w:val="0"/>
              <w:pageBreakBefore w:val="0"/>
              <w:spacing w:line="560" w:lineRule="exact"/>
              <w:widowControl/>
              <w:rPr>
                <w:rFonts w:ascii="宋体" w:hAnsi="宋体"/>
                <w:sz w:val="24"/>
                <w:szCs w:val="24"/>
              </w:rPr>
            </w:pPr>
            <w:r>
              <w:rPr>
                <w:rFonts w:hint="eastAsia" w:ascii="宋体" w:hAnsi="宋体" w:cs="宋体"/>
                <w:sz w:val="24"/>
                <w:szCs w:val="24"/>
              </w:rPr>
              <w:t xml:space="preserve">1</w:t>
            </w:r>
            <w:r/>
          </w:p>
        </w:tc>
        <w:tc>
          <w:tcPr>
            <w:tcW w:w="931" w:type="pct"/>
            <w:vAlign w:val="center"/>
            <w:textDirection w:val="lrTb"/>
            <w:noWrap w:val="false"/>
          </w:tcPr>
          <w:p>
            <w:pPr>
              <w:jc w:val="center"/>
              <w:keepLines w:val="0"/>
              <w:keepNext w:val="0"/>
              <w:pageBreakBefore w:val="0"/>
              <w:spacing w:line="560" w:lineRule="exact"/>
              <w:rPr>
                <w:rFonts w:ascii="宋体" w:hAnsi="宋体"/>
                <w:sz w:val="24"/>
                <w:szCs w:val="24"/>
              </w:rPr>
            </w:pPr>
            <w:r>
              <w:rPr>
                <w:rFonts w:hint="eastAsia" w:ascii="宋体" w:hAnsi="宋体" w:cs="宋体"/>
                <w:sz w:val="24"/>
                <w:szCs w:val="24"/>
              </w:rPr>
              <w:t xml:space="preserve">0#、-10#、-20#柴油（国Ⅵ）</w:t>
            </w:r>
            <w:r/>
          </w:p>
        </w:tc>
        <w:tc>
          <w:tcPr>
            <w:tcW w:w="580" w:type="pct"/>
            <w:vAlign w:val="center"/>
            <w:textDirection w:val="lrTb"/>
            <w:noWrap w:val="false"/>
          </w:tcPr>
          <w:p>
            <w:pPr>
              <w:jc w:val="center"/>
              <w:keepLines w:val="0"/>
              <w:keepNext w:val="0"/>
              <w:pageBreakBefore w:val="0"/>
              <w:spacing w:line="560" w:lineRule="exact"/>
              <w:rPr>
                <w:rFonts w:ascii="宋体" w:hAnsi="宋体"/>
                <w:sz w:val="24"/>
                <w:szCs w:val="24"/>
              </w:rPr>
            </w:pPr>
            <w:r>
              <w:rPr>
                <w:rFonts w:hint="eastAsia" w:ascii="宋体" w:hAnsi="宋体" w:cs="宋体"/>
                <w:sz w:val="24"/>
                <w:szCs w:val="24"/>
              </w:rPr>
              <w:t xml:space="preserve">约</w:t>
            </w:r>
            <w:r>
              <w:rPr>
                <w:rFonts w:hint="eastAsia" w:ascii="宋体" w:hAnsi="宋体" w:cs="宋体"/>
                <w:sz w:val="24"/>
                <w:szCs w:val="24"/>
                <w:lang w:val="en-US" w:eastAsia="zh-CN"/>
              </w:rPr>
              <w:t xml:space="preserve">2300</w:t>
            </w:r>
            <w:r>
              <w:rPr>
                <w:rFonts w:hint="eastAsia" w:ascii="宋体" w:hAnsi="宋体" w:cs="宋体"/>
                <w:sz w:val="24"/>
                <w:szCs w:val="24"/>
              </w:rPr>
              <w:t xml:space="preserve">00</w:t>
            </w:r>
            <w:r/>
          </w:p>
        </w:tc>
        <w:tc>
          <w:tcPr>
            <w:tcW w:w="554" w:type="pct"/>
            <w:vAlign w:val="center"/>
            <w:textDirection w:val="lrTb"/>
            <w:noWrap w:val="false"/>
          </w:tcPr>
          <w:p>
            <w:pPr>
              <w:jc w:val="center"/>
              <w:keepLines w:val="0"/>
              <w:keepNext w:val="0"/>
              <w:pageBreakBefore w:val="0"/>
              <w:spacing w:line="560" w:lineRule="exact"/>
              <w:rPr>
                <w:rFonts w:ascii="宋体" w:hAnsi="宋体"/>
                <w:sz w:val="24"/>
                <w:szCs w:val="24"/>
              </w:rPr>
            </w:pPr>
            <w:r>
              <w:rPr>
                <w:rFonts w:hint="eastAsia" w:ascii="宋体" w:hAnsi="宋体" w:cs="宋体"/>
                <w:sz w:val="24"/>
                <w:szCs w:val="24"/>
              </w:rPr>
              <w:t xml:space="preserve">升</w:t>
            </w:r>
            <w:r/>
          </w:p>
        </w:tc>
        <w:tc>
          <w:tcPr>
            <w:tcW w:w="2386" w:type="pct"/>
            <w:vAlign w:val="center"/>
            <w:textDirection w:val="lrTb"/>
            <w:noWrap w:val="false"/>
          </w:tcPr>
          <w:p>
            <w:pPr>
              <w:ind w:firstLine="240"/>
              <w:jc w:val="left"/>
              <w:keepLines w:val="0"/>
              <w:keepNext w:val="0"/>
              <w:pageBreakBefore w:val="0"/>
              <w:spacing w:line="560" w:lineRule="exact"/>
              <w:rPr>
                <w:rFonts w:ascii="宋体" w:hAnsi="宋体"/>
                <w:sz w:val="24"/>
                <w:szCs w:val="24"/>
              </w:rPr>
            </w:pPr>
            <w:r>
              <w:rPr>
                <w:rFonts w:hint="eastAsia" w:ascii="宋体" w:hAnsi="宋体" w:cs="宋体"/>
                <w:sz w:val="24"/>
                <w:szCs w:val="24"/>
              </w:rPr>
              <w:t xml:space="preserve">本项目需综合考虑天气原因和设备老化等情况供应0＃、-10＃、-20＃柴油，以2</w:t>
            </w:r>
            <w:r>
              <w:rPr>
                <w:rFonts w:hint="eastAsia" w:ascii="宋体" w:hAnsi="宋体" w:cs="宋体"/>
                <w:sz w:val="24"/>
                <w:szCs w:val="24"/>
                <w:lang w:val="en-US" w:eastAsia="zh-CN"/>
              </w:rPr>
              <w:t xml:space="preserve">300</w:t>
            </w:r>
            <w:r>
              <w:rPr>
                <w:rFonts w:hint="eastAsia" w:ascii="宋体" w:hAnsi="宋体" w:cs="宋体"/>
                <w:sz w:val="24"/>
                <w:szCs w:val="24"/>
              </w:rPr>
              <w:t xml:space="preserve">00升/年供应量供</w:t>
            </w:r>
            <w:r>
              <w:rPr>
                <w:rFonts w:hint="eastAsia" w:ascii="宋体" w:hAnsi="宋体" w:cs="宋体"/>
                <w:sz w:val="24"/>
                <w:szCs w:val="24"/>
                <w:lang w:eastAsia="zh-CN"/>
              </w:rPr>
              <w:t xml:space="preserve">采购人</w:t>
            </w:r>
            <w:r>
              <w:rPr>
                <w:rFonts w:hint="eastAsia" w:ascii="宋体" w:hAnsi="宋体" w:cs="宋体"/>
                <w:sz w:val="24"/>
                <w:szCs w:val="24"/>
              </w:rPr>
              <w:t xml:space="preserve">日常使用（本项目预算金额与数量为暂估值，在项目实施过程中由</w:t>
            </w:r>
            <w:r>
              <w:rPr>
                <w:rFonts w:hint="eastAsia" w:ascii="宋体" w:hAnsi="宋体" w:cs="宋体"/>
                <w:sz w:val="24"/>
                <w:szCs w:val="24"/>
                <w:lang w:eastAsia="zh-CN"/>
              </w:rPr>
              <w:t xml:space="preserve">采购人</w:t>
            </w:r>
            <w:r>
              <w:rPr>
                <w:rFonts w:hint="eastAsia" w:ascii="宋体" w:hAnsi="宋体" w:cs="宋体"/>
                <w:sz w:val="24"/>
                <w:szCs w:val="24"/>
              </w:rPr>
              <w:t xml:space="preserve">根据</w:t>
            </w:r>
            <w:r>
              <w:rPr>
                <w:rFonts w:hint="eastAsia" w:ascii="宋体" w:hAnsi="宋体" w:cs="宋体"/>
                <w:sz w:val="24"/>
                <w:szCs w:val="24"/>
                <w:lang w:eastAsia="zh-CN"/>
              </w:rPr>
              <w:t xml:space="preserve">成交供应商</w:t>
            </w:r>
            <w:r>
              <w:rPr>
                <w:rFonts w:hint="eastAsia" w:ascii="宋体" w:hAnsi="宋体" w:cs="宋体"/>
                <w:sz w:val="24"/>
                <w:szCs w:val="24"/>
              </w:rPr>
              <w:t xml:space="preserve">实际完成的供应数量据实结算）。</w:t>
            </w:r>
            <w:r/>
          </w:p>
        </w:tc>
      </w:tr>
    </w:tbl>
    <w:p>
      <w:pPr>
        <w:pStyle w:val="1015"/>
        <w:pageBreakBefore w:val="0"/>
        <w:spacing w:line="560" w:lineRule="exact"/>
        <w:widowControl w:val="off"/>
        <w:rPr>
          <w:sz w:val="24"/>
          <w:szCs w:val="24"/>
          <w:lang w:val="en-US"/>
        </w:rPr>
      </w:pPr>
      <w:r>
        <w:rPr>
          <w:sz w:val="24"/>
          <w:szCs w:val="24"/>
          <w:lang w:val="en-US"/>
        </w:rPr>
      </w:r>
      <w:r/>
    </w:p>
    <w:p>
      <w:pPr>
        <w:rPr>
          <w:rFonts w:hint="eastAsia"/>
          <w:b/>
          <w:bCs/>
          <w:sz w:val="24"/>
          <w:szCs w:val="24"/>
          <w:lang w:val="en-US" w:eastAsia="zh-CN"/>
        </w:rPr>
      </w:pPr>
      <w:r/>
      <w:bookmarkStart w:id="12" w:name="_Toc200732010"/>
      <w:r/>
      <w:bookmarkStart w:id="13" w:name="_Toc203031047"/>
      <w:r>
        <w:rPr>
          <w:rFonts w:hint="eastAsia"/>
          <w:b/>
          <w:bCs/>
          <w:sz w:val="24"/>
          <w:szCs w:val="24"/>
          <w:lang w:val="en-US" w:eastAsia="zh-CN"/>
        </w:rPr>
        <w:t xml:space="preserve">三、采购标的需实现的功能及标准、规范</w:t>
      </w:r>
      <w:bookmarkEnd w:id="12"/>
      <w:r/>
      <w:bookmarkEnd w:id="13"/>
      <w:r/>
      <w:r/>
    </w:p>
    <w:p>
      <w:pPr>
        <w:pStyle w:val="1015"/>
        <w:ind w:firstLine="420"/>
        <w:pageBreakBefore w:val="0"/>
        <w:spacing w:line="560" w:lineRule="exact"/>
        <w:widowControl w:val="off"/>
        <w:rPr>
          <w:color w:val="auto"/>
          <w:sz w:val="24"/>
          <w:szCs w:val="24"/>
          <w:highlight w:val="none"/>
        </w:rPr>
      </w:pPr>
      <w:r>
        <w:rPr>
          <w:rFonts w:hint="eastAsia"/>
          <w:color w:val="auto"/>
          <w:sz w:val="24"/>
          <w:szCs w:val="24"/>
          <w:highlight w:val="none"/>
        </w:rPr>
        <w:t xml:space="preserve">采购标的需执行国家标准、行业标准、地方标准或者其他标准、规范。</w:t>
      </w:r>
      <w:r/>
    </w:p>
    <w:p>
      <w:pPr>
        <w:rPr>
          <w:rFonts w:hint="eastAsia"/>
          <w:b/>
          <w:bCs/>
          <w:color w:val="auto"/>
          <w:sz w:val="24"/>
          <w:szCs w:val="24"/>
          <w:highlight w:val="none"/>
          <w:lang w:val="en-US" w:eastAsia="zh-CN"/>
        </w:rPr>
      </w:pPr>
      <w:r/>
      <w:bookmarkStart w:id="14" w:name="_Toc200732011"/>
      <w:r/>
      <w:bookmarkStart w:id="15" w:name="_Toc203031048"/>
      <w:r>
        <w:rPr>
          <w:rFonts w:hint="eastAsia"/>
          <w:b/>
          <w:bCs/>
          <w:color w:val="auto"/>
          <w:sz w:val="24"/>
          <w:szCs w:val="24"/>
          <w:highlight w:val="none"/>
          <w:lang w:val="en-US" w:eastAsia="zh-CN"/>
        </w:rPr>
        <w:t xml:space="preserve">四、采购产品技术性能、配置要求</w:t>
      </w:r>
      <w:bookmarkEnd w:id="14"/>
      <w:r/>
      <w:bookmarkEnd w:id="15"/>
      <w:r/>
      <w:r/>
    </w:p>
    <w:p>
      <w:pPr>
        <w:pStyle w:val="1015"/>
        <w:ind w:firstLine="420"/>
        <w:pageBreakBefore w:val="0"/>
        <w:spacing w:line="560" w:lineRule="exact"/>
        <w:widowControl w:val="off"/>
        <w:rPr>
          <w:rFonts w:hint="eastAsia"/>
          <w:b/>
          <w:color w:val="auto"/>
          <w:sz w:val="24"/>
          <w:szCs w:val="24"/>
          <w:highlight w:val="none"/>
        </w:rPr>
        <w:sectPr>
          <w:footerReference w:type="default" r:id="rId11"/>
          <w:footnotePr/>
          <w:endnotePr/>
          <w:type w:val="nextPage"/>
          <w:pgSz w:w="11906" w:h="16838" w:orient="portrait"/>
          <w:pgMar w:top="1440" w:right="1080" w:bottom="1440" w:left="1080" w:header="851" w:footer="992" w:gutter="0"/>
          <w:pgNumType w:start="25"/>
          <w:cols w:num="1" w:sep="0" w:space="425" w:equalWidth="1"/>
          <w:docGrid w:linePitch="360"/>
        </w:sectPr>
      </w:pPr>
      <w:r>
        <w:rPr>
          <w:rFonts w:hint="eastAsia"/>
          <w:b/>
          <w:color w:val="auto"/>
          <w:sz w:val="24"/>
          <w:szCs w:val="24"/>
          <w:highlight w:val="none"/>
        </w:rPr>
        <w:t xml:space="preserve">（一）油品排放达到国六标准（</w:t>
      </w:r>
      <w:r>
        <w:rPr>
          <w:rFonts w:hint="eastAsia"/>
          <w:b/>
          <w:color w:val="auto"/>
          <w:sz w:val="24"/>
          <w:szCs w:val="24"/>
          <w:highlight w:val="none"/>
          <w:lang w:eastAsia="zh-CN"/>
        </w:rPr>
        <w:t xml:space="preserve">响应文件</w:t>
      </w:r>
      <w:r>
        <w:rPr>
          <w:rFonts w:hint="eastAsia"/>
          <w:b/>
          <w:color w:val="auto"/>
          <w:sz w:val="24"/>
          <w:szCs w:val="24"/>
          <w:highlight w:val="none"/>
        </w:rPr>
        <w:t xml:space="preserve">中提供第三方权威检测机构（即具有CNAS或</w:t>
      </w:r>
      <w:r/>
    </w:p>
    <w:p>
      <w:pPr>
        <w:pStyle w:val="1015"/>
        <w:ind w:firstLine="420"/>
        <w:pageBreakBefore w:val="0"/>
        <w:spacing w:line="560" w:lineRule="exact"/>
        <w:widowControl w:val="off"/>
        <w:rPr>
          <w:b/>
          <w:color w:val="auto"/>
          <w:sz w:val="24"/>
          <w:szCs w:val="24"/>
          <w:highlight w:val="none"/>
        </w:rPr>
      </w:pPr>
      <w:r>
        <w:rPr>
          <w:rFonts w:hint="eastAsia"/>
          <w:b/>
          <w:color w:val="auto"/>
          <w:sz w:val="24"/>
          <w:szCs w:val="24"/>
          <w:highlight w:val="none"/>
        </w:rPr>
        <w:t xml:space="preserve">CMA认证的检验机构）出具的质量检测报告或其他证明材料复印件并加盖公章）；</w:t>
      </w:r>
      <w:r/>
    </w:p>
    <w:p>
      <w:pPr>
        <w:pStyle w:val="1015"/>
        <w:ind w:firstLine="420"/>
        <w:pageBreakBefore w:val="0"/>
        <w:spacing w:line="560" w:lineRule="exact"/>
        <w:widowControl w:val="off"/>
        <w:rPr>
          <w:b/>
          <w:color w:val="auto"/>
          <w:sz w:val="24"/>
          <w:szCs w:val="24"/>
          <w:highlight w:val="none"/>
        </w:rPr>
      </w:pPr>
      <w:r>
        <w:rPr>
          <w:rFonts w:hint="eastAsia"/>
          <w:b/>
          <w:color w:val="auto"/>
          <w:sz w:val="24"/>
          <w:szCs w:val="24"/>
          <w:highlight w:val="none"/>
        </w:rPr>
        <w:t xml:space="preserve">（二）供应商应具有合法正规的油品物流能力（</w:t>
      </w:r>
      <w:r>
        <w:rPr>
          <w:rFonts w:hint="eastAsia"/>
          <w:b/>
          <w:color w:val="auto"/>
          <w:sz w:val="24"/>
          <w:szCs w:val="24"/>
          <w:highlight w:val="none"/>
          <w:lang w:eastAsia="zh-CN"/>
        </w:rPr>
        <w:t xml:space="preserve">响应文件</w:t>
      </w:r>
      <w:r>
        <w:rPr>
          <w:rFonts w:hint="eastAsia"/>
          <w:b/>
          <w:color w:val="auto"/>
          <w:sz w:val="24"/>
          <w:szCs w:val="24"/>
          <w:highlight w:val="none"/>
        </w:rPr>
        <w:t xml:space="preserve">中提供承诺函或相关证明材料复印件并加盖公章，承诺函格式自拟）。</w:t>
      </w:r>
      <w:r/>
    </w:p>
    <w:p>
      <w:pPr>
        <w:pStyle w:val="1015"/>
        <w:ind w:firstLine="420"/>
        <w:pageBreakBefore w:val="0"/>
        <w:spacing w:line="560" w:lineRule="exact"/>
        <w:widowControl w:val="off"/>
        <w:rPr>
          <w:b/>
          <w:color w:val="auto"/>
          <w:sz w:val="24"/>
          <w:szCs w:val="24"/>
          <w:highlight w:val="none"/>
        </w:rPr>
      </w:pPr>
      <w:r>
        <w:rPr>
          <w:rFonts w:hint="eastAsia"/>
          <w:b/>
          <w:color w:val="auto"/>
          <w:sz w:val="24"/>
          <w:szCs w:val="24"/>
          <w:highlight w:val="none"/>
        </w:rPr>
        <w:t xml:space="preserve">（三）符合GB19147-2016车用柴油相关标准要求（</w:t>
      </w:r>
      <w:r>
        <w:rPr>
          <w:rFonts w:hint="eastAsia"/>
          <w:b/>
          <w:color w:val="auto"/>
          <w:sz w:val="24"/>
          <w:szCs w:val="24"/>
          <w:highlight w:val="none"/>
          <w:lang w:eastAsia="zh-CN"/>
        </w:rPr>
        <w:t xml:space="preserve">响应文件</w:t>
      </w:r>
      <w:r>
        <w:rPr>
          <w:rFonts w:hint="eastAsia"/>
          <w:b/>
          <w:color w:val="auto"/>
          <w:sz w:val="24"/>
          <w:szCs w:val="24"/>
          <w:highlight w:val="none"/>
        </w:rPr>
        <w:t xml:space="preserve">中提供承诺函或相关证明材料复印件并加盖公章，承诺函格式自拟）。</w:t>
      </w:r>
      <w:r/>
    </w:p>
    <w:p>
      <w:pPr>
        <w:rPr>
          <w:rFonts w:hint="eastAsia"/>
          <w:b/>
          <w:bCs/>
          <w:color w:val="auto"/>
          <w:sz w:val="24"/>
          <w:szCs w:val="24"/>
          <w:highlight w:val="none"/>
          <w:lang w:val="en-US" w:eastAsia="zh-CN"/>
        </w:rPr>
      </w:pPr>
      <w:r/>
      <w:bookmarkStart w:id="16" w:name="_Toc203031049"/>
      <w:r/>
      <w:bookmarkStart w:id="17" w:name="_Toc200732012"/>
      <w:r>
        <w:rPr>
          <w:rFonts w:hint="eastAsia"/>
          <w:b/>
          <w:bCs/>
          <w:color w:val="auto"/>
          <w:sz w:val="24"/>
          <w:szCs w:val="24"/>
          <w:highlight w:val="none"/>
          <w:lang w:val="en-US" w:eastAsia="zh-CN"/>
        </w:rPr>
        <w:t xml:space="preserve">五、遵循的法律法规与标准</w:t>
      </w:r>
      <w:bookmarkEnd w:id="16"/>
      <w:r/>
      <w:bookmarkEnd w:id="17"/>
      <w:r/>
      <w:r/>
    </w:p>
    <w:p>
      <w:pPr>
        <w:pStyle w:val="1015"/>
        <w:ind w:firstLine="420"/>
        <w:pageBreakBefore w:val="0"/>
        <w:spacing w:line="560" w:lineRule="exact"/>
        <w:widowControl w:val="off"/>
        <w:rPr>
          <w:color w:val="auto"/>
          <w:sz w:val="24"/>
          <w:szCs w:val="24"/>
          <w:highlight w:val="none"/>
        </w:rPr>
      </w:pPr>
      <w:r>
        <w:rPr>
          <w:rFonts w:hint="eastAsia"/>
          <w:color w:val="auto"/>
          <w:sz w:val="24"/>
          <w:szCs w:val="24"/>
          <w:highlight w:val="none"/>
        </w:rPr>
        <w:t xml:space="preserve">（一）《中华人民共和国产品质量法》；</w:t>
      </w:r>
      <w:r/>
    </w:p>
    <w:p>
      <w:pPr>
        <w:pStyle w:val="1015"/>
        <w:ind w:firstLine="420"/>
        <w:pageBreakBefore w:val="0"/>
        <w:spacing w:line="560" w:lineRule="exact"/>
        <w:widowControl w:val="off"/>
        <w:rPr>
          <w:color w:val="auto"/>
          <w:sz w:val="24"/>
          <w:szCs w:val="24"/>
          <w:highlight w:val="none"/>
        </w:rPr>
      </w:pPr>
      <w:r>
        <w:rPr>
          <w:rFonts w:hint="eastAsia"/>
          <w:color w:val="auto"/>
          <w:sz w:val="24"/>
          <w:szCs w:val="24"/>
          <w:highlight w:val="none"/>
        </w:rPr>
        <w:t xml:space="preserve">（二）《成品油市场管理办法》；</w:t>
      </w:r>
      <w:r/>
    </w:p>
    <w:p>
      <w:pPr>
        <w:pStyle w:val="1015"/>
        <w:ind w:firstLine="420"/>
        <w:pageBreakBefore w:val="0"/>
        <w:spacing w:line="560" w:lineRule="exact"/>
        <w:widowControl w:val="off"/>
        <w:rPr>
          <w:color w:val="auto"/>
          <w:sz w:val="24"/>
          <w:szCs w:val="24"/>
          <w:highlight w:val="none"/>
        </w:rPr>
      </w:pPr>
      <w:r>
        <w:rPr>
          <w:rFonts w:hint="eastAsia"/>
          <w:color w:val="auto"/>
          <w:sz w:val="24"/>
          <w:szCs w:val="24"/>
          <w:highlight w:val="none"/>
        </w:rPr>
        <w:t xml:space="preserve">（三）《危险化学品安全管理条例》（国务院令第344号）。</w:t>
      </w:r>
      <w:r/>
    </w:p>
    <w:p>
      <w:pPr>
        <w:rPr>
          <w:rFonts w:hint="eastAsia"/>
          <w:b/>
          <w:bCs/>
          <w:color w:val="auto"/>
          <w:sz w:val="24"/>
          <w:szCs w:val="24"/>
          <w:highlight w:val="none"/>
          <w:lang w:val="en-US" w:eastAsia="zh-CN"/>
        </w:rPr>
      </w:pPr>
      <w:r/>
      <w:bookmarkStart w:id="18" w:name="_Toc200732013"/>
      <w:r/>
      <w:bookmarkStart w:id="19" w:name="_Toc203031050"/>
      <w:r>
        <w:rPr>
          <w:rFonts w:hint="eastAsia"/>
          <w:b/>
          <w:bCs/>
          <w:color w:val="auto"/>
          <w:sz w:val="24"/>
          <w:szCs w:val="24"/>
          <w:highlight w:val="none"/>
          <w:lang w:val="en-US" w:eastAsia="zh-CN"/>
        </w:rPr>
        <w:t xml:space="preserve">六、验收与供货要求</w:t>
      </w:r>
      <w:bookmarkEnd w:id="18"/>
      <w:r/>
      <w:bookmarkEnd w:id="19"/>
      <w:r/>
      <w:r/>
    </w:p>
    <w:p>
      <w:pPr>
        <w:pStyle w:val="1015"/>
        <w:ind w:firstLine="420"/>
        <w:pageBreakBefore w:val="0"/>
        <w:spacing w:line="560" w:lineRule="exact"/>
        <w:widowControl w:val="off"/>
        <w:rPr>
          <w:color w:val="auto"/>
          <w:sz w:val="24"/>
          <w:szCs w:val="24"/>
          <w:highlight w:val="none"/>
        </w:rPr>
      </w:pPr>
      <w:r>
        <w:rPr>
          <w:rFonts w:hint="eastAsia"/>
          <w:color w:val="auto"/>
          <w:sz w:val="24"/>
          <w:szCs w:val="24"/>
          <w:highlight w:val="none"/>
        </w:rPr>
        <w:t xml:space="preserve">（一）检验与验收</w:t>
      </w:r>
      <w:r/>
    </w:p>
    <w:p>
      <w:pPr>
        <w:pStyle w:val="1015"/>
        <w:ind w:firstLine="420"/>
        <w:pageBreakBefore w:val="0"/>
        <w:spacing w:line="560" w:lineRule="exact"/>
        <w:widowControl w:val="off"/>
        <w:rPr>
          <w:color w:val="auto"/>
          <w:sz w:val="24"/>
          <w:szCs w:val="24"/>
          <w:highlight w:val="none"/>
        </w:rPr>
      </w:pPr>
      <w:r>
        <w:rPr>
          <w:rFonts w:hint="eastAsia"/>
          <w:color w:val="auto"/>
          <w:sz w:val="24"/>
          <w:szCs w:val="24"/>
          <w:highlight w:val="none"/>
          <w:lang w:val="en-US" w:eastAsia="zh-CN"/>
        </w:rPr>
        <w:t xml:space="preserve">1</w:t>
      </w:r>
      <w:r>
        <w:rPr>
          <w:rFonts w:hint="eastAsia"/>
          <w:color w:val="auto"/>
          <w:sz w:val="24"/>
          <w:szCs w:val="24"/>
          <w:highlight w:val="none"/>
        </w:rPr>
        <w:t xml:space="preserve">、</w:t>
      </w:r>
      <w:r>
        <w:rPr>
          <w:rFonts w:hint="eastAsia"/>
          <w:color w:val="auto"/>
          <w:sz w:val="24"/>
          <w:szCs w:val="24"/>
          <w:highlight w:val="none"/>
          <w:lang w:eastAsia="zh-CN"/>
        </w:rPr>
        <w:t xml:space="preserve">成交供应商</w:t>
      </w:r>
      <w:r>
        <w:rPr>
          <w:rFonts w:hint="eastAsia"/>
          <w:color w:val="auto"/>
          <w:sz w:val="24"/>
          <w:szCs w:val="24"/>
          <w:highlight w:val="none"/>
        </w:rPr>
        <w:t xml:space="preserve">应供应符合GB19147-2016《车用柴油》标准的柴油，如因质量问题导致设备故障、损坏，一切损失由供应商承担；</w:t>
      </w:r>
      <w:r/>
    </w:p>
    <w:p>
      <w:pPr>
        <w:pStyle w:val="1015"/>
        <w:ind w:firstLine="420"/>
        <w:pageBreakBefore w:val="0"/>
        <w:spacing w:line="560" w:lineRule="exact"/>
        <w:widowControl w:val="off"/>
        <w:rPr>
          <w:color w:val="auto"/>
          <w:sz w:val="24"/>
          <w:szCs w:val="24"/>
          <w:highlight w:val="none"/>
        </w:rPr>
      </w:pPr>
      <w:r>
        <w:rPr>
          <w:rFonts w:hint="eastAsia"/>
          <w:color w:val="auto"/>
          <w:sz w:val="24"/>
          <w:szCs w:val="24"/>
          <w:highlight w:val="none"/>
          <w:lang w:val="en-US" w:eastAsia="zh-CN"/>
        </w:rPr>
        <w:t xml:space="preserve">2</w:t>
      </w:r>
      <w:r>
        <w:rPr>
          <w:rFonts w:hint="eastAsia"/>
          <w:color w:val="auto"/>
          <w:sz w:val="24"/>
          <w:szCs w:val="24"/>
          <w:highlight w:val="none"/>
        </w:rPr>
        <w:t xml:space="preserve">、其他未尽事宜，均按照</w:t>
      </w:r>
      <w:r>
        <w:rPr>
          <w:rFonts w:hint="eastAsia"/>
          <w:color w:val="auto"/>
          <w:sz w:val="24"/>
          <w:szCs w:val="24"/>
          <w:highlight w:val="none"/>
          <w:lang w:eastAsia="zh-CN"/>
        </w:rPr>
        <w:t xml:space="preserve">采购人</w:t>
      </w:r>
      <w:r>
        <w:rPr>
          <w:rFonts w:hint="eastAsia"/>
          <w:color w:val="auto"/>
          <w:sz w:val="24"/>
          <w:szCs w:val="24"/>
          <w:highlight w:val="none"/>
        </w:rPr>
        <w:t xml:space="preserve">相关要求办理。</w:t>
      </w:r>
      <w:r/>
    </w:p>
    <w:p>
      <w:pPr>
        <w:pStyle w:val="1015"/>
        <w:ind w:firstLine="420"/>
        <w:pageBreakBefore w:val="0"/>
        <w:spacing w:line="560" w:lineRule="exact"/>
        <w:widowControl w:val="off"/>
        <w:rPr>
          <w:color w:val="auto"/>
          <w:sz w:val="24"/>
          <w:szCs w:val="24"/>
          <w:highlight w:val="none"/>
        </w:rPr>
      </w:pPr>
      <w:r>
        <w:rPr>
          <w:rFonts w:hint="eastAsia"/>
          <w:color w:val="auto"/>
          <w:sz w:val="24"/>
          <w:szCs w:val="24"/>
          <w:highlight w:val="none"/>
        </w:rPr>
        <w:t xml:space="preserve">（二）供货要求</w:t>
      </w:r>
      <w:r/>
    </w:p>
    <w:p>
      <w:pPr>
        <w:pStyle w:val="1015"/>
        <w:ind w:firstLine="420"/>
        <w:pageBreakBefore w:val="0"/>
        <w:spacing w:line="560" w:lineRule="exact"/>
        <w:widowControl w:val="off"/>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eastAsia="zh-CN"/>
        </w:rPr>
        <w:t xml:space="preserve">成交供应商</w:t>
      </w:r>
      <w:r>
        <w:rPr>
          <w:rFonts w:hint="eastAsia"/>
          <w:color w:val="auto"/>
          <w:sz w:val="24"/>
          <w:szCs w:val="24"/>
          <w:highlight w:val="none"/>
        </w:rPr>
        <w:t xml:space="preserve">必须保证合同期内按照</w:t>
      </w:r>
      <w:r>
        <w:rPr>
          <w:rFonts w:hint="eastAsia"/>
          <w:color w:val="auto"/>
          <w:sz w:val="24"/>
          <w:szCs w:val="24"/>
          <w:highlight w:val="none"/>
          <w:lang w:eastAsia="zh-CN"/>
        </w:rPr>
        <w:t xml:space="preserve">采购人</w:t>
      </w:r>
      <w:r>
        <w:rPr>
          <w:rFonts w:hint="eastAsia"/>
          <w:color w:val="auto"/>
          <w:sz w:val="24"/>
          <w:szCs w:val="24"/>
          <w:highlight w:val="none"/>
        </w:rPr>
        <w:t xml:space="preserve">的要求保质保量及时提供合格柴油。</w:t>
      </w:r>
      <w:r/>
    </w:p>
    <w:p>
      <w:pPr>
        <w:pStyle w:val="1015"/>
        <w:ind w:firstLine="420"/>
        <w:pageBreakBefore w:val="0"/>
        <w:spacing w:line="560" w:lineRule="exact"/>
        <w:widowControl w:val="off"/>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eastAsia="zh-CN"/>
        </w:rPr>
        <w:t xml:space="preserve">成交供应商</w:t>
      </w:r>
      <w:r>
        <w:rPr>
          <w:rFonts w:hint="eastAsia"/>
          <w:color w:val="auto"/>
          <w:sz w:val="24"/>
          <w:szCs w:val="24"/>
          <w:highlight w:val="none"/>
        </w:rPr>
        <w:t xml:space="preserve">应确保供货、送货时间，并保证电话畅通。</w:t>
      </w:r>
      <w:r>
        <w:rPr>
          <w:rFonts w:hint="eastAsia"/>
          <w:color w:val="auto"/>
          <w:sz w:val="24"/>
          <w:szCs w:val="24"/>
          <w:highlight w:val="none"/>
          <w:lang w:eastAsia="zh-CN"/>
        </w:rPr>
        <w:t xml:space="preserve">成交供应商</w:t>
      </w:r>
      <w:r>
        <w:rPr>
          <w:rFonts w:hint="eastAsia"/>
          <w:color w:val="auto"/>
          <w:sz w:val="24"/>
          <w:szCs w:val="24"/>
          <w:highlight w:val="none"/>
        </w:rPr>
        <w:t xml:space="preserve">接到</w:t>
      </w:r>
      <w:r>
        <w:rPr>
          <w:rFonts w:hint="eastAsia"/>
          <w:color w:val="auto"/>
          <w:sz w:val="24"/>
          <w:szCs w:val="24"/>
          <w:highlight w:val="none"/>
          <w:lang w:eastAsia="zh-CN"/>
        </w:rPr>
        <w:t xml:space="preserve">采购人</w:t>
      </w:r>
      <w:r>
        <w:rPr>
          <w:rFonts w:hint="eastAsia"/>
          <w:color w:val="auto"/>
          <w:sz w:val="24"/>
          <w:szCs w:val="24"/>
          <w:highlight w:val="none"/>
        </w:rPr>
        <w:t xml:space="preserve">供货通知后在采购订单所拟定的供货日期前须保证供货到位（不可抗力因素除外）。由于</w:t>
      </w:r>
      <w:r>
        <w:rPr>
          <w:rFonts w:hint="eastAsia"/>
          <w:color w:val="auto"/>
          <w:sz w:val="24"/>
          <w:szCs w:val="24"/>
          <w:highlight w:val="none"/>
          <w:lang w:eastAsia="zh-CN"/>
        </w:rPr>
        <w:t xml:space="preserve">成交供应商</w:t>
      </w:r>
      <w:r>
        <w:rPr>
          <w:rFonts w:hint="eastAsia"/>
          <w:color w:val="auto"/>
          <w:sz w:val="24"/>
          <w:szCs w:val="24"/>
          <w:highlight w:val="none"/>
        </w:rPr>
        <w:t xml:space="preserve">未能按时正常供货造成</w:t>
      </w:r>
      <w:r>
        <w:rPr>
          <w:rFonts w:hint="eastAsia"/>
          <w:color w:val="auto"/>
          <w:sz w:val="24"/>
          <w:szCs w:val="24"/>
          <w:highlight w:val="none"/>
          <w:lang w:eastAsia="zh-CN"/>
        </w:rPr>
        <w:t xml:space="preserve">采购人</w:t>
      </w:r>
      <w:r>
        <w:rPr>
          <w:rFonts w:hint="eastAsia"/>
          <w:color w:val="auto"/>
          <w:sz w:val="24"/>
          <w:szCs w:val="24"/>
          <w:highlight w:val="none"/>
        </w:rPr>
        <w:t xml:space="preserve">损失的，</w:t>
      </w:r>
      <w:r>
        <w:rPr>
          <w:rFonts w:hint="eastAsia"/>
          <w:color w:val="auto"/>
          <w:sz w:val="24"/>
          <w:szCs w:val="24"/>
          <w:highlight w:val="none"/>
          <w:lang w:eastAsia="zh-CN"/>
        </w:rPr>
        <w:t xml:space="preserve">成交供应商</w:t>
      </w:r>
      <w:r>
        <w:rPr>
          <w:rFonts w:hint="eastAsia"/>
          <w:color w:val="auto"/>
          <w:sz w:val="24"/>
          <w:szCs w:val="24"/>
          <w:highlight w:val="none"/>
        </w:rPr>
        <w:t xml:space="preserve">必须承担全部责任。</w:t>
      </w:r>
      <w:r/>
    </w:p>
    <w:p>
      <w:pPr>
        <w:pStyle w:val="1015"/>
        <w:ind w:firstLine="420"/>
        <w:pageBreakBefore w:val="0"/>
        <w:spacing w:line="560" w:lineRule="exact"/>
        <w:widowControl w:val="off"/>
        <w:rPr>
          <w:color w:val="auto"/>
          <w:sz w:val="24"/>
          <w:szCs w:val="24"/>
          <w:highlight w:val="none"/>
        </w:rPr>
      </w:pPr>
      <w:r>
        <w:rPr>
          <w:rFonts w:hint="eastAsia"/>
          <w:color w:val="auto"/>
          <w:sz w:val="24"/>
          <w:szCs w:val="24"/>
          <w:highlight w:val="none"/>
        </w:rPr>
        <w:t xml:space="preserve">3、为避免油源紧张时影响</w:t>
      </w:r>
      <w:r>
        <w:rPr>
          <w:rFonts w:hint="eastAsia"/>
          <w:color w:val="auto"/>
          <w:sz w:val="24"/>
          <w:szCs w:val="24"/>
          <w:highlight w:val="none"/>
          <w:lang w:eastAsia="zh-CN"/>
        </w:rPr>
        <w:t xml:space="preserve">采购人</w:t>
      </w:r>
      <w:r>
        <w:rPr>
          <w:rFonts w:hint="eastAsia"/>
          <w:color w:val="auto"/>
          <w:sz w:val="24"/>
          <w:szCs w:val="24"/>
          <w:highlight w:val="none"/>
        </w:rPr>
        <w:t xml:space="preserve">的供货，</w:t>
      </w:r>
      <w:r>
        <w:rPr>
          <w:rFonts w:hint="eastAsia"/>
          <w:color w:val="auto"/>
          <w:sz w:val="24"/>
          <w:szCs w:val="24"/>
          <w:highlight w:val="none"/>
          <w:lang w:eastAsia="zh-CN"/>
        </w:rPr>
        <w:t xml:space="preserve">成交供应商</w:t>
      </w:r>
      <w:r>
        <w:rPr>
          <w:rFonts w:hint="eastAsia"/>
          <w:color w:val="auto"/>
          <w:sz w:val="24"/>
          <w:szCs w:val="24"/>
          <w:highlight w:val="none"/>
        </w:rPr>
        <w:t xml:space="preserve">须储存足够数量的柴油以确保正常供货。</w:t>
      </w:r>
      <w:r/>
    </w:p>
    <w:p>
      <w:pPr>
        <w:pStyle w:val="1015"/>
        <w:ind w:firstLine="420"/>
        <w:pageBreakBefore w:val="0"/>
        <w:spacing w:line="560" w:lineRule="exact"/>
        <w:widowControl w:val="off"/>
        <w:rPr>
          <w:rFonts w:hint="eastAsia"/>
          <w:color w:val="auto"/>
          <w:sz w:val="24"/>
          <w:szCs w:val="24"/>
          <w:highlight w:val="none"/>
        </w:rPr>
      </w:pPr>
      <w:r>
        <w:rPr>
          <w:rFonts w:hint="eastAsia"/>
          <w:color w:val="auto"/>
          <w:sz w:val="24"/>
          <w:szCs w:val="24"/>
          <w:highlight w:val="none"/>
        </w:rPr>
        <w:t xml:space="preserve">4、合同履行期间，如</w:t>
      </w:r>
      <w:r>
        <w:rPr>
          <w:rFonts w:hint="eastAsia"/>
          <w:color w:val="auto"/>
          <w:sz w:val="24"/>
          <w:szCs w:val="24"/>
          <w:highlight w:val="none"/>
          <w:lang w:eastAsia="zh-CN"/>
        </w:rPr>
        <w:t xml:space="preserve">成交供应商</w:t>
      </w:r>
      <w:r>
        <w:rPr>
          <w:rFonts w:hint="eastAsia"/>
          <w:color w:val="auto"/>
          <w:sz w:val="24"/>
          <w:szCs w:val="24"/>
          <w:highlight w:val="none"/>
        </w:rPr>
        <w:t xml:space="preserve">不能按时提供柴油，经</w:t>
      </w:r>
      <w:r>
        <w:rPr>
          <w:rFonts w:hint="eastAsia"/>
          <w:color w:val="auto"/>
          <w:sz w:val="24"/>
          <w:szCs w:val="24"/>
          <w:highlight w:val="none"/>
          <w:lang w:eastAsia="zh-CN"/>
        </w:rPr>
        <w:t xml:space="preserve">采购人</w:t>
      </w:r>
      <w:r>
        <w:rPr>
          <w:rFonts w:hint="eastAsia"/>
          <w:color w:val="auto"/>
          <w:sz w:val="24"/>
          <w:szCs w:val="24"/>
          <w:highlight w:val="none"/>
        </w:rPr>
        <w:t xml:space="preserve">督促仍不履行合同义务的，</w:t>
      </w:r>
      <w:r>
        <w:rPr>
          <w:rFonts w:hint="eastAsia"/>
          <w:color w:val="auto"/>
          <w:sz w:val="24"/>
          <w:szCs w:val="24"/>
          <w:highlight w:val="none"/>
          <w:lang w:eastAsia="zh-CN"/>
        </w:rPr>
        <w:t xml:space="preserve">采购人</w:t>
      </w:r>
      <w:r>
        <w:rPr>
          <w:rFonts w:hint="eastAsia"/>
          <w:color w:val="auto"/>
          <w:sz w:val="24"/>
          <w:szCs w:val="24"/>
          <w:highlight w:val="none"/>
        </w:rPr>
        <w:t xml:space="preserve">有权追究</w:t>
      </w:r>
      <w:r>
        <w:rPr>
          <w:rFonts w:hint="eastAsia"/>
          <w:color w:val="auto"/>
          <w:sz w:val="24"/>
          <w:szCs w:val="24"/>
          <w:highlight w:val="none"/>
          <w:lang w:eastAsia="zh-CN"/>
        </w:rPr>
        <w:t xml:space="preserve">成交供应商</w:t>
      </w:r>
      <w:r>
        <w:rPr>
          <w:rFonts w:hint="eastAsia"/>
          <w:color w:val="auto"/>
          <w:sz w:val="24"/>
          <w:szCs w:val="24"/>
          <w:highlight w:val="none"/>
        </w:rPr>
        <w:t xml:space="preserve">的违约责任，并要求</w:t>
      </w:r>
      <w:r>
        <w:rPr>
          <w:rFonts w:hint="eastAsia"/>
          <w:color w:val="auto"/>
          <w:sz w:val="24"/>
          <w:szCs w:val="24"/>
          <w:highlight w:val="none"/>
          <w:lang w:eastAsia="zh-CN"/>
        </w:rPr>
        <w:t xml:space="preserve">成交供应商</w:t>
      </w:r>
      <w:r>
        <w:rPr>
          <w:rFonts w:hint="eastAsia"/>
          <w:color w:val="auto"/>
          <w:sz w:val="24"/>
          <w:szCs w:val="24"/>
          <w:highlight w:val="none"/>
        </w:rPr>
        <w:t xml:space="preserve">赔偿</w:t>
      </w:r>
      <w:r>
        <w:rPr>
          <w:rFonts w:hint="eastAsia"/>
          <w:color w:val="auto"/>
          <w:sz w:val="24"/>
          <w:szCs w:val="24"/>
          <w:highlight w:val="none"/>
          <w:lang w:eastAsia="zh-CN"/>
        </w:rPr>
        <w:t xml:space="preserve">采购人</w:t>
      </w:r>
      <w:r>
        <w:rPr>
          <w:rFonts w:hint="eastAsia"/>
          <w:color w:val="auto"/>
          <w:sz w:val="24"/>
          <w:szCs w:val="24"/>
          <w:highlight w:val="none"/>
        </w:rPr>
        <w:t xml:space="preserve">因此而造成的所有经济损失。</w:t>
      </w:r>
      <w:r/>
    </w:p>
    <w:p>
      <w:pPr>
        <w:rPr>
          <w:rFonts w:hint="eastAsia"/>
          <w:b/>
          <w:bCs/>
          <w:color w:val="auto"/>
          <w:sz w:val="24"/>
          <w:szCs w:val="24"/>
          <w:highlight w:val="none"/>
          <w:lang w:val="en-US" w:eastAsia="zh-CN"/>
        </w:rPr>
      </w:pPr>
      <w:r/>
      <w:bookmarkStart w:id="20" w:name="_Toc203031051"/>
      <w:r/>
      <w:bookmarkStart w:id="21" w:name="_Toc200732014"/>
      <w:r>
        <w:rPr>
          <w:rFonts w:hint="eastAsia"/>
          <w:b/>
          <w:bCs/>
          <w:color w:val="auto"/>
          <w:sz w:val="24"/>
          <w:szCs w:val="24"/>
          <w:highlight w:val="none"/>
          <w:lang w:val="en-US" w:eastAsia="zh-CN"/>
        </w:rPr>
        <w:t xml:space="preserve">七、商务部分要求</w:t>
      </w:r>
      <w:bookmarkEnd w:id="20"/>
      <w:r/>
      <w:bookmarkEnd w:id="21"/>
      <w:r/>
      <w:r/>
    </w:p>
    <w:p>
      <w:pPr>
        <w:pStyle w:val="766"/>
        <w:pageBreakBefore w:val="0"/>
        <w:spacing w:line="560" w:lineRule="exact"/>
        <w:widowControl w:val="off"/>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（一）售后服务要求</w:t>
      </w:r>
      <w:r/>
    </w:p>
    <w:p>
      <w:pPr>
        <w:pStyle w:val="1015"/>
        <w:ind w:firstLine="420"/>
        <w:pageBreakBefore w:val="0"/>
        <w:spacing w:line="560" w:lineRule="exact"/>
        <w:widowControl w:val="off"/>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eastAsia="zh-CN"/>
        </w:rPr>
        <w:t xml:space="preserve">成交供应商</w:t>
      </w:r>
      <w:r>
        <w:rPr>
          <w:rFonts w:hint="eastAsia"/>
          <w:color w:val="auto"/>
          <w:sz w:val="24"/>
          <w:szCs w:val="24"/>
          <w:highlight w:val="none"/>
        </w:rPr>
        <w:t xml:space="preserve">保证（7x24小时）及时送达</w:t>
      </w:r>
      <w:r>
        <w:rPr>
          <w:rFonts w:hint="eastAsia"/>
          <w:color w:val="auto"/>
          <w:sz w:val="24"/>
          <w:szCs w:val="24"/>
          <w:highlight w:val="none"/>
          <w:lang w:eastAsia="zh-CN"/>
        </w:rPr>
        <w:t xml:space="preserve">采购人</w:t>
      </w:r>
      <w:r>
        <w:rPr>
          <w:rFonts w:hint="eastAsia"/>
          <w:color w:val="auto"/>
          <w:sz w:val="24"/>
          <w:szCs w:val="24"/>
          <w:highlight w:val="none"/>
        </w:rPr>
        <w:t xml:space="preserve">所需油品，响应时间为12小时。超期未按时响应的，每次扣除5000元。</w:t>
      </w:r>
      <w:r/>
    </w:p>
    <w:p>
      <w:pPr>
        <w:pStyle w:val="1015"/>
        <w:ind w:firstLine="420"/>
        <w:pageBreakBefore w:val="0"/>
        <w:spacing w:line="560" w:lineRule="exact"/>
        <w:widowControl w:val="off"/>
        <w:rPr>
          <w:color w:val="auto"/>
          <w:sz w:val="24"/>
          <w:szCs w:val="24"/>
          <w:highlight w:val="none"/>
        </w:rPr>
      </w:pPr>
      <w:r>
        <w:rPr>
          <w:rFonts w:hint="eastAsia"/>
          <w:color w:val="auto"/>
          <w:sz w:val="24"/>
          <w:szCs w:val="24"/>
          <w:highlight w:val="none"/>
        </w:rPr>
        <w:t xml:space="preserve">2、供货时以</w:t>
      </w:r>
      <w:r>
        <w:rPr>
          <w:rFonts w:hint="eastAsia"/>
          <w:color w:val="auto"/>
          <w:sz w:val="24"/>
          <w:szCs w:val="24"/>
          <w:highlight w:val="none"/>
          <w:lang w:eastAsia="zh-CN"/>
        </w:rPr>
        <w:t xml:space="preserve">采购人</w:t>
      </w:r>
      <w:r>
        <w:rPr>
          <w:rFonts w:hint="eastAsia"/>
          <w:color w:val="auto"/>
          <w:sz w:val="24"/>
          <w:szCs w:val="24"/>
          <w:highlight w:val="none"/>
        </w:rPr>
        <w:t xml:space="preserve">的书面或电话通知为准，</w:t>
      </w:r>
      <w:r>
        <w:rPr>
          <w:rFonts w:hint="eastAsia"/>
          <w:color w:val="auto"/>
          <w:sz w:val="24"/>
          <w:szCs w:val="24"/>
          <w:highlight w:val="none"/>
          <w:lang w:eastAsia="zh-CN"/>
        </w:rPr>
        <w:t xml:space="preserve">成交供应商</w:t>
      </w:r>
      <w:r>
        <w:rPr>
          <w:rFonts w:hint="eastAsia"/>
          <w:color w:val="auto"/>
          <w:sz w:val="24"/>
          <w:szCs w:val="24"/>
          <w:highlight w:val="none"/>
        </w:rPr>
        <w:t xml:space="preserve">在收到</w:t>
      </w:r>
      <w:r>
        <w:rPr>
          <w:rFonts w:hint="eastAsia"/>
          <w:color w:val="auto"/>
          <w:sz w:val="24"/>
          <w:szCs w:val="24"/>
          <w:highlight w:val="none"/>
          <w:lang w:eastAsia="zh-CN"/>
        </w:rPr>
        <w:t xml:space="preserve">采购人</w:t>
      </w:r>
      <w:r>
        <w:rPr>
          <w:rFonts w:hint="eastAsia"/>
          <w:color w:val="auto"/>
          <w:sz w:val="24"/>
          <w:szCs w:val="24"/>
          <w:highlight w:val="none"/>
        </w:rPr>
        <w:t xml:space="preserve">的书面或电话通知后，由</w:t>
      </w:r>
      <w:r>
        <w:rPr>
          <w:rFonts w:hint="eastAsia"/>
          <w:color w:val="auto"/>
          <w:sz w:val="24"/>
          <w:szCs w:val="24"/>
          <w:highlight w:val="none"/>
          <w:lang w:eastAsia="zh-CN"/>
        </w:rPr>
        <w:t xml:space="preserve">成交供应商</w:t>
      </w:r>
      <w:r>
        <w:rPr>
          <w:rFonts w:hint="eastAsia"/>
          <w:color w:val="auto"/>
          <w:sz w:val="24"/>
          <w:szCs w:val="24"/>
          <w:highlight w:val="none"/>
        </w:rPr>
        <w:t xml:space="preserve">用符合国家规定的油品运输工具，按通知中规定的油品、数量、质量标准、交货时间等要求将油品送达指定地点。交货时将对实际供油情况作供油记录，并由双方代表签字。在运输途中一切安全责任及运费、运输保险费由</w:t>
      </w:r>
      <w:r>
        <w:rPr>
          <w:rFonts w:hint="eastAsia"/>
          <w:color w:val="auto"/>
          <w:sz w:val="24"/>
          <w:szCs w:val="24"/>
          <w:highlight w:val="none"/>
          <w:lang w:eastAsia="zh-CN"/>
        </w:rPr>
        <w:t xml:space="preserve">成交供应商</w:t>
      </w:r>
      <w:r>
        <w:rPr>
          <w:rFonts w:hint="eastAsia"/>
          <w:color w:val="auto"/>
          <w:sz w:val="24"/>
          <w:szCs w:val="24"/>
          <w:highlight w:val="none"/>
        </w:rPr>
        <w:t xml:space="preserve">承担。 </w:t>
      </w:r>
      <w:r/>
    </w:p>
    <w:p>
      <w:pPr>
        <w:pStyle w:val="1015"/>
        <w:ind w:firstLine="422"/>
        <w:pageBreakBefore w:val="0"/>
        <w:spacing w:line="560" w:lineRule="exact"/>
        <w:widowControl w:val="off"/>
        <w:rPr>
          <w:rFonts w:hint="eastAsia" w:eastAsia="宋体"/>
          <w:b/>
          <w:color w:val="auto"/>
          <w:sz w:val="24"/>
          <w:szCs w:val="24"/>
          <w:highlight w:val="none"/>
          <w:lang w:eastAsia="zh-CN"/>
        </w:rPr>
      </w:pPr>
      <w:r>
        <w:rPr>
          <w:rFonts w:hint="eastAsia"/>
          <w:b/>
          <w:color w:val="auto"/>
          <w:sz w:val="24"/>
          <w:szCs w:val="24"/>
          <w:highlight w:val="none"/>
        </w:rPr>
        <w:t xml:space="preserve">（二）供货周期：2026年8月27日至2027年8月26日</w:t>
      </w:r>
      <w:r/>
    </w:p>
    <w:p>
      <w:pPr>
        <w:pStyle w:val="1015"/>
        <w:ind w:firstLine="422"/>
        <w:pageBreakBefore w:val="0"/>
        <w:spacing w:line="560" w:lineRule="exact"/>
        <w:widowControl w:val="off"/>
        <w:rPr>
          <w:color w:val="auto"/>
          <w:sz w:val="24"/>
          <w:szCs w:val="24"/>
          <w:highlight w:val="none"/>
        </w:rPr>
      </w:pPr>
      <w:r>
        <w:rPr>
          <w:rFonts w:hint="eastAsia"/>
          <w:b/>
          <w:color w:val="auto"/>
          <w:sz w:val="24"/>
          <w:szCs w:val="24"/>
          <w:highlight w:val="none"/>
        </w:rPr>
        <w:t xml:space="preserve">（三）交货地点</w:t>
      </w:r>
      <w:r>
        <w:rPr>
          <w:rFonts w:hint="eastAsia"/>
          <w:color w:val="auto"/>
          <w:sz w:val="24"/>
          <w:szCs w:val="24"/>
          <w:highlight w:val="none"/>
        </w:rPr>
        <w:t xml:space="preserve">：南京市社会儿童福利院高淳分院（高淳区东坝街道通衢东路65号）</w:t>
      </w:r>
      <w:r/>
    </w:p>
    <w:p>
      <w:pPr>
        <w:pStyle w:val="1015"/>
        <w:ind w:firstLine="420"/>
        <w:pageBreakBefore w:val="0"/>
        <w:spacing w:line="560" w:lineRule="exact"/>
        <w:widowControl w:val="off"/>
        <w:rPr>
          <w:color w:val="auto"/>
          <w:sz w:val="24"/>
          <w:szCs w:val="24"/>
          <w:highlight w:val="none"/>
        </w:rPr>
      </w:pPr>
      <w:r>
        <w:rPr>
          <w:rFonts w:hint="eastAsia"/>
          <w:color w:val="auto"/>
          <w:sz w:val="24"/>
          <w:szCs w:val="24"/>
          <w:highlight w:val="none"/>
        </w:rPr>
        <w:t xml:space="preserve">注：本项目送货地点如下：南京市社会儿童福利院高淳分院（南京市高淳区东坝街道</w:t>
      </w:r>
      <w:r>
        <w:rPr>
          <w:rFonts w:hint="eastAsia"/>
          <w:color w:val="auto"/>
          <w:sz w:val="24"/>
          <w:szCs w:val="24"/>
          <w:highlight w:val="none"/>
          <w:lang w:val="en-US" w:eastAsia="zh-CN"/>
        </w:rPr>
        <w:t xml:space="preserve">通衢东路65号</w:t>
      </w:r>
      <w:r>
        <w:rPr>
          <w:rFonts w:hint="eastAsia"/>
          <w:color w:val="auto"/>
          <w:sz w:val="24"/>
          <w:szCs w:val="24"/>
          <w:highlight w:val="none"/>
        </w:rPr>
        <w:t xml:space="preserve">）。高淳分院距离较远，请各投标供应商报价时就此情况予以充分考虑，</w:t>
      </w:r>
      <w:r>
        <w:rPr>
          <w:rFonts w:hint="eastAsia"/>
          <w:color w:val="auto"/>
          <w:sz w:val="24"/>
          <w:szCs w:val="24"/>
          <w:highlight w:val="none"/>
          <w:lang w:eastAsia="zh-CN"/>
        </w:rPr>
        <w:t xml:space="preserve">采购人</w:t>
      </w:r>
      <w:r>
        <w:rPr>
          <w:rFonts w:hint="eastAsia"/>
          <w:color w:val="auto"/>
          <w:sz w:val="24"/>
          <w:szCs w:val="24"/>
          <w:highlight w:val="none"/>
        </w:rPr>
        <w:t xml:space="preserve">不再另行支付由此产生的其他额外费用。</w:t>
      </w:r>
      <w:r/>
    </w:p>
    <w:p>
      <w:pPr>
        <w:pageBreakBefore w:val="0"/>
        <w:spacing w:line="560" w:lineRule="exact"/>
        <w:widowControl w:val="off"/>
        <w:rPr>
          <w:rFonts w:hint="eastAsia" w:ascii="宋体" w:hAnsi="宋体" w:cs="微软雅黑"/>
          <w:b/>
          <w:color w:val="auto"/>
          <w:sz w:val="24"/>
          <w:szCs w:val="24"/>
          <w:highlight w:val="none"/>
        </w:rPr>
      </w:pPr>
      <w:r>
        <w:rPr>
          <w:rFonts w:hint="eastAsia" w:ascii="宋体" w:hAnsi="宋体" w:cs="微软雅黑"/>
          <w:b/>
          <w:color w:val="auto"/>
          <w:sz w:val="24"/>
          <w:szCs w:val="24"/>
          <w:highlight w:val="none"/>
          <w:lang w:val="en-US" w:eastAsia="zh-CN"/>
        </w:rPr>
        <w:t xml:space="preserve">八</w:t>
      </w:r>
      <w:r>
        <w:rPr>
          <w:rFonts w:hint="eastAsia" w:ascii="宋体" w:hAnsi="宋体" w:cs="微软雅黑"/>
          <w:b/>
          <w:color w:val="auto"/>
          <w:sz w:val="24"/>
          <w:szCs w:val="24"/>
          <w:highlight w:val="none"/>
        </w:rPr>
        <w:t xml:space="preserve">、报价说明</w:t>
      </w:r>
      <w:r/>
    </w:p>
    <w:p>
      <w:pPr>
        <w:pageBreakBefore w:val="0"/>
        <w:spacing w:line="560" w:lineRule="exact"/>
        <w:widowControl w:val="off"/>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1）报价应包含与本次项目有关的所有费用。包含但不限于全部设备、辅材、线材、附配件、安装、调试、人工、机械、运输、仓储、保险、运费、各种税费、劳保、专利技术、验收、售后服务、伴随配套服务等所有含税费用。同时，还应包含支付给员工的工资和国家强制缴纳的各种社会保障资金，以及供应商认为需要的其他费用等。</w:t>
      </w:r>
      <w:r/>
    </w:p>
    <w:p>
      <w:pPr>
        <w:pageBreakBefore w:val="0"/>
        <w:spacing w:line="560" w:lineRule="exact"/>
        <w:widowControl w:val="off"/>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（2）供应商的任何错漏、优惠、竞争性报价不得作为减轻责任、减少服务、增加收费、降低服务质量的理由。</w:t>
      </w:r>
      <w:r/>
    </w:p>
    <w:p>
      <w:pPr>
        <w:pStyle w:val="1015"/>
        <w:ind w:left="0" w:firstLine="0"/>
        <w:pageBreakBefore w:val="0"/>
        <w:spacing w:line="560" w:lineRule="exact"/>
        <w:widowControl w:val="off"/>
        <w:rPr>
          <w:color w:val="auto"/>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3</w:t>
      </w:r>
      <w:r>
        <w:rPr>
          <w:rFonts w:hint="eastAsia"/>
          <w:color w:val="auto"/>
          <w:sz w:val="24"/>
          <w:szCs w:val="24"/>
          <w:highlight w:val="none"/>
          <w:lang w:eastAsia="zh-CN"/>
        </w:rPr>
        <w:t xml:space="preserve">）</w:t>
      </w:r>
      <w:r>
        <w:rPr>
          <w:rFonts w:hint="eastAsia"/>
          <w:color w:val="auto"/>
          <w:sz w:val="24"/>
          <w:szCs w:val="24"/>
          <w:highlight w:val="none"/>
        </w:rPr>
        <w:t xml:space="preserve">投标供应商按照江苏省发展和改革委员会最新公布的关于成品油价格调整通知规定的油品（国Ⅵ）最高零售价进行投标优惠率（每升优惠率）报价。</w:t>
      </w:r>
      <w:r/>
    </w:p>
    <w:p>
      <w:pPr>
        <w:pStyle w:val="1015"/>
        <w:pageBreakBefore w:val="0"/>
        <w:spacing w:line="560" w:lineRule="exact"/>
        <w:widowControl w:val="off"/>
        <w:rPr>
          <w:color w:val="auto"/>
          <w:sz w:val="24"/>
          <w:szCs w:val="24"/>
          <w:highlight w:val="none"/>
        </w:rPr>
      </w:pPr>
      <w:r>
        <w:rPr>
          <w:rFonts w:hint="eastAsia"/>
          <w:color w:val="auto"/>
          <w:sz w:val="24"/>
          <w:szCs w:val="24"/>
          <w:highlight w:val="none"/>
        </w:rPr>
        <w:t xml:space="preserve">注：1、投标优惠率（每升优惠率）是指江苏省发展和改革委员会最新公布的关于成品油价格调整通知规定的油品（国Ⅵ）最高零售价为基础的每升优惠率；</w:t>
      </w:r>
      <w:r/>
    </w:p>
    <w:p>
      <w:pPr>
        <w:pStyle w:val="1015"/>
        <w:ind w:left="0" w:firstLine="0"/>
        <w:pageBreakBefore w:val="0"/>
        <w:spacing w:line="560" w:lineRule="exact"/>
        <w:widowControl w:val="off"/>
        <w:rPr>
          <w:color w:val="auto"/>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4</w:t>
      </w:r>
      <w:r>
        <w:rPr>
          <w:rFonts w:hint="eastAsia"/>
          <w:color w:val="auto"/>
          <w:sz w:val="24"/>
          <w:szCs w:val="24"/>
          <w:highlight w:val="none"/>
          <w:lang w:eastAsia="zh-CN"/>
        </w:rPr>
        <w:t xml:space="preserve">）</w:t>
      </w:r>
      <w:r>
        <w:rPr>
          <w:rFonts w:hint="eastAsia"/>
          <w:color w:val="auto"/>
          <w:sz w:val="24"/>
          <w:szCs w:val="24"/>
          <w:highlight w:val="none"/>
        </w:rPr>
        <w:t xml:space="preserve">三类油品按照一个投标优惠率（每升优惠率）报价，同一投标供应商只接受一个报价。</w:t>
      </w:r>
      <w:r>
        <w:rPr>
          <w:rFonts w:hint="eastAsia"/>
          <w:color w:val="auto"/>
          <w:sz w:val="24"/>
          <w:szCs w:val="24"/>
          <w:highlight w:val="none"/>
          <w:lang w:val="en-US" w:eastAsia="zh-CN"/>
        </w:rPr>
        <w:t xml:space="preserve">（5）</w:t>
      </w:r>
      <w:r>
        <w:rPr>
          <w:rFonts w:hint="eastAsia"/>
          <w:color w:val="auto"/>
          <w:sz w:val="24"/>
          <w:szCs w:val="24"/>
          <w:highlight w:val="none"/>
        </w:rPr>
        <w:t xml:space="preserve">投标供应商应充分考虑到企业的成本及合同期内的未来油价市场价格波动等因素，并保证供货期内能够按时供应。</w:t>
      </w:r>
      <w:r/>
    </w:p>
    <w:p>
      <w:pPr>
        <w:pStyle w:val="1015"/>
        <w:ind w:left="0" w:firstLine="0"/>
        <w:pageBreakBefore w:val="0"/>
        <w:spacing w:line="560" w:lineRule="exact"/>
        <w:widowControl w:val="off"/>
        <w:rPr>
          <w:color w:val="auto"/>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6</w:t>
      </w:r>
      <w:r>
        <w:rPr>
          <w:rFonts w:hint="eastAsia"/>
          <w:color w:val="auto"/>
          <w:sz w:val="24"/>
          <w:szCs w:val="24"/>
          <w:highlight w:val="none"/>
          <w:lang w:eastAsia="zh-CN"/>
        </w:rPr>
        <w:t xml:space="preserve">）</w:t>
      </w:r>
      <w:r>
        <w:rPr>
          <w:rFonts w:hint="eastAsia"/>
          <w:color w:val="auto"/>
          <w:sz w:val="24"/>
          <w:szCs w:val="24"/>
          <w:highlight w:val="none"/>
        </w:rPr>
        <w:t xml:space="preserve">本项目投标报价包括所提供柴油抵达指定交货地点的货物价格、运输费、装卸费（卸至</w:t>
      </w:r>
      <w:r>
        <w:rPr>
          <w:rFonts w:hint="eastAsia"/>
          <w:color w:val="auto"/>
          <w:sz w:val="24"/>
          <w:szCs w:val="24"/>
          <w:highlight w:val="none"/>
          <w:lang w:eastAsia="zh-CN"/>
        </w:rPr>
        <w:t xml:space="preserve">采购人</w:t>
      </w:r>
      <w:r>
        <w:rPr>
          <w:rFonts w:hint="eastAsia"/>
          <w:color w:val="auto"/>
          <w:sz w:val="24"/>
          <w:szCs w:val="24"/>
          <w:highlight w:val="none"/>
        </w:rPr>
        <w:t xml:space="preserve">指定地点）、保险费、人工、利润、税费及售后服务等一切费用和风险，以及上述未提及但有关于本次采购直至验收合格交付期间所发生的所有费用。</w:t>
      </w:r>
      <w:r>
        <w:rPr>
          <w:rFonts w:hint="eastAsia"/>
          <w:color w:val="auto"/>
          <w:sz w:val="24"/>
          <w:szCs w:val="24"/>
          <w:highlight w:val="none"/>
          <w:lang w:eastAsia="zh-CN"/>
        </w:rPr>
        <w:t xml:space="preserve">采购人</w:t>
      </w:r>
      <w:r>
        <w:rPr>
          <w:rFonts w:hint="eastAsia"/>
          <w:color w:val="auto"/>
          <w:sz w:val="24"/>
          <w:szCs w:val="24"/>
          <w:highlight w:val="none"/>
        </w:rPr>
        <w:t xml:space="preserve">无需向</w:t>
      </w:r>
      <w:r>
        <w:rPr>
          <w:rFonts w:hint="eastAsia"/>
          <w:color w:val="auto"/>
          <w:sz w:val="24"/>
          <w:szCs w:val="24"/>
          <w:highlight w:val="none"/>
          <w:lang w:eastAsia="zh-CN"/>
        </w:rPr>
        <w:t xml:space="preserve">成交供应商</w:t>
      </w:r>
      <w:r>
        <w:rPr>
          <w:rFonts w:hint="eastAsia"/>
          <w:color w:val="auto"/>
          <w:sz w:val="24"/>
          <w:szCs w:val="24"/>
          <w:highlight w:val="none"/>
        </w:rPr>
        <w:t xml:space="preserve">另外支付任何费用。</w:t>
      </w:r>
      <w:r/>
    </w:p>
    <w:p>
      <w:pPr>
        <w:pStyle w:val="1015"/>
        <w:ind w:left="0" w:firstLine="0"/>
        <w:pageBreakBefore w:val="0"/>
        <w:spacing w:line="560" w:lineRule="exact"/>
        <w:widowControl w:val="off"/>
        <w:rPr>
          <w:color w:val="auto"/>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7</w:t>
      </w:r>
      <w:r>
        <w:rPr>
          <w:rFonts w:hint="eastAsia"/>
          <w:color w:val="auto"/>
          <w:sz w:val="24"/>
          <w:szCs w:val="24"/>
          <w:highlight w:val="none"/>
          <w:lang w:eastAsia="zh-CN"/>
        </w:rPr>
        <w:t xml:space="preserve">）</w:t>
      </w:r>
      <w:r>
        <w:rPr>
          <w:rFonts w:hint="eastAsia"/>
          <w:color w:val="auto"/>
          <w:sz w:val="24"/>
          <w:szCs w:val="24"/>
          <w:highlight w:val="none"/>
        </w:rPr>
        <w:t xml:space="preserve">投标供应商所报的优惠率在本项目合同执行期间不作改变；优惠率报价必须是唯一的，</w:t>
      </w:r>
      <w:r>
        <w:rPr>
          <w:rFonts w:hint="eastAsia"/>
          <w:color w:val="auto"/>
          <w:sz w:val="24"/>
          <w:szCs w:val="24"/>
          <w:highlight w:val="none"/>
          <w:lang w:eastAsia="zh-CN"/>
        </w:rPr>
        <w:t xml:space="preserve">采购人</w:t>
      </w:r>
      <w:r>
        <w:rPr>
          <w:rFonts w:hint="eastAsia"/>
          <w:color w:val="auto"/>
          <w:sz w:val="24"/>
          <w:szCs w:val="24"/>
          <w:highlight w:val="none"/>
        </w:rPr>
        <w:t xml:space="preserve">不接受有任何选择的报价，否则按无效投标处理。</w:t>
      </w:r>
      <w:r/>
    </w:p>
    <w:p>
      <w:pPr>
        <w:pageBreakBefore w:val="0"/>
        <w:spacing w:line="560" w:lineRule="exact"/>
        <w:widowControl w:val="off"/>
        <w:rPr>
          <w:rFonts w:hint="eastAsia" w:ascii="宋体" w:hAnsi="宋体" w:cs="微软雅黑"/>
          <w:b/>
          <w:color w:val="auto"/>
          <w:sz w:val="24"/>
          <w:szCs w:val="24"/>
          <w:highlight w:val="none"/>
        </w:rPr>
      </w:pPr>
      <w:r>
        <w:rPr>
          <w:rFonts w:hint="eastAsia" w:ascii="宋体" w:hAnsi="宋体" w:cs="微软雅黑"/>
          <w:b/>
          <w:color w:val="auto"/>
          <w:sz w:val="24"/>
          <w:szCs w:val="24"/>
          <w:highlight w:val="none"/>
          <w:lang w:val="en-US" w:eastAsia="zh-CN"/>
        </w:rPr>
        <w:t xml:space="preserve">九</w:t>
      </w:r>
      <w:r>
        <w:rPr>
          <w:rFonts w:hint="eastAsia" w:ascii="宋体" w:hAnsi="宋体" w:cs="微软雅黑"/>
          <w:b/>
          <w:color w:val="auto"/>
          <w:sz w:val="24"/>
          <w:szCs w:val="24"/>
          <w:highlight w:val="none"/>
        </w:rPr>
        <w:t xml:space="preserve">、付款条件</w:t>
      </w:r>
      <w:r/>
    </w:p>
    <w:p>
      <w:pPr>
        <w:pStyle w:val="996"/>
        <w:ind w:firstLine="0"/>
        <w:pageBreakBefore w:val="0"/>
        <w:spacing w:line="560" w:lineRule="exact"/>
        <w:widowControl w:val="off"/>
        <w:rPr>
          <w:rFonts w:hint="eastAsia" w:cs="微软雅黑"/>
          <w:bCs/>
          <w:color w:val="000000" w:themeColor="text1"/>
          <w:szCs w:val="24"/>
          <w:highlight w:val="none"/>
          <w14:textFill>
            <w14:solidFill>
              <w14:schemeClr w14:val="tx1"/>
            </w14:solidFill>
          </w14:textFill>
        </w:rPr>
      </w:pPr>
      <w:r>
        <w:rPr>
          <w:rFonts w:hint="eastAsia" w:cs="微软雅黑"/>
          <w:bCs/>
          <w:color w:val="000000" w:themeColor="text1"/>
          <w:szCs w:val="24"/>
          <w:highlight w:val="none"/>
          <w14:textFill>
            <w14:solidFill>
              <w14:schemeClr w14:val="tx1"/>
            </w14:solidFill>
          </w14:textFill>
        </w:rPr>
        <w:t xml:space="preserve">1、付款方式</w:t>
      </w:r>
      <w:r/>
    </w:p>
    <w:p>
      <w:pPr>
        <w:pageBreakBefore w:val="0"/>
        <w:spacing w:line="560" w:lineRule="exact"/>
        <w:widowControl w:val="off"/>
        <w:rPr>
          <w:rFonts w:hint="eastAsia"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（一）结算方式：（最新一期江苏省发展和改革委员会最新公布的关于成品油价格调整通知规定的油品（国Ⅵ）最高零售价）×投标优惠率（每升优惠率）×实际使用量进行结算。</w:t>
      </w:r>
      <w:r/>
    </w:p>
    <w:p>
      <w:pPr>
        <w:pageBreakBefore w:val="0"/>
        <w:spacing w:line="560" w:lineRule="exact"/>
        <w:widowControl w:val="off"/>
        <w:rPr>
          <w:rFonts w:hint="eastAsia"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（二）合同签订生效后，</w:t>
      </w:r>
      <w:r>
        <w:rPr>
          <w:rFonts w:hint="eastAsia" w:ascii="宋体" w:hAnsi="宋体" w:cs="微软雅黑"/>
          <w:bCs/>
          <w:color w:val="000000" w:themeColor="text1"/>
          <w:sz w:val="24"/>
          <w:szCs w:val="24"/>
          <w:highlight w:val="none"/>
          <w:lang w:eastAsia="zh-CN"/>
          <w14:textFill>
            <w14:solidFill>
              <w14:schemeClr w14:val="tx1"/>
            </w14:solidFill>
          </w14:textFill>
        </w:rPr>
        <w:t xml:space="preserve">成交供应商</w:t>
      </w:r>
      <w:r>
        <w:rPr>
          <w:rFonts w:hint="eastAsia" w:ascii="宋体" w:hAnsi="宋体" w:cs="微软雅黑"/>
          <w:bCs/>
          <w:color w:val="000000" w:themeColor="text1"/>
          <w:sz w:val="24"/>
          <w:szCs w:val="24"/>
          <w:highlight w:val="none"/>
          <w14:textFill>
            <w14:solidFill>
              <w14:schemeClr w14:val="tx1"/>
            </w14:solidFill>
          </w14:textFill>
        </w:rPr>
        <w:t xml:space="preserve">每次完成柴油配送后的15个工作日内，</w:t>
      </w:r>
      <w:r>
        <w:rPr>
          <w:rFonts w:hint="eastAsia" w:ascii="宋体" w:hAnsi="宋体" w:cs="微软雅黑"/>
          <w:bCs/>
          <w:color w:val="000000" w:themeColor="text1"/>
          <w:sz w:val="24"/>
          <w:szCs w:val="24"/>
          <w:highlight w:val="none"/>
          <w:lang w:eastAsia="zh-CN"/>
          <w14:textFill>
            <w14:solidFill>
              <w14:schemeClr w14:val="tx1"/>
            </w14:solidFill>
          </w14:textFill>
        </w:rPr>
        <w:t xml:space="preserve">采购人</w:t>
      </w:r>
      <w:r>
        <w:rPr>
          <w:rFonts w:hint="eastAsia" w:ascii="宋体" w:hAnsi="宋体" w:cs="微软雅黑"/>
          <w:bCs/>
          <w:color w:val="000000" w:themeColor="text1"/>
          <w:sz w:val="24"/>
          <w:szCs w:val="24"/>
          <w:highlight w:val="none"/>
          <w14:textFill>
            <w14:solidFill>
              <w14:schemeClr w14:val="tx1"/>
            </w14:solidFill>
          </w14:textFill>
        </w:rPr>
        <w:t xml:space="preserve">按实际送货数量计量，与</w:t>
      </w:r>
      <w:r>
        <w:rPr>
          <w:rFonts w:hint="eastAsia" w:ascii="宋体" w:hAnsi="宋体" w:cs="微软雅黑"/>
          <w:bCs/>
          <w:color w:val="000000" w:themeColor="text1"/>
          <w:sz w:val="24"/>
          <w:szCs w:val="24"/>
          <w:highlight w:val="none"/>
          <w:lang w:eastAsia="zh-CN"/>
          <w14:textFill>
            <w14:solidFill>
              <w14:schemeClr w14:val="tx1"/>
            </w14:solidFill>
          </w14:textFill>
        </w:rPr>
        <w:t xml:space="preserve">成交供应商</w:t>
      </w:r>
      <w:r>
        <w:rPr>
          <w:rFonts w:hint="eastAsia" w:ascii="宋体" w:hAnsi="宋体" w:cs="微软雅黑"/>
          <w:bCs/>
          <w:color w:val="000000" w:themeColor="text1"/>
          <w:sz w:val="24"/>
          <w:szCs w:val="24"/>
          <w:highlight w:val="none"/>
          <w14:textFill>
            <w14:solidFill>
              <w14:schemeClr w14:val="tx1"/>
            </w14:solidFill>
          </w14:textFill>
        </w:rPr>
        <w:t xml:space="preserve">据实结算，</w:t>
      </w:r>
      <w:r>
        <w:rPr>
          <w:rFonts w:hint="eastAsia" w:ascii="宋体" w:hAnsi="宋体" w:cs="微软雅黑"/>
          <w:bCs/>
          <w:color w:val="000000" w:themeColor="text1"/>
          <w:sz w:val="24"/>
          <w:szCs w:val="24"/>
          <w:highlight w:val="none"/>
          <w:lang w:eastAsia="zh-CN"/>
          <w14:textFill>
            <w14:solidFill>
              <w14:schemeClr w14:val="tx1"/>
            </w14:solidFill>
          </w14:textFill>
        </w:rPr>
        <w:t xml:space="preserve">采购人</w:t>
      </w:r>
      <w:r>
        <w:rPr>
          <w:rFonts w:hint="eastAsia" w:ascii="宋体" w:hAnsi="宋体" w:cs="微软雅黑"/>
          <w:bCs/>
          <w:color w:val="000000" w:themeColor="text1"/>
          <w:sz w:val="24"/>
          <w:szCs w:val="24"/>
          <w:highlight w:val="none"/>
          <w14:textFill>
            <w14:solidFill>
              <w14:schemeClr w14:val="tx1"/>
            </w14:solidFill>
          </w14:textFill>
        </w:rPr>
        <w:t xml:space="preserve">按次结算。</w:t>
      </w:r>
      <w:r/>
    </w:p>
    <w:p>
      <w:pPr>
        <w:pageBreakBefore w:val="0"/>
        <w:spacing w:line="560" w:lineRule="exact"/>
        <w:widowControl w:val="off"/>
        <w:rPr>
          <w:rFonts w:hint="eastAsia"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（三）全部油款项均以人民币方式支付。</w:t>
      </w:r>
      <w:r/>
    </w:p>
    <w:p>
      <w:pPr>
        <w:pageBreakBefore w:val="0"/>
        <w:spacing w:line="560" w:lineRule="exact"/>
        <w:widowControl w:val="off"/>
        <w:rPr>
          <w:rFonts w:hint="eastAsia" w:ascii="宋体" w:hAnsi="宋体" w:cs="微软雅黑"/>
          <w:bCs/>
          <w:color w:val="000000" w:themeColor="text1"/>
          <w:sz w:val="24"/>
          <w:szCs w:val="24"/>
          <w:highlight w:val="none"/>
          <w:lang w:eastAsia="zh-CN"/>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（四）供应商在每次</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申请</w:t>
      </w:r>
      <w:r>
        <w:rPr>
          <w:rFonts w:hint="eastAsia" w:ascii="宋体" w:hAnsi="宋体" w:cs="微软雅黑"/>
          <w:bCs/>
          <w:color w:val="000000" w:themeColor="text1"/>
          <w:sz w:val="24"/>
          <w:szCs w:val="24"/>
          <w:highlight w:val="none"/>
          <w14:textFill>
            <w14:solidFill>
              <w14:schemeClr w14:val="tx1"/>
            </w14:solidFill>
          </w14:textFill>
        </w:rPr>
        <w:t xml:space="preserve">结算</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价款</w:t>
      </w:r>
      <w:r>
        <w:rPr>
          <w:rFonts w:hint="eastAsia" w:ascii="宋体" w:hAnsi="宋体" w:cs="微软雅黑"/>
          <w:bCs/>
          <w:color w:val="000000" w:themeColor="text1"/>
          <w:sz w:val="24"/>
          <w:szCs w:val="24"/>
          <w:highlight w:val="none"/>
          <w14:textFill>
            <w14:solidFill>
              <w14:schemeClr w14:val="tx1"/>
            </w14:solidFill>
          </w14:textFill>
        </w:rPr>
        <w:t xml:space="preserve">前须向</w:t>
      </w:r>
      <w:r>
        <w:rPr>
          <w:rFonts w:hint="eastAsia" w:ascii="宋体" w:hAnsi="宋体" w:cs="微软雅黑"/>
          <w:bCs/>
          <w:color w:val="000000" w:themeColor="text1"/>
          <w:sz w:val="24"/>
          <w:szCs w:val="24"/>
          <w:highlight w:val="none"/>
          <w:lang w:eastAsia="zh-CN"/>
          <w14:textFill>
            <w14:solidFill>
              <w14:schemeClr w14:val="tx1"/>
            </w14:solidFill>
          </w14:textFill>
        </w:rPr>
        <w:t xml:space="preserve">采购人</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出具合法合规的等额发票</w:t>
      </w:r>
      <w:r>
        <w:rPr>
          <w:rFonts w:hint="eastAsia" w:ascii="宋体" w:hAnsi="宋体" w:cs="微软雅黑"/>
          <w:bCs/>
          <w:color w:val="000000" w:themeColor="text1"/>
          <w:sz w:val="24"/>
          <w:szCs w:val="24"/>
          <w:highlight w:val="none"/>
          <w14:textFill>
            <w14:solidFill>
              <w14:schemeClr w14:val="tx1"/>
            </w14:solidFill>
          </w14:textFill>
        </w:rPr>
        <w:t xml:space="preserve">、供油凭证</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等</w:t>
      </w:r>
      <w:r>
        <w:rPr>
          <w:rFonts w:hint="eastAsia" w:ascii="宋体" w:hAnsi="宋体" w:cs="微软雅黑"/>
          <w:bCs/>
          <w:color w:val="000000" w:themeColor="text1"/>
          <w:sz w:val="24"/>
          <w:szCs w:val="24"/>
          <w:highlight w:val="none"/>
          <w14:textFill>
            <w14:solidFill>
              <w14:schemeClr w14:val="tx1"/>
            </w14:solidFill>
          </w14:textFill>
        </w:rPr>
        <w:t xml:space="preserve">以及最新一期江苏省发展和改革委员会或者相关网站截图关于成品油价格调整通知，否则否则</w:t>
      </w:r>
      <w:r>
        <w:rPr>
          <w:rFonts w:hint="eastAsia" w:ascii="宋体" w:hAnsi="宋体" w:cs="微软雅黑"/>
          <w:bCs/>
          <w:color w:val="000000" w:themeColor="text1"/>
          <w:sz w:val="24"/>
          <w:szCs w:val="24"/>
          <w:highlight w:val="none"/>
          <w:lang w:eastAsia="zh-CN"/>
          <w14:textFill>
            <w14:solidFill>
              <w14:schemeClr w14:val="tx1"/>
            </w14:solidFill>
          </w14:textFill>
        </w:rPr>
        <w:t xml:space="preserve">采购人</w:t>
      </w:r>
      <w:r>
        <w:rPr>
          <w:rFonts w:hint="eastAsia" w:ascii="宋体" w:hAnsi="宋体" w:cs="微软雅黑"/>
          <w:bCs/>
          <w:color w:val="000000" w:themeColor="text1"/>
          <w:sz w:val="24"/>
          <w:szCs w:val="24"/>
          <w:highlight w:val="none"/>
          <w14:textFill>
            <w14:solidFill>
              <w14:schemeClr w14:val="tx1"/>
            </w14:solidFill>
          </w14:textFill>
        </w:rPr>
        <w:t xml:space="preserve">有权拒绝付款</w:t>
      </w:r>
      <w:r>
        <w:rPr>
          <w:rFonts w:hint="eastAsia" w:ascii="宋体" w:hAnsi="宋体" w:cs="微软雅黑"/>
          <w:bCs/>
          <w:color w:val="000000" w:themeColor="text1"/>
          <w:sz w:val="24"/>
          <w:szCs w:val="24"/>
          <w:highlight w:val="none"/>
          <w:lang w:eastAsia="zh-CN"/>
          <w14:textFill>
            <w14:solidFill>
              <w14:schemeClr w14:val="tx1"/>
            </w14:solidFill>
          </w14:textFill>
        </w:rPr>
        <w:t xml:space="preserve">。</w:t>
      </w:r>
      <w:r/>
    </w:p>
    <w:p>
      <w:pPr>
        <w:pageBreakBefore w:val="0"/>
        <w:spacing w:line="560" w:lineRule="exact"/>
        <w:widowControl w:val="off"/>
        <w:rPr>
          <w:rFonts w:hint="eastAsia"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（五）</w:t>
      </w:r>
      <w:r>
        <w:rPr>
          <w:rFonts w:hint="eastAsia" w:ascii="宋体" w:hAnsi="宋体" w:cs="微软雅黑"/>
          <w:bCs/>
          <w:color w:val="000000" w:themeColor="text1"/>
          <w:sz w:val="24"/>
          <w:szCs w:val="24"/>
          <w:highlight w:val="none"/>
          <w:lang w:eastAsia="zh-CN"/>
          <w14:textFill>
            <w14:solidFill>
              <w14:schemeClr w14:val="tx1"/>
            </w14:solidFill>
          </w14:textFill>
        </w:rPr>
        <w:t xml:space="preserve">采购人</w:t>
      </w:r>
      <w:r>
        <w:rPr>
          <w:rFonts w:hint="eastAsia" w:ascii="宋体" w:hAnsi="宋体" w:cs="微软雅黑"/>
          <w:bCs/>
          <w:color w:val="000000" w:themeColor="text1"/>
          <w:sz w:val="24"/>
          <w:szCs w:val="24"/>
          <w:highlight w:val="none"/>
          <w14:textFill>
            <w14:solidFill>
              <w14:schemeClr w14:val="tx1"/>
            </w14:solidFill>
          </w14:textFill>
        </w:rPr>
        <w:t xml:space="preserve">将收到供应商请款后七个工作日内向财政系统提出办理支付申请手续，因财政审批导致的迟延支付，</w:t>
      </w:r>
      <w:r>
        <w:rPr>
          <w:rFonts w:hint="eastAsia" w:ascii="宋体" w:hAnsi="宋体" w:cs="微软雅黑"/>
          <w:bCs/>
          <w:color w:val="000000" w:themeColor="text1"/>
          <w:sz w:val="24"/>
          <w:szCs w:val="24"/>
          <w:highlight w:val="none"/>
          <w:lang w:eastAsia="zh-CN"/>
          <w14:textFill>
            <w14:solidFill>
              <w14:schemeClr w14:val="tx1"/>
            </w14:solidFill>
          </w14:textFill>
        </w:rPr>
        <w:t xml:space="preserve">采购人</w:t>
      </w:r>
      <w:r>
        <w:rPr>
          <w:rFonts w:hint="eastAsia" w:ascii="宋体" w:hAnsi="宋体" w:cs="微软雅黑"/>
          <w:bCs/>
          <w:color w:val="000000" w:themeColor="text1"/>
          <w:sz w:val="24"/>
          <w:szCs w:val="24"/>
          <w:highlight w:val="none"/>
          <w14:textFill>
            <w14:solidFill>
              <w14:schemeClr w14:val="tx1"/>
            </w14:solidFill>
          </w14:textFill>
        </w:rPr>
        <w:t xml:space="preserve">不承担迟延支付的违约责任。在此情况下，供应商仍然应严格履行合同约定的义务，及时保质保量做好柴油供应，否则按供应商违约处理。</w:t>
      </w:r>
      <w:r/>
    </w:p>
    <w:p>
      <w:pPr>
        <w:pageBreakBefore w:val="0"/>
        <w:spacing w:line="56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十</w:t>
      </w:r>
      <w:r>
        <w:rPr>
          <w:rFonts w:hint="eastAsia" w:ascii="宋体" w:hAnsi="宋体"/>
          <w:b/>
          <w:bCs/>
          <w:color w:val="auto"/>
          <w:sz w:val="24"/>
          <w:szCs w:val="24"/>
          <w:highlight w:val="none"/>
        </w:rPr>
        <w:t xml:space="preserve">、服务保障与承诺</w:t>
      </w:r>
      <w:r/>
    </w:p>
    <w:p>
      <w:pPr>
        <w:pageBreakBefore w:val="0"/>
        <w:spacing w:line="56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供应商在服务过程中做好监督和反馈的职责，对</w:t>
      </w:r>
      <w:r>
        <w:rPr>
          <w:rFonts w:hint="eastAsia" w:ascii="宋体" w:hAnsi="宋体"/>
          <w:color w:val="auto"/>
          <w:sz w:val="24"/>
          <w:szCs w:val="24"/>
          <w:highlight w:val="none"/>
        </w:rPr>
        <w:t xml:space="preserve">服务过程</w:t>
      </w:r>
      <w:r>
        <w:rPr>
          <w:rFonts w:ascii="宋体" w:hAnsi="宋体"/>
          <w:color w:val="auto"/>
          <w:sz w:val="24"/>
          <w:szCs w:val="24"/>
          <w:highlight w:val="none"/>
        </w:rPr>
        <w:t xml:space="preserve">中发现的问题及时上报</w:t>
      </w:r>
      <w:r>
        <w:rPr>
          <w:rFonts w:hint="eastAsia" w:ascii="宋体" w:hAnsi="宋体"/>
          <w:color w:val="auto"/>
          <w:sz w:val="24"/>
          <w:szCs w:val="24"/>
          <w:highlight w:val="none"/>
          <w:lang w:eastAsia="zh-CN"/>
        </w:rPr>
        <w:t xml:space="preserve">采购人</w:t>
      </w:r>
      <w:r>
        <w:rPr>
          <w:rFonts w:ascii="宋体" w:hAnsi="宋体"/>
          <w:color w:val="auto"/>
          <w:sz w:val="24"/>
          <w:szCs w:val="24"/>
          <w:highlight w:val="none"/>
        </w:rPr>
        <w:t xml:space="preserve">，同时在权限范围内作出处置</w:t>
      </w:r>
      <w:r>
        <w:rPr>
          <w:rFonts w:hint="eastAsia" w:ascii="宋体" w:hAnsi="宋体"/>
          <w:color w:val="auto"/>
          <w:sz w:val="24"/>
          <w:szCs w:val="24"/>
          <w:highlight w:val="none"/>
          <w:lang w:eastAsia="zh-CN"/>
        </w:rPr>
        <w:t xml:space="preserve">。</w:t>
      </w:r>
      <w:r/>
    </w:p>
    <w:p>
      <w:pPr>
        <w:pageBreakBefore w:val="0"/>
        <w:spacing w:line="56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对服务过程进行跟踪，并对</w:t>
      </w:r>
      <w:r>
        <w:rPr>
          <w:rFonts w:hint="eastAsia" w:ascii="宋体" w:hAnsi="宋体"/>
          <w:color w:val="auto"/>
          <w:sz w:val="24"/>
          <w:szCs w:val="24"/>
          <w:highlight w:val="none"/>
        </w:rPr>
        <w:t xml:space="preserve">其项目</w:t>
      </w:r>
      <w:r>
        <w:rPr>
          <w:rFonts w:ascii="宋体" w:hAnsi="宋体"/>
          <w:color w:val="auto"/>
          <w:sz w:val="24"/>
          <w:szCs w:val="24"/>
          <w:highlight w:val="none"/>
        </w:rPr>
        <w:t xml:space="preserve">全程指导</w:t>
      </w:r>
      <w:r>
        <w:rPr>
          <w:rFonts w:hint="eastAsia" w:ascii="宋体" w:hAnsi="宋体"/>
          <w:color w:val="auto"/>
          <w:sz w:val="24"/>
          <w:szCs w:val="24"/>
          <w:highlight w:val="none"/>
          <w:lang w:eastAsia="zh-CN"/>
        </w:rPr>
        <w:t xml:space="preserve">。</w:t>
      </w:r>
      <w:r/>
    </w:p>
    <w:p>
      <w:pPr>
        <w:pageBreakBefore w:val="0"/>
        <w:spacing w:line="56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不得与受服务对象及其相关人有直接利益往来行为</w:t>
      </w:r>
      <w:r>
        <w:rPr>
          <w:rFonts w:hint="eastAsia" w:ascii="宋体" w:hAnsi="宋体"/>
          <w:color w:val="auto"/>
          <w:sz w:val="24"/>
          <w:szCs w:val="24"/>
          <w:highlight w:val="none"/>
          <w:lang w:eastAsia="zh-CN"/>
        </w:rPr>
        <w:t xml:space="preserve">。</w:t>
      </w:r>
      <w:r/>
    </w:p>
    <w:p>
      <w:pPr>
        <w:pageBreakBefore w:val="0"/>
        <w:spacing w:line="5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服务期间应与</w:t>
      </w:r>
      <w:r>
        <w:rPr>
          <w:rFonts w:hint="eastAsia" w:ascii="宋体" w:hAnsi="宋体"/>
          <w:color w:val="auto"/>
          <w:sz w:val="24"/>
          <w:szCs w:val="24"/>
          <w:highlight w:val="none"/>
          <w:lang w:eastAsia="zh-CN"/>
        </w:rPr>
        <w:t xml:space="preserve">采购人</w:t>
      </w:r>
      <w:r>
        <w:rPr>
          <w:rFonts w:ascii="宋体" w:hAnsi="宋体"/>
          <w:color w:val="auto"/>
          <w:sz w:val="24"/>
          <w:szCs w:val="24"/>
          <w:highlight w:val="none"/>
        </w:rPr>
        <w:t xml:space="preserve">建立紧密的沟通机制。</w:t>
      </w:r>
      <w:r/>
    </w:p>
    <w:p>
      <w:pPr>
        <w:pageBreakBefore w:val="0"/>
        <w:spacing w:line="560" w:lineRule="exact"/>
        <w:widowControl w:val="off"/>
        <w:rPr>
          <w:rFonts w:hint="eastAsia" w:ascii="宋体" w:hAnsi="宋体" w:cs="微软雅黑"/>
          <w:b/>
          <w:color w:val="auto"/>
          <w:sz w:val="24"/>
          <w:szCs w:val="24"/>
          <w:highlight w:val="none"/>
        </w:rPr>
      </w:pPr>
      <w:r>
        <w:rPr>
          <w:rFonts w:hint="eastAsia" w:ascii="宋体" w:hAnsi="宋体" w:cs="微软雅黑"/>
          <w:b/>
          <w:color w:val="auto"/>
          <w:sz w:val="24"/>
          <w:szCs w:val="24"/>
          <w:highlight w:val="none"/>
        </w:rPr>
        <w:t xml:space="preserve">十、其他</w:t>
      </w:r>
      <w:r/>
    </w:p>
    <w:p>
      <w:pPr>
        <w:pageBreakBefore w:val="0"/>
        <w:spacing w:line="560" w:lineRule="exact"/>
        <w:widowControl w:val="off"/>
        <w:rPr>
          <w:rFonts w:hint="eastAsia" w:ascii="宋体" w:hAnsi="宋体" w:eastAsia="宋体" w:cs="微软雅黑"/>
          <w:bCs/>
          <w:color w:val="auto"/>
          <w:sz w:val="24"/>
          <w:szCs w:val="24"/>
          <w:highlight w:val="none"/>
          <w:lang w:eastAsia="zh-CN"/>
        </w:rPr>
      </w:pPr>
      <w:r>
        <w:rPr>
          <w:rFonts w:hint="eastAsia" w:ascii="宋体" w:hAnsi="宋体" w:cs="微软雅黑"/>
          <w:bCs/>
          <w:color w:val="auto"/>
          <w:sz w:val="24"/>
          <w:szCs w:val="24"/>
          <w:highlight w:val="none"/>
        </w:rPr>
        <w:t xml:space="preserve">1、本章</w:t>
      </w:r>
      <w:r>
        <w:rPr>
          <w:rFonts w:hint="eastAsia" w:ascii="宋体" w:hAnsi="宋体" w:cs="微软雅黑"/>
          <w:bCs/>
          <w:color w:val="auto"/>
          <w:sz w:val="24"/>
          <w:szCs w:val="24"/>
          <w:highlight w:val="none"/>
          <w:lang w:val="en-US" w:eastAsia="zh-CN"/>
        </w:rPr>
        <w:t xml:space="preserve">技术条款需要为评审标准中</w:t>
      </w:r>
      <w:r>
        <w:rPr>
          <w:rFonts w:hint="eastAsia" w:ascii="宋体" w:hAnsi="宋体" w:cs="微软雅黑"/>
          <w:bCs/>
          <w:color w:val="auto"/>
          <w:sz w:val="24"/>
          <w:szCs w:val="24"/>
          <w:highlight w:val="none"/>
        </w:rPr>
        <w:t xml:space="preserve">要求</w:t>
      </w:r>
      <w:r>
        <w:rPr>
          <w:rFonts w:hint="eastAsia" w:ascii="宋体" w:hAnsi="宋体" w:cs="微软雅黑"/>
          <w:bCs/>
          <w:color w:val="auto"/>
          <w:sz w:val="24"/>
          <w:szCs w:val="24"/>
          <w:highlight w:val="none"/>
          <w:lang w:val="en-US" w:eastAsia="zh-CN"/>
        </w:rPr>
        <w:t xml:space="preserve">的</w:t>
      </w:r>
      <w:r>
        <w:rPr>
          <w:rFonts w:hint="eastAsia" w:ascii="宋体" w:hAnsi="宋体" w:cs="微软雅黑"/>
          <w:bCs/>
          <w:color w:val="auto"/>
          <w:sz w:val="24"/>
          <w:szCs w:val="24"/>
          <w:highlight w:val="none"/>
        </w:rPr>
        <w:t xml:space="preserve">提供相关证明材料</w:t>
      </w:r>
      <w:r>
        <w:rPr>
          <w:rFonts w:hint="eastAsia" w:ascii="宋体" w:hAnsi="宋体" w:cs="微软雅黑"/>
          <w:bCs/>
          <w:color w:val="auto"/>
          <w:sz w:val="24"/>
          <w:szCs w:val="24"/>
          <w:highlight w:val="none"/>
          <w:lang w:eastAsia="zh-CN"/>
        </w:rPr>
        <w:t xml:space="preserve">。</w:t>
      </w:r>
      <w:r/>
    </w:p>
    <w:p>
      <w:pPr>
        <w:pageBreakBefore w:val="0"/>
        <w:spacing w:line="560" w:lineRule="exact"/>
        <w:widowControl w:val="off"/>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lang w:val="en-US" w:eastAsia="zh-CN"/>
        </w:rPr>
        <w:t xml:space="preserve">2</w:t>
      </w:r>
      <w:r>
        <w:rPr>
          <w:rFonts w:hint="eastAsia" w:ascii="宋体" w:hAnsi="宋体" w:cs="微软雅黑"/>
          <w:bCs/>
          <w:color w:val="auto"/>
          <w:sz w:val="24"/>
          <w:szCs w:val="24"/>
          <w:highlight w:val="none"/>
        </w:rPr>
        <w:t xml:space="preserve">、如有疑问请及时与</w:t>
      </w:r>
      <w:r>
        <w:rPr>
          <w:rFonts w:hint="eastAsia" w:ascii="宋体" w:hAnsi="宋体" w:cs="微软雅黑"/>
          <w:bCs/>
          <w:color w:val="auto"/>
          <w:sz w:val="24"/>
          <w:szCs w:val="24"/>
          <w:highlight w:val="none"/>
          <w:lang w:eastAsia="zh-CN"/>
        </w:rPr>
        <w:t xml:space="preserve">采购人</w:t>
      </w:r>
      <w:r>
        <w:rPr>
          <w:rFonts w:hint="eastAsia" w:ascii="宋体" w:hAnsi="宋体" w:cs="微软雅黑"/>
          <w:bCs/>
          <w:color w:val="auto"/>
          <w:sz w:val="24"/>
          <w:szCs w:val="24"/>
          <w:highlight w:val="none"/>
        </w:rPr>
        <w:t xml:space="preserve">或代理机构联系。</w:t>
      </w:r>
      <w:r/>
    </w:p>
    <w:p>
      <w:pPr>
        <w:jc w:val="left"/>
        <w:widowControl/>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br w:type="page" w:clear="all"/>
      </w:r>
      <w:r/>
    </w:p>
    <w:p>
      <w:pPr>
        <w:pStyle w:val="755"/>
        <w:jc w:val="center"/>
        <w:spacing w:line="560" w:lineRule="exact"/>
        <w:rPr>
          <w:rFonts w:hint="eastAsia" w:ascii="宋体" w:hAnsi="宋体"/>
          <w:color w:val="auto"/>
          <w:sz w:val="24"/>
          <w:szCs w:val="24"/>
          <w:highlight w:val="none"/>
        </w:rPr>
      </w:pPr>
      <w:r/>
      <w:bookmarkStart w:id="22" w:name="_Toc30613"/>
      <w:r>
        <w:rPr>
          <w:rFonts w:hint="eastAsia" w:ascii="宋体" w:hAnsi="宋体"/>
          <w:color w:val="auto"/>
          <w:sz w:val="24"/>
          <w:szCs w:val="24"/>
          <w:highlight w:val="none"/>
        </w:rPr>
        <w:t xml:space="preserve">第五章  合同主要条款及格式</w:t>
      </w:r>
      <w:bookmarkEnd w:id="11"/>
      <w:r/>
      <w:bookmarkEnd w:id="22"/>
      <w:r/>
      <w:r/>
    </w:p>
    <w:p>
      <w:pPr>
        <w:jc w:val="center"/>
        <w:spacing w:line="560" w:lineRule="exact"/>
        <w:rPr>
          <w:rFonts w:hint="eastAsia" w:ascii="宋体" w:hAnsi="宋体"/>
          <w:color w:val="auto"/>
          <w:szCs w:val="21"/>
          <w:highlight w:val="none"/>
        </w:rPr>
      </w:pPr>
      <w:r>
        <w:rPr>
          <w:rFonts w:ascii="宋体" w:hAnsi="宋体"/>
          <w:color w:val="auto"/>
          <w:szCs w:val="21"/>
          <w:highlight w:val="none"/>
        </w:rPr>
        <w:t xml:space="preserve">（此合同模板为草案，具体</w:t>
      </w:r>
      <w:r>
        <w:rPr>
          <w:rFonts w:hint="eastAsia" w:ascii="宋体" w:hAnsi="宋体"/>
          <w:color w:val="auto"/>
          <w:szCs w:val="21"/>
          <w:highlight w:val="none"/>
        </w:rPr>
        <w:t xml:space="preserve">中标</w:t>
      </w:r>
      <w:r>
        <w:rPr>
          <w:rFonts w:ascii="宋体" w:hAnsi="宋体"/>
          <w:color w:val="auto"/>
          <w:szCs w:val="21"/>
          <w:highlight w:val="none"/>
        </w:rPr>
        <w:t xml:space="preserve">后以双方协商为准，如实际勘察后，经双方协商一致需另行约定的，在其它约定内明示）</w:t>
      </w:r>
      <w:r/>
    </w:p>
    <w:p>
      <w:pPr>
        <w:spacing w:line="560" w:lineRule="exact"/>
        <w:rPr>
          <w:rFonts w:hint="eastAsia" w:ascii="宋体" w:hAnsi="宋体"/>
          <w:color w:val="auto"/>
          <w:sz w:val="32"/>
          <w:szCs w:val="32"/>
          <w:highlight w:val="none"/>
        </w:rPr>
      </w:pPr>
      <w:r>
        <w:rPr>
          <w:rFonts w:hint="eastAsia" w:ascii="宋体" w:hAnsi="宋体"/>
          <w:color w:val="auto"/>
          <w:sz w:val="32"/>
          <w:szCs w:val="32"/>
          <w:highlight w:val="none"/>
        </w:rPr>
      </w:r>
      <w:r/>
    </w:p>
    <w:p>
      <w:pPr>
        <w:spacing w:line="560" w:lineRule="exact"/>
        <w:rPr>
          <w:rFonts w:hint="eastAsia" w:ascii="宋体" w:hAnsi="宋体"/>
          <w:color w:val="auto"/>
          <w:sz w:val="32"/>
          <w:szCs w:val="32"/>
          <w:highlight w:val="none"/>
        </w:rPr>
      </w:pPr>
      <w:r>
        <w:rPr>
          <w:rFonts w:hint="eastAsia" w:ascii="宋体" w:hAnsi="宋体"/>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项目合同</w:t>
      </w:r>
      <w:r/>
    </w:p>
    <w:p>
      <w:pP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1918"/>
        <w:spacing w:line="56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合同编号 ：</w:t>
      </w:r>
      <w:r>
        <w:rPr>
          <w:rFonts w:hint="eastAsia" w:ascii="宋体" w:hAnsi="宋体"/>
          <w:b/>
          <w:color w:val="auto"/>
          <w:sz w:val="28"/>
          <w:szCs w:val="28"/>
          <w:highlight w:val="none"/>
          <w:u w:val="single"/>
        </w:rPr>
        <w:t xml:space="preserve">                    </w:t>
      </w:r>
      <w:r/>
    </w:p>
    <w:p>
      <w:pPr>
        <w:spacing w:line="56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ind w:firstLine="1918"/>
        <w:spacing w:line="560" w:lineRule="exact"/>
        <w:rPr>
          <w:rFonts w:hint="eastAsia" w:ascii="宋体" w:hAnsi="宋体" w:eastAsia="宋体"/>
          <w:b/>
          <w:color w:val="auto"/>
          <w:sz w:val="28"/>
          <w:szCs w:val="28"/>
          <w:highlight w:val="none"/>
          <w:u w:val="single"/>
          <w:lang w:eastAsia="zh-CN"/>
        </w:rPr>
      </w:pPr>
      <w:r>
        <w:rPr>
          <w:rFonts w:hint="eastAsia" w:ascii="宋体" w:hAnsi="宋体"/>
          <w:b/>
          <w:color w:val="auto"/>
          <w:sz w:val="28"/>
          <w:szCs w:val="28"/>
          <w:highlight w:val="none"/>
        </w:rPr>
        <w:t xml:space="preserve">项目名称 ：</w:t>
      </w:r>
      <w:r>
        <w:rPr>
          <w:rFonts w:hint="eastAsia" w:ascii="宋体" w:hAnsi="宋体"/>
          <w:b/>
          <w:color w:val="auto"/>
          <w:sz w:val="28"/>
          <w:szCs w:val="28"/>
          <w:highlight w:val="none"/>
          <w:u w:val="single"/>
          <w:lang w:eastAsia="zh-CN"/>
        </w:rPr>
        <w:t xml:space="preserve">南京市社会儿童福利院高淳分院柴油采购</w:t>
      </w:r>
      <w:r/>
    </w:p>
    <w:p>
      <w:pPr>
        <w:spacing w:line="56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ind w:firstLine="1918"/>
        <w:spacing w:line="560" w:lineRule="exact"/>
        <w:rPr>
          <w:rFonts w:hint="eastAsia" w:ascii="宋体" w:hAnsi="宋体" w:eastAsia="宋体"/>
          <w:b/>
          <w:color w:val="auto"/>
          <w:sz w:val="28"/>
          <w:szCs w:val="28"/>
          <w:highlight w:val="none"/>
          <w:u w:val="single"/>
          <w:lang w:eastAsia="zh-CN"/>
        </w:rPr>
      </w:pPr>
      <w:r>
        <w:rPr>
          <w:rFonts w:hint="eastAsia" w:ascii="宋体" w:hAnsi="宋体"/>
          <w:b/>
          <w:color w:val="auto"/>
          <w:sz w:val="28"/>
          <w:szCs w:val="28"/>
          <w:highlight w:val="none"/>
        </w:rPr>
        <w:t xml:space="preserve">采 购 人 ：</w:t>
      </w:r>
      <w:r>
        <w:rPr>
          <w:rFonts w:hint="eastAsia" w:ascii="宋体" w:hAnsi="宋体"/>
          <w:b/>
          <w:color w:val="auto"/>
          <w:sz w:val="28"/>
          <w:szCs w:val="28"/>
          <w:highlight w:val="none"/>
          <w:u w:val="single"/>
          <w:lang w:eastAsia="zh-CN"/>
        </w:rPr>
        <w:t xml:space="preserve">南京市社会儿童福利院</w:t>
      </w:r>
      <w:r/>
    </w:p>
    <w:p>
      <w:pPr>
        <w:spacing w:line="56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ind w:firstLine="1916"/>
        <w:spacing w:line="560" w:lineRule="exact"/>
        <w:rPr>
          <w:rFonts w:hint="eastAsia" w:ascii="宋体" w:hAnsi="宋体"/>
          <w:b/>
          <w:color w:val="auto"/>
          <w:sz w:val="28"/>
          <w:szCs w:val="28"/>
          <w:highlight w:val="none"/>
        </w:rPr>
      </w:pPr>
      <w:r>
        <w:rPr>
          <w:rFonts w:hint="eastAsia" w:ascii="宋体" w:hAnsi="宋体"/>
          <w:b/>
          <w:color w:val="auto"/>
          <w:sz w:val="28"/>
          <w:szCs w:val="28"/>
          <w:highlight w:val="none"/>
          <w:lang w:eastAsia="zh-CN"/>
        </w:rPr>
        <w:t xml:space="preserve">成交供应商</w:t>
      </w:r>
      <w:r>
        <w:rPr>
          <w:rFonts w:hint="eastAsia" w:ascii="宋体" w:hAnsi="宋体"/>
          <w:b/>
          <w:color w:val="auto"/>
          <w:sz w:val="28"/>
          <w:szCs w:val="28"/>
          <w:highlight w:val="none"/>
        </w:rPr>
        <w:t xml:space="preserve"> ：</w:t>
      </w:r>
      <w:r>
        <w:rPr>
          <w:rFonts w:hint="eastAsia" w:ascii="宋体" w:hAnsi="宋体"/>
          <w:b/>
          <w:color w:val="auto"/>
          <w:sz w:val="28"/>
          <w:szCs w:val="28"/>
          <w:highlight w:val="none"/>
          <w:u w:val="single"/>
        </w:rPr>
        <w:t xml:space="preserve">                  </w:t>
      </w:r>
      <w:r/>
    </w:p>
    <w:p>
      <w:pPr>
        <w:spacing w:line="56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ind w:firstLine="1916"/>
        <w:spacing w:line="56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签订日期 ：</w:t>
      </w:r>
      <w:r>
        <w:rPr>
          <w:rFonts w:hint="eastAsia" w:ascii="宋体" w:hAnsi="宋体"/>
          <w:b/>
          <w:color w:val="auto"/>
          <w:sz w:val="28"/>
          <w:szCs w:val="28"/>
          <w:highlight w:val="none"/>
          <w:u w:val="single"/>
        </w:rPr>
        <w:t xml:space="preserve">                    </w:t>
      </w:r>
      <w:r/>
    </w:p>
    <w:p>
      <w:pPr>
        <w:spacing w:line="560" w:lineRule="exact"/>
        <w:rPr>
          <w:rFonts w:hint="eastAsia" w:ascii="宋体" w:hAnsi="宋体"/>
          <w:color w:val="auto"/>
          <w:sz w:val="32"/>
          <w:szCs w:val="32"/>
          <w:highlight w:val="none"/>
        </w:rPr>
      </w:pPr>
      <w:r>
        <w:rPr>
          <w:rFonts w:hint="eastAsia" w:ascii="宋体" w:hAnsi="宋体"/>
          <w:color w:val="auto"/>
          <w:sz w:val="32"/>
          <w:szCs w:val="32"/>
          <w:highlight w:val="none"/>
        </w:rPr>
      </w:r>
      <w:r/>
    </w:p>
    <w:p>
      <w:pPr>
        <w:spacing w:line="560" w:lineRule="exact"/>
        <w:rPr>
          <w:rFonts w:hint="eastAsia" w:ascii="宋体" w:hAnsi="宋体"/>
          <w:color w:val="auto"/>
          <w:sz w:val="32"/>
          <w:szCs w:val="32"/>
          <w:highlight w:val="none"/>
        </w:rPr>
      </w:pPr>
      <w:r>
        <w:rPr>
          <w:rFonts w:hint="eastAsia" w:ascii="宋体" w:hAnsi="宋体"/>
          <w:color w:val="auto"/>
          <w:sz w:val="32"/>
          <w:szCs w:val="32"/>
          <w:highlight w:val="none"/>
        </w:rPr>
      </w:r>
      <w:r/>
    </w:p>
    <w:p>
      <w:pPr>
        <w:spacing w:line="560" w:lineRule="exact"/>
        <w:rPr>
          <w:rFonts w:hint="eastAsia" w:ascii="宋体" w:hAnsi="宋体"/>
          <w:b/>
          <w:color w:val="auto"/>
          <w:sz w:val="24"/>
          <w:szCs w:val="24"/>
          <w:highlight w:val="none"/>
        </w:rPr>
      </w:pPr>
      <w:r>
        <w:rPr>
          <w:rFonts w:ascii="宋体" w:hAnsi="宋体"/>
          <w:b/>
          <w:color w:val="auto"/>
          <w:sz w:val="36"/>
          <w:highlight w:val="none"/>
        </w:rPr>
        <w:br w:type="page" w:clear="all"/>
      </w:r>
      <w:r>
        <w:rPr>
          <w:rFonts w:hint="eastAsia" w:ascii="宋体" w:hAnsi="宋体"/>
          <w:color w:val="auto"/>
          <w:sz w:val="24"/>
          <w:szCs w:val="24"/>
          <w:highlight w:val="none"/>
        </w:rPr>
        <w:t xml:space="preserve">合同编号：</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政府采购计划号：（如有）</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：（以下称甲方）                      供应商：（以下称乙方）</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住所地：                                    住所地：</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根据《中华人民共和国政府采购法》、《中华人民共和国民法典》等法律法规的规定，甲乙双方按照</w:t>
      </w:r>
      <w:r>
        <w:rPr>
          <w:rFonts w:hint="eastAsia" w:ascii="宋体" w:hAnsi="宋体"/>
          <w:color w:val="auto"/>
          <w:sz w:val="24"/>
          <w:szCs w:val="24"/>
          <w:highlight w:val="none"/>
          <w:lang w:eastAsia="zh-CN"/>
        </w:rPr>
        <w:t xml:space="preserve">竞争性磋商</w:t>
      </w:r>
      <w:r>
        <w:rPr>
          <w:rFonts w:hint="eastAsia" w:ascii="宋体" w:hAnsi="宋体"/>
          <w:color w:val="auto"/>
          <w:sz w:val="24"/>
          <w:szCs w:val="24"/>
          <w:highlight w:val="none"/>
        </w:rPr>
        <w:t xml:space="preserve">结果签订本合同。</w:t>
      </w:r>
      <w:r/>
    </w:p>
    <w:p>
      <w:pPr>
        <w:numPr>
          <w:ilvl w:val="0"/>
          <w:numId w:val="6"/>
        </w:num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合同标的</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乙方根据甲方需求提供下列服务：详见乙方响应文件。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合同履行期限：2026年09月07日至2027年09月06日。</w:t>
      </w:r>
      <w:r/>
    </w:p>
    <w:p>
      <w:pPr>
        <w:ind w:firstLine="482"/>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第二条</w:t>
      </w:r>
      <w:r>
        <w:rPr>
          <w:rFonts w:hint="eastAsia" w:ascii="宋体" w:hAnsi="宋体"/>
          <w:color w:val="auto"/>
          <w:sz w:val="24"/>
          <w:szCs w:val="24"/>
          <w:highlight w:val="none"/>
        </w:rPr>
        <w:t xml:space="preserve"> </w:t>
      </w:r>
      <w:r>
        <w:rPr>
          <w:rFonts w:hint="eastAsia" w:ascii="宋体" w:hAnsi="宋体"/>
          <w:b/>
          <w:bCs/>
          <w:color w:val="auto"/>
          <w:sz w:val="24"/>
          <w:szCs w:val="24"/>
          <w:highlight w:val="none"/>
        </w:rPr>
        <w:t xml:space="preserve">合同总价款</w:t>
      </w:r>
      <w:r/>
    </w:p>
    <w:p>
      <w:pPr>
        <w:ind w:firstLine="480"/>
        <w:spacing w:line="560" w:lineRule="exact"/>
        <w:rPr>
          <w:rFonts w:hint="eastAsia" w:ascii="宋体" w:hAnsi="宋体" w:cs="Arial"/>
          <w:color w:val="auto"/>
          <w:sz w:val="24"/>
          <w:szCs w:val="24"/>
          <w:highlight w:val="none"/>
        </w:rPr>
      </w:pPr>
      <w:r>
        <w:rPr>
          <w:rFonts w:hint="eastAsia" w:ascii="宋体" w:hAnsi="宋体"/>
          <w:color w:val="auto"/>
          <w:sz w:val="24"/>
          <w:szCs w:val="24"/>
          <w:highlight w:val="none"/>
        </w:rPr>
        <w:t xml:space="preserve">本合同项下服务价款为 </w:t>
      </w:r>
      <w:r>
        <w:rPr>
          <w:rFonts w:hint="eastAsia" w:ascii="宋体" w:hAnsi="宋体" w:cs="Arial"/>
          <w:color w:val="auto"/>
          <w:sz w:val="24"/>
          <w:szCs w:val="24"/>
          <w:highlight w:val="none"/>
          <w:u w:val="single"/>
        </w:rPr>
        <w:t xml:space="preserve"> </w:t>
      </w:r>
      <w:r>
        <w:rPr>
          <w:rFonts w:ascii="宋体" w:hAnsi="宋体" w:cs="Arial"/>
          <w:color w:val="auto"/>
          <w:sz w:val="24"/>
          <w:szCs w:val="24"/>
          <w:highlight w:val="none"/>
          <w:u w:val="single"/>
        </w:rPr>
        <w:t xml:space="preserve">         </w:t>
      </w:r>
      <w:r>
        <w:rPr>
          <w:rFonts w:hint="eastAsia" w:ascii="宋体" w:hAnsi="宋体" w:cs="Arial"/>
          <w:color w:val="auto"/>
          <w:sz w:val="24"/>
          <w:szCs w:val="24"/>
          <w:highlight w:val="none"/>
          <w:u w:val="single"/>
          <w:lang w:val="en-US" w:eastAsia="zh-CN"/>
        </w:rPr>
        <w:t xml:space="preserve">%</w:t>
      </w:r>
      <w:r>
        <w:rPr>
          <w:rFonts w:hint="eastAsia" w:ascii="宋体" w:hAnsi="宋体" w:cs="Arial"/>
          <w:color w:val="auto"/>
          <w:sz w:val="24"/>
          <w:szCs w:val="24"/>
          <w:highlight w:val="none"/>
        </w:rPr>
        <w:t xml:space="preserve">（</w:t>
      </w:r>
      <w:r>
        <w:rPr>
          <w:rFonts w:hint="eastAsia" w:ascii="宋体" w:hAnsi="宋体" w:cs="Arial"/>
          <w:color w:val="auto"/>
          <w:sz w:val="24"/>
          <w:szCs w:val="24"/>
          <w:highlight w:val="none"/>
          <w:lang w:val="en-US" w:eastAsia="zh-CN"/>
        </w:rPr>
        <w:t xml:space="preserve">下浮率</w:t>
      </w:r>
      <w:r>
        <w:rPr>
          <w:rFonts w:hint="eastAsia" w:ascii="宋体" w:hAnsi="宋体" w:cs="Arial"/>
          <w:color w:val="auto"/>
          <w:sz w:val="24"/>
          <w:szCs w:val="24"/>
          <w:highlight w:val="none"/>
        </w:rPr>
        <w:t xml:space="preserve">），</w:t>
      </w:r>
      <w:r>
        <w:rPr>
          <w:rFonts w:hint="eastAsia" w:ascii="宋体" w:hAnsi="宋体"/>
          <w:color w:val="auto"/>
          <w:sz w:val="24"/>
          <w:szCs w:val="24"/>
          <w:highlight w:val="none"/>
        </w:rPr>
        <w:t xml:space="preserve">分项价款在“分项报价表”中有明确规定，本合同执行期间最终价款据实结算。</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本合同总价款是完成本项目所发生的所有含税费用、支付给员工的工资和国家强制缴纳的各种社会保障资金</w:t>
      </w:r>
      <w:r>
        <w:rPr>
          <w:rFonts w:hint="eastAsia" w:ascii="宋体" w:hAnsi="宋体"/>
          <w:bCs/>
          <w:color w:val="auto"/>
          <w:sz w:val="24"/>
          <w:szCs w:val="24"/>
          <w:highlight w:val="none"/>
        </w:rPr>
        <w:t xml:space="preserve">，以</w:t>
      </w:r>
      <w:r>
        <w:rPr>
          <w:rFonts w:hint="eastAsia" w:ascii="宋体" w:hAnsi="宋体"/>
          <w:color w:val="auto"/>
          <w:sz w:val="24"/>
          <w:szCs w:val="24"/>
          <w:highlight w:val="none"/>
        </w:rPr>
        <w:t xml:space="preserve">及乙方认为需要的其他费用等。</w:t>
      </w:r>
      <w:r/>
    </w:p>
    <w:p>
      <w:pPr>
        <w:ind w:firstLine="482"/>
        <w:jc w:val="cente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firstLine="482"/>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第三条 组成本合同的有关文件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下列关于</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lang w:val="en-US" w:eastAsia="zh-CN"/>
        </w:rPr>
        <w:t xml:space="preserve">项目编号</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rPr>
        <w:t xml:space="preserve">的</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、乙方响应文件，或与本次采购活动方式相适应的文件，以及有关附件是本合同不可分割的组成部分，与本合同具有同等法律效力，这些文件包括但不限于：</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）乙方提供的响应文件和报价表；</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）技术偏离表；</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）承诺</w:t>
      </w:r>
      <w:r>
        <w:rPr>
          <w:rFonts w:ascii="宋体" w:hAnsi="宋体"/>
          <w:color w:val="auto"/>
          <w:sz w:val="24"/>
          <w:szCs w:val="24"/>
          <w:highlight w:val="none"/>
        </w:rPr>
        <w:t xml:space="preserve">/</w:t>
      </w:r>
      <w:r>
        <w:rPr>
          <w:rFonts w:hint="eastAsia" w:ascii="宋体" w:hAnsi="宋体"/>
          <w:color w:val="auto"/>
          <w:sz w:val="24"/>
          <w:szCs w:val="24"/>
          <w:highlight w:val="none"/>
        </w:rPr>
        <w:t xml:space="preserve">服务承诺；</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rPr>
        <w:t xml:space="preserve">通知书；</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5</w:t>
      </w:r>
      <w:r>
        <w:rPr>
          <w:rFonts w:hint="eastAsia" w:ascii="宋体" w:hAnsi="宋体"/>
          <w:color w:val="auto"/>
          <w:sz w:val="24"/>
          <w:szCs w:val="24"/>
          <w:highlight w:val="none"/>
        </w:rPr>
        <w:t xml:space="preserve">）甲乙双方商定的其他文件等。</w:t>
      </w:r>
      <w:r/>
    </w:p>
    <w:p>
      <w:pPr>
        <w:ind w:firstLine="482"/>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第四条 权利保证</w:t>
      </w:r>
      <w:r/>
    </w:p>
    <w:p>
      <w:pPr>
        <w:ind w:firstLine="480"/>
        <w:spacing w:line="560" w:lineRule="exact"/>
        <w:rPr>
          <w:rFonts w:hint="eastAsia" w:ascii="宋体" w:hAnsi="宋体"/>
          <w:color w:val="auto"/>
          <w:sz w:val="24"/>
          <w:szCs w:val="24"/>
          <w:highlight w:val="none"/>
          <w:lang w:eastAsia="zh-TW"/>
        </w:rPr>
      </w:pPr>
      <w:r>
        <w:rPr>
          <w:rFonts w:hint="eastAsia" w:ascii="宋体" w:hAnsi="宋体"/>
          <w:color w:val="auto"/>
          <w:sz w:val="24"/>
          <w:szCs w:val="24"/>
          <w:highlight w:val="none"/>
        </w:rPr>
        <w:t xml:space="preserve">乙方应保证甲方在使用该服务或其任何一部分时不受第三方提出侵犯其专利权、版权、商标权或其他权利的起诉。一旦出现侵权，乙方应承担全部责任。</w:t>
      </w:r>
      <w:r/>
    </w:p>
    <w:p>
      <w:pPr>
        <w:ind w:firstLine="482"/>
        <w:spacing w:line="560" w:lineRule="exact"/>
        <w:rPr>
          <w:rFonts w:hint="eastAsia" w:ascii="宋体" w:hAnsi="宋体"/>
          <w:b/>
          <w:bCs/>
          <w:color w:val="auto"/>
          <w:sz w:val="24"/>
          <w:szCs w:val="24"/>
          <w:highlight w:val="none"/>
          <w:lang w:eastAsia="zh-TW"/>
        </w:rPr>
      </w:pPr>
      <w:r>
        <w:rPr>
          <w:rFonts w:hint="eastAsia" w:ascii="宋体" w:hAnsi="宋体"/>
          <w:b/>
          <w:bCs/>
          <w:color w:val="auto"/>
          <w:sz w:val="24"/>
          <w:szCs w:val="24"/>
          <w:highlight w:val="none"/>
        </w:rPr>
        <w:t xml:space="preserve">第五条 质量保证</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乙方所提供服务的技术规格响应与</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规定的服务要求及所附的“技术条款偏离表”相一致；若技术性能无特殊说明，则按国家有关部门最新颁布的标准及规范为准。</w:t>
      </w:r>
      <w:r/>
    </w:p>
    <w:p>
      <w:pPr>
        <w:ind w:firstLine="482"/>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第六条 验收评估</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验收标准：按行业通行标准和乙方响应文件的承诺（不低于国家相关标准）。 </w:t>
      </w:r>
      <w:r/>
    </w:p>
    <w:p>
      <w:pPr>
        <w:ind w:firstLine="482"/>
        <w:spacing w:line="560" w:lineRule="exact"/>
        <w:rPr>
          <w:rFonts w:hint="eastAsia" w:ascii="宋体" w:hAnsi="宋体"/>
          <w:b/>
          <w:bCs/>
          <w:i/>
          <w:iCs/>
          <w:color w:val="auto"/>
          <w:sz w:val="24"/>
          <w:szCs w:val="24"/>
          <w:highlight w:val="none"/>
        </w:rPr>
      </w:pPr>
      <w:r>
        <w:rPr>
          <w:rFonts w:hint="eastAsia" w:ascii="宋体" w:hAnsi="宋体"/>
          <w:b/>
          <w:bCs/>
          <w:color w:val="auto"/>
          <w:sz w:val="24"/>
          <w:szCs w:val="24"/>
          <w:highlight w:val="none"/>
        </w:rPr>
        <w:t xml:space="preserve">第七条 合同款支付</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1、付款方式</w:t>
      </w:r>
      <w:r/>
    </w:p>
    <w:p>
      <w:pPr>
        <w:pageBreakBefore w:val="0"/>
        <w:spacing w:line="560" w:lineRule="exact"/>
        <w:widowControl w:val="off"/>
        <w:rPr>
          <w:rFonts w:hint="eastAsia"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（一）结算方式：（最新一期江苏省发展和改革委员会最新公布的关于成品油价格调整通知规定的油品（国Ⅵ）最高零售价）×投标优惠率（每升优惠率）×实际使用量进行结算。</w:t>
      </w:r>
      <w:r/>
    </w:p>
    <w:p>
      <w:pPr>
        <w:pageBreakBefore w:val="0"/>
        <w:spacing w:line="560" w:lineRule="exact"/>
        <w:widowControl w:val="off"/>
        <w:rPr>
          <w:rFonts w:hint="eastAsia"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（二）合同签订生效后，</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乙方</w:t>
      </w:r>
      <w:r>
        <w:rPr>
          <w:rFonts w:hint="eastAsia" w:ascii="宋体" w:hAnsi="宋体" w:cs="微软雅黑"/>
          <w:bCs/>
          <w:color w:val="000000" w:themeColor="text1"/>
          <w:sz w:val="24"/>
          <w:szCs w:val="24"/>
          <w:highlight w:val="none"/>
          <w14:textFill>
            <w14:solidFill>
              <w14:schemeClr w14:val="tx1"/>
            </w14:solidFill>
          </w14:textFill>
        </w:rPr>
        <w:t xml:space="preserve">每次完成柴油配送后的15个工作日内，</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甲方</w:t>
      </w:r>
      <w:r>
        <w:rPr>
          <w:rFonts w:hint="eastAsia" w:ascii="宋体" w:hAnsi="宋体" w:cs="微软雅黑"/>
          <w:bCs/>
          <w:color w:val="000000" w:themeColor="text1"/>
          <w:sz w:val="24"/>
          <w:szCs w:val="24"/>
          <w:highlight w:val="none"/>
          <w14:textFill>
            <w14:solidFill>
              <w14:schemeClr w14:val="tx1"/>
            </w14:solidFill>
          </w14:textFill>
        </w:rPr>
        <w:t xml:space="preserve">按实际送货数量计量，与</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乙方</w:t>
      </w:r>
      <w:r>
        <w:rPr>
          <w:rFonts w:hint="eastAsia" w:ascii="宋体" w:hAnsi="宋体" w:cs="微软雅黑"/>
          <w:bCs/>
          <w:color w:val="000000" w:themeColor="text1"/>
          <w:sz w:val="24"/>
          <w:szCs w:val="24"/>
          <w:highlight w:val="none"/>
          <w14:textFill>
            <w14:solidFill>
              <w14:schemeClr w14:val="tx1"/>
            </w14:solidFill>
          </w14:textFill>
        </w:rPr>
        <w:t xml:space="preserve">据实结算，</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甲方</w:t>
      </w:r>
      <w:r>
        <w:rPr>
          <w:rFonts w:hint="eastAsia" w:ascii="宋体" w:hAnsi="宋体" w:cs="微软雅黑"/>
          <w:bCs/>
          <w:color w:val="000000" w:themeColor="text1"/>
          <w:sz w:val="24"/>
          <w:szCs w:val="24"/>
          <w:highlight w:val="none"/>
          <w14:textFill>
            <w14:solidFill>
              <w14:schemeClr w14:val="tx1"/>
            </w14:solidFill>
          </w14:textFill>
        </w:rPr>
        <w:t xml:space="preserve">按次结算。</w:t>
      </w:r>
      <w:r/>
    </w:p>
    <w:p>
      <w:pPr>
        <w:pageBreakBefore w:val="0"/>
        <w:spacing w:line="560" w:lineRule="exact"/>
        <w:widowControl w:val="off"/>
        <w:rPr>
          <w:rFonts w:hint="eastAsia"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（三）全部油款项均以人民币方式支付。</w:t>
      </w:r>
      <w:r/>
    </w:p>
    <w:p>
      <w:pPr>
        <w:pageBreakBefore w:val="0"/>
        <w:spacing w:line="560" w:lineRule="exact"/>
        <w:widowControl w:val="off"/>
        <w:rPr>
          <w:rFonts w:hint="eastAsia" w:ascii="宋体" w:hAnsi="宋体" w:cs="微软雅黑"/>
          <w:bCs/>
          <w:color w:val="000000" w:themeColor="text1"/>
          <w:sz w:val="24"/>
          <w:szCs w:val="24"/>
          <w:highlight w:val="none"/>
          <w:lang w:eastAsia="zh-CN"/>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（四）</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乙方</w:t>
      </w:r>
      <w:r>
        <w:rPr>
          <w:rFonts w:hint="eastAsia" w:ascii="宋体" w:hAnsi="宋体" w:cs="微软雅黑"/>
          <w:bCs/>
          <w:color w:val="000000" w:themeColor="text1"/>
          <w:sz w:val="24"/>
          <w:szCs w:val="24"/>
          <w:highlight w:val="none"/>
          <w14:textFill>
            <w14:solidFill>
              <w14:schemeClr w14:val="tx1"/>
            </w14:solidFill>
          </w14:textFill>
        </w:rPr>
        <w:t xml:space="preserve">在每次</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申请</w:t>
      </w:r>
      <w:r>
        <w:rPr>
          <w:rFonts w:hint="eastAsia" w:ascii="宋体" w:hAnsi="宋体" w:cs="微软雅黑"/>
          <w:bCs/>
          <w:color w:val="000000" w:themeColor="text1"/>
          <w:sz w:val="24"/>
          <w:szCs w:val="24"/>
          <w:highlight w:val="none"/>
          <w14:textFill>
            <w14:solidFill>
              <w14:schemeClr w14:val="tx1"/>
            </w14:solidFill>
          </w14:textFill>
        </w:rPr>
        <w:t xml:space="preserve">结算</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价款</w:t>
      </w:r>
      <w:r>
        <w:rPr>
          <w:rFonts w:hint="eastAsia" w:ascii="宋体" w:hAnsi="宋体" w:cs="微软雅黑"/>
          <w:bCs/>
          <w:color w:val="000000" w:themeColor="text1"/>
          <w:sz w:val="24"/>
          <w:szCs w:val="24"/>
          <w:highlight w:val="none"/>
          <w14:textFill>
            <w14:solidFill>
              <w14:schemeClr w14:val="tx1"/>
            </w14:solidFill>
          </w14:textFill>
        </w:rPr>
        <w:t xml:space="preserve">前须向</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甲方出具合法合规的等额发票</w:t>
      </w:r>
      <w:r>
        <w:rPr>
          <w:rFonts w:hint="eastAsia" w:ascii="宋体" w:hAnsi="宋体" w:cs="微软雅黑"/>
          <w:bCs/>
          <w:color w:val="000000" w:themeColor="text1"/>
          <w:sz w:val="24"/>
          <w:szCs w:val="24"/>
          <w:highlight w:val="none"/>
          <w14:textFill>
            <w14:solidFill>
              <w14:schemeClr w14:val="tx1"/>
            </w14:solidFill>
          </w14:textFill>
        </w:rPr>
        <w:t xml:space="preserve">、供油凭证</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等</w:t>
      </w:r>
      <w:r>
        <w:rPr>
          <w:rFonts w:hint="eastAsia" w:ascii="宋体" w:hAnsi="宋体" w:cs="微软雅黑"/>
          <w:bCs/>
          <w:color w:val="000000" w:themeColor="text1"/>
          <w:sz w:val="24"/>
          <w:szCs w:val="24"/>
          <w:highlight w:val="none"/>
          <w14:textFill>
            <w14:solidFill>
              <w14:schemeClr w14:val="tx1"/>
            </w14:solidFill>
          </w14:textFill>
        </w:rPr>
        <w:t xml:space="preserve">以及最新一期江苏省发展和改革委员会或者相关网站截图关于成品油价格调整通知，否则否则</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甲方</w:t>
      </w:r>
      <w:r>
        <w:rPr>
          <w:rFonts w:hint="eastAsia" w:ascii="宋体" w:hAnsi="宋体" w:cs="微软雅黑"/>
          <w:bCs/>
          <w:color w:val="000000" w:themeColor="text1"/>
          <w:sz w:val="24"/>
          <w:szCs w:val="24"/>
          <w:highlight w:val="none"/>
          <w14:textFill>
            <w14:solidFill>
              <w14:schemeClr w14:val="tx1"/>
            </w14:solidFill>
          </w14:textFill>
        </w:rPr>
        <w:t xml:space="preserve">有权拒绝付款</w:t>
      </w:r>
      <w:r>
        <w:rPr>
          <w:rFonts w:hint="eastAsia" w:ascii="宋体" w:hAnsi="宋体" w:cs="微软雅黑"/>
          <w:bCs/>
          <w:color w:val="000000" w:themeColor="text1"/>
          <w:sz w:val="24"/>
          <w:szCs w:val="24"/>
          <w:highlight w:val="none"/>
          <w:lang w:eastAsia="zh-CN"/>
          <w14:textFill>
            <w14:solidFill>
              <w14:schemeClr w14:val="tx1"/>
            </w14:solidFill>
          </w14:textFill>
        </w:rPr>
        <w:t xml:space="preserve">。</w:t>
      </w:r>
      <w:r/>
    </w:p>
    <w:p>
      <w:pPr>
        <w:pageBreakBefore w:val="0"/>
        <w:spacing w:line="560" w:lineRule="exact"/>
        <w:widowControl w:val="off"/>
        <w:rPr>
          <w:rFonts w:hint="eastAsia"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（五）</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甲方</w:t>
      </w:r>
      <w:r>
        <w:rPr>
          <w:rFonts w:hint="eastAsia" w:ascii="宋体" w:hAnsi="宋体" w:cs="微软雅黑"/>
          <w:bCs/>
          <w:color w:val="000000" w:themeColor="text1"/>
          <w:sz w:val="24"/>
          <w:szCs w:val="24"/>
          <w:highlight w:val="none"/>
          <w14:textFill>
            <w14:solidFill>
              <w14:schemeClr w14:val="tx1"/>
            </w14:solidFill>
          </w14:textFill>
        </w:rPr>
        <w:t xml:space="preserve">将收到</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乙方</w:t>
      </w:r>
      <w:r>
        <w:rPr>
          <w:rFonts w:hint="eastAsia" w:ascii="宋体" w:hAnsi="宋体" w:cs="微软雅黑"/>
          <w:bCs/>
          <w:color w:val="000000" w:themeColor="text1"/>
          <w:sz w:val="24"/>
          <w:szCs w:val="24"/>
          <w:highlight w:val="none"/>
          <w14:textFill>
            <w14:solidFill>
              <w14:schemeClr w14:val="tx1"/>
            </w14:solidFill>
          </w14:textFill>
        </w:rPr>
        <w:t xml:space="preserve">请款后七个工作日内向财政系统提出办理支付申请手续，因财政审批导致的迟延支付，</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甲方</w:t>
      </w:r>
      <w:r>
        <w:rPr>
          <w:rFonts w:hint="eastAsia" w:ascii="宋体" w:hAnsi="宋体" w:cs="微软雅黑"/>
          <w:bCs/>
          <w:color w:val="000000" w:themeColor="text1"/>
          <w:sz w:val="24"/>
          <w:szCs w:val="24"/>
          <w:highlight w:val="none"/>
          <w14:textFill>
            <w14:solidFill>
              <w14:schemeClr w14:val="tx1"/>
            </w14:solidFill>
          </w14:textFill>
        </w:rPr>
        <w:t xml:space="preserve">不承担迟延支付的违约责任。在此情况下，</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乙方</w:t>
      </w:r>
      <w:r>
        <w:rPr>
          <w:rFonts w:hint="eastAsia" w:ascii="宋体" w:hAnsi="宋体" w:cs="微软雅黑"/>
          <w:bCs/>
          <w:color w:val="000000" w:themeColor="text1"/>
          <w:sz w:val="24"/>
          <w:szCs w:val="24"/>
          <w:highlight w:val="none"/>
          <w14:textFill>
            <w14:solidFill>
              <w14:schemeClr w14:val="tx1"/>
            </w14:solidFill>
          </w14:textFill>
        </w:rPr>
        <w:t xml:space="preserve">仍然应严格履行合同约定的义务，及时保质保量做好柴油供应，否则按</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乙方</w:t>
      </w:r>
      <w:r>
        <w:rPr>
          <w:rFonts w:hint="eastAsia" w:ascii="宋体" w:hAnsi="宋体" w:cs="微软雅黑"/>
          <w:bCs/>
          <w:color w:val="000000" w:themeColor="text1"/>
          <w:sz w:val="24"/>
          <w:szCs w:val="24"/>
          <w:highlight w:val="none"/>
          <w14:textFill>
            <w14:solidFill>
              <w14:schemeClr w14:val="tx1"/>
            </w14:solidFill>
          </w14:textFill>
        </w:rPr>
        <w:t xml:space="preserve">违约处理。</w:t>
      </w:r>
      <w:r/>
    </w:p>
    <w:p>
      <w:pPr>
        <w:ind w:firstLine="482"/>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第八条 违约责任</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1、甲方无正当理由拒收服务、拒付服务款的，甲方向乙方偿付合同总价的</w:t>
      </w:r>
      <w:r>
        <w:rPr>
          <w:rFonts w:ascii="宋体" w:hAnsi="宋体"/>
          <w:color w:val="auto"/>
          <w:sz w:val="24"/>
          <w:szCs w:val="24"/>
          <w:highlight w:val="none"/>
        </w:rPr>
        <w:t xml:space="preserve">5%</w:t>
      </w:r>
      <w:r>
        <w:rPr>
          <w:rFonts w:hint="eastAsia" w:ascii="宋体" w:hAnsi="宋体"/>
          <w:color w:val="auto"/>
          <w:sz w:val="24"/>
          <w:szCs w:val="24"/>
          <w:highlight w:val="none"/>
        </w:rPr>
        <w:t xml:space="preserve">违约金。</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2、甲方未按合同规定的期限向乙方支付货款的，每逾期</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天甲方向乙方偿付欠款总额的</w:t>
      </w:r>
      <w:r>
        <w:rPr>
          <w:rFonts w:ascii="宋体" w:hAnsi="宋体"/>
          <w:color w:val="auto"/>
          <w:sz w:val="24"/>
          <w:szCs w:val="24"/>
          <w:highlight w:val="none"/>
        </w:rPr>
        <w:t xml:space="preserve">5‰</w:t>
      </w:r>
      <w:r>
        <w:rPr>
          <w:rFonts w:hint="eastAsia" w:ascii="宋体" w:hAnsi="宋体"/>
          <w:color w:val="auto"/>
          <w:sz w:val="24"/>
          <w:szCs w:val="24"/>
          <w:highlight w:val="none"/>
        </w:rPr>
        <w:t xml:space="preserve">滞纳金，但累计滞纳金总额不超过欠款总额的</w:t>
      </w:r>
      <w:r>
        <w:rPr>
          <w:rFonts w:ascii="宋体" w:hAnsi="宋体"/>
          <w:color w:val="auto"/>
          <w:sz w:val="24"/>
          <w:szCs w:val="24"/>
          <w:highlight w:val="none"/>
        </w:rPr>
        <w:t xml:space="preserve">5% </w:t>
      </w:r>
      <w:r>
        <w:rPr>
          <w:rFonts w:hint="eastAsia" w:ascii="宋体" w:hAnsi="宋体"/>
          <w:color w:val="auto"/>
          <w:sz w:val="24"/>
          <w:szCs w:val="24"/>
          <w:highlight w:val="none"/>
          <w:lang w:eastAsia="zh-CN"/>
        </w:rPr>
        <w:t xml:space="preserve">，因财政系统审批导致支付延迟的，甲方无需承担责任</w:t>
      </w:r>
      <w:r>
        <w:rPr>
          <w:rFonts w:hint="eastAsia" w:ascii="宋体" w:hAnsi="宋体"/>
          <w:color w:val="auto"/>
          <w:sz w:val="24"/>
          <w:szCs w:val="24"/>
          <w:highlight w:val="none"/>
        </w:rPr>
        <w:t xml:space="preserve">。</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3、如乙方不能交付服务的，甲方有权扣留全部履约保证金；同时乙方应向甲方支付合同总价</w:t>
      </w:r>
      <w:r>
        <w:rPr>
          <w:rFonts w:ascii="宋体" w:hAnsi="宋体"/>
          <w:color w:val="auto"/>
          <w:sz w:val="24"/>
          <w:szCs w:val="24"/>
          <w:highlight w:val="none"/>
        </w:rPr>
        <w:t xml:space="preserve">5%</w:t>
      </w:r>
      <w:r>
        <w:rPr>
          <w:rFonts w:hint="eastAsia" w:ascii="宋体" w:hAnsi="宋体"/>
          <w:color w:val="auto"/>
          <w:sz w:val="24"/>
          <w:szCs w:val="24"/>
          <w:highlight w:val="none"/>
        </w:rPr>
        <w:t xml:space="preserve">的违约金。</w:t>
      </w:r>
      <w:r/>
    </w:p>
    <w:p>
      <w:pPr>
        <w:ind w:firstLine="480"/>
        <w:spacing w:line="560" w:lineRule="exact"/>
        <w:rPr>
          <w:rFonts w:hint="eastAsia" w:ascii="宋体" w:hAnsi="宋体"/>
          <w:color w:val="auto"/>
          <w:sz w:val="24"/>
          <w:szCs w:val="24"/>
          <w:highlight w:val="none"/>
          <w:lang w:eastAsia="zh-TW"/>
        </w:rPr>
      </w:pPr>
      <w:r>
        <w:rPr>
          <w:rFonts w:hint="eastAsia" w:ascii="宋体" w:hAnsi="宋体"/>
          <w:color w:val="auto"/>
          <w:sz w:val="24"/>
          <w:szCs w:val="24"/>
          <w:highlight w:val="none"/>
        </w:rPr>
        <w:t xml:space="preserve">4、乙方逾期交付的，每逾期</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天，乙方向甲方偿付合同总额的</w:t>
      </w:r>
      <w:r>
        <w:rPr>
          <w:rFonts w:ascii="宋体" w:hAnsi="宋体"/>
          <w:color w:val="auto"/>
          <w:sz w:val="24"/>
          <w:szCs w:val="24"/>
          <w:highlight w:val="none"/>
        </w:rPr>
        <w:t xml:space="preserve">5‰</w:t>
      </w:r>
      <w:r>
        <w:rPr>
          <w:rFonts w:hint="eastAsia" w:ascii="宋体" w:hAnsi="宋体"/>
          <w:color w:val="auto"/>
          <w:sz w:val="24"/>
          <w:szCs w:val="24"/>
          <w:highlight w:val="none"/>
        </w:rPr>
        <w:t xml:space="preserve">的滞纳金。如乙方逾期交付达</w:t>
      </w:r>
      <w:r>
        <w:rPr>
          <w:rFonts w:ascii="宋体" w:hAnsi="宋体"/>
          <w:color w:val="auto"/>
          <w:sz w:val="24"/>
          <w:szCs w:val="24"/>
          <w:highlight w:val="none"/>
          <w:lang w:eastAsia="zh-TW"/>
        </w:rPr>
        <w:t xml:space="preserve">10</w:t>
      </w:r>
      <w:r>
        <w:rPr>
          <w:rFonts w:hint="eastAsia" w:ascii="宋体" w:hAnsi="宋体"/>
          <w:color w:val="auto"/>
          <w:sz w:val="24"/>
          <w:szCs w:val="24"/>
          <w:highlight w:val="none"/>
        </w:rPr>
        <w:t xml:space="preserve">天，甲方有权解除合同，解除合同的通知自到达乙方时生效。</w:t>
      </w:r>
      <w:r/>
    </w:p>
    <w:p>
      <w:pPr>
        <w:ind w:firstLine="480"/>
        <w:spacing w:line="560" w:lineRule="exact"/>
        <w:rPr>
          <w:rFonts w:hint="eastAsia" w:ascii="宋体" w:hAnsi="宋体"/>
          <w:color w:val="auto"/>
          <w:sz w:val="24"/>
          <w:szCs w:val="24"/>
          <w:highlight w:val="none"/>
          <w:lang w:eastAsia="zh-TW"/>
        </w:rPr>
      </w:pPr>
      <w:r>
        <w:rPr>
          <w:rFonts w:hint="eastAsia" w:ascii="宋体" w:hAnsi="宋体"/>
          <w:color w:val="auto"/>
          <w:sz w:val="24"/>
          <w:szCs w:val="24"/>
          <w:highlight w:val="none"/>
        </w:rPr>
        <w:t xml:space="preserve">5、乙方所交付的服务不符合合同规定的，甲方有权拒收。甲方拒收的，乙方应向甲方支付合同总款</w:t>
      </w:r>
      <w:r>
        <w:rPr>
          <w:rFonts w:ascii="宋体" w:hAnsi="宋体"/>
          <w:color w:val="auto"/>
          <w:sz w:val="24"/>
          <w:szCs w:val="24"/>
          <w:highlight w:val="none"/>
          <w:lang w:eastAsia="zh-TW"/>
        </w:rPr>
        <w:t xml:space="preserve">5%</w:t>
      </w:r>
      <w:r>
        <w:rPr>
          <w:rFonts w:hint="eastAsia" w:ascii="宋体" w:hAnsi="宋体"/>
          <w:color w:val="auto"/>
          <w:sz w:val="24"/>
          <w:szCs w:val="24"/>
          <w:highlight w:val="none"/>
        </w:rPr>
        <w:t xml:space="preserve">的违约金。甲方未拒收的，代理机构发现后将向有关部门反映，并责成乙方按照采购结果提供服务，同时视情给予不退还部分或全部履约保证金处理。</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6、在乙方承诺的或国家规定的质量保证期内（取两者中最长的期限），如经乙方两次整改仍不能达到合同约定的质量标准，乙方应退回全部合同价款，并按第</w:t>
      </w:r>
      <w:r>
        <w:rPr>
          <w:rFonts w:ascii="宋体" w:hAnsi="宋体"/>
          <w:color w:val="auto"/>
          <w:sz w:val="24"/>
          <w:szCs w:val="24"/>
          <w:highlight w:val="none"/>
          <w:lang w:eastAsia="zh-TW"/>
        </w:rPr>
        <w:t xml:space="preserve">3</w:t>
      </w:r>
      <w:r>
        <w:rPr>
          <w:rFonts w:hint="eastAsia" w:ascii="宋体" w:hAnsi="宋体"/>
          <w:color w:val="auto"/>
          <w:sz w:val="24"/>
          <w:szCs w:val="24"/>
          <w:highlight w:val="none"/>
        </w:rPr>
        <w:t xml:space="preserve">款处理，同时，乙方还须赔偿甲方因此遭受的损失。</w:t>
      </w:r>
      <w:r/>
    </w:p>
    <w:p>
      <w:pPr>
        <w:ind w:firstLine="480"/>
        <w:spacing w:line="560" w:lineRule="exact"/>
        <w:rPr>
          <w:rFonts w:hint="eastAsia" w:ascii="宋体" w:hAnsi="宋体"/>
          <w:color w:val="auto"/>
          <w:sz w:val="24"/>
          <w:szCs w:val="24"/>
          <w:highlight w:val="none"/>
        </w:rPr>
      </w:pPr>
      <w:r>
        <w:rPr>
          <w:rFonts w:ascii="宋体" w:hAnsi="宋体"/>
          <w:color w:val="auto"/>
          <w:sz w:val="24"/>
          <w:szCs w:val="24"/>
          <w:highlight w:val="none"/>
          <w:lang w:eastAsia="zh-TW"/>
        </w:rPr>
        <w:t xml:space="preserve">7</w:t>
      </w:r>
      <w:r>
        <w:rPr>
          <w:rFonts w:hint="eastAsia" w:ascii="宋体" w:hAnsi="宋体"/>
          <w:color w:val="auto"/>
          <w:sz w:val="24"/>
          <w:szCs w:val="24"/>
          <w:highlight w:val="none"/>
        </w:rPr>
        <w:t xml:space="preserve">、乙方未按本合同的规定和“服务承诺”提供伴随服务</w:t>
      </w:r>
      <w:r>
        <w:rPr>
          <w:rFonts w:ascii="宋体" w:hAnsi="宋体"/>
          <w:color w:val="auto"/>
          <w:sz w:val="24"/>
          <w:szCs w:val="24"/>
          <w:highlight w:val="none"/>
          <w:lang w:eastAsia="zh-TW"/>
        </w:rPr>
        <w:t xml:space="preserve">/</w:t>
      </w:r>
      <w:r>
        <w:rPr>
          <w:rFonts w:hint="eastAsia" w:ascii="宋体" w:hAnsi="宋体"/>
          <w:color w:val="auto"/>
          <w:sz w:val="24"/>
          <w:szCs w:val="24"/>
          <w:highlight w:val="none"/>
        </w:rPr>
        <w:t xml:space="preserve">售后服务的，应按合同总价款的</w:t>
      </w:r>
      <w:r>
        <w:rPr>
          <w:rFonts w:ascii="宋体" w:hAnsi="宋体"/>
          <w:color w:val="auto"/>
          <w:sz w:val="24"/>
          <w:szCs w:val="24"/>
          <w:highlight w:val="none"/>
          <w:lang w:eastAsia="zh-TW"/>
        </w:rPr>
        <w:t xml:space="preserve">5 %</w:t>
      </w:r>
      <w:r>
        <w:rPr>
          <w:rFonts w:hint="eastAsia" w:ascii="宋体" w:hAnsi="宋体"/>
          <w:color w:val="auto"/>
          <w:sz w:val="24"/>
          <w:szCs w:val="24"/>
          <w:highlight w:val="none"/>
        </w:rPr>
        <w:t xml:space="preserve">向甲方承担违约责任。</w:t>
      </w:r>
      <w:r/>
    </w:p>
    <w:p>
      <w:pPr>
        <w:ind w:firstLine="480"/>
        <w:spacing w:line="560" w:lineRule="exact"/>
        <w:rPr>
          <w:rFonts w:hint="eastAsia" w:ascii="宋体" w:hAnsi="宋体"/>
          <w:color w:val="auto"/>
          <w:sz w:val="24"/>
          <w:szCs w:val="24"/>
          <w:highlight w:val="none"/>
          <w:lang w:eastAsia="zh-TW"/>
        </w:rPr>
      </w:pPr>
      <w:r>
        <w:rPr>
          <w:rFonts w:ascii="宋体" w:hAnsi="宋体"/>
          <w:color w:val="auto"/>
          <w:sz w:val="24"/>
          <w:szCs w:val="24"/>
          <w:highlight w:val="none"/>
          <w:lang w:eastAsia="zh-TW"/>
        </w:rPr>
        <w:t xml:space="preserve">8</w:t>
      </w:r>
      <w:r>
        <w:rPr>
          <w:rFonts w:hint="eastAsia" w:ascii="宋体" w:hAnsi="宋体"/>
          <w:color w:val="auto"/>
          <w:sz w:val="24"/>
          <w:szCs w:val="24"/>
          <w:highlight w:val="none"/>
        </w:rPr>
        <w:t xml:space="preserve">、乙方在承担上述</w:t>
      </w:r>
      <w:r>
        <w:rPr>
          <w:rFonts w:ascii="宋体" w:hAnsi="宋体"/>
          <w:color w:val="auto"/>
          <w:sz w:val="24"/>
          <w:szCs w:val="24"/>
          <w:highlight w:val="none"/>
          <w:lang w:eastAsia="zh-TW"/>
        </w:rPr>
        <w:t xml:space="preserve">4-7</w:t>
      </w:r>
      <w:r>
        <w:rPr>
          <w:rFonts w:hint="eastAsia" w:ascii="宋体" w:hAnsi="宋体"/>
          <w:color w:val="auto"/>
          <w:sz w:val="24"/>
          <w:szCs w:val="24"/>
          <w:highlight w:val="none"/>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spacing w:line="560" w:lineRule="exact"/>
        <w:rPr>
          <w:rFonts w:hint="eastAsia" w:ascii="宋体" w:hAnsi="宋体"/>
          <w:color w:val="auto"/>
          <w:sz w:val="24"/>
          <w:szCs w:val="24"/>
          <w:highlight w:val="none"/>
          <w:lang w:eastAsia="zh-TW"/>
        </w:rPr>
      </w:pPr>
      <w:r>
        <w:rPr>
          <w:rFonts w:ascii="宋体" w:hAnsi="宋体"/>
          <w:color w:val="auto"/>
          <w:sz w:val="24"/>
          <w:szCs w:val="24"/>
          <w:highlight w:val="none"/>
          <w:lang w:eastAsia="zh-TW"/>
        </w:rPr>
        <w:t xml:space="preserve">9</w:t>
      </w:r>
      <w:r>
        <w:rPr>
          <w:rFonts w:hint="eastAsia" w:ascii="宋体" w:hAnsi="宋体"/>
          <w:color w:val="auto"/>
          <w:sz w:val="24"/>
          <w:szCs w:val="24"/>
          <w:highlight w:val="none"/>
        </w:rPr>
        <w:t xml:space="preserve">、乙方响应属虚假承诺，或经权威部门监测提供的服务不能满足</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要求，或是由于乙方的过错造成合同无法继续履行的，乙方履约保证金不予退还外，还应向甲方支付不少于合同总价</w:t>
      </w:r>
      <w:r>
        <w:rPr>
          <w:rFonts w:ascii="宋体" w:hAnsi="宋体"/>
          <w:color w:val="auto"/>
          <w:sz w:val="24"/>
          <w:szCs w:val="24"/>
          <w:highlight w:val="none"/>
          <w:lang w:eastAsia="zh-TW"/>
        </w:rPr>
        <w:t xml:space="preserve">30%</w:t>
      </w:r>
      <w:r>
        <w:rPr>
          <w:rFonts w:hint="eastAsia" w:ascii="宋体" w:hAnsi="宋体"/>
          <w:color w:val="auto"/>
          <w:sz w:val="24"/>
          <w:szCs w:val="24"/>
          <w:highlight w:val="none"/>
        </w:rPr>
        <w:t xml:space="preserve">赔偿金。</w:t>
      </w:r>
      <w:r/>
    </w:p>
    <w:p>
      <w:pPr>
        <w:ind w:firstLine="482"/>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第九条 合同的变更和终止</w:t>
      </w:r>
      <w:r/>
    </w:p>
    <w:p>
      <w:pPr>
        <w:ind w:firstLine="480"/>
        <w:spacing w:line="560" w:lineRule="exact"/>
        <w:rPr>
          <w:rFonts w:hint="eastAsia" w:ascii="宋体" w:hAnsi="宋体"/>
          <w:color w:val="auto"/>
          <w:sz w:val="24"/>
          <w:szCs w:val="24"/>
          <w:highlight w:val="none"/>
        </w:rPr>
      </w:pPr>
      <w:r>
        <w:rPr>
          <w:rFonts w:ascii="宋体" w:hAnsi="宋体"/>
          <w:color w:val="auto"/>
          <w:sz w:val="24"/>
          <w:szCs w:val="24"/>
          <w:highlight w:val="none"/>
          <w:lang w:eastAsia="zh-TW"/>
        </w:rPr>
        <w:t xml:space="preserve">1</w:t>
      </w:r>
      <w:r>
        <w:rPr>
          <w:rFonts w:hint="eastAsia" w:ascii="宋体" w:hAnsi="宋体"/>
          <w:color w:val="auto"/>
          <w:sz w:val="24"/>
          <w:szCs w:val="24"/>
          <w:highlight w:val="none"/>
        </w:rPr>
        <w:t xml:space="preserve">、除《政府采购法》第</w:t>
      </w:r>
      <w:r>
        <w:rPr>
          <w:rFonts w:ascii="宋体" w:hAnsi="宋体"/>
          <w:color w:val="auto"/>
          <w:sz w:val="24"/>
          <w:szCs w:val="24"/>
          <w:highlight w:val="none"/>
          <w:lang w:eastAsia="zh-TW"/>
        </w:rPr>
        <w:t xml:space="preserve">50</w:t>
      </w:r>
      <w:r>
        <w:rPr>
          <w:rFonts w:hint="eastAsia" w:ascii="宋体" w:hAnsi="宋体"/>
          <w:color w:val="auto"/>
          <w:sz w:val="24"/>
          <w:szCs w:val="24"/>
          <w:highlight w:val="none"/>
        </w:rPr>
        <w:t xml:space="preserve">条第二款规定及本合同约定的情形外，本合同一经签订，甲乙双方不得擅自变更、中止或终止合同。</w:t>
      </w:r>
      <w:r/>
    </w:p>
    <w:p>
      <w:pPr>
        <w:ind w:firstLine="480"/>
        <w:spacing w:line="560" w:lineRule="exact"/>
        <w:rPr>
          <w:rFonts w:hint="eastAsia" w:ascii="宋体" w:hAnsi="宋体"/>
          <w:color w:val="auto"/>
          <w:sz w:val="24"/>
          <w:szCs w:val="24"/>
          <w:highlight w:val="none"/>
          <w:lang w:eastAsia="zh-TW"/>
        </w:rPr>
      </w:pPr>
      <w:r>
        <w:rPr>
          <w:rFonts w:ascii="宋体" w:hAnsi="宋体"/>
          <w:color w:val="auto"/>
          <w:sz w:val="24"/>
          <w:szCs w:val="24"/>
          <w:highlight w:val="none"/>
          <w:lang w:eastAsia="zh-TW"/>
        </w:rPr>
        <w:t xml:space="preserve">2</w:t>
      </w:r>
      <w:r>
        <w:rPr>
          <w:rFonts w:hint="eastAsia" w:ascii="宋体" w:hAnsi="宋体"/>
          <w:color w:val="auto"/>
          <w:sz w:val="24"/>
          <w:szCs w:val="24"/>
          <w:highlight w:val="none"/>
        </w:rPr>
        <w:t xml:space="preserve">、除发生法律规定的不能预见、不能避免并不能克服的客观情况外，甲乙双方不得放弃或拒绝履行合同。乙方放弃或拒绝履行合同，保证金不予退还。</w:t>
      </w:r>
      <w:r/>
    </w:p>
    <w:p>
      <w:pPr>
        <w:ind w:firstLine="482"/>
        <w:spacing w:line="560" w:lineRule="exact"/>
        <w:rPr>
          <w:rFonts w:hint="eastAsia" w:ascii="宋体" w:hAnsi="宋体"/>
          <w:b/>
          <w:bCs/>
          <w:color w:val="auto"/>
          <w:sz w:val="24"/>
          <w:szCs w:val="24"/>
          <w:highlight w:val="none"/>
          <w:lang w:eastAsia="zh-TW"/>
        </w:rPr>
      </w:pPr>
      <w:r>
        <w:rPr>
          <w:rFonts w:hint="eastAsia" w:ascii="宋体" w:hAnsi="宋体"/>
          <w:b/>
          <w:bCs/>
          <w:color w:val="auto"/>
          <w:sz w:val="24"/>
          <w:szCs w:val="24"/>
          <w:highlight w:val="none"/>
        </w:rPr>
        <w:t xml:space="preserve">第十条 合同的转让</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乙方不得擅自部分或全部转让其应履行的合同义务。</w:t>
      </w:r>
      <w:r/>
    </w:p>
    <w:p>
      <w:pPr>
        <w:ind w:firstLine="482"/>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第十一条 争议的解决</w:t>
      </w:r>
      <w:r/>
    </w:p>
    <w:p>
      <w:pPr>
        <w:ind w:firstLine="480"/>
        <w:spacing w:line="560" w:lineRule="exact"/>
        <w:rPr>
          <w:rFonts w:hint="eastAsia" w:ascii="宋体" w:hAnsi="宋体"/>
          <w:color w:val="auto"/>
          <w:sz w:val="24"/>
          <w:szCs w:val="24"/>
          <w:highlight w:val="none"/>
          <w:lang w:eastAsia="zh-TW"/>
        </w:rPr>
      </w:pPr>
      <w:r>
        <w:rPr>
          <w:rFonts w:ascii="宋体" w:hAnsi="宋体"/>
          <w:color w:val="auto"/>
          <w:sz w:val="24"/>
          <w:szCs w:val="24"/>
          <w:highlight w:val="none"/>
          <w:lang w:eastAsia="zh-TW"/>
        </w:rPr>
        <w:t xml:space="preserve">1</w:t>
      </w:r>
      <w:r>
        <w:rPr>
          <w:rFonts w:hint="eastAsia" w:ascii="宋体" w:hAnsi="宋体"/>
          <w:color w:val="auto"/>
          <w:sz w:val="24"/>
          <w:szCs w:val="24"/>
          <w:highlight w:val="none"/>
        </w:rPr>
        <w:t xml:space="preserve">、因服务的质量问题发生争议的，可邀请国家认可的质量检测机构对服务质量进行鉴定。符合标准的，鉴定费由甲方承担；不符合质量标准的，鉴定费由乙方承担。</w:t>
      </w:r>
      <w:r/>
    </w:p>
    <w:p>
      <w:pPr>
        <w:ind w:firstLine="480"/>
        <w:spacing w:line="560" w:lineRule="exact"/>
        <w:rPr>
          <w:rFonts w:hint="eastAsia" w:ascii="宋体" w:hAnsi="宋体"/>
          <w:color w:val="auto"/>
          <w:sz w:val="24"/>
          <w:szCs w:val="24"/>
          <w:highlight w:val="none"/>
        </w:rPr>
      </w:pPr>
      <w:r>
        <w:rPr>
          <w:rFonts w:ascii="宋体" w:hAnsi="宋体"/>
          <w:color w:val="auto"/>
          <w:sz w:val="24"/>
          <w:szCs w:val="24"/>
          <w:highlight w:val="none"/>
          <w:lang w:eastAsia="zh-TW"/>
        </w:rPr>
        <w:t xml:space="preserve">2</w:t>
      </w:r>
      <w:r>
        <w:rPr>
          <w:rFonts w:hint="eastAsia" w:ascii="宋体" w:hAnsi="宋体"/>
          <w:color w:val="auto"/>
          <w:sz w:val="24"/>
          <w:szCs w:val="24"/>
          <w:highlight w:val="none"/>
        </w:rPr>
        <w:t xml:space="preserve">、因履行本合同引起的或与本合同有关的争议，甲、乙双方应首先通过友好协商解决，如果协商不能解决争议，可向有管辖权的人民法院提起诉讼。</w:t>
      </w:r>
      <w:r/>
    </w:p>
    <w:p>
      <w:pPr>
        <w:ind w:firstLine="482"/>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第十二条 诚实信用</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乙方应诚实信用，严格按照</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要求和响应承诺履行合同，不向甲方进行商业贿赂或者提供不正当利益。</w:t>
      </w:r>
      <w:r/>
    </w:p>
    <w:p>
      <w:pPr>
        <w:ind w:firstLine="482"/>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第十三条 合同生效及其他</w:t>
      </w:r>
      <w:r/>
    </w:p>
    <w:p>
      <w:pPr>
        <w:ind w:firstLine="480"/>
        <w:spacing w:line="560" w:lineRule="exact"/>
        <w:rPr>
          <w:rFonts w:hint="default" w:ascii="宋体" w:hAnsi="宋体" w:eastAsia="宋体"/>
          <w:color w:val="auto"/>
          <w:sz w:val="24"/>
          <w:szCs w:val="24"/>
          <w:highlight w:val="none"/>
          <w:lang w:val="en-US" w:eastAsia="zh-CN"/>
        </w:rPr>
      </w:pPr>
      <w:r>
        <w:rPr>
          <w:rFonts w:ascii="宋体" w:hAnsi="宋体"/>
          <w:color w:val="auto"/>
          <w:sz w:val="24"/>
          <w:szCs w:val="24"/>
          <w:highlight w:val="none"/>
          <w:lang w:eastAsia="zh-TW"/>
        </w:rPr>
        <w:t xml:space="preserve">1</w:t>
      </w:r>
      <w:r>
        <w:rPr>
          <w:rFonts w:hint="eastAsia" w:ascii="宋体" w:hAnsi="宋体"/>
          <w:color w:val="auto"/>
          <w:sz w:val="24"/>
          <w:szCs w:val="24"/>
          <w:highlight w:val="none"/>
        </w:rPr>
        <w:t xml:space="preserve">、本合同自签订之日起生效。</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、本合同一式柒份，甲乙双方各执叁份，壹份交由代理机构存档。</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、本合同应按照中华人民共和国的现行法律进行解释。</w:t>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甲方（</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）：（盖章）                   乙方（供应商）：（盖章）</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代表人：                                  代表人：</w:t>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日期：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日期：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代理机构：</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文件编制：</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响应文件接收及合同签订：</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日期：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pStyle w:val="773"/>
        <w:spacing w:line="560" w:lineRule="exact"/>
        <w:rPr>
          <w:rFonts w:hint="eastAsia" w:ascii="宋体" w:hAnsi="宋体"/>
          <w:color w:val="auto"/>
          <w:sz w:val="24"/>
          <w:szCs w:val="24"/>
          <w:highlight w:val="none"/>
        </w:rPr>
      </w:pPr>
      <w:r>
        <w:rPr>
          <w:color w:val="auto"/>
          <w:highlight w:val="none"/>
        </w:rPr>
        <w:br w:type="page" w:clear="all"/>
      </w:r>
      <w:r/>
    </w:p>
    <w:p>
      <w:pPr>
        <w:pStyle w:val="755"/>
        <w:jc w:val="center"/>
        <w:spacing w:line="560" w:lineRule="exact"/>
        <w:rPr>
          <w:rFonts w:hint="eastAsia" w:ascii="宋体" w:hAnsi="宋体"/>
          <w:color w:val="auto"/>
          <w:sz w:val="24"/>
          <w:szCs w:val="24"/>
          <w:highlight w:val="none"/>
        </w:rPr>
      </w:pPr>
      <w:r/>
      <w:bookmarkStart w:id="23" w:name="_Toc26341"/>
      <w:r/>
      <w:bookmarkStart w:id="24" w:name="_Toc123027839"/>
      <w:r>
        <w:rPr>
          <w:rFonts w:hint="eastAsia" w:ascii="宋体" w:hAnsi="宋体"/>
          <w:color w:val="auto"/>
          <w:sz w:val="24"/>
          <w:szCs w:val="24"/>
          <w:highlight w:val="none"/>
        </w:rPr>
        <w:t xml:space="preserve">第六章  附件</w:t>
      </w:r>
      <w:bookmarkEnd w:id="23"/>
      <w:r/>
      <w:bookmarkEnd w:id="24"/>
      <w:r/>
      <w:r/>
    </w:p>
    <w:p>
      <w:pPr>
        <w:jc w:val="center"/>
        <w:spacing w:line="5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南京市社会儿童福利院高淳分院柴油采购</w:t>
      </w:r>
      <w:r/>
    </w:p>
    <w:p>
      <w:pPr>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rPr>
        <w:t xml:space="preserve">文件</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560" w:lineRule="exact"/>
        <w:rPr>
          <w:rFonts w:hint="eastAsia" w:ascii="宋体" w:hAnsi="宋体"/>
          <w:color w:val="auto"/>
          <w:sz w:val="24"/>
          <w:szCs w:val="24"/>
          <w:highlight w:val="none"/>
          <w:u w:val="singl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：（加盖单位公章）</w:t>
      </w:r>
      <w:r/>
    </w:p>
    <w:p>
      <w:pPr>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法定代表人或其授权代表：（签字）</w:t>
      </w:r>
      <w:r/>
    </w:p>
    <w:p>
      <w:pPr>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年 月 日</w:t>
      </w:r>
      <w:r/>
    </w:p>
    <w:p>
      <w:pPr>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r>
      <w:r/>
    </w:p>
    <w:p>
      <w:pPr>
        <w:pStyle w:val="773"/>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773"/>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目录</w:t>
      </w:r>
      <w:r/>
    </w:p>
    <w:p>
      <w:pPr>
        <w:jc w:val="cente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（注：</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可根据附件顺序编制</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并制作目录（须生成页码））</w:t>
      </w:r>
      <w:r/>
    </w:p>
    <w:p>
      <w:pPr>
        <w:spacing w:before="312" w:after="312" w:line="560" w:lineRule="exact"/>
        <w:rPr>
          <w:rFonts w:hint="eastAsia" w:ascii="宋体" w:hAnsi="宋体"/>
          <w:b/>
          <w:color w:val="auto"/>
          <w:sz w:val="24"/>
          <w:szCs w:val="24"/>
          <w:highlight w:val="none"/>
        </w:rPr>
      </w:pPr>
      <w:r/>
      <w:bookmarkStart w:id="25" w:name="_Toc504573083"/>
      <w:r/>
      <w:bookmarkStart w:id="26" w:name="_Toc490133028"/>
      <w:r/>
      <w:bookmarkStart w:id="27" w:name="_Toc504056868"/>
      <w:r/>
      <w:bookmarkStart w:id="28" w:name="_Toc504044380"/>
      <w:r>
        <w:rPr>
          <w:rFonts w:hint="eastAsia" w:ascii="宋体" w:hAnsi="宋体"/>
          <w:b/>
          <w:bCs/>
          <w:color w:val="auto"/>
          <w:sz w:val="24"/>
          <w:szCs w:val="24"/>
          <w:highlight w:val="none"/>
        </w:rPr>
        <w:br w:type="page" w:clear="all"/>
      </w:r>
      <w:bookmarkStart w:id="29" w:name="_Toc534273677"/>
      <w:r/>
      <w:bookmarkStart w:id="30" w:name="_Toc534273800"/>
      <w:r>
        <w:rPr>
          <w:rFonts w:hint="eastAsia" w:ascii="宋体" w:hAnsi="宋体"/>
          <w:b/>
          <w:color w:val="auto"/>
          <w:sz w:val="24"/>
          <w:szCs w:val="24"/>
          <w:highlight w:val="none"/>
        </w:rPr>
        <w:t xml:space="preserve">附件一、</w:t>
      </w:r>
      <w:r>
        <w:rPr>
          <w:rFonts w:hint="eastAsia" w:ascii="宋体" w:hAnsi="宋体"/>
          <w:b/>
          <w:color w:val="auto"/>
          <w:sz w:val="24"/>
          <w:szCs w:val="24"/>
          <w:highlight w:val="none"/>
          <w:lang w:val="en-US" w:eastAsia="zh-CN"/>
        </w:rPr>
        <w:t xml:space="preserve">磋商</w:t>
      </w:r>
      <w:r>
        <w:rPr>
          <w:rFonts w:hint="eastAsia" w:ascii="宋体" w:hAnsi="宋体"/>
          <w:b/>
          <w:color w:val="auto"/>
          <w:sz w:val="24"/>
          <w:szCs w:val="24"/>
          <w:highlight w:val="none"/>
        </w:rPr>
        <w:t xml:space="preserve">申请及声明</w:t>
      </w:r>
      <w:bookmarkEnd w:id="25"/>
      <w:r/>
      <w:bookmarkEnd w:id="26"/>
      <w:r/>
      <w:bookmarkEnd w:id="27"/>
      <w:r/>
      <w:bookmarkEnd w:id="28"/>
      <w:r/>
      <w:bookmarkEnd w:id="29"/>
      <w:r/>
      <w:bookmarkEnd w:id="30"/>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p>
      <w:pPr>
        <w:jc w:val="center"/>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磋商</w:t>
      </w:r>
      <w:r>
        <w:rPr>
          <w:rFonts w:hint="eastAsia" w:ascii="宋体" w:hAnsi="宋体"/>
          <w:b/>
          <w:color w:val="auto"/>
          <w:sz w:val="24"/>
          <w:szCs w:val="24"/>
          <w:highlight w:val="none"/>
        </w:rPr>
        <w:t xml:space="preserve">申请及声明</w:t>
      </w:r>
      <w:r/>
    </w:p>
    <w:p>
      <w:pPr>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致：江苏有点招标代理有限公司</w:t>
      </w:r>
      <w:r/>
    </w:p>
    <w:p>
      <w:pPr>
        <w:ind w:firstLine="420"/>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根据贵方</w:t>
      </w:r>
      <w:r>
        <w:rPr>
          <w:rFonts w:hint="eastAsia" w:ascii="宋体" w:hAnsi="宋体"/>
          <w:color w:val="auto"/>
          <w:sz w:val="24"/>
          <w:szCs w:val="24"/>
          <w:highlight w:val="none"/>
          <w:u w:val="single"/>
          <w:lang w:val="zh-CN"/>
        </w:rPr>
        <w:t xml:space="preserve">南京市社会儿童福利院高淳分院柴油采购</w:t>
      </w:r>
      <w:r>
        <w:rPr>
          <w:rFonts w:hint="eastAsia" w:ascii="宋体" w:hAnsi="宋体"/>
          <w:color w:val="auto"/>
          <w:sz w:val="24"/>
          <w:szCs w:val="24"/>
          <w:highlight w:val="none"/>
          <w:lang w:val="zh-CN"/>
        </w:rPr>
        <w:t xml:space="preserve">（项目名称）</w:t>
      </w:r>
      <w:r>
        <w:rPr>
          <w:rFonts w:hint="eastAsia" w:ascii="宋体" w:hAnsi="宋体"/>
          <w:bCs/>
          <w:color w:val="auto"/>
          <w:sz w:val="24"/>
          <w:szCs w:val="24"/>
          <w:highlight w:val="none"/>
          <w:lang w:val="zh-CN"/>
        </w:rPr>
        <w:t xml:space="preserve"> </w:t>
      </w:r>
      <w:r>
        <w:rPr>
          <w:rFonts w:hint="eastAsia" w:ascii="宋体" w:hAnsi="宋体"/>
          <w:bCs/>
          <w:color w:val="auto"/>
          <w:sz w:val="24"/>
          <w:szCs w:val="24"/>
          <w:highlight w:val="none"/>
          <w:u w:val="single"/>
          <w:lang w:val="zh-CN"/>
        </w:rPr>
        <w:t xml:space="preserve">JSZC-320100-YDZB-C2026-0017</w:t>
      </w:r>
      <w:r>
        <w:rPr>
          <w:rFonts w:hint="eastAsia" w:ascii="宋体" w:hAnsi="宋体"/>
          <w:color w:val="auto"/>
          <w:sz w:val="24"/>
          <w:szCs w:val="24"/>
          <w:highlight w:val="none"/>
          <w:lang w:val="zh-CN"/>
        </w:rPr>
        <w:t xml:space="preserve">（项目编号）</w:t>
      </w:r>
      <w:r>
        <w:rPr>
          <w:rFonts w:hint="eastAsia" w:ascii="宋体" w:hAnsi="宋体"/>
          <w:color w:val="auto"/>
          <w:sz w:val="24"/>
          <w:szCs w:val="24"/>
          <w:highlight w:val="none"/>
          <w:lang w:val="en-US" w:eastAsia="zh-CN"/>
        </w:rPr>
        <w:t xml:space="preserve">磋商公告</w:t>
      </w:r>
      <w:r>
        <w:rPr>
          <w:rFonts w:hint="eastAsia" w:ascii="宋体" w:hAnsi="宋体"/>
          <w:color w:val="auto"/>
          <w:sz w:val="24"/>
          <w:szCs w:val="24"/>
          <w:highlight w:val="none"/>
          <w:lang w:val="zh-CN"/>
        </w:rPr>
        <w:t xml:space="preserve">，正式授权下述签字人</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 xml:space="preserve">姓名和职务）代表</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 xml:space="preserve">（供应商名称），提交响应文件并参加投标。</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据此函，签字人兹宣布同意如下：</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zh-CN"/>
        </w:rPr>
        <w:t xml:space="preserve">我们的资格条件完全符合政府采购法和本次采购要求，</w:t>
      </w:r>
      <w:r>
        <w:rPr>
          <w:rFonts w:hint="eastAsia" w:ascii="宋体" w:hAnsi="宋体"/>
          <w:color w:val="auto"/>
          <w:sz w:val="24"/>
          <w:szCs w:val="24"/>
          <w:highlight w:val="none"/>
        </w:rPr>
        <w:t xml:space="preserve">我们</w:t>
      </w:r>
      <w:r>
        <w:rPr>
          <w:rFonts w:hint="eastAsia" w:ascii="宋体" w:hAnsi="宋体"/>
          <w:color w:val="auto"/>
          <w:sz w:val="24"/>
          <w:szCs w:val="24"/>
          <w:highlight w:val="none"/>
          <w:lang w:val="zh-CN"/>
        </w:rPr>
        <w:t xml:space="preserve">同意并向贵方提供了与本次采购活动有关的所有证据和资料</w:t>
      </w:r>
      <w:r>
        <w:rPr>
          <w:rFonts w:hint="eastAsia" w:ascii="宋体" w:hAnsi="宋体"/>
          <w:color w:val="auto"/>
          <w:sz w:val="24"/>
          <w:szCs w:val="24"/>
          <w:highlight w:val="none"/>
        </w:rPr>
        <w:t xml:space="preserve">。</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2、投标报价：</w:t>
      </w:r>
      <w:r>
        <w:rPr>
          <w:rFonts w:hint="eastAsia" w:ascii="宋体" w:hAnsi="宋体"/>
          <w:color w:val="auto"/>
          <w:sz w:val="24"/>
          <w:szCs w:val="24"/>
          <w:highlight w:val="none"/>
          <w:lang w:val="zh-CN"/>
        </w:rPr>
        <w:t xml:space="preserve">人民币___________</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lang w:val="en-US" w:eastAsia="zh-CN"/>
        </w:rPr>
        <w:t xml:space="preserve">下浮率</w:t>
      </w:r>
      <w:r>
        <w:rPr>
          <w:rFonts w:hint="eastAsia" w:ascii="宋体" w:hAnsi="宋体"/>
          <w:color w:val="auto"/>
          <w:sz w:val="24"/>
          <w:szCs w:val="24"/>
          <w:highlight w:val="none"/>
          <w:lang w:val="zh-CN"/>
        </w:rPr>
        <w:t xml:space="preserve">），___________（</w:t>
      </w:r>
      <w:r>
        <w:rPr>
          <w:rFonts w:hint="eastAsia" w:ascii="宋体" w:hAnsi="宋体"/>
          <w:color w:val="auto"/>
          <w:sz w:val="24"/>
          <w:szCs w:val="24"/>
          <w:highlight w:val="none"/>
          <w:lang w:val="en-US" w:eastAsia="zh-CN"/>
        </w:rPr>
        <w:t xml:space="preserve">大写</w:t>
      </w:r>
      <w:r>
        <w:rPr>
          <w:rFonts w:hint="eastAsia" w:ascii="宋体" w:hAnsi="宋体"/>
          <w:color w:val="auto"/>
          <w:sz w:val="24"/>
          <w:szCs w:val="24"/>
          <w:highlight w:val="none"/>
          <w:lang w:val="zh-CN"/>
        </w:rPr>
        <w:t xml:space="preserve">）</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zh-CN"/>
        </w:rPr>
        <w:t xml:space="preserve">我们的投标报价中</w:t>
      </w:r>
      <w:r>
        <w:rPr>
          <w:rFonts w:hint="eastAsia" w:ascii="宋体" w:hAnsi="宋体"/>
          <w:b/>
          <w:bCs/>
          <w:color w:val="auto"/>
          <w:sz w:val="24"/>
          <w:szCs w:val="24"/>
          <w:highlight w:val="none"/>
          <w:u w:val="single"/>
          <w:lang w:val="zh-CN"/>
        </w:rPr>
        <w:t xml:space="preserve">  </w:t>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u w:val="single"/>
          <w:lang w:val="zh-CN"/>
        </w:rPr>
        <w:t xml:space="preserve">   </w:t>
      </w:r>
      <w:r>
        <w:rPr>
          <w:rFonts w:hint="eastAsia" w:ascii="宋体" w:hAnsi="宋体"/>
          <w:b/>
          <w:bCs/>
          <w:color w:val="auto"/>
          <w:sz w:val="24"/>
          <w:szCs w:val="24"/>
          <w:highlight w:val="none"/>
          <w:lang w:val="zh-CN"/>
        </w:rPr>
        <w:t xml:space="preserve">（有或无）进口产品（服务）。</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zh-CN"/>
        </w:rPr>
        <w:t xml:space="preserve">我们已详细阅读全部磋商文件及其有效补充文件，我们放弃对磋商文件任何误解的权利，提交响应文件后，</w:t>
      </w:r>
      <w:r>
        <w:rPr>
          <w:rFonts w:hint="eastAsia" w:ascii="宋体" w:hAnsi="宋体"/>
          <w:b/>
          <w:color w:val="auto"/>
          <w:sz w:val="24"/>
          <w:szCs w:val="24"/>
          <w:highlight w:val="none"/>
          <w:lang w:val="zh-CN"/>
        </w:rPr>
        <w:t xml:space="preserve">不对磋商文件本身提出质疑</w:t>
      </w:r>
      <w:r>
        <w:rPr>
          <w:rFonts w:hint="eastAsia" w:ascii="宋体" w:hAnsi="宋体"/>
          <w:color w:val="auto"/>
          <w:sz w:val="24"/>
          <w:szCs w:val="24"/>
          <w:highlight w:val="none"/>
          <w:lang w:val="zh-CN"/>
        </w:rPr>
        <w:t xml:space="preserve">。</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5、一旦我方中标，我方将根据</w:t>
      </w:r>
      <w:r>
        <w:rPr>
          <w:rFonts w:hint="eastAsia" w:ascii="宋体" w:hAnsi="宋体"/>
          <w:color w:val="auto"/>
          <w:sz w:val="24"/>
          <w:szCs w:val="24"/>
          <w:highlight w:val="none"/>
          <w:lang w:val="zh-CN"/>
        </w:rPr>
        <w:t xml:space="preserve">磋商文件</w:t>
      </w:r>
      <w:r>
        <w:rPr>
          <w:rFonts w:hint="eastAsia" w:ascii="宋体" w:hAnsi="宋体"/>
          <w:color w:val="auto"/>
          <w:sz w:val="24"/>
          <w:szCs w:val="24"/>
          <w:highlight w:val="none"/>
        </w:rPr>
        <w:t xml:space="preserve">的规定，严格履行合同，保证于承诺的时间内完成服务的启动、运行等服务，并交付</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验收、使用。</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6、我方决不提供虚假材料谋取中标、决不采取不正当手段诋毁、排挤其他</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、决不与</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、其它</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或者采购代理机构恶意串通、决不向</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、采购代理机构工作人员和</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进行商业贿赂、决不拒绝有关部门监督检查或提供虚假情况，如有违反，无条件接受贵方及相关管理部门的处罚。</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7、我方正式通讯方式为：</w:t>
      </w:r>
      <w:r/>
    </w:p>
    <w:p>
      <w:pPr>
        <w:ind w:firstLine="480"/>
        <w:spacing w:line="560" w:lineRule="exact"/>
        <w:rPr>
          <w:rFonts w:hint="eastAsia"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 xml:space="preserve">                       </w:t>
      </w:r>
      <w:r/>
    </w:p>
    <w:p>
      <w:pPr>
        <w:ind w:firstLine="480"/>
        <w:spacing w:line="560" w:lineRule="exact"/>
        <w:rPr>
          <w:rFonts w:hint="eastAsia" w:ascii="宋体" w:hAnsi="宋体"/>
          <w:color w:val="auto"/>
          <w:sz w:val="24"/>
          <w:szCs w:val="24"/>
          <w:highlight w:val="none"/>
          <w:u w:val="single"/>
        </w:rPr>
      </w:pPr>
      <w:r>
        <w:rPr>
          <w:rFonts w:hint="eastAsia" w:ascii="宋体" w:hAnsi="宋体"/>
          <w:color w:val="auto"/>
          <w:sz w:val="24"/>
          <w:szCs w:val="24"/>
          <w:highlight w:val="none"/>
        </w:rPr>
        <w:t xml:space="preserve">电   话：</w:t>
      </w:r>
      <w:r>
        <w:rPr>
          <w:rFonts w:hint="eastAsia" w:ascii="宋体" w:hAnsi="宋体"/>
          <w:color w:val="auto"/>
          <w:sz w:val="24"/>
          <w:szCs w:val="24"/>
          <w:highlight w:val="none"/>
          <w:u w:val="single"/>
        </w:rPr>
        <w:t xml:space="preserve">                       </w:t>
      </w:r>
      <w:r/>
    </w:p>
    <w:p>
      <w:pPr>
        <w:ind w:firstLine="480"/>
        <w:spacing w:line="560" w:lineRule="exact"/>
        <w:rPr>
          <w:rFonts w:hint="eastAsia" w:ascii="宋体" w:hAnsi="宋体"/>
          <w:color w:val="auto"/>
          <w:sz w:val="24"/>
          <w:szCs w:val="24"/>
          <w:highlight w:val="none"/>
          <w:u w:val="single"/>
        </w:rPr>
      </w:pPr>
      <w:r>
        <w:rPr>
          <w:rFonts w:hint="eastAsia" w:ascii="宋体" w:hAnsi="宋体"/>
          <w:color w:val="auto"/>
          <w:sz w:val="24"/>
          <w:szCs w:val="24"/>
          <w:highlight w:val="none"/>
        </w:rPr>
        <w:t xml:space="preserve">传   真：</w:t>
      </w:r>
      <w:r>
        <w:rPr>
          <w:rFonts w:hint="eastAsia" w:ascii="宋体" w:hAnsi="宋体"/>
          <w:color w:val="auto"/>
          <w:sz w:val="24"/>
          <w:szCs w:val="24"/>
          <w:highlight w:val="none"/>
          <w:u w:val="single"/>
        </w:rPr>
        <w:t xml:space="preserve">                       </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8、我方正式开户银行和账号为：</w:t>
      </w:r>
      <w:r/>
    </w:p>
    <w:p>
      <w:pPr>
        <w:ind w:firstLine="480"/>
        <w:spacing w:line="560" w:lineRule="exact"/>
        <w:rPr>
          <w:rFonts w:hint="eastAsia" w:ascii="宋体" w:hAnsi="宋体"/>
          <w:color w:val="auto"/>
          <w:sz w:val="24"/>
          <w:szCs w:val="24"/>
          <w:highlight w:val="none"/>
          <w:u w:val="single"/>
        </w:rPr>
      </w:pPr>
      <w:r>
        <w:rPr>
          <w:rFonts w:hint="eastAsia" w:ascii="宋体" w:hAnsi="宋体"/>
          <w:color w:val="auto"/>
          <w:sz w:val="24"/>
          <w:szCs w:val="24"/>
          <w:highlight w:val="none"/>
        </w:rPr>
        <w:t xml:space="preserve">开户银行：</w:t>
      </w:r>
      <w:r>
        <w:rPr>
          <w:rFonts w:hint="eastAsia" w:ascii="宋体" w:hAnsi="宋体"/>
          <w:color w:val="auto"/>
          <w:sz w:val="24"/>
          <w:szCs w:val="24"/>
          <w:highlight w:val="none"/>
          <w:u w:val="single"/>
        </w:rPr>
        <w:t xml:space="preserve">                       </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账    号：</w:t>
      </w:r>
      <w:r>
        <w:rPr>
          <w:rFonts w:hint="eastAsia" w:ascii="宋体" w:hAnsi="宋体"/>
          <w:color w:val="auto"/>
          <w:sz w:val="24"/>
          <w:szCs w:val="24"/>
          <w:highlight w:val="none"/>
          <w:u w:val="single"/>
        </w:rPr>
        <w:t xml:space="preserve">                       </w:t>
      </w:r>
      <w:r/>
    </w:p>
    <w:p>
      <w:pPr>
        <w:ind w:firstLine="480"/>
        <w:spacing w:line="560" w:lineRule="exact"/>
        <w:rPr>
          <w:rFonts w:hint="eastAsia" w:ascii="宋体" w:hAnsi="宋体"/>
          <w:color w:val="auto"/>
          <w:sz w:val="24"/>
          <w:szCs w:val="24"/>
          <w:highlight w:val="none"/>
          <w:u w:val="singl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授权代表姓名（签字或签章）：</w:t>
      </w:r>
      <w:r>
        <w:rPr>
          <w:rFonts w:hint="eastAsia" w:ascii="宋体" w:hAnsi="宋体"/>
          <w:color w:val="auto"/>
          <w:sz w:val="24"/>
          <w:szCs w:val="24"/>
          <w:highlight w:val="none"/>
          <w:u w:val="single"/>
        </w:rPr>
        <w:t xml:space="preserve">         </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名称（公章）：</w:t>
      </w:r>
      <w:r>
        <w:rPr>
          <w:rFonts w:hint="eastAsia" w:ascii="宋体" w:hAnsi="宋体"/>
          <w:color w:val="auto"/>
          <w:sz w:val="24"/>
          <w:szCs w:val="24"/>
          <w:highlight w:val="none"/>
          <w:u w:val="single"/>
        </w:rPr>
        <w:t xml:space="preserve">                 </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spacing w:before="312" w:after="312" w:line="560" w:lineRule="exact"/>
        <w:rPr>
          <w:rFonts w:hint="eastAsia" w:ascii="宋体" w:hAnsi="宋体"/>
          <w:b/>
          <w:color w:val="auto"/>
          <w:sz w:val="24"/>
          <w:szCs w:val="24"/>
          <w:highlight w:val="none"/>
        </w:rPr>
      </w:pPr>
      <w:r>
        <w:rPr>
          <w:rFonts w:hint="eastAsia" w:ascii="宋体" w:hAnsi="宋体"/>
          <w:color w:val="auto"/>
          <w:sz w:val="24"/>
          <w:szCs w:val="24"/>
          <w:highlight w:val="none"/>
          <w:lang w:val="zh-CN"/>
        </w:rPr>
        <w:br w:type="page" w:clear="all"/>
      </w:r>
      <w:bookmarkStart w:id="31" w:name="_Toc504056869"/>
      <w:r/>
      <w:bookmarkStart w:id="32" w:name="_Toc534273678"/>
      <w:r/>
      <w:bookmarkStart w:id="33" w:name="_Toc490133029"/>
      <w:r/>
      <w:bookmarkStart w:id="34" w:name="_Toc504044381"/>
      <w:r/>
      <w:bookmarkStart w:id="35" w:name="_Toc504573084"/>
      <w:r/>
      <w:bookmarkStart w:id="36" w:name="_Toc534273801"/>
      <w:r>
        <w:rPr>
          <w:rFonts w:hint="eastAsia" w:ascii="宋体" w:hAnsi="宋体"/>
          <w:b/>
          <w:color w:val="auto"/>
          <w:sz w:val="24"/>
          <w:szCs w:val="24"/>
          <w:highlight w:val="none"/>
        </w:rPr>
        <w:t xml:space="preserve">附件二、法定代表人授权书格式</w:t>
      </w:r>
      <w:bookmarkEnd w:id="31"/>
      <w:r/>
      <w:bookmarkEnd w:id="32"/>
      <w:r/>
      <w:bookmarkEnd w:id="33"/>
      <w:r/>
      <w:bookmarkEnd w:id="34"/>
      <w:r/>
      <w:bookmarkEnd w:id="35"/>
      <w:r/>
      <w:bookmarkEnd w:id="36"/>
      <w:r/>
      <w:r/>
    </w:p>
    <w:p>
      <w:pPr>
        <w:spacing w:line="560" w:lineRule="exact"/>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jc w:val="center"/>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法定代表人授权书</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江苏有点招标代理有限公司</w:t>
      </w:r>
      <w:r/>
    </w:p>
    <w:p>
      <w:pPr>
        <w:ind w:firstLine="480"/>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本授权书声明：注册于</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 xml:space="preserve">（供应商住址）的</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 xml:space="preserve">（供应商名称）法定代表人</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 xml:space="preserve">（法定代表人姓名、职务）代表本公司授权在下面签字的</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 xml:space="preserve">（供应商代表姓名、职务）为本公司的合法代理人，就贵方组织的项目名称：</w:t>
      </w:r>
      <w:r>
        <w:rPr>
          <w:rFonts w:hint="eastAsia" w:ascii="宋体" w:hAnsi="宋体"/>
          <w:bCs/>
          <w:color w:val="auto"/>
          <w:sz w:val="24"/>
          <w:szCs w:val="24"/>
          <w:highlight w:val="none"/>
          <w:u w:val="single"/>
          <w:lang w:val="zh-CN"/>
        </w:rPr>
        <w:t xml:space="preserve">南京市社会儿童福利院高淳分院柴油采购 </w:t>
      </w:r>
      <w:r>
        <w:rPr>
          <w:rFonts w:hint="eastAsia" w:ascii="宋体" w:hAnsi="宋体"/>
          <w:color w:val="auto"/>
          <w:sz w:val="24"/>
          <w:szCs w:val="24"/>
          <w:highlight w:val="none"/>
          <w:lang w:val="zh-CN"/>
        </w:rPr>
        <w:t xml:space="preserve">，项目编号：</w:t>
      </w:r>
      <w:r>
        <w:rPr>
          <w:rFonts w:hint="eastAsia" w:ascii="宋体" w:hAnsi="宋体"/>
          <w:bCs/>
          <w:color w:val="auto"/>
          <w:sz w:val="24"/>
          <w:szCs w:val="24"/>
          <w:highlight w:val="none"/>
          <w:u w:val="single"/>
          <w:lang w:val="zh-CN"/>
        </w:rPr>
        <w:t xml:space="preserve">JSZC-320100-YDZB-C2026-0017</w:t>
      </w:r>
      <w:r>
        <w:rPr>
          <w:rFonts w:hint="eastAsia" w:ascii="宋体" w:hAnsi="宋体"/>
          <w:color w:val="auto"/>
          <w:sz w:val="24"/>
          <w:szCs w:val="24"/>
          <w:highlight w:val="none"/>
          <w:lang w:val="zh-CN"/>
        </w:rPr>
        <w:t xml:space="preserve">竞争性磋商</w:t>
      </w:r>
      <w:r>
        <w:rPr>
          <w:rFonts w:hint="eastAsia" w:ascii="宋体" w:hAnsi="宋体"/>
          <w:color w:val="auto"/>
          <w:sz w:val="24"/>
          <w:szCs w:val="24"/>
          <w:highlight w:val="none"/>
          <w:lang w:val="en-US" w:eastAsia="zh-CN"/>
        </w:rPr>
        <w:t xml:space="preserve">公告</w:t>
      </w:r>
      <w:r>
        <w:rPr>
          <w:rFonts w:hint="eastAsia" w:ascii="宋体" w:hAnsi="宋体"/>
          <w:color w:val="auto"/>
          <w:sz w:val="24"/>
          <w:szCs w:val="24"/>
          <w:highlight w:val="none"/>
          <w:lang w:val="zh-CN"/>
        </w:rPr>
        <w:t xml:space="preserve">，以本公司名义处理一切与之有关的事务。</w:t>
      </w:r>
      <w:r/>
    </w:p>
    <w:p>
      <w:pPr>
        <w:ind w:firstLine="480"/>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本授权书于        年   月   日签字或签章生效，特此声明。</w:t>
      </w:r>
      <w:r/>
    </w:p>
    <w:p>
      <w:pPr>
        <w:ind w:firstLine="480"/>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法定代表人签字或签章：</w:t>
      </w:r>
      <w:r/>
    </w:p>
    <w:p>
      <w:pPr>
        <w:ind w:firstLine="480"/>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被授权人签字：    </w:t>
      </w:r>
      <w:r/>
    </w:p>
    <w:p>
      <w:pPr>
        <w:ind w:firstLine="480"/>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盖章：</w:t>
      </w:r>
      <w:r>
        <w:rPr>
          <w:rFonts w:hint="eastAsia" w:ascii="宋体" w:hAnsi="宋体"/>
          <w:color w:val="auto"/>
          <w:sz w:val="24"/>
          <w:szCs w:val="24"/>
          <w:highlight w:val="none"/>
          <w:lang w:val="zh-CN"/>
        </w:rPr>
        <w:t xml:space="preserve">                </w:t>
      </w:r>
      <w:r/>
    </w:p>
    <w:p>
      <w:pPr>
        <w:ind w:firstLine="480"/>
        <w:spacing w:line="560" w:lineRule="exact"/>
        <w:tabs>
          <w:tab w:val="left" w:pos="1440"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日        期：        年    月    日</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p>
      <w:pPr>
        <w:spacing w:before="240" w:after="240" w:line="560" w:lineRule="exact"/>
        <w:rPr>
          <w:rFonts w:hint="eastAsia" w:ascii="宋体" w:hAnsi="宋体" w:cs="Arial"/>
          <w:b/>
          <w:sz w:val="24"/>
          <w:szCs w:val="24"/>
        </w:rPr>
      </w:pPr>
      <w:r>
        <w:rPr>
          <w:rFonts w:hint="eastAsia" w:ascii="宋体" w:hAnsi="宋体" w:cs="Arial"/>
          <w:b/>
          <w:sz w:val="24"/>
          <w:szCs w:val="24"/>
        </w:rPr>
        <w:t xml:space="preserve">注：授权代理人须为投标单位本单位缴纳社保的专职人员，须在本</w:t>
      </w:r>
      <w:r>
        <w:rPr>
          <w:rFonts w:hint="eastAsia" w:ascii="宋体" w:hAnsi="宋体" w:cs="Arial"/>
          <w:b/>
          <w:sz w:val="24"/>
          <w:szCs w:val="24"/>
          <w:lang w:eastAsia="zh-CN"/>
        </w:rPr>
        <w:t xml:space="preserve">响应文件</w:t>
      </w:r>
      <w:r>
        <w:rPr>
          <w:rFonts w:hint="eastAsia" w:ascii="宋体" w:hAnsi="宋体" w:cs="Arial"/>
          <w:b/>
          <w:sz w:val="24"/>
          <w:szCs w:val="24"/>
        </w:rPr>
        <w:t xml:space="preserve">中附上本次采购活动前六个月中任意一个月为其缴纳的社保证明材料（证明材料须能清晰显示人员姓名及投标单位名称）</w:t>
      </w:r>
      <w:r/>
    </w:p>
    <w:p>
      <w:pPr>
        <w:spacing w:before="240" w:after="240" w:line="560" w:lineRule="exact"/>
        <w:rPr>
          <w:rFonts w:ascii="宋体" w:hAnsi="宋体" w:cs="Arial"/>
          <w:b/>
          <w:sz w:val="24"/>
          <w:szCs w:val="24"/>
        </w:rPr>
      </w:pPr>
      <w:r>
        <w:rPr>
          <w:rFonts w:ascii="宋体" w:hAnsi="宋体" w:cs="Arial"/>
          <w:b/>
          <w:sz w:val="24"/>
          <w:szCs w:val="24"/>
        </w:rPr>
      </w:r>
      <w:r/>
    </w:p>
    <w:p>
      <w:pPr>
        <w:spacing w:before="312" w:after="312" w:line="560" w:lineRule="exact"/>
        <w:rPr>
          <w:rFonts w:hint="eastAsia" w:ascii="宋体" w:hAnsi="宋体"/>
          <w:b/>
          <w:color w:val="auto"/>
          <w:sz w:val="24"/>
          <w:szCs w:val="24"/>
          <w:highlight w:val="none"/>
        </w:rPr>
      </w:pPr>
      <w:r>
        <w:rPr>
          <w:rFonts w:hint="eastAsia" w:ascii="宋体" w:hAnsi="宋体" w:cs="Arial"/>
          <w:b/>
          <w:sz w:val="24"/>
          <w:szCs w:val="24"/>
        </w:rPr>
        <w:t xml:space="preserve">被授权人的身份证明文件的复印件：</w:t>
      </w:r>
      <w:r>
        <w:rPr>
          <w:rFonts w:hint="eastAsia" w:ascii="宋体" w:hAnsi="宋体"/>
          <w:color w:val="auto"/>
          <w:sz w:val="24"/>
          <w:szCs w:val="24"/>
          <w:highlight w:val="none"/>
          <w:lang w:val="zh-CN"/>
        </w:rPr>
        <w:br w:type="page" w:clear="all"/>
      </w:r>
      <w:bookmarkStart w:id="37" w:name="_Toc504044382"/>
      <w:r/>
      <w:bookmarkStart w:id="38" w:name="_Toc534273802"/>
      <w:r/>
      <w:bookmarkStart w:id="39" w:name="_Toc490133030"/>
      <w:r/>
      <w:bookmarkStart w:id="40" w:name="_Toc504056870"/>
      <w:r/>
      <w:bookmarkStart w:id="41" w:name="_Toc534273679"/>
      <w:r/>
      <w:bookmarkStart w:id="42" w:name="_Toc504573085"/>
      <w:r>
        <w:rPr>
          <w:rFonts w:hint="eastAsia" w:ascii="宋体" w:hAnsi="宋体"/>
          <w:b/>
          <w:color w:val="auto"/>
          <w:sz w:val="24"/>
          <w:szCs w:val="24"/>
          <w:highlight w:val="none"/>
        </w:rPr>
        <w:t xml:space="preserve">附件三、报价表</w:t>
      </w:r>
      <w:bookmarkEnd w:id="37"/>
      <w:r/>
      <w:bookmarkEnd w:id="38"/>
      <w:r/>
      <w:bookmarkEnd w:id="39"/>
      <w:r/>
      <w:bookmarkEnd w:id="40"/>
      <w:r/>
      <w:bookmarkEnd w:id="41"/>
      <w:r/>
      <w:bookmarkEnd w:id="42"/>
      <w:r/>
      <w:r/>
    </w:p>
    <w:p>
      <w:pPr>
        <w:jc w:val="center"/>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《报  价  表》</w:t>
      </w:r>
      <w:r/>
    </w:p>
    <w:p>
      <w:pPr>
        <w:jc w:val="center"/>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lang w:val="zh-CN"/>
        </w:rPr>
        <w:t xml:space="preserve">               </w:t>
      </w:r>
      <w:r/>
    </w:p>
    <w:p>
      <w:pPr>
        <w:pStyle w:val="766"/>
        <w:ind w:firstLine="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南京市社会儿童福利院高淳分院柴油采购</w:t>
      </w:r>
      <w:r>
        <w:rPr>
          <w:rFonts w:hint="eastAsia" w:ascii="宋体" w:hAnsi="宋体" w:cs="宋体"/>
          <w:color w:val="auto"/>
          <w:sz w:val="24"/>
          <w:szCs w:val="24"/>
          <w:highlight w:val="none"/>
        </w:rPr>
        <w:t xml:space="preserve">                                </w:t>
      </w:r>
      <w:r/>
    </w:p>
    <w:p>
      <w:pPr>
        <w:pStyle w:val="766"/>
        <w:ind w:firstLine="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JSZC-320100-YDZB-C2026-0017</w:t>
      </w:r>
      <w:r>
        <w:rPr>
          <w:rFonts w:hint="eastAsia" w:ascii="宋体" w:hAnsi="宋体" w:cs="宋体"/>
          <w:color w:val="auto"/>
          <w:sz w:val="24"/>
          <w:szCs w:val="24"/>
          <w:highlight w:val="none"/>
        </w:rPr>
        <w:t xml:space="preserve">           </w:t>
      </w:r>
      <w:r/>
    </w:p>
    <w:tbl>
      <w:tblPr>
        <w:tblStyle w:val="765"/>
        <w:tblW w:w="107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3"/>
        <w:gridCol w:w="6145"/>
        <w:gridCol w:w="2390"/>
      </w:tblGrid>
      <w:tr>
        <w:trPr>
          <w:jc w:val="center"/>
          <w:trHeight w:val="773"/>
        </w:trPr>
        <w:tc>
          <w:tcPr>
            <w:gridSpan w:val="2"/>
            <w:tcW w:w="8378" w:type="dxa"/>
            <w:vAlign w:val="center"/>
            <w:textDirection w:val="lrTb"/>
            <w:noWrap w:val="false"/>
          </w:tcPr>
          <w:p>
            <w:pPr>
              <w:pStyle w:val="766"/>
              <w:ind w:firstLine="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报价情况</w:t>
            </w:r>
            <w:r/>
          </w:p>
        </w:tc>
        <w:tc>
          <w:tcPr>
            <w:tcW w:w="2390" w:type="dxa"/>
            <w:vAlign w:val="center"/>
            <w:textDirection w:val="lrTb"/>
            <w:noWrap w:val="false"/>
          </w:tcPr>
          <w:p>
            <w:pPr>
              <w:pStyle w:val="766"/>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cantSplit/>
          <w:jc w:val="center"/>
          <w:trHeight w:val="1117"/>
        </w:trPr>
        <w:tc>
          <w:tcPr>
            <w:tcW w:w="2233" w:type="dxa"/>
            <w:vAlign w:val="center"/>
            <w:textDirection w:val="lrTb"/>
            <w:noWrap w:val="false"/>
          </w:tcPr>
          <w:p>
            <w:pPr>
              <w:pStyle w:val="766"/>
              <w:ind w:firstLine="0"/>
              <w:jc w:val="center"/>
              <w:spacing w:line="5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响应报价</w:t>
            </w:r>
            <w:r/>
          </w:p>
          <w:p>
            <w:pPr>
              <w:pStyle w:val="766"/>
              <w:ind w:firstLine="0"/>
              <w:jc w:val="center"/>
              <w:spacing w:line="5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下浮率）</w:t>
            </w:r>
            <w:r/>
          </w:p>
        </w:tc>
        <w:tc>
          <w:tcPr>
            <w:tcW w:w="6145" w:type="dxa"/>
            <w:vAlign w:val="center"/>
            <w:textDirection w:val="lrTb"/>
            <w:noWrap w:val="false"/>
          </w:tcPr>
          <w:p>
            <w:pPr>
              <w:pStyle w:val="774"/>
              <w:ind w:firstLine="0"/>
              <w:jc w:val="center"/>
              <w:spacing w:line="560" w:lineRule="exact"/>
              <w:rPr>
                <w:rFonts w:hint="eastAsia" w:hAnsi="宋体" w:eastAsia="宋体"/>
                <w:color w:val="auto"/>
                <w:sz w:val="24"/>
                <w:szCs w:val="24"/>
                <w:highlight w:val="none"/>
                <w:lang w:val="zh-CN" w:eastAsia="zh-CN"/>
              </w:rPr>
            </w:pPr>
            <w:r>
              <w:rPr>
                <w:rFonts w:hint="eastAsia" w:hAnsi="宋体"/>
                <w:color w:val="auto"/>
                <w:sz w:val="24"/>
                <w:szCs w:val="24"/>
                <w:highlight w:val="none"/>
                <w:lang w:val="zh-CN"/>
              </w:rPr>
              <w:t xml:space="preserve">（大写）___________</w:t>
            </w:r>
            <w:r>
              <w:rPr>
                <w:rFonts w:hint="eastAsia" w:hAnsi="宋体"/>
                <w:color w:val="auto"/>
                <w:sz w:val="24"/>
                <w:szCs w:val="24"/>
                <w:highlight w:val="none"/>
                <w:lang w:val="en-US" w:eastAsia="zh-CN"/>
              </w:rPr>
              <w:t xml:space="preserve">%</w:t>
            </w:r>
            <w:r/>
          </w:p>
          <w:p>
            <w:pPr>
              <w:pStyle w:val="774"/>
              <w:ind w:firstLine="0"/>
              <w:jc w:val="center"/>
              <w:spacing w:line="560" w:lineRule="exact"/>
              <w:rPr>
                <w:rFonts w:hint="eastAsia" w:hAnsi="宋体" w:eastAsia="宋体"/>
                <w:color w:val="auto"/>
                <w:sz w:val="24"/>
                <w:szCs w:val="24"/>
                <w:highlight w:val="none"/>
                <w:lang w:val="zh-CN" w:eastAsia="zh-CN"/>
              </w:rPr>
            </w:pPr>
            <w:r>
              <w:rPr>
                <w:rFonts w:hint="eastAsia" w:hAnsi="宋体"/>
                <w:color w:val="auto"/>
                <w:sz w:val="24"/>
                <w:szCs w:val="24"/>
                <w:highlight w:val="none"/>
                <w:lang w:val="zh-CN"/>
              </w:rPr>
              <w:t xml:space="preserve">（小写）___________</w:t>
            </w:r>
            <w:r>
              <w:rPr>
                <w:rFonts w:hint="eastAsia" w:hAnsi="宋体"/>
                <w:color w:val="auto"/>
                <w:sz w:val="24"/>
                <w:szCs w:val="24"/>
                <w:highlight w:val="none"/>
                <w:lang w:val="en-US" w:eastAsia="zh-CN"/>
              </w:rPr>
              <w:t xml:space="preserve">%</w:t>
            </w:r>
            <w:r/>
          </w:p>
        </w:tc>
        <w:tc>
          <w:tcPr>
            <w:tcW w:w="2390" w:type="dxa"/>
            <w:vAlign w:val="center"/>
            <w:vMerge w:val="restart"/>
            <w:textDirection w:val="lrTb"/>
            <w:noWrap w:val="false"/>
          </w:tcPr>
          <w:p>
            <w:pPr>
              <w:pStyle w:val="766"/>
              <w:ind w:firstLine="0"/>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773"/>
        </w:trPr>
        <w:tc>
          <w:tcPr>
            <w:tcW w:w="2233" w:type="dxa"/>
            <w:vAlign w:val="center"/>
            <w:textDirection w:val="lrTb"/>
            <w:noWrap w:val="false"/>
          </w:tcPr>
          <w:p>
            <w:pPr>
              <w:pStyle w:val="766"/>
              <w:ind w:firstLine="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服务时间/交付使用时间</w:t>
            </w:r>
            <w:r/>
          </w:p>
        </w:tc>
        <w:tc>
          <w:tcPr>
            <w:tcW w:w="6145" w:type="dxa"/>
            <w:vAlign w:val="center"/>
            <w:textDirection w:val="lrTb"/>
            <w:noWrap w:val="false"/>
          </w:tcPr>
          <w:p>
            <w:pPr>
              <w:pStyle w:val="766"/>
              <w:ind w:firstLine="540"/>
              <w:jc w:val="center"/>
              <w:spacing w:line="560" w:lineRule="exact"/>
              <w:tabs>
                <w:tab w:val="left" w:pos="362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满足文件要求</w:t>
            </w:r>
            <w:r/>
          </w:p>
        </w:tc>
        <w:tc>
          <w:tcPr>
            <w:tcW w:w="2390" w:type="dxa"/>
            <w:vAlign w:val="center"/>
            <w:vMerge w:val="continue"/>
            <w:textDirection w:val="lrTb"/>
            <w:noWrap w:val="false"/>
          </w:tcPr>
          <w:p>
            <w:pPr>
              <w:pStyle w:val="766"/>
              <w:ind w:firstLine="0"/>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1124"/>
        </w:trPr>
        <w:tc>
          <w:tcPr>
            <w:tcW w:w="2233" w:type="dxa"/>
            <w:vAlign w:val="center"/>
            <w:textDirection w:val="lrTb"/>
            <w:noWrap w:val="false"/>
          </w:tcPr>
          <w:p>
            <w:pPr>
              <w:pStyle w:val="766"/>
              <w:ind w:firstLine="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投标标的是否全部由小微企业提供</w:t>
            </w:r>
            <w:r/>
          </w:p>
        </w:tc>
        <w:tc>
          <w:tcPr>
            <w:tcW w:w="6145" w:type="dxa"/>
            <w:vAlign w:val="center"/>
            <w:textDirection w:val="lrTb"/>
            <w:noWrap w:val="false"/>
          </w:tcPr>
          <w:p>
            <w:pPr>
              <w:pStyle w:val="766"/>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填写“是”或“否”</w:t>
            </w:r>
            <w:r>
              <w:rPr>
                <w:rFonts w:hint="eastAsia" w:ascii="宋体" w:hAnsi="宋体" w:cs="宋体"/>
                <w:color w:val="auto"/>
                <w:sz w:val="24"/>
                <w:szCs w:val="24"/>
                <w:highlight w:val="none"/>
              </w:rPr>
              <w:t xml:space="preserve">）</w:t>
            </w:r>
            <w:r/>
          </w:p>
        </w:tc>
        <w:tc>
          <w:tcPr>
            <w:tcW w:w="2390" w:type="dxa"/>
            <w:vAlign w:val="center"/>
            <w:vMerge w:val="continue"/>
            <w:textDirection w:val="lrTb"/>
            <w:noWrap w:val="false"/>
          </w:tcPr>
          <w:p>
            <w:pPr>
              <w:pStyle w:val="766"/>
              <w:ind w:firstLine="0"/>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（盖章）：</w:t>
      </w:r>
      <w:r>
        <w:rPr>
          <w:rFonts w:hint="eastAsia" w:ascii="宋体" w:hAnsi="宋体"/>
          <w:color w:val="auto"/>
          <w:sz w:val="24"/>
          <w:szCs w:val="24"/>
          <w:highlight w:val="none"/>
          <w:u w:val="single"/>
        </w:rPr>
        <w:t xml:space="preserve">            </w:t>
      </w:r>
      <w:r/>
    </w:p>
    <w:p>
      <w:pPr>
        <w:jc w:val="left"/>
        <w:spacing w:line="560" w:lineRule="exact"/>
        <w:shd w:val="clear" w:color="auto" w:fill="ffffff"/>
        <w:widowControl/>
        <w:rPr>
          <w:rFonts w:hint="eastAsia" w:ascii="宋体" w:hAnsi="宋体"/>
          <w:color w:val="auto"/>
          <w:sz w:val="24"/>
          <w:szCs w:val="24"/>
          <w:highlight w:val="none"/>
          <w:u w:val="single"/>
        </w:rPr>
      </w:pPr>
      <w:r>
        <w:rPr>
          <w:rFonts w:hint="eastAsia" w:ascii="宋体" w:hAnsi="宋体"/>
          <w:color w:val="auto"/>
          <w:sz w:val="24"/>
          <w:szCs w:val="24"/>
          <w:highlight w:val="none"/>
        </w:rPr>
        <w:t xml:space="preserve">法定代表人或其授权代表（签字）：</w:t>
      </w:r>
      <w:r>
        <w:rPr>
          <w:rFonts w:hint="eastAsia" w:ascii="宋体" w:hAnsi="宋体"/>
          <w:color w:val="auto"/>
          <w:sz w:val="24"/>
          <w:szCs w:val="24"/>
          <w:highlight w:val="none"/>
          <w:u w:val="single"/>
        </w:rPr>
        <w:t xml:space="preserve">          </w:t>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1、本项目仅接受一个价格，不得填报有选择性报价方案。若有优惠条款须注明，但不得影响报价，影响产品整体功能。</w:t>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2、“投标标的是否全部由小微企业提供”栏内填写“是”或“否”。如填写“是”，</w:t>
      </w:r>
      <w:r>
        <w:rPr>
          <w:rFonts w:hint="eastAsia" w:ascii="宋体" w:hAnsi="宋体"/>
          <w:b/>
          <w:bCs/>
          <w:color w:val="auto"/>
          <w:sz w:val="24"/>
          <w:szCs w:val="24"/>
          <w:highlight w:val="none"/>
          <w:lang w:eastAsia="zh-CN"/>
        </w:rPr>
        <w:t xml:space="preserve">供应商</w:t>
      </w:r>
      <w:r>
        <w:rPr>
          <w:rFonts w:hint="eastAsia" w:ascii="宋体" w:hAnsi="宋体"/>
          <w:b/>
          <w:bCs/>
          <w:color w:val="auto"/>
          <w:sz w:val="24"/>
          <w:szCs w:val="24"/>
          <w:highlight w:val="none"/>
        </w:rPr>
        <w:t xml:space="preserve">应按</w:t>
      </w:r>
      <w:r>
        <w:rPr>
          <w:rFonts w:hint="eastAsia" w:ascii="宋体" w:hAnsi="宋体"/>
          <w:b/>
          <w:bCs/>
          <w:color w:val="auto"/>
          <w:sz w:val="24"/>
          <w:szCs w:val="24"/>
          <w:highlight w:val="none"/>
          <w:lang w:eastAsia="zh-CN"/>
        </w:rPr>
        <w:t xml:space="preserve">磋商文件</w:t>
      </w:r>
      <w:r>
        <w:rPr>
          <w:rFonts w:hint="eastAsia" w:ascii="宋体" w:hAnsi="宋体"/>
          <w:b/>
          <w:bCs/>
          <w:color w:val="auto"/>
          <w:sz w:val="24"/>
          <w:szCs w:val="24"/>
          <w:highlight w:val="none"/>
        </w:rPr>
        <w:t xml:space="preserve">要求提供《中小企业声明函》、《残疾人福利性单位声明函》、《属于监狱企业的证明文件》。如未按要求提供、填写，或相关内容表述不清前后矛盾的，不享受价格扣除。</w:t>
      </w:r>
      <w:r/>
    </w:p>
    <w:p>
      <w:pPr>
        <w:jc w:val="left"/>
        <w:spacing w:line="560" w:lineRule="exact"/>
        <w:shd w:val="clear" w:color="auto" w:fill="ffffff"/>
        <w:widowControl/>
        <w:rPr>
          <w:rFonts w:hint="eastAsia" w:ascii="宋体" w:hAnsi="宋体"/>
          <w:b/>
          <w:bCs/>
          <w:color w:val="auto"/>
          <w:sz w:val="24"/>
          <w:szCs w:val="24"/>
          <w:highlight w:val="none"/>
        </w:rPr>
      </w:pPr>
      <w:r>
        <w:rPr>
          <w:rFonts w:ascii="宋体" w:hAnsi="宋体" w:cs="Arial"/>
          <w:b/>
          <w:color w:val="000000" w:themeColor="text1"/>
          <w:sz w:val="24"/>
          <w:szCs w:val="24"/>
          <w:highlight w:val="none"/>
          <w14:textFill>
            <w14:solidFill>
              <w14:schemeClr w14:val="tx1"/>
            </w14:solidFill>
          </w14:textFill>
        </w:rPr>
        <w:t xml:space="preserve">3、磋商结束后，磋商小组将要求所有实质性响应的供应商在规定时间内提交最后报价。</w:t>
      </w:r>
      <w:r>
        <w:rPr>
          <w:rFonts w:ascii="宋体" w:hAnsi="宋体" w:cs="Arial"/>
          <w:b/>
          <w:color w:val="000000" w:themeColor="text1"/>
          <w:szCs w:val="21"/>
          <w:highlight w:val="none"/>
          <w14:textFill>
            <w14:solidFill>
              <w14:schemeClr w14:val="tx1"/>
            </w14:solidFill>
          </w14:textFill>
        </w:rPr>
        <w:br w:type="page" w:clear="all"/>
      </w:r>
      <w:r/>
    </w:p>
    <w:p>
      <w:pPr>
        <w:spacing w:line="560" w:lineRule="exact"/>
        <w:tabs>
          <w:tab w:val="left" w:pos="1440" w:leader="none"/>
        </w:tabs>
        <w:rPr>
          <w:rFonts w:hint="eastAsia" w:ascii="宋体" w:hAnsi="宋体"/>
          <w:b/>
          <w:color w:val="auto"/>
          <w:sz w:val="24"/>
          <w:szCs w:val="24"/>
          <w:highlight w:val="none"/>
        </w:rPr>
      </w:pPr>
      <w:r/>
      <w:bookmarkStart w:id="43" w:name="_Toc490133031"/>
      <w:r/>
      <w:bookmarkStart w:id="44" w:name="_Toc504056871"/>
      <w:r/>
      <w:bookmarkStart w:id="45" w:name="_Toc504044383"/>
      <w:r/>
      <w:bookmarkStart w:id="46" w:name="_Toc504573086"/>
      <w:r/>
      <w:bookmarkStart w:id="47" w:name="_Toc534273680"/>
      <w:r/>
      <w:bookmarkStart w:id="48" w:name="_Toc534273803"/>
      <w:r/>
      <w:r/>
    </w:p>
    <w:p>
      <w:pPr>
        <w:ind w:firstLine="420"/>
        <w:spacing w:line="560" w:lineRule="exact"/>
        <w:tabs>
          <w:tab w:val="left" w:pos="1440"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附件四、分项报价表</w:t>
      </w:r>
      <w:bookmarkEnd w:id="43"/>
      <w:r/>
      <w:bookmarkEnd w:id="44"/>
      <w:r/>
      <w:bookmarkEnd w:id="45"/>
      <w:r/>
      <w:bookmarkEnd w:id="46"/>
      <w:r/>
      <w:bookmarkEnd w:id="47"/>
      <w:r/>
      <w:bookmarkEnd w:id="48"/>
      <w:r/>
      <w:r/>
    </w:p>
    <w:p>
      <w:pPr>
        <w:spacing w:line="560" w:lineRule="exact"/>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jc w:val="center"/>
        <w:spacing w:line="560" w:lineRule="exact"/>
        <w:shd w:val="clear" w:color="auto" w:fill="ffffff"/>
        <w:widowControl/>
        <w:rPr>
          <w:rFonts w:hint="eastAsia" w:ascii="宋体" w:hAnsi="宋体"/>
          <w:b/>
          <w:color w:val="auto"/>
          <w:sz w:val="24"/>
          <w:szCs w:val="24"/>
          <w:highlight w:val="none"/>
        </w:rPr>
      </w:pPr>
      <w:r/>
      <w:bookmarkStart w:id="49" w:name="_Toc534273682"/>
      <w:r/>
      <w:bookmarkStart w:id="50" w:name="_Toc534273804"/>
      <w:r/>
      <w:bookmarkStart w:id="51" w:name="_Toc534273681"/>
      <w:r/>
      <w:bookmarkStart w:id="52" w:name="_Toc534273805"/>
      <w:r/>
      <w:bookmarkStart w:id="53" w:name="_Toc490133032"/>
      <w:r/>
      <w:bookmarkStart w:id="54" w:name="_Toc504056872"/>
      <w:r/>
      <w:bookmarkStart w:id="55" w:name="_Toc504573087"/>
      <w:r/>
      <w:bookmarkStart w:id="56" w:name="_Toc504044384"/>
      <w:r>
        <w:rPr>
          <w:rFonts w:hint="eastAsia" w:ascii="宋体" w:hAnsi="宋体"/>
          <w:b/>
          <w:color w:val="auto"/>
          <w:sz w:val="24"/>
          <w:szCs w:val="24"/>
          <w:highlight w:val="none"/>
        </w:rPr>
        <w:t xml:space="preserve">分项报价表</w:t>
      </w:r>
      <w:r/>
    </w:p>
    <w:p>
      <w:pPr>
        <w:jc w:val="center"/>
        <w:spacing w:line="560" w:lineRule="exact"/>
        <w:shd w:val="clear" w:color="auto" w:fill="ffffff"/>
        <w:widowControl/>
        <w:rPr>
          <w:rFonts w:hint="eastAsia" w:ascii="宋体" w:hAnsi="宋体"/>
          <w:b/>
          <w:color w:val="auto"/>
          <w:sz w:val="24"/>
          <w:szCs w:val="24"/>
          <w:highlight w:val="none"/>
        </w:rPr>
      </w:pPr>
      <w:r>
        <w:rPr>
          <w:rFonts w:hint="eastAsia" w:ascii="宋体" w:hAnsi="宋体"/>
          <w:b/>
          <w:bCs/>
          <w:color w:val="auto"/>
          <w:sz w:val="24"/>
          <w:szCs w:val="24"/>
          <w:highlight w:val="none"/>
          <w:lang w:val="zh-CN"/>
        </w:rPr>
        <w:t xml:space="preserve">（格式自拟，请供应商予以关注。）</w:t>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1、未注明小微企业的，不享受价格扣除。</w:t>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符合“第二章 </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须知3.1条”所述情形的，须在《分项报价》中注明。</w:t>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（盖章）:</w:t>
      </w:r>
      <w:r>
        <w:rPr>
          <w:rFonts w:hint="eastAsia" w:ascii="宋体" w:hAnsi="宋体"/>
          <w:color w:val="auto"/>
          <w:sz w:val="24"/>
          <w:szCs w:val="24"/>
          <w:highlight w:val="none"/>
          <w:u w:val="single"/>
        </w:rPr>
        <w:t xml:space="preserve">            </w:t>
      </w:r>
      <w:r/>
    </w:p>
    <w:p>
      <w:pPr>
        <w:jc w:val="left"/>
        <w:spacing w:line="560" w:lineRule="exact"/>
        <w:shd w:val="clear" w:color="auto" w:fill="ffffff"/>
        <w:widowControl/>
        <w:rPr>
          <w:rFonts w:hint="eastAsia" w:ascii="宋体" w:hAnsi="宋体"/>
          <w:color w:val="auto"/>
          <w:sz w:val="24"/>
          <w:szCs w:val="24"/>
          <w:highlight w:val="none"/>
          <w:u w:val="single"/>
        </w:rPr>
      </w:pPr>
      <w:r>
        <w:rPr>
          <w:rFonts w:hint="eastAsia" w:ascii="宋体" w:hAnsi="宋体"/>
          <w:color w:val="auto"/>
          <w:sz w:val="24"/>
          <w:szCs w:val="24"/>
          <w:highlight w:val="none"/>
        </w:rPr>
        <w:t xml:space="preserve">法定代表人或其授权代表（签字）：</w:t>
      </w:r>
      <w:r>
        <w:rPr>
          <w:rFonts w:hint="eastAsia" w:ascii="宋体" w:hAnsi="宋体"/>
          <w:color w:val="auto"/>
          <w:sz w:val="24"/>
          <w:szCs w:val="24"/>
          <w:highlight w:val="none"/>
          <w:u w:val="single"/>
        </w:rPr>
        <w:t xml:space="preserve">          </w:t>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spacing w:before="312" w:after="312" w:line="560" w:lineRule="exact"/>
        <w:rPr>
          <w:rFonts w:hint="eastAsia" w:ascii="宋体" w:hAnsi="宋体"/>
          <w:b/>
          <w:color w:val="auto"/>
          <w:sz w:val="24"/>
          <w:szCs w:val="24"/>
          <w:highlight w:val="none"/>
        </w:rPr>
      </w:pPr>
      <w:r>
        <w:rPr>
          <w:rFonts w:hint="eastAsia" w:ascii="宋体" w:hAnsi="宋体"/>
          <w:color w:val="auto"/>
          <w:sz w:val="24"/>
          <w:szCs w:val="24"/>
          <w:highlight w:val="none"/>
        </w:rPr>
        <w:br w:type="page" w:clear="all"/>
      </w:r>
      <w:r>
        <w:rPr>
          <w:rFonts w:hint="eastAsia" w:ascii="宋体" w:hAnsi="宋体"/>
          <w:b/>
          <w:color w:val="auto"/>
          <w:sz w:val="24"/>
          <w:szCs w:val="24"/>
          <w:highlight w:val="none"/>
        </w:rPr>
        <w:t xml:space="preserve">附件五、商务条款偏离表格式</w:t>
      </w:r>
      <w:r/>
    </w:p>
    <w:p>
      <w:pPr>
        <w:ind w:firstLine="420"/>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p>
      <w:pPr>
        <w:jc w:val="center"/>
        <w:spacing w:before="312" w:line="560" w:lineRule="exact"/>
        <w:shd w:val="clear" w:color="auto" w:fill="ffffff"/>
        <w:widowControl/>
        <w:rPr>
          <w:rFonts w:hint="eastAsia" w:ascii="宋体" w:hAnsi="宋体"/>
          <w:b/>
          <w:color w:val="auto"/>
          <w:sz w:val="24"/>
          <w:szCs w:val="24"/>
          <w:highlight w:val="none"/>
        </w:rPr>
      </w:pPr>
      <w:r>
        <w:rPr>
          <w:rFonts w:hint="eastAsia" w:ascii="宋体" w:hAnsi="宋体"/>
          <w:b/>
          <w:color w:val="auto"/>
          <w:sz w:val="24"/>
          <w:szCs w:val="24"/>
          <w:highlight w:val="none"/>
        </w:rPr>
        <w:t xml:space="preserve">商务条款偏离表</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bl>
      <w:tblPr>
        <w:tblStyle w:val="765"/>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2729"/>
        <w:gridCol w:w="3119"/>
        <w:gridCol w:w="1861"/>
        <w:gridCol w:w="1038"/>
      </w:tblGrid>
      <w:tr>
        <w:trPr>
          <w:jc w:val="center"/>
          <w:trHeight w:val="284"/>
        </w:trPr>
        <w:tc>
          <w:tcPr>
            <w:gridSpan w:val="5"/>
            <w:tcBorders>
              <w:bottom w:val="single" w:color="auto" w:sz="6" w:space="0"/>
            </w:tcBorders>
            <w:tcW w:w="9412" w:type="dxa"/>
            <w:vAlign w:val="center"/>
            <w:textDirection w:val="lrTb"/>
            <w:noWrap w:val="false"/>
          </w:tcPr>
          <w:p>
            <w:pPr>
              <w:jc w:val="left"/>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项目名称：南京市社会儿童福利院高淳分院柴油采购</w:t>
            </w:r>
            <w:r/>
          </w:p>
          <w:p>
            <w:pPr>
              <w:jc w:val="left"/>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项目编号：JSZC-320100-YDZB-C2026-0017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磋商文件条目号</w:t>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磋商文件要求的商务条款</w:t>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投标响应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r>
    </w:tbl>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注：根据自己的商务水平对采购文件提出的要求和条件逐条标明是否响应。</w:t>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（盖章）:</w:t>
      </w:r>
      <w:r>
        <w:rPr>
          <w:rFonts w:hint="eastAsia" w:ascii="宋体" w:hAnsi="宋体"/>
          <w:color w:val="auto"/>
          <w:sz w:val="24"/>
          <w:szCs w:val="24"/>
          <w:highlight w:val="none"/>
          <w:u w:val="single"/>
        </w:rPr>
        <w:t xml:space="preserve">            </w:t>
      </w:r>
      <w:r/>
    </w:p>
    <w:p>
      <w:pPr>
        <w:jc w:val="left"/>
        <w:spacing w:line="560" w:lineRule="exact"/>
        <w:shd w:val="clear" w:color="auto" w:fill="ffffff"/>
        <w:widowControl/>
        <w:rPr>
          <w:rFonts w:hint="eastAsia" w:ascii="宋体" w:hAnsi="宋体"/>
          <w:color w:val="auto"/>
          <w:sz w:val="24"/>
          <w:szCs w:val="24"/>
          <w:highlight w:val="none"/>
          <w:u w:val="single"/>
        </w:rPr>
      </w:pPr>
      <w:r>
        <w:rPr>
          <w:rFonts w:hint="eastAsia" w:ascii="宋体" w:hAnsi="宋体"/>
          <w:color w:val="auto"/>
          <w:sz w:val="24"/>
          <w:szCs w:val="24"/>
          <w:highlight w:val="none"/>
        </w:rPr>
        <w:t xml:space="preserve">法定代表人或其授权代表（签字）：</w:t>
      </w:r>
      <w:r>
        <w:rPr>
          <w:rFonts w:hint="eastAsia" w:ascii="宋体" w:hAnsi="宋体"/>
          <w:color w:val="auto"/>
          <w:sz w:val="24"/>
          <w:szCs w:val="24"/>
          <w:highlight w:val="none"/>
          <w:u w:val="single"/>
        </w:rPr>
        <w:t xml:space="preserve">          </w:t>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jc w:val="left"/>
        <w:spacing w:line="560" w:lineRule="exact"/>
        <w:shd w:val="clear" w:color="auto" w:fill="ffffff"/>
        <w:widowControl/>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zh-CN"/>
        </w:rPr>
      </w:r>
      <w:r/>
    </w:p>
    <w:p>
      <w:pPr>
        <w:jc w:val="left"/>
        <w:spacing w:line="560" w:lineRule="exact"/>
        <w:shd w:val="clear" w:color="auto" w:fill="ffffff"/>
        <w:widowControl/>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zh-CN"/>
        </w:rPr>
      </w:r>
      <w:r/>
    </w:p>
    <w:p>
      <w:pPr>
        <w:jc w:val="left"/>
        <w:spacing w:line="560" w:lineRule="exact"/>
        <w:shd w:val="clear" w:color="auto" w:fill="ffffff"/>
        <w:widowControl/>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zh-CN"/>
        </w:rPr>
      </w:r>
      <w:r/>
    </w:p>
    <w:p>
      <w:pPr>
        <w:jc w:val="left"/>
        <w:spacing w:line="560" w:lineRule="exact"/>
        <w:shd w:val="clear" w:color="auto" w:fill="ffffff"/>
        <w:widowControl/>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zh-CN"/>
        </w:rPr>
      </w:r>
      <w:r/>
    </w:p>
    <w:p>
      <w:pPr>
        <w:jc w:val="left"/>
        <w:spacing w:line="560" w:lineRule="exact"/>
        <w:shd w:val="clear" w:color="auto" w:fill="ffffff"/>
        <w:widowControl/>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zh-CN"/>
        </w:rPr>
      </w:r>
      <w:r/>
    </w:p>
    <w:p>
      <w:pPr>
        <w:spacing w:before="312" w:after="312" w:line="560" w:lineRule="exact"/>
        <w:rPr>
          <w:rFonts w:hint="eastAsia" w:ascii="宋体" w:hAnsi="宋体"/>
          <w:b/>
          <w:color w:val="auto"/>
          <w:sz w:val="24"/>
          <w:szCs w:val="24"/>
          <w:highlight w:val="none"/>
        </w:rPr>
      </w:pPr>
      <w:r>
        <w:rPr>
          <w:rFonts w:hint="eastAsia" w:ascii="宋体" w:hAnsi="宋体"/>
          <w:b/>
          <w:bCs/>
          <w:color w:val="auto"/>
          <w:sz w:val="24"/>
          <w:szCs w:val="24"/>
          <w:highlight w:val="none"/>
        </w:rPr>
        <w:br w:type="page" w:clear="all"/>
      </w:r>
      <w:r>
        <w:rPr>
          <w:rFonts w:hint="eastAsia" w:ascii="宋体" w:hAnsi="宋体"/>
          <w:b/>
          <w:color w:val="auto"/>
          <w:sz w:val="24"/>
          <w:szCs w:val="24"/>
          <w:highlight w:val="none"/>
        </w:rPr>
        <w:t xml:space="preserve">附件六、采购需求条款偏离表（技术条款偏离表）格式</w:t>
      </w:r>
      <w:bookmarkEnd w:id="49"/>
      <w:r/>
      <w:bookmarkEnd w:id="50"/>
      <w:r/>
      <w:bookmarkEnd w:id="51"/>
      <w:r/>
      <w:bookmarkEnd w:id="52"/>
      <w:r/>
      <w:bookmarkEnd w:id="53"/>
      <w:r/>
      <w:bookmarkEnd w:id="54"/>
      <w:r/>
      <w:bookmarkEnd w:id="55"/>
      <w:r/>
      <w:bookmarkEnd w:id="56"/>
      <w:r/>
      <w:r/>
    </w:p>
    <w:p>
      <w:pPr>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pacing w:before="312" w:line="560" w:lineRule="exact"/>
        <w:shd w:val="clear" w:color="auto" w:fill="ffffff"/>
        <w:widowControl/>
        <w:rPr>
          <w:rFonts w:hint="eastAsia" w:ascii="宋体" w:hAnsi="宋体"/>
          <w:b/>
          <w:color w:val="auto"/>
          <w:sz w:val="24"/>
          <w:szCs w:val="24"/>
          <w:highlight w:val="none"/>
        </w:rPr>
      </w:pPr>
      <w:r>
        <w:rPr>
          <w:rFonts w:hint="eastAsia" w:ascii="宋体" w:hAnsi="宋体"/>
          <w:b/>
          <w:color w:val="auto"/>
          <w:sz w:val="24"/>
          <w:szCs w:val="24"/>
          <w:highlight w:val="none"/>
        </w:rPr>
        <w:t xml:space="preserve">采购需求条款偏离表（技术条款偏离表）</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                        </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r/>
    </w:p>
    <w:tbl>
      <w:tblPr>
        <w:tblStyle w:val="765"/>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3299"/>
        <w:gridCol w:w="1861"/>
        <w:gridCol w:w="1038"/>
      </w:tblGrid>
      <w:tr>
        <w:trPr>
          <w:jc w:val="center"/>
          <w:trHeight w:val="284"/>
        </w:trPr>
        <w:tc>
          <w:tcPr>
            <w:gridSpan w:val="5"/>
            <w:tcBorders>
              <w:bottom w:val="single" w:color="auto" w:sz="6" w:space="0"/>
            </w:tcBorders>
            <w:tcW w:w="9412" w:type="dxa"/>
            <w:vAlign w:val="center"/>
            <w:textDirection w:val="lrTb"/>
            <w:noWrap w:val="false"/>
          </w:tcPr>
          <w:p>
            <w:pPr>
              <w:jc w:val="left"/>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项目名称：南京市社会儿童福利院高淳分院柴油采购</w:t>
            </w:r>
            <w:r/>
          </w:p>
          <w:p>
            <w:pPr>
              <w:pStyle w:val="766"/>
              <w:ind w:firstLine="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项目编号：JSZC-320100-YDZB-C2026-0017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磋商文件条目号</w:t>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磋商文件要求的</w:t>
            </w:r>
            <w:r>
              <w:rPr>
                <w:rFonts w:hint="eastAsia" w:ascii="宋体" w:hAnsi="宋体"/>
                <w:color w:val="auto"/>
                <w:sz w:val="24"/>
                <w:szCs w:val="24"/>
                <w:highlight w:val="none"/>
              </w:rPr>
              <w:t xml:space="preserve">采购需求</w:t>
            </w:r>
            <w:r>
              <w:rPr>
                <w:rFonts w:hint="eastAsia" w:ascii="宋体" w:hAnsi="宋体"/>
                <w:color w:val="auto"/>
                <w:sz w:val="24"/>
                <w:szCs w:val="24"/>
                <w:highlight w:val="none"/>
                <w:lang w:val="zh-CN"/>
              </w:rPr>
              <w:t xml:space="preserve">条款</w:t>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投标响应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r>
    </w:tbl>
    <w:p>
      <w:pPr>
        <w:spacing w:line="560" w:lineRule="exact"/>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注：根据自己的技术水平对采购文件提出的要求和条件逐条标明是否响应。</w:t>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（盖章）:</w:t>
      </w:r>
      <w:r>
        <w:rPr>
          <w:rFonts w:hint="eastAsia" w:ascii="宋体" w:hAnsi="宋体"/>
          <w:color w:val="auto"/>
          <w:sz w:val="24"/>
          <w:szCs w:val="24"/>
          <w:highlight w:val="none"/>
          <w:u w:val="single"/>
        </w:rPr>
        <w:t xml:space="preserve">            </w:t>
      </w:r>
      <w:r/>
    </w:p>
    <w:p>
      <w:pPr>
        <w:jc w:val="left"/>
        <w:spacing w:line="560" w:lineRule="exact"/>
        <w:shd w:val="clear" w:color="auto" w:fill="ffffff"/>
        <w:widowControl/>
        <w:rPr>
          <w:rFonts w:hint="eastAsia" w:ascii="宋体" w:hAnsi="宋体"/>
          <w:color w:val="auto"/>
          <w:sz w:val="24"/>
          <w:szCs w:val="24"/>
          <w:highlight w:val="none"/>
          <w:u w:val="single"/>
        </w:rPr>
      </w:pPr>
      <w:r>
        <w:rPr>
          <w:rFonts w:hint="eastAsia" w:ascii="宋体" w:hAnsi="宋体"/>
          <w:color w:val="auto"/>
          <w:sz w:val="24"/>
          <w:szCs w:val="24"/>
          <w:highlight w:val="none"/>
        </w:rPr>
        <w:t xml:space="preserve">法定代表人或其授权代表（签字）：</w:t>
      </w:r>
      <w:r>
        <w:rPr>
          <w:rFonts w:hint="eastAsia" w:ascii="宋体" w:hAnsi="宋体"/>
          <w:color w:val="auto"/>
          <w:sz w:val="24"/>
          <w:szCs w:val="24"/>
          <w:highlight w:val="none"/>
          <w:u w:val="single"/>
        </w:rPr>
        <w:t xml:space="preserve">          </w:t>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p>
      <w:pPr>
        <w:spacing w:before="312" w:after="312" w:line="560" w:lineRule="exact"/>
        <w:rPr>
          <w:rFonts w:hint="eastAsia" w:ascii="宋体" w:hAnsi="宋体"/>
          <w:b/>
          <w:color w:val="auto"/>
          <w:sz w:val="24"/>
          <w:szCs w:val="24"/>
          <w:highlight w:val="none"/>
        </w:rPr>
      </w:pPr>
      <w:r/>
      <w:bookmarkStart w:id="57" w:name="_Toc504056873"/>
      <w:r/>
      <w:bookmarkStart w:id="58" w:name="_Toc490133033"/>
      <w:r/>
      <w:bookmarkStart w:id="59" w:name="_Toc504044385"/>
      <w:r/>
      <w:bookmarkStart w:id="60" w:name="_Toc504573088"/>
      <w:r>
        <w:rPr>
          <w:rFonts w:hint="eastAsia" w:ascii="宋体" w:hAnsi="宋体"/>
          <w:color w:val="auto"/>
          <w:sz w:val="24"/>
          <w:szCs w:val="24"/>
          <w:highlight w:val="none"/>
        </w:rPr>
        <w:br w:type="page" w:clear="all"/>
      </w:r>
      <w:bookmarkEnd w:id="57"/>
      <w:r/>
      <w:bookmarkEnd w:id="58"/>
      <w:r/>
      <w:bookmarkEnd w:id="59"/>
      <w:r/>
      <w:bookmarkEnd w:id="60"/>
      <w:r/>
      <w:bookmarkStart w:id="61" w:name="_Toc504056874"/>
      <w:r/>
      <w:bookmarkStart w:id="62" w:name="_Toc490133034"/>
      <w:r/>
      <w:bookmarkStart w:id="63" w:name="_Toc534273806"/>
      <w:r/>
      <w:bookmarkStart w:id="64" w:name="_Toc534273683"/>
      <w:r/>
      <w:bookmarkStart w:id="65" w:name="_Toc504573089"/>
      <w:r/>
      <w:bookmarkStart w:id="66" w:name="_Toc504044386"/>
      <w:r>
        <w:rPr>
          <w:rFonts w:hint="eastAsia" w:ascii="宋体" w:hAnsi="宋体"/>
          <w:b/>
          <w:color w:val="auto"/>
          <w:sz w:val="24"/>
          <w:szCs w:val="24"/>
          <w:highlight w:val="none"/>
        </w:rPr>
        <w:t xml:space="preserve">附件七、拟参与本项目人员一览表</w:t>
      </w:r>
      <w:bookmarkEnd w:id="61"/>
      <w:r/>
      <w:bookmarkEnd w:id="62"/>
      <w:r/>
      <w:bookmarkEnd w:id="63"/>
      <w:r/>
      <w:bookmarkEnd w:id="64"/>
      <w:r/>
      <w:bookmarkEnd w:id="65"/>
      <w:r/>
      <w:bookmarkEnd w:id="66"/>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p>
      <w:pPr>
        <w:ind w:left="420"/>
        <w:jc w:val="center"/>
        <w:spacing w:line="560" w:lineRule="exact"/>
        <w:shd w:val="clear" w:color="auto" w:fill="ffffff"/>
        <w:widowControl/>
        <w:rPr>
          <w:rFonts w:hint="eastAsia" w:ascii="宋体" w:hAnsi="宋体"/>
          <w:b/>
          <w:color w:val="auto"/>
          <w:sz w:val="24"/>
          <w:szCs w:val="24"/>
          <w:highlight w:val="none"/>
        </w:rPr>
      </w:pPr>
      <w:r>
        <w:rPr>
          <w:rFonts w:hint="eastAsia" w:ascii="宋体" w:hAnsi="宋体"/>
          <w:b/>
          <w:color w:val="auto"/>
          <w:sz w:val="24"/>
          <w:szCs w:val="24"/>
          <w:highlight w:val="none"/>
        </w:rPr>
        <w:t xml:space="preserve">拟参与本项目服务人员一览表</w:t>
      </w:r>
      <w:r/>
    </w:p>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南京市社会儿童福利院高淳分院柴油采购</w:t>
      </w:r>
      <w:r>
        <w:rPr>
          <w:rFonts w:hint="eastAsia" w:ascii="宋体" w:hAnsi="宋体"/>
          <w:color w:val="auto"/>
          <w:sz w:val="24"/>
          <w:szCs w:val="24"/>
          <w:highlight w:val="none"/>
        </w:rPr>
        <w:t xml:space="preserve">                                 </w:t>
      </w:r>
      <w:r/>
    </w:p>
    <w:p>
      <w:pPr>
        <w:pStyle w:val="766"/>
        <w:ind w:firstLine="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JSZC-320100-YDZB-C2026-0017</w:t>
      </w:r>
      <w:r>
        <w:rPr>
          <w:rFonts w:hint="eastAsia" w:ascii="宋体" w:hAnsi="宋体" w:cs="宋体"/>
          <w:color w:val="auto"/>
          <w:sz w:val="24"/>
          <w:szCs w:val="24"/>
          <w:highlight w:val="none"/>
        </w:rPr>
        <w:t xml:space="preserve">         </w:t>
      </w:r>
      <w:r/>
    </w:p>
    <w:tbl>
      <w:tblPr>
        <w:tblStyle w:val="765"/>
        <w:tblW w:w="11277" w:type="dxa"/>
        <w:jc w:val="center"/>
        <w:tblLayout w:type="fixed"/>
        <w:tblCellMar>
          <w:left w:w="108" w:type="dxa"/>
          <w:top w:w="0" w:type="dxa"/>
          <w:right w:w="108" w:type="dxa"/>
          <w:bottom w:w="0" w:type="dxa"/>
        </w:tblCellMar>
        <w:tblLook w:val="04A0" w:firstRow="1" w:lastRow="0" w:firstColumn="1" w:lastColumn="0" w:noHBand="0" w:noVBand="1"/>
      </w:tblPr>
      <w:tblGrid>
        <w:gridCol w:w="617"/>
        <w:gridCol w:w="2047"/>
        <w:gridCol w:w="850"/>
        <w:gridCol w:w="709"/>
        <w:gridCol w:w="992"/>
        <w:gridCol w:w="851"/>
        <w:gridCol w:w="1134"/>
        <w:gridCol w:w="992"/>
        <w:gridCol w:w="1109"/>
        <w:gridCol w:w="983"/>
        <w:gridCol w:w="993"/>
      </w:tblGrid>
      <w:tr>
        <w:trPr>
          <w:jc w:val="center"/>
          <w:trHeight w:val="10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line="560" w:lineRule="exact"/>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2047" w:type="dxa"/>
            <w:vAlign w:val="center"/>
            <w:textDirection w:val="lrTb"/>
            <w:noWrap w:val="false"/>
          </w:tcPr>
          <w:p>
            <w:pPr>
              <w:jc w:val="center"/>
              <w:spacing w:line="560" w:lineRule="exact"/>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姓名</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spacing w:line="560" w:lineRule="exact"/>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560" w:lineRule="exact"/>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年龄</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560" w:lineRule="exact"/>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学历</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560" w:lineRule="exact"/>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执业资格</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1109" w:type="dxa"/>
            <w:vAlign w:val="center"/>
            <w:textDirection w:val="lrTb"/>
            <w:noWrap w:val="false"/>
          </w:tcPr>
          <w:p>
            <w:pPr>
              <w:jc w:val="center"/>
              <w:spacing w:line="560" w:lineRule="exact"/>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jc w:val="center"/>
              <w:spacing w:line="560" w:lineRule="exact"/>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spacing w:line="560" w:lineRule="exact"/>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备注</w:t>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主要管理人员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项目负责人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专业技术人员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r>
    </w:tbl>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注：1、按</w:t>
      </w:r>
      <w:r>
        <w:rPr>
          <w:rFonts w:hint="eastAsia" w:ascii="宋体" w:hAnsi="宋体"/>
          <w:color w:val="auto"/>
          <w:sz w:val="24"/>
          <w:szCs w:val="24"/>
          <w:highlight w:val="none"/>
          <w:lang w:val="zh-CN"/>
        </w:rPr>
        <w:t xml:space="preserve">磋商文件</w:t>
      </w:r>
      <w:r>
        <w:rPr>
          <w:rFonts w:hint="eastAsia" w:ascii="宋体" w:hAnsi="宋体"/>
          <w:color w:val="auto"/>
          <w:sz w:val="24"/>
          <w:szCs w:val="24"/>
          <w:highlight w:val="none"/>
        </w:rPr>
        <w:t xml:space="preserve">要求及</w:t>
      </w:r>
      <w:r>
        <w:rPr>
          <w:rFonts w:hint="eastAsia" w:ascii="宋体" w:hAnsi="宋体"/>
          <w:color w:val="auto"/>
          <w:sz w:val="24"/>
          <w:szCs w:val="24"/>
          <w:highlight w:val="none"/>
        </w:rPr>
        <w:t xml:space="preserve">评标标准的要求，提供人员证书等，附后。</w:t>
      </w:r>
      <w:r/>
    </w:p>
    <w:p>
      <w:pPr>
        <w:pStyle w:val="996"/>
        <w:spacing w:line="560" w:lineRule="exact"/>
        <w:rPr>
          <w:rFonts w:hint="eastAsia" w:cs="宋体"/>
          <w:color w:val="auto"/>
          <w:szCs w:val="24"/>
          <w:highlight w:val="none"/>
        </w:rPr>
      </w:pPr>
      <w:r>
        <w:rPr>
          <w:rFonts w:hint="eastAsia" w:cs="宋体"/>
          <w:color w:val="auto"/>
          <w:szCs w:val="24"/>
          <w:highlight w:val="none"/>
        </w:rPr>
        <w:t xml:space="preserve">2、“备注”栏，可填写该人员擅长的工程（或工作）种类；</w:t>
      </w:r>
      <w:r/>
    </w:p>
    <w:p>
      <w:pPr>
        <w:pStyle w:val="996"/>
        <w:spacing w:line="560" w:lineRule="exact"/>
        <w:rPr>
          <w:rFonts w:hint="eastAsia" w:cs="宋体"/>
          <w:color w:val="auto"/>
          <w:szCs w:val="24"/>
          <w:highlight w:val="none"/>
        </w:rPr>
      </w:pPr>
      <w:r>
        <w:rPr>
          <w:rFonts w:hint="eastAsia" w:cs="宋体"/>
          <w:color w:val="auto"/>
          <w:szCs w:val="24"/>
          <w:highlight w:val="none"/>
        </w:rPr>
        <w:t xml:space="preserve">3、如果行数不够，请自行增加。</w:t>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（盖章）:</w:t>
      </w:r>
      <w:r>
        <w:rPr>
          <w:rFonts w:hint="eastAsia" w:ascii="宋体" w:hAnsi="宋体"/>
          <w:color w:val="auto"/>
          <w:sz w:val="24"/>
          <w:szCs w:val="24"/>
          <w:highlight w:val="none"/>
          <w:u w:val="single"/>
        </w:rPr>
        <w:t xml:space="preserve">            </w:t>
      </w:r>
      <w:r/>
    </w:p>
    <w:p>
      <w:pPr>
        <w:jc w:val="left"/>
        <w:spacing w:line="560" w:lineRule="exact"/>
        <w:shd w:val="clear" w:color="auto" w:fill="ffffff"/>
        <w:widowControl/>
        <w:rPr>
          <w:rFonts w:hint="eastAsia" w:ascii="宋体" w:hAnsi="宋体"/>
          <w:color w:val="auto"/>
          <w:sz w:val="24"/>
          <w:szCs w:val="24"/>
          <w:highlight w:val="none"/>
          <w:u w:val="single"/>
        </w:rPr>
      </w:pPr>
      <w:r>
        <w:rPr>
          <w:rFonts w:hint="eastAsia" w:ascii="宋体" w:hAnsi="宋体"/>
          <w:color w:val="auto"/>
          <w:sz w:val="24"/>
          <w:szCs w:val="24"/>
          <w:highlight w:val="none"/>
        </w:rPr>
        <w:t xml:space="preserve">法定代表人或其授权代表（签字）：</w:t>
      </w:r>
      <w:r>
        <w:rPr>
          <w:rFonts w:hint="eastAsia" w:ascii="宋体" w:hAnsi="宋体"/>
          <w:color w:val="auto"/>
          <w:sz w:val="24"/>
          <w:szCs w:val="24"/>
          <w:highlight w:val="none"/>
          <w:u w:val="single"/>
        </w:rPr>
        <w:t xml:space="preserve">          </w:t>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spacing w:before="312" w:after="312" w:line="560" w:lineRule="exact"/>
        <w:rPr>
          <w:rFonts w:hint="eastAsia" w:ascii="宋体" w:hAnsi="宋体"/>
          <w:b/>
          <w:color w:val="auto"/>
          <w:sz w:val="24"/>
          <w:szCs w:val="24"/>
          <w:highlight w:val="none"/>
        </w:rPr>
      </w:pPr>
      <w:r/>
      <w:bookmarkStart w:id="67" w:name="_Toc504573090"/>
      <w:r/>
      <w:bookmarkStart w:id="68" w:name="_Toc534273684"/>
      <w:r/>
      <w:bookmarkStart w:id="69" w:name="_Toc504056875"/>
      <w:r/>
      <w:bookmarkStart w:id="70" w:name="_Toc490133035"/>
      <w:r/>
      <w:bookmarkStart w:id="71" w:name="_Toc504044387"/>
      <w:r/>
      <w:bookmarkStart w:id="72" w:name="_Toc534273807"/>
      <w:r>
        <w:rPr>
          <w:rFonts w:hint="eastAsia" w:ascii="宋体" w:hAnsi="宋体"/>
          <w:b/>
          <w:color w:val="auto"/>
          <w:sz w:val="24"/>
          <w:szCs w:val="24"/>
          <w:highlight w:val="none"/>
        </w:rPr>
        <w:t xml:space="preserve">附件八、</w:t>
      </w:r>
      <w:r>
        <w:rPr>
          <w:rFonts w:hint="eastAsia" w:ascii="宋体" w:hAnsi="宋体"/>
          <w:b/>
          <w:color w:val="auto"/>
          <w:sz w:val="24"/>
          <w:szCs w:val="24"/>
          <w:highlight w:val="none"/>
          <w:lang w:eastAsia="zh-CN"/>
        </w:rPr>
        <w:t xml:space="preserve">供应商</w:t>
      </w:r>
      <w:r>
        <w:rPr>
          <w:rFonts w:hint="eastAsia" w:ascii="宋体" w:hAnsi="宋体"/>
          <w:b/>
          <w:color w:val="auto"/>
          <w:sz w:val="24"/>
          <w:szCs w:val="24"/>
          <w:highlight w:val="none"/>
        </w:rPr>
        <w:t xml:space="preserve">业绩情况表</w:t>
      </w:r>
      <w:bookmarkEnd w:id="67"/>
      <w:r/>
      <w:bookmarkEnd w:id="68"/>
      <w:r/>
      <w:bookmarkEnd w:id="69"/>
      <w:r/>
      <w:bookmarkEnd w:id="70"/>
      <w:r/>
      <w:bookmarkEnd w:id="71"/>
      <w:r/>
      <w:bookmarkEnd w:id="72"/>
      <w:r>
        <w:rPr>
          <w:rFonts w:hint="eastAsia" w:ascii="宋体" w:hAnsi="宋体"/>
          <w:b/>
          <w:bCs/>
          <w:color w:val="auto"/>
          <w:sz w:val="24"/>
          <w:szCs w:val="24"/>
          <w:highlight w:val="none"/>
        </w:rPr>
        <w:t xml:space="preserve">（及证明材料）</w:t>
      </w:r>
      <w:r/>
    </w:p>
    <w:p>
      <w:pPr>
        <w:jc w:val="center"/>
        <w:spacing w:before="312" w:line="560" w:lineRule="exact"/>
        <w:shd w:val="clear" w:color="auto" w:fill="ffffff"/>
        <w:widowControl/>
        <w:rPr>
          <w:rFonts w:hint="eastAsia" w:ascii="宋体" w:hAnsi="宋体"/>
          <w:b/>
          <w:color w:val="auto"/>
          <w:sz w:val="24"/>
          <w:szCs w:val="24"/>
          <w:highlight w:val="none"/>
        </w:rPr>
      </w:pPr>
      <w:r>
        <w:rPr>
          <w:rFonts w:hint="eastAsia" w:ascii="宋体" w:hAnsi="宋体"/>
          <w:b/>
          <w:color w:val="auto"/>
          <w:sz w:val="24"/>
          <w:szCs w:val="24"/>
          <w:highlight w:val="none"/>
        </w:rPr>
        <w:t xml:space="preserve">业绩情况表</w:t>
      </w:r>
      <w:r/>
    </w:p>
    <w:tbl>
      <w:tblPr>
        <w:tblStyle w:val="765"/>
        <w:tblW w:w="10244" w:type="dxa"/>
        <w:jc w:val="center"/>
        <w:tblLayout w:type="fixed"/>
        <w:tblCellMar>
          <w:left w:w="108" w:type="dxa"/>
          <w:top w:w="0" w:type="dxa"/>
          <w:right w:w="108" w:type="dxa"/>
          <w:bottom w:w="0" w:type="dxa"/>
        </w:tblCellMar>
        <w:tblLook w:val="04A0" w:firstRow="1" w:lastRow="0" w:firstColumn="1" w:lastColumn="0" w:noHBand="0" w:noVBand="1"/>
      </w:tblPr>
      <w:tblGrid>
        <w:gridCol w:w="818"/>
        <w:gridCol w:w="1903"/>
        <w:gridCol w:w="1722"/>
        <w:gridCol w:w="1205"/>
        <w:gridCol w:w="1842"/>
        <w:gridCol w:w="1602"/>
        <w:gridCol w:w="1152"/>
      </w:tblGrid>
      <w:tr>
        <w:trPr>
          <w:jc w:val="center"/>
          <w:trHeight w:val="76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项目规模</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签约及服务时间</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firstLine="120"/>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r>
    </w:tbl>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注：按</w:t>
      </w:r>
      <w:r>
        <w:rPr>
          <w:rFonts w:hint="eastAsia" w:ascii="宋体" w:hAnsi="宋体"/>
          <w:b/>
          <w:bCs/>
          <w:color w:val="auto"/>
          <w:sz w:val="24"/>
          <w:szCs w:val="24"/>
          <w:highlight w:val="none"/>
          <w:lang w:val="zh-CN"/>
        </w:rPr>
        <w:t xml:space="preserve">磋商文件</w:t>
      </w:r>
      <w:r>
        <w:rPr>
          <w:rFonts w:hint="eastAsia" w:ascii="宋体" w:hAnsi="宋体"/>
          <w:b/>
          <w:bCs/>
          <w:color w:val="auto"/>
          <w:sz w:val="24"/>
          <w:szCs w:val="24"/>
          <w:highlight w:val="none"/>
        </w:rPr>
        <w:t xml:space="preserve">要求及</w:t>
      </w:r>
      <w:r>
        <w:rPr>
          <w:rFonts w:hint="eastAsia" w:ascii="宋体" w:hAnsi="宋体"/>
          <w:b/>
          <w:bCs/>
          <w:color w:val="auto"/>
          <w:sz w:val="24"/>
          <w:szCs w:val="24"/>
          <w:highlight w:val="none"/>
        </w:rPr>
        <w:t xml:space="preserve">评标标准的要求，提供业绩证明材料等，附后。</w:t>
      </w:r>
      <w:r/>
    </w:p>
    <w:p>
      <w:pPr>
        <w:pStyle w:val="998"/>
        <w:spacing w:line="560" w:lineRule="exact"/>
        <w:rPr>
          <w:rFonts w:hint="eastAsia" w:ascii="宋体" w:hAnsi="宋体" w:cs="宋体"/>
          <w:color w:val="auto"/>
          <w:highlight w:val="none"/>
        </w:rPr>
      </w:pPr>
      <w:r>
        <w:rPr>
          <w:rFonts w:hint="eastAsia" w:ascii="宋体" w:hAnsi="宋体" w:cs="宋体"/>
          <w:color w:val="auto"/>
          <w:highlight w:val="none"/>
        </w:rPr>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（盖章）：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jc w:val="left"/>
        <w:spacing w:line="560" w:lineRule="exact"/>
        <w:shd w:val="clear" w:color="auto" w:fill="ffffff"/>
        <w:widowControl/>
        <w:rPr>
          <w:rFonts w:hint="eastAsia" w:ascii="宋体" w:hAnsi="宋体"/>
          <w:color w:val="auto"/>
          <w:sz w:val="24"/>
          <w:szCs w:val="24"/>
          <w:highlight w:val="none"/>
          <w:u w:val="single"/>
        </w:rPr>
      </w:pPr>
      <w:r>
        <w:rPr>
          <w:rFonts w:hint="eastAsia" w:ascii="宋体" w:hAnsi="宋体"/>
          <w:color w:val="auto"/>
          <w:sz w:val="24"/>
          <w:szCs w:val="24"/>
          <w:highlight w:val="none"/>
        </w:rPr>
        <w:t xml:space="preserve">授权代表（签字）：</w:t>
      </w:r>
      <w:r>
        <w:rPr>
          <w:rFonts w:hint="eastAsia" w:ascii="宋体" w:hAnsi="宋体"/>
          <w:color w:val="auto"/>
          <w:sz w:val="24"/>
          <w:szCs w:val="24"/>
          <w:highlight w:val="none"/>
          <w:u w:val="single"/>
        </w:rPr>
        <w:t xml:space="preserve">                              </w:t>
      </w:r>
      <w:r/>
    </w:p>
    <w:p>
      <w:pPr>
        <w:jc w:val="center"/>
        <w:spacing w:before="312"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spacing w:before="312" w:after="312" w:line="560" w:lineRule="exact"/>
        <w:rPr>
          <w:rFonts w:hint="eastAsia" w:ascii="宋体" w:hAnsi="宋体"/>
          <w:b/>
          <w:color w:val="auto"/>
          <w:sz w:val="24"/>
          <w:szCs w:val="24"/>
          <w:highlight w:val="none"/>
        </w:rPr>
      </w:pPr>
      <w:r>
        <w:rPr>
          <w:rStyle w:val="807"/>
          <w:rFonts w:hint="eastAsia" w:ascii="宋体" w:hAnsi="宋体" w:eastAsia="宋体"/>
          <w:color w:val="auto"/>
          <w:sz w:val="24"/>
          <w:szCs w:val="24"/>
          <w:highlight w:val="none"/>
        </w:rPr>
        <w:br w:type="page" w:clear="all"/>
      </w:r>
      <w:bookmarkStart w:id="73" w:name="_Toc534273685"/>
      <w:r/>
      <w:bookmarkStart w:id="74" w:name="_Toc504573091"/>
      <w:r/>
      <w:bookmarkStart w:id="75" w:name="_Toc504056876"/>
      <w:r/>
      <w:bookmarkStart w:id="76" w:name="_Toc490133036"/>
      <w:r/>
      <w:bookmarkStart w:id="77" w:name="_Toc504044388"/>
      <w:r/>
      <w:bookmarkStart w:id="78" w:name="_Toc534273808"/>
      <w:r>
        <w:rPr>
          <w:rFonts w:hint="eastAsia" w:ascii="宋体" w:hAnsi="宋体"/>
          <w:b/>
          <w:color w:val="auto"/>
          <w:sz w:val="24"/>
          <w:szCs w:val="24"/>
          <w:highlight w:val="none"/>
        </w:rPr>
        <w:t xml:space="preserve">附件九、企业声明函格式</w:t>
      </w:r>
      <w:bookmarkEnd w:id="73"/>
      <w:r/>
      <w:bookmarkEnd w:id="74"/>
      <w:r/>
      <w:bookmarkEnd w:id="75"/>
      <w:r/>
      <w:bookmarkEnd w:id="76"/>
      <w:r/>
      <w:bookmarkEnd w:id="77"/>
      <w:r/>
      <w:bookmarkEnd w:id="78"/>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before="312" w:line="560" w:lineRule="exact"/>
        <w:shd w:val="clear" w:color="auto" w:fill="ffffff"/>
        <w:widowControl/>
        <w:rPr>
          <w:rFonts w:hint="eastAsia" w:ascii="宋体" w:hAnsi="宋体"/>
          <w:b/>
          <w:color w:val="auto"/>
          <w:sz w:val="24"/>
          <w:szCs w:val="24"/>
          <w:highlight w:val="none"/>
        </w:rPr>
      </w:pPr>
      <w:r>
        <w:rPr>
          <w:rFonts w:hint="eastAsia" w:ascii="宋体" w:hAnsi="宋体"/>
          <w:b/>
          <w:color w:val="auto"/>
          <w:sz w:val="24"/>
          <w:szCs w:val="24"/>
          <w:highlight w:val="none"/>
        </w:rPr>
        <w:t xml:space="preserve">中小企业声明函</w:t>
      </w:r>
      <w:r/>
    </w:p>
    <w:p>
      <w:pPr>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lang w:eastAsia="zh-CN"/>
        </w:rPr>
        <w:t xml:space="preserve">南京市社会儿童福利院</w:t>
      </w:r>
      <w:r>
        <w:rPr>
          <w:rFonts w:hint="eastAsia" w:ascii="宋体" w:hAnsi="宋体"/>
          <w:color w:val="auto"/>
          <w:sz w:val="24"/>
          <w:szCs w:val="24"/>
          <w:highlight w:val="none"/>
        </w:rPr>
        <w:t xml:space="preserve">的</w:t>
      </w:r>
      <w:r>
        <w:rPr>
          <w:rFonts w:hint="eastAsia" w:ascii="宋体" w:hAnsi="宋体"/>
          <w:color w:val="auto"/>
          <w:sz w:val="24"/>
          <w:szCs w:val="24"/>
          <w:highlight w:val="none"/>
          <w:u w:val="single"/>
          <w:lang w:eastAsia="zh-CN"/>
        </w:rPr>
        <w:t xml:space="preserve">南京市社会儿童福利院高淳分院柴油采购</w:t>
      </w:r>
      <w:r>
        <w:rPr>
          <w:rFonts w:hint="eastAsia" w:ascii="宋体" w:hAnsi="宋体"/>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80"/>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1. </w:t>
      </w:r>
      <w:r>
        <w:rPr>
          <w:rFonts w:hint="eastAsia" w:ascii="宋体" w:hAnsi="宋体"/>
          <w:color w:val="auto"/>
          <w:sz w:val="24"/>
          <w:szCs w:val="24"/>
          <w:highlight w:val="none"/>
          <w:u w:val="single"/>
          <w:lang w:eastAsia="zh-CN"/>
        </w:rPr>
        <w:t xml:space="preserve">南京市社会儿童福利院高淳分院柴油采购</w:t>
      </w:r>
      <w:r>
        <w:rPr>
          <w:rFonts w:hint="eastAsia" w:ascii="宋体" w:hAnsi="宋体"/>
          <w:color w:val="auto"/>
          <w:sz w:val="24"/>
          <w:szCs w:val="24"/>
          <w:highlight w:val="none"/>
        </w:rPr>
        <w:t xml:space="preserve"> ，属于</w:t>
      </w:r>
      <w:r>
        <w:rPr>
          <w:rFonts w:hint="eastAsia" w:ascii="宋体" w:hAnsi="宋体"/>
          <w:b w:val="0"/>
          <w:bCs w:val="0"/>
          <w:color w:val="auto"/>
          <w:sz w:val="24"/>
          <w:szCs w:val="24"/>
          <w:highlight w:val="none"/>
          <w:u w:val="single"/>
        </w:rPr>
        <w:t xml:space="preserve">批发和零售业</w:t>
      </w:r>
      <w:r>
        <w:rPr>
          <w:rFonts w:hint="eastAsia" w:ascii="宋体" w:hAnsi="宋体"/>
          <w:color w:val="auto"/>
          <w:sz w:val="24"/>
          <w:szCs w:val="24"/>
          <w:highlight w:val="none"/>
        </w:rPr>
        <w:t xml:space="preserve">；承建（承接）企业为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ind w:firstLine="480"/>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r>
      <w:r/>
    </w:p>
    <w:p>
      <w:pPr>
        <w:ind w:firstLine="4560"/>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r>
      <w:r/>
    </w:p>
    <w:p>
      <w:pPr>
        <w:ind w:firstLine="4560"/>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r>
      <w:r/>
    </w:p>
    <w:p>
      <w:pPr>
        <w:ind w:firstLine="4560"/>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企业名称（盖章）：</w:t>
      </w:r>
      <w:r/>
    </w:p>
    <w:p>
      <w:pPr>
        <w:ind w:firstLine="4560"/>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日    期： </w:t>
      </w:r>
      <w:r/>
    </w:p>
    <w:p>
      <w:pPr>
        <w:jc w:val="center"/>
        <w:spacing w:before="312" w:line="560" w:lineRule="exact"/>
        <w:shd w:val="clear" w:color="auto" w:fill="ffffff"/>
        <w:widowControl/>
        <w:rPr>
          <w:rFonts w:hint="eastAsia" w:ascii="宋体" w:hAnsi="宋体"/>
          <w:b/>
          <w:color w:val="auto"/>
          <w:sz w:val="24"/>
          <w:szCs w:val="24"/>
          <w:highlight w:val="none"/>
        </w:rPr>
      </w:pPr>
      <w:r/>
      <w:bookmarkStart w:id="79" w:name="OLE_LINK14"/>
      <w:r/>
      <w:bookmarkStart w:id="80" w:name="OLE_LINK13"/>
      <w:r/>
      <w:r/>
    </w:p>
    <w:p>
      <w:pPr>
        <w:jc w:val="center"/>
        <w:spacing w:before="312" w:line="560" w:lineRule="exact"/>
        <w:shd w:val="clear" w:color="auto" w:fill="ffffff"/>
        <w:widowControl/>
        <w:rPr>
          <w:rFonts w:hint="eastAsia" w:ascii="宋体" w:hAnsi="宋体"/>
          <w:b/>
          <w:color w:val="auto"/>
          <w:sz w:val="24"/>
          <w:szCs w:val="24"/>
          <w:highlight w:val="none"/>
        </w:rPr>
      </w:pPr>
      <w:r>
        <w:rPr>
          <w:rFonts w:hint="eastAsia" w:ascii="宋体" w:hAnsi="宋体"/>
          <w:b/>
          <w:color w:val="auto"/>
          <w:sz w:val="24"/>
          <w:szCs w:val="24"/>
          <w:highlight w:val="none"/>
        </w:rPr>
      </w:r>
      <w:r/>
    </w:p>
    <w:p>
      <w:pPr>
        <w:pStyle w:val="773"/>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before="312" w:line="560" w:lineRule="exact"/>
        <w:shd w:val="clear" w:color="auto" w:fill="ffffff"/>
        <w:widowControl/>
        <w:rPr>
          <w:rFonts w:hint="eastAsia" w:ascii="宋体" w:hAnsi="宋体"/>
          <w:b/>
          <w:color w:val="auto"/>
          <w:sz w:val="24"/>
          <w:szCs w:val="24"/>
          <w:highlight w:val="none"/>
        </w:rPr>
      </w:pPr>
      <w:r>
        <w:rPr>
          <w:rFonts w:hint="eastAsia" w:ascii="宋体" w:hAnsi="宋体"/>
          <w:b/>
          <w:color w:val="auto"/>
          <w:sz w:val="24"/>
          <w:szCs w:val="24"/>
          <w:highlight w:val="none"/>
        </w:rPr>
        <w:t xml:space="preserve">残疾人福利性单位声明函</w:t>
      </w:r>
      <w:bookmarkEnd w:id="79"/>
      <w:bookmarkEnd w:id="80"/>
      <w:r/>
    </w:p>
    <w:p>
      <w:pPr>
        <w:ind w:firstLine="480"/>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ind w:firstLine="5760"/>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ind w:firstLine="5760"/>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ind w:firstLine="5760"/>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ind w:firstLine="4560"/>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（盖章）:</w:t>
      </w:r>
      <w:r>
        <w:rPr>
          <w:rFonts w:hint="eastAsia" w:ascii="宋体" w:hAnsi="宋体"/>
          <w:color w:val="auto"/>
          <w:sz w:val="24"/>
          <w:szCs w:val="24"/>
          <w:highlight w:val="none"/>
          <w:u w:val="single"/>
        </w:rPr>
        <w:t xml:space="preserve">            </w:t>
      </w:r>
      <w:r/>
    </w:p>
    <w:p>
      <w:pPr>
        <w:ind w:firstLine="4560"/>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color w:val="auto"/>
          <w:sz w:val="24"/>
          <w:szCs w:val="24"/>
          <w:highlight w:val="none"/>
        </w:rPr>
        <w:t xml:space="preserve">日    期：   年    月    日</w:t>
      </w:r>
      <w:r/>
    </w:p>
    <w:p>
      <w:pPr>
        <w:jc w:val="center"/>
        <w:spacing w:before="312" w:line="560" w:lineRule="exact"/>
        <w:shd w:val="clear" w:color="auto" w:fill="ffffff"/>
        <w:widowControl/>
        <w:rPr>
          <w:rFonts w:hint="eastAsia" w:ascii="宋体" w:hAnsi="宋体"/>
          <w:b/>
          <w:color w:val="auto"/>
          <w:sz w:val="24"/>
          <w:szCs w:val="24"/>
          <w:highlight w:val="none"/>
        </w:rPr>
      </w:pPr>
      <w:r>
        <w:rPr>
          <w:rFonts w:hint="eastAsia" w:ascii="宋体" w:hAnsi="宋体"/>
          <w:b/>
          <w:color w:val="auto"/>
          <w:sz w:val="24"/>
          <w:szCs w:val="24"/>
          <w:highlight w:val="none"/>
        </w:rPr>
        <w:br w:type="page" w:clear="all"/>
      </w:r>
      <w:r>
        <w:rPr>
          <w:rFonts w:hint="eastAsia" w:ascii="宋体" w:hAnsi="宋体"/>
          <w:b/>
          <w:color w:val="auto"/>
          <w:sz w:val="24"/>
          <w:szCs w:val="24"/>
          <w:highlight w:val="none"/>
        </w:rPr>
        <w:t xml:space="preserve">属于监狱企业的证明文件</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（提供由省级以上监狱管理局、戒毒管理局（含新疆生产建设兵团）出具的属于监狱企业的证明文件）</w:t>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节能产品认证证书</w:t>
      </w:r>
      <w:r/>
    </w:p>
    <w:p>
      <w:pPr>
        <w:spacing w:before="312" w:line="560" w:lineRule="exact"/>
        <w:shd w:val="clear" w:color="auto" w:fill="ffffff"/>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（提供国家确定的认证机构出具的、处于有效期之内的产品认证证书）</w:t>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560" w:lineRule="exact"/>
        <w:rPr>
          <w:rFonts w:hint="eastAsia" w:ascii="宋体" w:hAnsi="宋体"/>
          <w:b/>
          <w:bCs/>
          <w:color w:val="auto"/>
          <w:sz w:val="24"/>
          <w:szCs w:val="24"/>
          <w:highlight w:val="none"/>
        </w:rPr>
      </w:pPr>
      <w:r>
        <w:rPr>
          <w:rFonts w:hint="eastAsia" w:ascii="宋体" w:hAnsi="宋体"/>
          <w:b/>
          <w:color w:val="auto"/>
          <w:sz w:val="24"/>
          <w:szCs w:val="24"/>
          <w:highlight w:val="none"/>
        </w:rPr>
        <w:t xml:space="preserve">环境标志产品认证证书</w:t>
      </w:r>
      <w:r/>
    </w:p>
    <w:p>
      <w:pPr>
        <w:spacing w:before="312" w:line="560" w:lineRule="exact"/>
        <w:shd w:val="clear" w:color="auto" w:fill="ffffff"/>
        <w:widowControl/>
        <w:rPr>
          <w:rFonts w:hint="eastAsia" w:ascii="宋体" w:hAnsi="宋体"/>
          <w:color w:val="auto"/>
          <w:sz w:val="24"/>
          <w:szCs w:val="24"/>
          <w:highlight w:val="none"/>
        </w:rPr>
      </w:pPr>
      <w:r>
        <w:rPr>
          <w:rFonts w:hint="eastAsia" w:ascii="宋体" w:hAnsi="宋体"/>
          <w:bCs/>
          <w:color w:val="auto"/>
          <w:sz w:val="24"/>
          <w:szCs w:val="24"/>
          <w:highlight w:val="none"/>
        </w:rPr>
        <w:t xml:space="preserve">（提供国家确定的认证机构出具的、处于有效期之内的产品认证证书）</w:t>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before="312" w:line="560" w:lineRule="exact"/>
        <w:shd w:val="clear" w:color="auto" w:fill="ffffff"/>
        <w:widowControl/>
        <w:rPr>
          <w:rFonts w:hint="eastAsia" w:ascii="宋体" w:hAnsi="宋体"/>
          <w:b/>
          <w:color w:val="auto"/>
          <w:sz w:val="24"/>
          <w:szCs w:val="24"/>
          <w:highlight w:val="none"/>
        </w:rPr>
      </w:pPr>
      <w:r>
        <w:rPr>
          <w:rFonts w:hint="eastAsia" w:ascii="宋体" w:hAnsi="宋体"/>
          <w:b/>
          <w:color w:val="auto"/>
          <w:sz w:val="24"/>
          <w:szCs w:val="24"/>
          <w:highlight w:val="none"/>
        </w:rPr>
        <w:t xml:space="preserve">进口产品转让技术、消化吸收再创新方案</w:t>
      </w:r>
      <w:r/>
    </w:p>
    <w:p>
      <w:pPr>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（对于允许进口产品参加的项目）</w:t>
      </w:r>
      <w:r/>
    </w:p>
    <w:p>
      <w:pPr>
        <w:spacing w:before="312" w:after="312" w:line="560" w:lineRule="exact"/>
        <w:rPr>
          <w:rFonts w:hint="eastAsia" w:ascii="宋体" w:hAnsi="宋体"/>
          <w:b/>
          <w:color w:val="auto"/>
          <w:sz w:val="24"/>
          <w:szCs w:val="24"/>
          <w:highlight w:val="none"/>
        </w:rPr>
      </w:pPr>
      <w:r>
        <w:rPr>
          <w:rFonts w:hint="eastAsia" w:ascii="宋体" w:hAnsi="宋体"/>
          <w:color w:val="auto"/>
          <w:sz w:val="24"/>
          <w:szCs w:val="24"/>
          <w:highlight w:val="none"/>
          <w:lang w:val="zh-CN"/>
        </w:rPr>
        <w:br w:type="page" w:clear="all"/>
      </w:r>
      <w:bookmarkStart w:id="81" w:name="_Toc490133037"/>
      <w:r/>
      <w:bookmarkStart w:id="82" w:name="_Toc504044389"/>
      <w:r/>
      <w:bookmarkStart w:id="83" w:name="_Toc8704"/>
      <w:r/>
      <w:bookmarkStart w:id="84" w:name="_Toc504056877"/>
      <w:r/>
      <w:bookmarkStart w:id="85" w:name="_Toc534273686"/>
      <w:r/>
      <w:bookmarkStart w:id="86" w:name="_Toc504573092"/>
      <w:r/>
      <w:bookmarkStart w:id="87" w:name="_Toc534273809"/>
      <w:r>
        <w:rPr>
          <w:rFonts w:hint="eastAsia" w:ascii="宋体" w:hAnsi="宋体"/>
          <w:b/>
          <w:color w:val="auto"/>
          <w:sz w:val="24"/>
          <w:szCs w:val="24"/>
          <w:highlight w:val="none"/>
        </w:rPr>
        <w:t xml:space="preserve">附件十、无重大违法记录声明格式</w:t>
      </w:r>
      <w:r/>
    </w:p>
    <w:p>
      <w:pPr>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无重大违法记录声明</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江苏有点招标代理有限公司：</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20"/>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我单位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名称）宣布声明和承诺如下：</w:t>
      </w:r>
      <w:r/>
    </w:p>
    <w:p>
      <w:pPr>
        <w:ind w:firstLine="354"/>
        <w:spacing w:line="560" w:lineRule="exact"/>
        <w:shd w:val="clear" w:color="auto" w:fill="ffffff"/>
        <w:widowControl/>
        <w:rPr>
          <w:rFonts w:hint="eastAsia"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我单位参加本次采购活动前3年内在经营活动中</w:t>
      </w:r>
      <w:r>
        <w:rPr>
          <w:rFonts w:hint="eastAsia" w:ascii="宋体" w:hAnsi="宋体"/>
          <w:color w:val="auto"/>
          <w:sz w:val="24"/>
          <w:szCs w:val="24"/>
          <w:highlight w:val="none"/>
        </w:rPr>
        <w:t xml:space="preserve">（</w:t>
      </w:r>
      <w:r>
        <w:rPr>
          <w:rFonts w:hint="eastAsia" w:ascii="宋体" w:hAnsi="宋体"/>
          <w:b/>
          <w:i/>
          <w:color w:val="auto"/>
          <w:sz w:val="24"/>
          <w:szCs w:val="24"/>
          <w:highlight w:val="none"/>
          <w:u w:val="single"/>
        </w:rPr>
        <w:t xml:space="preserve">在下划线上如实填写：有或没有</w:t>
      </w:r>
      <w:r>
        <w:rPr>
          <w:rFonts w:hint="eastAsia" w:ascii="宋体" w:hAnsi="宋体"/>
          <w:color w:val="auto"/>
          <w:sz w:val="24"/>
          <w:szCs w:val="24"/>
          <w:highlight w:val="none"/>
        </w:rPr>
        <w:t xml:space="preserve">）</w:t>
      </w:r>
      <w:r>
        <w:rPr>
          <w:rFonts w:hint="eastAsia" w:ascii="宋体" w:hAnsi="宋体"/>
          <w:b/>
          <w:color w:val="auto"/>
          <w:sz w:val="24"/>
          <w:szCs w:val="24"/>
          <w:highlight w:val="none"/>
        </w:rPr>
        <w:t xml:space="preserve">重大违法记录</w:t>
      </w:r>
      <w:r>
        <w:rPr>
          <w:rFonts w:hint="eastAsia" w:ascii="宋体" w:hAnsi="宋体"/>
          <w:b/>
          <w:color w:val="auto"/>
          <w:sz w:val="24"/>
          <w:szCs w:val="24"/>
          <w:highlight w:val="none"/>
        </w:rPr>
        <w:t xml:space="preserve">，且不是失信被执行人、重大税收违法案件当事人名单、政府采购严重违法失信行为记录名单的</w:t>
      </w:r>
      <w:r>
        <w:rPr>
          <w:rFonts w:hint="eastAsia" w:ascii="宋体" w:hAnsi="宋体"/>
          <w:b/>
          <w:color w:val="auto"/>
          <w:sz w:val="24"/>
          <w:szCs w:val="24"/>
          <w:highlight w:val="none"/>
          <w:lang w:eastAsia="zh-CN"/>
        </w:rPr>
        <w:t xml:space="preserve">供应商</w:t>
      </w:r>
      <w:r>
        <w:rPr>
          <w:rFonts w:hint="eastAsia" w:ascii="宋体" w:hAnsi="宋体"/>
          <w:b/>
          <w:color w:val="auto"/>
          <w:sz w:val="24"/>
          <w:szCs w:val="24"/>
          <w:highlight w:val="none"/>
        </w:rPr>
        <w:t xml:space="preserve">。</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（说明：政府采购法第二十二条第一款第五项所称重大违法记录，是指</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因违法经营受到刑事处罚或者责令停产停业、吊销许可证或者执照、较大数额罚款等行政处罚。）</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5832"/>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声明人：（公章）</w:t>
      </w:r>
      <w:r/>
    </w:p>
    <w:p>
      <w:pPr>
        <w:ind w:right="840" w:firstLine="5760"/>
        <w:spacing w:line="56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日   期：    年   月  日</w:t>
      </w:r>
      <w:r>
        <w:rPr>
          <w:rFonts w:hint="eastAsia" w:ascii="宋体" w:hAnsi="宋体"/>
          <w:color w:val="auto"/>
          <w:sz w:val="24"/>
          <w:szCs w:val="24"/>
          <w:highlight w:val="none"/>
        </w:rPr>
        <w:br w:type="page" w:clear="all"/>
      </w:r>
      <w:bookmarkEnd w:id="81"/>
      <w:r/>
      <w:bookmarkEnd w:id="82"/>
      <w:r/>
      <w:bookmarkEnd w:id="83"/>
      <w:r/>
      <w:bookmarkEnd w:id="84"/>
      <w:r/>
      <w:bookmarkEnd w:id="85"/>
      <w:r/>
      <w:bookmarkEnd w:id="86"/>
      <w:r/>
      <w:bookmarkEnd w:id="87"/>
      <w:r>
        <w:rPr>
          <w:rFonts w:hint="eastAsia" w:ascii="宋体" w:hAnsi="宋体"/>
          <w:b/>
          <w:color w:val="auto"/>
          <w:sz w:val="24"/>
          <w:szCs w:val="24"/>
          <w:highlight w:val="none"/>
        </w:rPr>
        <w:t xml:space="preserve">附件十一、 资格资信证明文件</w:t>
      </w:r>
      <w:r/>
    </w:p>
    <w:p>
      <w:pPr>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附件十二、</w:t>
      </w:r>
      <w:r>
        <w:rPr>
          <w:rFonts w:hint="eastAsia" w:ascii="宋体" w:hAnsi="宋体"/>
          <w:b/>
          <w:color w:val="auto"/>
          <w:sz w:val="24"/>
          <w:szCs w:val="24"/>
          <w:highlight w:val="none"/>
          <w:lang w:val="zh-CN"/>
        </w:rPr>
        <w:t xml:space="preserve">技术说明或服务方案（根据文件要求自行编制）</w:t>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附件十三：关于符合本国产品标准的声明函</w:t>
      </w:r>
      <w:r/>
    </w:p>
    <w:p>
      <w:pPr>
        <w:ind w:firstLine="360"/>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360"/>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关于符合本国产品标准的声明函</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产品名称1），生产厂为（厂名），厂址为（生产厂址）。（产品名称1）的中国境内生产的组件成本占比≥（规定比例）。（产品名称1）的（关键组件）在中国境内生产。（产品名称1）的（关键工序）在中国境内完成。</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本公司（单位）对上述声明内容的真实性负责。如有虚假，愿承担相应法律责任。</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公司（单位）名称（盖章）：　        </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日期：　     年　  月　  日         </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________________</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1.产品如有型号，请在“产品名称”栏一并填写。</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2.生产厂名与厂址应与生产厂营业执照载明的相关信息保持一致。</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3.该产品的中国境内生产的组件成本占比相关要求实施前，“规定比例”栏可不填，下同。</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4.该产品的关键组件要求实施前，“关键组件”栏可不填，下同。</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5.该产品的关键工序要求实施前，“关键工序”栏可不填，下同。</w:t>
      </w:r>
      <w:r/>
    </w:p>
    <w:p>
      <w:pPr>
        <w:pStyle w:val="774"/>
        <w:ind w:firstLine="0"/>
        <w:spacing w:line="560" w:lineRule="exact"/>
        <w:rPr>
          <w:rFonts w:hint="eastAsia" w:hAnsi="宋体"/>
          <w:color w:val="auto"/>
          <w:sz w:val="24"/>
          <w:szCs w:val="24"/>
          <w:highlight w:val="none"/>
        </w:rPr>
      </w:pPr>
      <w:r>
        <w:rPr>
          <w:rFonts w:hint="eastAsia" w:hAnsi="宋体"/>
          <w:color w:val="auto"/>
          <w:sz w:val="24"/>
          <w:szCs w:val="24"/>
          <w:highlight w:val="none"/>
        </w:rPr>
      </w:r>
      <w:r/>
    </w:p>
    <w:sectPr>
      <w:footerReference w:type="default" r:id="rId12"/>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Arial Unicode MS">
    <w:panose1 w:val="020B0604020202020204"/>
  </w:font>
  <w:font w:name="方正仿宋_GBK">
    <w:panose1 w:val="020B0503020202020204"/>
  </w:font>
  <w:font w:name="方正黑体_GBK">
    <w:panose1 w:val="020B0503020202020204"/>
  </w:font>
  <w:font w:name="华文细黑">
    <w:panose1 w:val="02010600040101010101"/>
  </w:font>
  <w:font w:name="font-weight : 400">
    <w:panose1 w:val="020B0503020202020204"/>
  </w:font>
  <w:font w:name="ˎ̥">
    <w:panose1 w:val="020B0503020202020204"/>
  </w:font>
  <w:font w:name="楷体_GB2312">
    <w:panose1 w:val="02010609060101010101"/>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w:panose1 w:val="020B0604020202020204"/>
  </w:font>
  <w:font w:name="Georgia">
    <w:panose1 w:val="02040502050405020303"/>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
  </w:p>
  <w:p>
    <w:pPr>
      <w:pStyle w:val="7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pStyle w:val="894"/>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2421" w:hanging="720"/>
        <w:tabs>
          <w:tab w:val="left" w:pos="2421" w:leader="none"/>
        </w:tabs>
      </w:pPr>
      <w:rPr>
        <w:rFonts w:hint="eastAsia"/>
      </w:rPr>
    </w:lvl>
    <w:lvl w:ilvl="1">
      <w:start w:val="1"/>
      <w:numFmt w:val="lowerLetter"/>
      <w:isLgl w:val="false"/>
      <w:suff w:val="tab"/>
      <w:lvlText w:val="%2)"/>
      <w:lvlJc w:val="left"/>
      <w:pPr>
        <w:ind w:left="2541" w:hanging="420"/>
        <w:tabs>
          <w:tab w:val="left" w:pos="2541" w:leader="none"/>
        </w:tabs>
      </w:pPr>
    </w:lvl>
    <w:lvl w:ilvl="2">
      <w:start w:val="1"/>
      <w:numFmt w:val="lowerRoman"/>
      <w:isLgl w:val="false"/>
      <w:suff w:val="tab"/>
      <w:lvlText w:val="%3."/>
      <w:lvlJc w:val="right"/>
      <w:pPr>
        <w:ind w:left="2961" w:hanging="420"/>
        <w:tabs>
          <w:tab w:val="left" w:pos="2961" w:leader="none"/>
        </w:tabs>
      </w:pPr>
    </w:lvl>
    <w:lvl w:ilvl="3">
      <w:start w:val="1"/>
      <w:numFmt w:val="decimal"/>
      <w:isLgl w:val="false"/>
      <w:suff w:val="tab"/>
      <w:lvlText w:val="%4."/>
      <w:lvlJc w:val="left"/>
      <w:pPr>
        <w:ind w:left="3381" w:hanging="420"/>
        <w:tabs>
          <w:tab w:val="left" w:pos="3381" w:leader="none"/>
        </w:tabs>
      </w:pPr>
    </w:lvl>
    <w:lvl w:ilvl="4">
      <w:start w:val="1"/>
      <w:numFmt w:val="lowerLetter"/>
      <w:pStyle w:val="984"/>
      <w:isLgl w:val="false"/>
      <w:suff w:val="tab"/>
      <w:lvlText w:val="%5)"/>
      <w:lvlJc w:val="left"/>
      <w:pPr>
        <w:ind w:left="3801" w:hanging="420"/>
        <w:tabs>
          <w:tab w:val="left" w:pos="3801" w:leader="none"/>
        </w:tabs>
      </w:pPr>
    </w:lvl>
    <w:lvl w:ilvl="5">
      <w:start w:val="1"/>
      <w:numFmt w:val="lowerRoman"/>
      <w:isLgl w:val="false"/>
      <w:suff w:val="tab"/>
      <w:lvlText w:val="%6."/>
      <w:lvlJc w:val="right"/>
      <w:pPr>
        <w:ind w:left="4221" w:hanging="420"/>
        <w:tabs>
          <w:tab w:val="left" w:pos="4221" w:leader="none"/>
        </w:tabs>
      </w:pPr>
    </w:lvl>
    <w:lvl w:ilvl="6">
      <w:start w:val="1"/>
      <w:numFmt w:val="decimal"/>
      <w:isLgl w:val="false"/>
      <w:suff w:val="tab"/>
      <w:lvlText w:val="%7."/>
      <w:lvlJc w:val="left"/>
      <w:pPr>
        <w:ind w:left="4641" w:hanging="420"/>
        <w:tabs>
          <w:tab w:val="left" w:pos="4641" w:leader="none"/>
        </w:tabs>
      </w:pPr>
    </w:lvl>
    <w:lvl w:ilvl="7">
      <w:start w:val="1"/>
      <w:numFmt w:val="lowerLetter"/>
      <w:isLgl w:val="false"/>
      <w:suff w:val="tab"/>
      <w:lvlText w:val="%8)"/>
      <w:lvlJc w:val="left"/>
      <w:pPr>
        <w:ind w:left="5061" w:hanging="420"/>
        <w:tabs>
          <w:tab w:val="left" w:pos="5061" w:leader="none"/>
        </w:tabs>
      </w:pPr>
    </w:lvl>
    <w:lvl w:ilvl="8">
      <w:start w:val="1"/>
      <w:numFmt w:val="lowerRoman"/>
      <w:isLgl w:val="false"/>
      <w:suff w:val="tab"/>
      <w:lvlText w:val="%9."/>
      <w:lvlJc w:val="right"/>
      <w:pPr>
        <w:ind w:left="5481" w:hanging="420"/>
        <w:tabs>
          <w:tab w:val="left" w:pos="5481" w:leader="none"/>
        </w:tabs>
      </w:pPr>
    </w:lvl>
  </w:abstractNum>
  <w:abstractNum w:abstractNumId="3">
    <w:multiLevelType w:val="hybridMultilevel"/>
    <w:lvl w:ilvl="0">
      <w:start w:val="1"/>
      <w:numFmt w:val="bullet"/>
      <w:pStyle w:val="932"/>
      <w:isLgl w:val="false"/>
      <w:suff w:val="tab"/>
      <w:lvlText w:val="•"/>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4">
    <w:multiLevelType w:val="hybridMultilevel"/>
    <w:lvl w:ilvl="0">
      <w:start w:val="1"/>
      <w:numFmt w:val="japaneseCounting"/>
      <w:isLgl w:val="false"/>
      <w:suff w:val="tab"/>
      <w:lvlText w:val="第%1条"/>
      <w:lvlJc w:val="left"/>
      <w:pPr>
        <w:ind w:left="1536" w:hanging="975"/>
      </w:pPr>
      <w:rPr>
        <w:rFonts w:hint="default"/>
      </w:rPr>
    </w:lvl>
    <w:lvl w:ilvl="1">
      <w:start w:val="1"/>
      <w:numFmt w:val="lowerLetter"/>
      <w:isLgl w:val="false"/>
      <w:suff w:val="tab"/>
      <w:lvlText w:val="%2)"/>
      <w:lvlJc w:val="left"/>
      <w:pPr>
        <w:ind w:left="1401" w:hanging="420"/>
      </w:pPr>
    </w:lvl>
    <w:lvl w:ilvl="2">
      <w:start w:val="1"/>
      <w:numFmt w:val="lowerRoman"/>
      <w:isLgl w:val="false"/>
      <w:suff w:val="tab"/>
      <w:lvlText w:val="%3."/>
      <w:lvlJc w:val="right"/>
      <w:pPr>
        <w:ind w:left="1821" w:hanging="420"/>
      </w:pPr>
    </w:lvl>
    <w:lvl w:ilvl="3">
      <w:start w:val="1"/>
      <w:numFmt w:val="decimal"/>
      <w:isLgl w:val="false"/>
      <w:suff w:val="tab"/>
      <w:lvlText w:val="%4."/>
      <w:lvlJc w:val="left"/>
      <w:pPr>
        <w:ind w:left="2241" w:hanging="420"/>
      </w:pPr>
    </w:lvl>
    <w:lvl w:ilvl="4">
      <w:start w:val="1"/>
      <w:numFmt w:val="lowerLetter"/>
      <w:isLgl w:val="false"/>
      <w:suff w:val="tab"/>
      <w:lvlText w:val="%5)"/>
      <w:lvlJc w:val="left"/>
      <w:pPr>
        <w:ind w:left="2661" w:hanging="420"/>
      </w:pPr>
    </w:lvl>
    <w:lvl w:ilvl="5">
      <w:start w:val="1"/>
      <w:numFmt w:val="lowerRoman"/>
      <w:isLgl w:val="false"/>
      <w:suff w:val="tab"/>
      <w:lvlText w:val="%6."/>
      <w:lvlJc w:val="right"/>
      <w:pPr>
        <w:ind w:left="3081" w:hanging="420"/>
      </w:pPr>
    </w:lvl>
    <w:lvl w:ilvl="6">
      <w:start w:val="1"/>
      <w:numFmt w:val="decimal"/>
      <w:isLgl w:val="false"/>
      <w:suff w:val="tab"/>
      <w:lvlText w:val="%7."/>
      <w:lvlJc w:val="left"/>
      <w:pPr>
        <w:ind w:left="3501" w:hanging="420"/>
      </w:pPr>
    </w:lvl>
    <w:lvl w:ilvl="7">
      <w:start w:val="1"/>
      <w:numFmt w:val="lowerLetter"/>
      <w:isLgl w:val="false"/>
      <w:suff w:val="tab"/>
      <w:lvlText w:val="%8)"/>
      <w:lvlJc w:val="left"/>
      <w:pPr>
        <w:ind w:left="3921" w:hanging="420"/>
      </w:pPr>
    </w:lvl>
    <w:lvl w:ilvl="8">
      <w:start w:val="1"/>
      <w:numFmt w:val="lowerRoman"/>
      <w:isLgl w:val="false"/>
      <w:suff w:val="tab"/>
      <w:lvlText w:val="%9."/>
      <w:lvlJc w:val="right"/>
      <w:pPr>
        <w:ind w:left="4341" w:hanging="420"/>
      </w:p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4"/>
    <w:link w:val="755"/>
    <w:uiPriority w:val="9"/>
    <w:rPr>
      <w:rFonts w:ascii="Arial" w:hAnsi="Arial" w:eastAsia="Arial" w:cs="Arial"/>
      <w:sz w:val="40"/>
      <w:szCs w:val="40"/>
    </w:rPr>
  </w:style>
  <w:style w:type="character" w:styleId="15">
    <w:name w:val="Heading 2 Char"/>
    <w:basedOn w:val="764"/>
    <w:link w:val="756"/>
    <w:uiPriority w:val="9"/>
    <w:rPr>
      <w:rFonts w:ascii="Arial" w:hAnsi="Arial" w:eastAsia="Arial" w:cs="Arial"/>
      <w:sz w:val="34"/>
    </w:rPr>
  </w:style>
  <w:style w:type="character" w:styleId="17">
    <w:name w:val="Heading 3 Char"/>
    <w:basedOn w:val="764"/>
    <w:link w:val="757"/>
    <w:uiPriority w:val="9"/>
    <w:rPr>
      <w:rFonts w:ascii="Arial" w:hAnsi="Arial" w:eastAsia="Arial" w:cs="Arial"/>
      <w:sz w:val="30"/>
      <w:szCs w:val="30"/>
    </w:rPr>
  </w:style>
  <w:style w:type="character" w:styleId="19">
    <w:name w:val="Heading 4 Char"/>
    <w:basedOn w:val="764"/>
    <w:link w:val="758"/>
    <w:uiPriority w:val="9"/>
    <w:rPr>
      <w:rFonts w:ascii="Arial" w:hAnsi="Arial" w:eastAsia="Arial" w:cs="Arial"/>
      <w:b/>
      <w:bCs/>
      <w:sz w:val="26"/>
      <w:szCs w:val="26"/>
    </w:rPr>
  </w:style>
  <w:style w:type="character" w:styleId="21">
    <w:name w:val="Heading 5 Char"/>
    <w:basedOn w:val="764"/>
    <w:link w:val="759"/>
    <w:uiPriority w:val="9"/>
    <w:rPr>
      <w:rFonts w:ascii="Arial" w:hAnsi="Arial" w:eastAsia="Arial" w:cs="Arial"/>
      <w:b/>
      <w:bCs/>
      <w:sz w:val="24"/>
      <w:szCs w:val="24"/>
    </w:rPr>
  </w:style>
  <w:style w:type="character" w:styleId="23">
    <w:name w:val="Heading 6 Char"/>
    <w:basedOn w:val="764"/>
    <w:link w:val="760"/>
    <w:uiPriority w:val="9"/>
    <w:rPr>
      <w:rFonts w:ascii="Arial" w:hAnsi="Arial" w:eastAsia="Arial" w:cs="Arial"/>
      <w:b/>
      <w:bCs/>
      <w:sz w:val="22"/>
      <w:szCs w:val="22"/>
    </w:rPr>
  </w:style>
  <w:style w:type="character" w:styleId="25">
    <w:name w:val="Heading 7 Char"/>
    <w:basedOn w:val="764"/>
    <w:link w:val="761"/>
    <w:uiPriority w:val="9"/>
    <w:rPr>
      <w:rFonts w:ascii="Arial" w:hAnsi="Arial" w:eastAsia="Arial" w:cs="Arial"/>
      <w:b/>
      <w:bCs/>
      <w:i/>
      <w:iCs/>
      <w:sz w:val="22"/>
      <w:szCs w:val="22"/>
    </w:rPr>
  </w:style>
  <w:style w:type="character" w:styleId="27">
    <w:name w:val="Heading 8 Char"/>
    <w:basedOn w:val="764"/>
    <w:link w:val="762"/>
    <w:uiPriority w:val="9"/>
    <w:rPr>
      <w:rFonts w:ascii="Arial" w:hAnsi="Arial" w:eastAsia="Arial" w:cs="Arial"/>
      <w:i/>
      <w:iCs/>
      <w:sz w:val="22"/>
      <w:szCs w:val="22"/>
    </w:rPr>
  </w:style>
  <w:style w:type="character" w:styleId="29">
    <w:name w:val="Heading 9 Char"/>
    <w:basedOn w:val="764"/>
    <w:link w:val="76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64"/>
    <w:link w:val="793"/>
    <w:uiPriority w:val="10"/>
    <w:rPr>
      <w:sz w:val="48"/>
      <w:szCs w:val="48"/>
    </w:rPr>
  </w:style>
  <w:style w:type="paragraph" w:styleId="35">
    <w:name w:val="Subtitle"/>
    <w:basedOn w:val="754"/>
    <w:next w:val="754"/>
    <w:link w:val="36"/>
    <w:uiPriority w:val="11"/>
    <w:qFormat/>
    <w:pPr>
      <w:spacing w:before="200" w:after="200"/>
    </w:pPr>
    <w:rPr>
      <w:sz w:val="24"/>
      <w:szCs w:val="24"/>
    </w:rPr>
  </w:style>
  <w:style w:type="character" w:styleId="36">
    <w:name w:val="Subtitle Char"/>
    <w:basedOn w:val="764"/>
    <w:link w:val="35"/>
    <w:uiPriority w:val="11"/>
    <w:rPr>
      <w:sz w:val="24"/>
      <w:szCs w:val="24"/>
    </w:rPr>
  </w:style>
  <w:style w:type="paragraph" w:styleId="37">
    <w:name w:val="Quote"/>
    <w:basedOn w:val="754"/>
    <w:next w:val="754"/>
    <w:link w:val="38"/>
    <w:uiPriority w:val="29"/>
    <w:qFormat/>
    <w:pPr>
      <w:ind w:left="720" w:right="720"/>
    </w:pPr>
    <w:rPr>
      <w:i/>
    </w:rPr>
  </w:style>
  <w:style w:type="character" w:styleId="38">
    <w:name w:val="Quote Char"/>
    <w:link w:val="37"/>
    <w:uiPriority w:val="29"/>
    <w:rPr>
      <w:i/>
    </w:rPr>
  </w:style>
  <w:style w:type="paragraph" w:styleId="39">
    <w:name w:val="Intense Quote"/>
    <w:basedOn w:val="754"/>
    <w:next w:val="7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64"/>
    <w:link w:val="782"/>
    <w:uiPriority w:val="99"/>
  </w:style>
  <w:style w:type="character" w:styleId="44">
    <w:name w:val="Footer Char"/>
    <w:basedOn w:val="764"/>
    <w:link w:val="781"/>
    <w:uiPriority w:val="99"/>
  </w:style>
  <w:style w:type="paragraph" w:styleId="45">
    <w:name w:val="Caption"/>
    <w:basedOn w:val="754"/>
    <w:next w:val="754"/>
    <w:uiPriority w:val="35"/>
    <w:semiHidden/>
    <w:unhideWhenUsed/>
    <w:qFormat/>
    <w:pPr>
      <w:spacing w:line="276" w:lineRule="auto"/>
    </w:pPr>
    <w:rPr>
      <w:b/>
      <w:bCs/>
      <w:color w:val="4f81bd" w:themeColor="accent1"/>
      <w:sz w:val="18"/>
      <w:szCs w:val="18"/>
    </w:rPr>
  </w:style>
  <w:style w:type="character" w:styleId="46">
    <w:name w:val="Caption Char"/>
    <w:basedOn w:val="45"/>
    <w:link w:val="781"/>
    <w:uiPriority w:val="99"/>
  </w:style>
  <w:style w:type="table" w:styleId="48">
    <w:name w:val="Table Grid Light"/>
    <w:basedOn w:val="7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e6f5d8" w:themeFill="accent1" w:themeFillTint="32"/>
      </w:tcPr>
    </w:tblStylePr>
    <w:tblStylePr w:type="band1Vert">
      <w:rPr>
        <w:rFonts w:ascii="Arial" w:hAnsi="Arial"/>
        <w:color w:val="404040"/>
        <w:sz w:val="22"/>
      </w:rPr>
      <w:tcPr>
        <w:shd w:val="clear" w:color="ffffff" w:themeColor="accent1" w:themeTint="32" w:fill="e6f5d8"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8bd44b"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db60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738ac8"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1ab39f"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e5f5d6" w:themeFill="accent1" w:themeFillTint="34"/>
    </w:tblPr>
    <w:tblStylePr w:type="band1Horz">
      <w:tcPr>
        <w:shd w:val="clear" w:color="ffffff" w:themeColor="accent1" w:themeTint="75" w:fill="c4e9a4" w:themeFill="accent1" w:themeFillTint="75"/>
      </w:tcPr>
    </w:tblStylePr>
    <w:tblStylePr w:type="band1Vert">
      <w:tcPr>
        <w:shd w:val="clear" w:color="ffffff" w:themeColor="accent1" w:themeTint="75" w:fill="c4e9a4" w:themeFill="accent1" w:themeFillTint="75"/>
      </w:tcPr>
    </w:tblStylePr>
    <w:tblStylePr w:type="firstCol">
      <w:rPr>
        <w:rFonts w:ascii="Arial" w:hAnsi="Arial"/>
        <w:b/>
        <w:color w:val="ffffff"/>
        <w:sz w:val="22"/>
      </w:rPr>
      <w:tcPr>
        <w:shd w:val="clear" w:color="ffffff" w:themeColor="accent1" w:fill="7fd13b" w:themeFill="accent1"/>
      </w:tcPr>
    </w:tblStylePr>
    <w:tblStylePr w:type="firstRow">
      <w:rPr>
        <w:rFonts w:ascii="Arial" w:hAnsi="Arial"/>
        <w:b/>
        <w:color w:val="ffffff"/>
        <w:sz w:val="22"/>
      </w:rPr>
      <w:tcPr>
        <w:shd w:val="clear" w:color="ffffff" w:themeColor="accent1" w:fill="7fd13b" w:themeFill="accent1"/>
      </w:tcPr>
    </w:tblStylePr>
    <w:tblStylePr w:type="lastCol">
      <w:rPr>
        <w:rFonts w:ascii="Arial" w:hAnsi="Arial"/>
        <w:b/>
        <w:color w:val="ffffff"/>
        <w:sz w:val="22"/>
      </w:rPr>
      <w:tcPr>
        <w:shd w:val="clear" w:color="ffffff" w:themeColor="accent1" w:fill="7fd13b" w:themeFill="accent1"/>
      </w:tcPr>
    </w:tblStylePr>
    <w:tblStylePr w:type="lastRow">
      <w:rPr>
        <w:rFonts w:ascii="Arial" w:hAnsi="Arial"/>
        <w:b/>
        <w:color w:val="ffffff"/>
        <w:sz w:val="22"/>
      </w:rPr>
      <w:tcPr>
        <w:shd w:val="clear" w:color="ffffff" w:themeColor="accent1" w:fill="7fd13b" w:themeFill="accent1"/>
        <w:tcBorders>
          <w:top w:val="single" w:color="000000" w:themeColor="light1" w:sz="4" w:space="0"/>
        </w:tcBorders>
      </w:tcPr>
    </w:tblStylePr>
  </w:style>
  <w:style w:type="table" w:styleId="84">
    <w:name w:val="Grid Table 5 Dark - Accent 2"/>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d1e5" w:themeFill="accent2" w:themeFillTint="32"/>
    </w:tblPr>
    <w:tblStylePr w:type="band1Horz">
      <w:tcPr>
        <w:shd w:val="clear" w:color="ffffff" w:themeColor="accent2" w:themeTint="75" w:fill="f592c3" w:themeFill="accent2" w:themeFillTint="75"/>
      </w:tcPr>
    </w:tblStylePr>
    <w:tblStylePr w:type="band1Vert">
      <w:tcPr>
        <w:shd w:val="clear" w:color="ffffff" w:themeColor="accent2" w:themeTint="75" w:fill="f592c3" w:themeFill="accent2" w:themeFillTint="75"/>
      </w:tcPr>
    </w:tblStylePr>
    <w:tblStylePr w:type="firstCol">
      <w:rPr>
        <w:rFonts w:ascii="Arial" w:hAnsi="Arial"/>
        <w:b/>
        <w:color w:val="ffffff"/>
        <w:sz w:val="22"/>
      </w:rPr>
      <w:tcPr>
        <w:shd w:val="clear" w:color="ffffff" w:themeColor="accent2" w:fill="ea157a" w:themeFill="accent2"/>
      </w:tcPr>
    </w:tblStylePr>
    <w:tblStylePr w:type="firstRow">
      <w:rPr>
        <w:rFonts w:ascii="Arial" w:hAnsi="Arial"/>
        <w:b/>
        <w:color w:val="ffffff"/>
        <w:sz w:val="22"/>
      </w:rPr>
      <w:tcPr>
        <w:shd w:val="clear" w:color="ffffff" w:themeColor="accent2" w:fill="ea157a" w:themeFill="accent2"/>
      </w:tcPr>
    </w:tblStylePr>
    <w:tblStylePr w:type="lastCol">
      <w:rPr>
        <w:rFonts w:ascii="Arial" w:hAnsi="Arial"/>
        <w:b/>
        <w:color w:val="ffffff"/>
        <w:sz w:val="22"/>
      </w:rPr>
      <w:tcPr>
        <w:shd w:val="clear" w:color="ffffff" w:themeColor="accent2" w:fill="ea157a" w:themeFill="accent2"/>
      </w:tcPr>
    </w:tblStylePr>
    <w:tblStylePr w:type="lastRow">
      <w:rPr>
        <w:rFonts w:ascii="Arial" w:hAnsi="Arial"/>
        <w:b/>
        <w:color w:val="ffffff"/>
        <w:sz w:val="22"/>
      </w:rPr>
      <w:tcPr>
        <w:shd w:val="clear" w:color="ffffff" w:themeColor="accent2" w:fill="ea157a" w:themeFill="accent2"/>
        <w:tcBorders>
          <w:top w:val="single" w:color="000000" w:themeColor="light1" w:sz="4" w:space="0"/>
        </w:tcBorders>
      </w:tcPr>
    </w:tblStylePr>
  </w:style>
  <w:style w:type="table" w:styleId="85">
    <w:name w:val="Grid Table 5 Dark - Accent 3"/>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0cd" w:themeFill="accent3" w:themeFillTint="34"/>
    </w:tblPr>
    <w:tblStylePr w:type="band1Horz">
      <w:tcPr>
        <w:shd w:val="clear" w:color="ffffff" w:themeColor="accent3" w:themeTint="75" w:fill="fedd8f" w:themeFill="accent3" w:themeFillTint="75"/>
      </w:tcPr>
    </w:tblStylePr>
    <w:tblStylePr w:type="band1Vert">
      <w:tcPr>
        <w:shd w:val="clear" w:color="ffffff" w:themeColor="accent3" w:themeTint="75" w:fill="fedd8f" w:themeFill="accent3" w:themeFillTint="75"/>
      </w:tcPr>
    </w:tblStylePr>
    <w:tblStylePr w:type="firstCol">
      <w:rPr>
        <w:rFonts w:ascii="Arial" w:hAnsi="Arial"/>
        <w:b/>
        <w:color w:val="ffffff"/>
        <w:sz w:val="22"/>
      </w:rPr>
      <w:tcPr>
        <w:shd w:val="clear" w:color="ffffff" w:themeColor="accent3" w:fill="feb80a" w:themeFill="accent3"/>
      </w:tcPr>
    </w:tblStylePr>
    <w:tblStylePr w:type="firstRow">
      <w:rPr>
        <w:rFonts w:ascii="Arial" w:hAnsi="Arial"/>
        <w:b/>
        <w:color w:val="ffffff"/>
        <w:sz w:val="22"/>
      </w:rPr>
      <w:tcPr>
        <w:shd w:val="clear" w:color="ffffff" w:themeColor="accent3" w:fill="feb80a" w:themeFill="accent3"/>
      </w:tcPr>
    </w:tblStylePr>
    <w:tblStylePr w:type="lastCol">
      <w:rPr>
        <w:rFonts w:ascii="Arial" w:hAnsi="Arial"/>
        <w:b/>
        <w:color w:val="ffffff"/>
        <w:sz w:val="22"/>
      </w:rPr>
      <w:tcPr>
        <w:shd w:val="clear" w:color="ffffff" w:themeColor="accent3" w:fill="feb80a" w:themeFill="accent3"/>
      </w:tcPr>
    </w:tblStylePr>
    <w:tblStylePr w:type="lastRow">
      <w:rPr>
        <w:rFonts w:ascii="Arial" w:hAnsi="Arial"/>
        <w:b/>
        <w:color w:val="ffffff"/>
        <w:sz w:val="22"/>
      </w:rPr>
      <w:tcPr>
        <w:shd w:val="clear" w:color="ffffff" w:themeColor="accent3" w:fill="feb80a" w:themeFill="accent3"/>
        <w:tcBorders>
          <w:top w:val="single" w:color="000000" w:themeColor="light1" w:sz="4" w:space="0"/>
        </w:tcBorders>
      </w:tcPr>
    </w:tblStylePr>
  </w:style>
  <w:style w:type="table" w:styleId="86">
    <w:name w:val="Grid Table 5 Dark- Accent 4"/>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3f3ff" w:themeFill="accent4" w:themeFillTint="34"/>
    </w:tblPr>
    <w:tblStylePr w:type="band1Horz">
      <w:tcPr>
        <w:shd w:val="clear" w:color="ffffff" w:themeColor="accent4" w:themeTint="75" w:fill="79e4ff" w:themeFill="accent4" w:themeFillTint="75"/>
      </w:tcPr>
    </w:tblStylePr>
    <w:tblStylePr w:type="band1Vert">
      <w:tcPr>
        <w:shd w:val="clear" w:color="ffffff" w:themeColor="accent4" w:themeTint="75" w:fill="79e4ff" w:themeFill="accent4" w:themeFillTint="75"/>
      </w:tcPr>
    </w:tblStylePr>
    <w:tblStylePr w:type="firstCol">
      <w:rPr>
        <w:rFonts w:ascii="Arial" w:hAnsi="Arial"/>
        <w:b/>
        <w:color w:val="ffffff"/>
        <w:sz w:val="22"/>
      </w:rPr>
      <w:tcPr>
        <w:shd w:val="clear" w:color="ffffff" w:themeColor="accent4" w:fill="00addc" w:themeFill="accent4"/>
      </w:tcPr>
    </w:tblStylePr>
    <w:tblStylePr w:type="firstRow">
      <w:rPr>
        <w:rFonts w:ascii="Arial" w:hAnsi="Arial"/>
        <w:b/>
        <w:color w:val="ffffff"/>
        <w:sz w:val="22"/>
      </w:rPr>
      <w:tcPr>
        <w:shd w:val="clear" w:color="ffffff" w:themeColor="accent4" w:fill="00addc" w:themeFill="accent4"/>
      </w:tcPr>
    </w:tblStylePr>
    <w:tblStylePr w:type="lastCol">
      <w:rPr>
        <w:rFonts w:ascii="Arial" w:hAnsi="Arial"/>
        <w:b/>
        <w:color w:val="ffffff"/>
        <w:sz w:val="22"/>
      </w:rPr>
      <w:tcPr>
        <w:shd w:val="clear" w:color="ffffff" w:themeColor="accent4" w:fill="00addc" w:themeFill="accent4"/>
      </w:tcPr>
    </w:tblStylePr>
    <w:tblStylePr w:type="lastRow">
      <w:rPr>
        <w:rFonts w:ascii="Arial" w:hAnsi="Arial"/>
        <w:b/>
        <w:color w:val="ffffff"/>
        <w:sz w:val="22"/>
      </w:rPr>
      <w:tcPr>
        <w:shd w:val="clear" w:color="ffffff" w:themeColor="accent4" w:fill="00addc" w:themeFill="accent4"/>
        <w:tcBorders>
          <w:top w:val="single" w:color="000000" w:themeColor="light1" w:sz="4" w:space="0"/>
        </w:tcBorders>
      </w:tcPr>
    </w:tblStylePr>
  </w:style>
  <w:style w:type="table" w:styleId="87">
    <w:name w:val="Grid Table 5 Dark - Accent 5"/>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e2e7f3" w:themeFill="accent5" w:themeFillTint="34"/>
    </w:tblPr>
    <w:tblStylePr w:type="band1Horz">
      <w:tcPr>
        <w:shd w:val="clear" w:color="ffffff" w:themeColor="accent5" w:themeTint="75" w:fill="bec9e5" w:themeFill="accent5" w:themeFillTint="75"/>
      </w:tcPr>
    </w:tblStylePr>
    <w:tblStylePr w:type="band1Vert">
      <w:tcPr>
        <w:shd w:val="clear" w:color="ffffff" w:themeColor="accent5" w:themeTint="75" w:fill="bec9e5" w:themeFill="accent5" w:themeFillTint="75"/>
      </w:tcPr>
    </w:tblStylePr>
    <w:tblStylePr w:type="firstCol">
      <w:rPr>
        <w:rFonts w:ascii="Arial" w:hAnsi="Arial"/>
        <w:b/>
        <w:color w:val="ffffff"/>
        <w:sz w:val="22"/>
      </w:rPr>
      <w:tcPr>
        <w:shd w:val="clear" w:color="ffffff" w:themeColor="accent5" w:fill="738ac8" w:themeFill="accent5"/>
      </w:tcPr>
    </w:tblStylePr>
    <w:tblStylePr w:type="firstRow">
      <w:rPr>
        <w:rFonts w:ascii="Arial" w:hAnsi="Arial"/>
        <w:b/>
        <w:color w:val="ffffff"/>
        <w:sz w:val="22"/>
      </w:rPr>
      <w:tcPr>
        <w:shd w:val="clear" w:color="ffffff" w:themeColor="accent5" w:fill="738ac8" w:themeFill="accent5"/>
      </w:tcPr>
    </w:tblStylePr>
    <w:tblStylePr w:type="lastCol">
      <w:rPr>
        <w:rFonts w:ascii="Arial" w:hAnsi="Arial"/>
        <w:b/>
        <w:color w:val="ffffff"/>
        <w:sz w:val="22"/>
      </w:rPr>
      <w:tcPr>
        <w:shd w:val="clear" w:color="ffffff" w:themeColor="accent5" w:fill="738ac8" w:themeFill="accent5"/>
      </w:tcPr>
    </w:tblStylePr>
    <w:tblStylePr w:type="lastRow">
      <w:rPr>
        <w:rFonts w:ascii="Arial" w:hAnsi="Arial"/>
        <w:b/>
        <w:color w:val="ffffff"/>
        <w:sz w:val="22"/>
      </w:rPr>
      <w:tcPr>
        <w:shd w:val="clear" w:color="ffffff" w:themeColor="accent5" w:fill="738ac8" w:themeFill="accent5"/>
        <w:tcBorders>
          <w:top w:val="single" w:color="000000" w:themeColor="light1" w:sz="4" w:space="0"/>
        </w:tcBorders>
      </w:tcPr>
    </w:tblStylePr>
  </w:style>
  <w:style w:type="table" w:styleId="88">
    <w:name w:val="Grid Table 5 Dark - Accent 6"/>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c8f7f0" w:themeFill="accent6" w:themeFillTint="34"/>
    </w:tblPr>
    <w:tblStylePr w:type="band1Horz">
      <w:tcPr>
        <w:shd w:val="clear" w:color="ffffff" w:themeColor="accent6" w:themeTint="75" w:fill="84eddd" w:themeFill="accent6" w:themeFillTint="75"/>
      </w:tcPr>
    </w:tblStylePr>
    <w:tblStylePr w:type="band1Vert">
      <w:tcPr>
        <w:shd w:val="clear" w:color="ffffff" w:themeColor="accent6" w:themeTint="75" w:fill="84eddd" w:themeFill="accent6" w:themeFillTint="75"/>
      </w:tcPr>
    </w:tblStylePr>
    <w:tblStylePr w:type="firstCol">
      <w:rPr>
        <w:rFonts w:ascii="Arial" w:hAnsi="Arial"/>
        <w:b/>
        <w:color w:val="ffffff"/>
        <w:sz w:val="22"/>
      </w:rPr>
      <w:tcPr>
        <w:shd w:val="clear" w:color="ffffff" w:themeColor="accent6" w:fill="1ab39f" w:themeFill="accent6"/>
      </w:tcPr>
    </w:tblStylePr>
    <w:tblStylePr w:type="firstRow">
      <w:rPr>
        <w:rFonts w:ascii="Arial" w:hAnsi="Arial"/>
        <w:b/>
        <w:color w:val="ffffff"/>
        <w:sz w:val="22"/>
      </w:rPr>
      <w:tcPr>
        <w:shd w:val="clear" w:color="ffffff" w:themeColor="accent6" w:fill="1ab39f" w:themeFill="accent6"/>
      </w:tcPr>
    </w:tblStylePr>
    <w:tblStylePr w:type="lastCol">
      <w:rPr>
        <w:rFonts w:ascii="Arial" w:hAnsi="Arial"/>
        <w:b/>
        <w:color w:val="ffffff"/>
        <w:sz w:val="22"/>
      </w:rPr>
      <w:tcPr>
        <w:shd w:val="clear" w:color="ffffff" w:themeColor="accent6" w:fill="1ab39f" w:themeFill="accent6"/>
      </w:tcPr>
    </w:tblStylePr>
    <w:tblStylePr w:type="lastRow">
      <w:rPr>
        <w:rFonts w:ascii="Arial" w:hAnsi="Arial"/>
        <w:b/>
        <w:color w:val="ffffff"/>
        <w:sz w:val="22"/>
      </w:rPr>
      <w:tcPr>
        <w:shd w:val="clear" w:color="ffffff" w:themeColor="accent6" w:fill="1ab39f" w:themeFill="accent6"/>
        <w:tcBorders>
          <w:top w:val="single" w:color="000000" w:themeColor="light1" w:sz="4" w:space="0"/>
        </w:tcBorders>
      </w:tcPr>
    </w:tblStylePr>
  </w:style>
  <w:style w:type="table" w:styleId="89">
    <w:name w:val="Grid Table 6 Colorful"/>
    <w:basedOn w:val="7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404040" w:themeColor="accent1" w:themeTint="80" w:themeShade="95"/>
        <w:sz w:val="22"/>
      </w:rPr>
    </w:tblStylePr>
    <w:tblStylePr w:type="firstCol">
      <w:rPr>
        <w:b/>
        <w:color w:val="6cb52c" w:themeColor="accent1" w:themeTint="80" w:themeShade="95"/>
      </w:rPr>
    </w:tblStylePr>
    <w:tblStylePr w:type="firstRow">
      <w:rPr>
        <w:b/>
        <w:color w:val="6cb52c" w:themeColor="accent1" w:themeTint="80" w:themeShade="95"/>
      </w:rPr>
      <w:tcPr>
        <w:tcBorders>
          <w:bottom w:val="single" w:color="000000" w:themeColor="accent1" w:themeTint="80" w:sz="12" w:space="0"/>
        </w:tcBorders>
      </w:tcPr>
    </w:tblStylePr>
    <w:tblStylePr w:type="lastCol">
      <w:rPr>
        <w:b/>
        <w:color w:val="6cb52c" w:themeColor="accent1" w:themeTint="80" w:themeShade="95"/>
      </w:rPr>
    </w:tblStylePr>
    <w:tblStylePr w:type="lastRow">
      <w:rPr>
        <w:b/>
        <w:color w:val="6cb52c"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12" w:space="0"/>
        </w:tcBorders>
      </w:tcPr>
    </w:tblStylePr>
    <w:tblStylePr w:type="lastCol">
      <w:rPr>
        <w:b/>
        <w:color w:val="be116b" w:themeColor="accent2" w:themeTint="97" w:themeShade="95"/>
      </w:rPr>
    </w:tblStylePr>
    <w:tblStylePr w:type="lastRow">
      <w:rPr>
        <w:b/>
        <w:color w:val="be116b"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404040" w:themeColor="accent3" w:themeTint="FE" w:themeShade="95"/>
        <w:sz w:val="22"/>
      </w:rPr>
    </w:tblStylePr>
    <w:tblStylePr w:type="firstCol">
      <w:rPr>
        <w:b/>
        <w:color w:val="986c01" w:themeColor="accent3" w:themeTint="FE" w:themeShade="95"/>
      </w:rPr>
    </w:tblStylePr>
    <w:tblStylePr w:type="firstRow">
      <w:rPr>
        <w:b/>
        <w:color w:val="986c01" w:themeColor="accent3" w:themeTint="FE" w:themeShade="95"/>
      </w:rPr>
      <w:tcPr>
        <w:tcBorders>
          <w:bottom w:val="single" w:color="000000" w:themeColor="accent3" w:themeTint="FE" w:sz="12" w:space="0"/>
        </w:tcBorders>
      </w:tcPr>
    </w:tblStylePr>
    <w:tblStylePr w:type="lastCol">
      <w:rPr>
        <w:b/>
        <w:color w:val="986c01" w:themeColor="accent3" w:themeTint="FE" w:themeShade="95"/>
      </w:rPr>
    </w:tblStylePr>
    <w:tblStylePr w:type="lastRow">
      <w:rPr>
        <w:b/>
        <w:color w:val="986c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12" w:space="0"/>
        </w:tcBorders>
      </w:tcPr>
    </w:tblStylePr>
    <w:tblStylePr w:type="lastCol">
      <w:rPr>
        <w:b/>
        <w:color w:val="019ac0" w:themeColor="accent4" w:themeTint="9A" w:themeShade="95"/>
      </w:rPr>
    </w:tblStylePr>
    <w:tblStylePr w:type="lastRow">
      <w:rPr>
        <w:b/>
        <w:color w:val="019ac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5"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6"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96">
    <w:name w:val="Grid Table 7 Colorful"/>
    <w:basedOn w:val="7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6cb52c"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6cb52c" w:themeColor="accent1" w:themeTint="80" w:themeShade="95"/>
        <w:sz w:val="22"/>
      </w:rPr>
    </w:tblStylePr>
    <w:tblStylePr w:type="firstCol">
      <w:rPr>
        <w:rFonts w:ascii="Arial" w:hAnsi="Arial"/>
        <w:i/>
        <w:color w:val="6cb52c"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6cb52c"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6cb52c"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6cb52c"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be116b"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be116b"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be116b"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986c01"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986c01" w:themeColor="accent3" w:themeTint="FE" w:themeShade="95"/>
        <w:sz w:val="22"/>
      </w:rPr>
    </w:tblStylePr>
    <w:tblStylePr w:type="firstCol">
      <w:rPr>
        <w:rFonts w:ascii="Arial" w:hAnsi="Arial"/>
        <w:i/>
        <w:color w:val="986c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986c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986c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986c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019ac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19ac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019ac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334a84"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334a84" w:themeColor="accent5" w:themeShade="95"/>
        <w:sz w:val="22"/>
      </w:rPr>
    </w:tblStylePr>
    <w:tblStylePr w:type="firstCol">
      <w:rPr>
        <w:rFonts w:ascii="Arial" w:hAnsi="Arial"/>
        <w:i/>
        <w:color w:val="334a8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334a8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334a8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334a8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0f685b" w:themeColor="accent6"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0f685b" w:themeColor="accent6" w:themeShade="95"/>
        <w:sz w:val="22"/>
      </w:rPr>
    </w:tblStylePr>
    <w:tblStylePr w:type="firstCol">
      <w:rPr>
        <w:rFonts w:ascii="Arial" w:hAnsi="Arial"/>
        <w:i/>
        <w:color w:val="0f685b"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0f685b"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0f685b"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0f685b"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5"/>
    <w:uiPriority w:val="99"/>
    <w:pPr>
      <w:spacing w:after="0" w:line="240" w:lineRule="auto"/>
    </w:pPr>
    <w:tblPr>
      <w:tblStyleRowBandSize w:val="1"/>
      <w:tblStyleColBandSize w:val="1"/>
      <w:tblInd w:w="0" w:type="dxa"/>
    </w:tblPr>
    <w:tblStylePr w:type="band1Horz">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5"/>
    <w:uiPriority w:val="99"/>
    <w:pPr>
      <w:spacing w:after="0" w:line="240" w:lineRule="auto"/>
    </w:pPr>
    <w:tblPr>
      <w:tblStyleRowBandSize w:val="1"/>
      <w:tblStyleColBandSize w:val="1"/>
      <w:tblInd w:w="0" w:type="dxa"/>
    </w:tblPr>
    <w:tblStylePr w:type="band1Horz">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5"/>
    <w:uiPriority w:val="99"/>
    <w:pPr>
      <w:spacing w:after="0" w:line="240" w:lineRule="auto"/>
    </w:pPr>
    <w:tblPr>
      <w:tblStyleRowBandSize w:val="1"/>
      <w:tblStyleColBandSize w:val="1"/>
      <w:tblInd w:w="0" w:type="dxa"/>
    </w:tblPr>
    <w:tblStylePr w:type="band1Horz">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5"/>
    <w:uiPriority w:val="99"/>
    <w:pPr>
      <w:spacing w:after="0" w:line="240" w:lineRule="auto"/>
    </w:pPr>
    <w:tblPr>
      <w:tblStyleRowBandSize w:val="1"/>
      <w:tblStyleColBandSize w:val="1"/>
      <w:tblInd w:w="0" w:type="dxa"/>
    </w:tblPr>
    <w:tblStylePr w:type="band1Horz">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5"/>
    <w:uiPriority w:val="99"/>
    <w:pPr>
      <w:spacing w:after="0" w:line="240" w:lineRule="auto"/>
    </w:pPr>
    <w:tblPr>
      <w:tblStyleRowBandSize w:val="1"/>
      <w:tblStyleColBandSize w:val="1"/>
      <w:tblInd w:w="0" w:type="dxa"/>
    </w:tblPr>
    <w:tblStylePr w:type="band1Horz">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5"/>
    <w:uiPriority w:val="99"/>
    <w:pPr>
      <w:spacing w:after="0" w:line="240" w:lineRule="auto"/>
    </w:pPr>
    <w:tblPr>
      <w:tblStyleRowBandSize w:val="1"/>
      <w:tblStyleColBandSize w:val="1"/>
      <w:tblInd w:w="0" w:type="dxa"/>
    </w:tblPr>
    <w:tblStylePr w:type="band1Horz">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119">
    <w:name w:val="List Table 3 - Accent 2"/>
    <w:basedOn w:val="7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Pr>
    </w:tblStylePr>
    <w:tblStylePr w:type="lastCol">
      <w:rPr>
        <w:b/>
        <w:color w:val="404040"/>
      </w:rPr>
    </w:tblStylePr>
    <w:tblStylePr w:type="lastRow">
      <w:rPr>
        <w:b/>
        <w:color w:val="404040"/>
      </w:rPr>
    </w:tblStylePr>
  </w:style>
  <w:style w:type="table" w:styleId="120">
    <w:name w:val="List Table 3 - Accent 3"/>
    <w:basedOn w:val="7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ed36d" w:themeFill="accent3" w:themeFillTint="98"/>
      </w:tcPr>
    </w:tblStylePr>
    <w:tblStylePr w:type="lastCol">
      <w:rPr>
        <w:b/>
        <w:color w:val="404040"/>
      </w:rPr>
    </w:tblStylePr>
    <w:tblStylePr w:type="lastRow">
      <w:rPr>
        <w:b/>
        <w:color w:val="404040"/>
      </w:rPr>
    </w:tblStylePr>
  </w:style>
  <w:style w:type="table" w:styleId="121">
    <w:name w:val="List Table 3 - Accent 4"/>
    <w:basedOn w:val="7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Pr>
    </w:tblStylePr>
    <w:tblStylePr w:type="lastCol">
      <w:rPr>
        <w:b/>
        <w:color w:val="404040"/>
      </w:rPr>
    </w:tblStylePr>
    <w:tblStylePr w:type="lastRow">
      <w:rPr>
        <w:b/>
        <w:color w:val="404040"/>
      </w:rPr>
    </w:tblStylePr>
  </w:style>
  <w:style w:type="table" w:styleId="122">
    <w:name w:val="List Table 3 - Accent 5"/>
    <w:basedOn w:val="7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aab8dd" w:themeFill="accent5" w:themeFillTint="9A"/>
      </w:tcPr>
    </w:tblStylePr>
    <w:tblStylePr w:type="lastCol">
      <w:rPr>
        <w:b/>
        <w:color w:val="404040"/>
      </w:rPr>
    </w:tblStylePr>
    <w:tblStylePr w:type="lastRow">
      <w:rPr>
        <w:b/>
        <w:color w:val="404040"/>
      </w:rPr>
    </w:tblStylePr>
  </w:style>
  <w:style w:type="table" w:styleId="123">
    <w:name w:val="List Table 3 - Accent 6"/>
    <w:basedOn w:val="7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60e7d3" w:themeFill="accent6" w:themeFillTint="98"/>
      </w:tcPr>
    </w:tblStylePr>
    <w:tblStylePr w:type="lastCol">
      <w:rPr>
        <w:b/>
        <w:color w:val="404040"/>
      </w:rPr>
    </w:tblStylePr>
    <w:tblStylePr w:type="lastRow">
      <w:rPr>
        <w:b/>
        <w:color w:val="404040"/>
      </w:rPr>
    </w:tblStylePr>
  </w:style>
  <w:style w:type="table" w:styleId="124">
    <w:name w:val="List Table 4"/>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126">
    <w:name w:val="List Table 4 - Accent 2"/>
    <w:basedOn w:val="7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a157a" w:themeFill="accent2"/>
      </w:tcPr>
    </w:tblStylePr>
    <w:tblStylePr w:type="lastCol">
      <w:rPr>
        <w:b/>
        <w:color w:val="404040"/>
      </w:rPr>
    </w:tblStylePr>
    <w:tblStylePr w:type="lastRow">
      <w:rPr>
        <w:b/>
        <w:color w:val="404040"/>
      </w:rPr>
    </w:tblStylePr>
  </w:style>
  <w:style w:type="table" w:styleId="127">
    <w:name w:val="List Table 4 - Accent 3"/>
    <w:basedOn w:val="7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eb80a" w:themeFill="accent3"/>
      </w:tcPr>
    </w:tblStylePr>
    <w:tblStylePr w:type="lastCol">
      <w:rPr>
        <w:b/>
        <w:color w:val="404040"/>
      </w:rPr>
    </w:tblStylePr>
    <w:tblStylePr w:type="lastRow">
      <w:rPr>
        <w:b/>
        <w:color w:val="404040"/>
      </w:rPr>
    </w:tblStylePr>
  </w:style>
  <w:style w:type="table" w:styleId="128">
    <w:name w:val="List Table 4 - Accent 4"/>
    <w:basedOn w:val="7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0addc" w:themeFill="accent4"/>
      </w:tcPr>
    </w:tblStylePr>
    <w:tblStylePr w:type="lastCol">
      <w:rPr>
        <w:b/>
        <w:color w:val="404040"/>
      </w:rPr>
    </w:tblStylePr>
    <w:tblStylePr w:type="lastRow">
      <w:rPr>
        <w:b/>
        <w:color w:val="404040"/>
      </w:rPr>
    </w:tblStylePr>
  </w:style>
  <w:style w:type="table" w:styleId="129">
    <w:name w:val="List Table 4 - Accent 5"/>
    <w:basedOn w:val="7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738ac8" w:themeFill="accent5"/>
      </w:tcPr>
    </w:tblStylePr>
    <w:tblStylePr w:type="lastCol">
      <w:rPr>
        <w:b/>
        <w:color w:val="404040"/>
      </w:rPr>
    </w:tblStylePr>
    <w:tblStylePr w:type="lastRow">
      <w:rPr>
        <w:b/>
        <w:color w:val="404040"/>
      </w:rPr>
    </w:tblStylePr>
  </w:style>
  <w:style w:type="table" w:styleId="130">
    <w:name w:val="List Table 4 - Accent 6"/>
    <w:basedOn w:val="7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1ab39f" w:themeFill="accent6"/>
      </w:tcPr>
    </w:tblStylePr>
    <w:tblStylePr w:type="lastCol">
      <w:rPr>
        <w:b/>
        <w:color w:val="404040"/>
      </w:rPr>
    </w:tblStylePr>
    <w:tblStylePr w:type="lastRow">
      <w:rPr>
        <w:b/>
        <w:color w:val="404040"/>
      </w:rPr>
    </w:tblStylePr>
  </w:style>
  <w:style w:type="table" w:styleId="131">
    <w:name w:val="List Table 5 Dark"/>
    <w:basedOn w:val="7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7fd13b" w:themeFill="accent1"/>
    </w:tblPr>
    <w:tblStylePr w:type="band1Horz">
      <w:tcPr>
        <w:shd w:val="clear" w:color="ffffff" w:themeColor="accent1" w:fill="7fd13b" w:themeFill="accent1"/>
        <w:tcBorders>
          <w:top w:val="single" w:color="000000" w:themeColor="light1" w:sz="4" w:space="0"/>
          <w:bottom w:val="single" w:color="000000" w:themeColor="light1" w:sz="4" w:space="0"/>
        </w:tcBorders>
      </w:tcPr>
    </w:tblStylePr>
    <w:tblStylePr w:type="band1Vert">
      <w:tcPr>
        <w:shd w:val="clear" w:color="ffffff" w:themeColor="accent1" w:fill="7fd13b" w:themeFill="accent1"/>
        <w:tcBorders>
          <w:left w:val="single" w:color="000000" w:themeColor="light1" w:sz="4" w:space="0"/>
          <w:right w:val="single" w:color="000000" w:themeColor="light1" w:sz="4" w:space="0"/>
        </w:tcBorders>
      </w:tcPr>
    </w:tblStylePr>
    <w:tblStylePr w:type="band2Horz">
      <w:tcPr>
        <w:shd w:val="clear" w:color="ffffff" w:themeColor="accent1" w:fill="7fd13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7fd13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273b2" w:themeFill="accent2" w:themeFillTint="97"/>
    </w:tblPr>
    <w:tblStylePr w:type="band1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273b2"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273b2"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ed36d" w:themeFill="accent3" w:themeFillTint="98"/>
    </w:tblPr>
    <w:tblStylePr w:type="band1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ed36d"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ed36d"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4fdbfe" w:themeFill="accent4" w:themeFillTint="9A"/>
    </w:tblPr>
    <w:tblStylePr w:type="band1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4fdbfe"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4fdbfe"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aab8dd" w:themeFill="accent5" w:themeFillTint="9A"/>
    </w:tblPr>
    <w:tblStylePr w:type="band1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aab8dd"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aab8dd"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60e7d3" w:themeFill="accent6" w:themeFillTint="98"/>
    </w:tblPr>
    <w:tblStylePr w:type="band1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60e7d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60e7d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04040" w:themeColor="accent1" w:themeShade="95"/>
        <w:sz w:val="22"/>
      </w:rPr>
    </w:tblStylePr>
    <w:tblStylePr w:type="firstCol">
      <w:rPr>
        <w:b/>
        <w:color w:val="4b7e1d" w:themeColor="accent1" w:themeShade="95"/>
      </w:rPr>
    </w:tblStylePr>
    <w:tblStylePr w:type="firstRow">
      <w:rPr>
        <w:b/>
        <w:color w:val="4b7e1d" w:themeColor="accent1" w:themeShade="95"/>
      </w:rPr>
      <w:tcPr>
        <w:tcBorders>
          <w:bottom w:val="single" w:color="000000" w:themeColor="accent1" w:sz="4" w:space="0"/>
        </w:tcBorders>
      </w:tcPr>
    </w:tblStylePr>
    <w:tblStylePr w:type="lastCol">
      <w:rPr>
        <w:b/>
        <w:color w:val="4b7e1d" w:themeColor="accent1" w:themeShade="95"/>
      </w:rPr>
    </w:tblStylePr>
    <w:tblStylePr w:type="lastRow">
      <w:rPr>
        <w:b/>
        <w:color w:val="4b7e1d" w:themeColor="accent1" w:themeShade="95"/>
      </w:rPr>
      <w:tcPr>
        <w:tcBorders>
          <w:top w:val="single" w:color="000000" w:themeColor="accent1" w:sz="4" w:space="0"/>
        </w:tcBorders>
      </w:tcPr>
    </w:tblStylePr>
  </w:style>
  <w:style w:type="table" w:styleId="140">
    <w:name w:val="List Table 6 Colorful - Accent 2"/>
    <w:basedOn w:val="7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4" w:space="0"/>
        </w:tcBorders>
      </w:tcPr>
    </w:tblStylePr>
    <w:tblStylePr w:type="lastCol">
      <w:rPr>
        <w:b/>
        <w:color w:val="be116b" w:themeColor="accent2" w:themeTint="97" w:themeShade="95"/>
      </w:rPr>
    </w:tblStylePr>
    <w:tblStylePr w:type="lastRow">
      <w:rPr>
        <w:b/>
        <w:color w:val="be116b" w:themeColor="accent2" w:themeTint="97" w:themeShade="95"/>
      </w:rPr>
      <w:tcPr>
        <w:tcBorders>
          <w:top w:val="single" w:color="000000" w:themeColor="accent2" w:themeTint="97" w:sz="4" w:space="0"/>
        </w:tcBorders>
      </w:tcPr>
    </w:tblStylePr>
  </w:style>
  <w:style w:type="table" w:styleId="141">
    <w:name w:val="List Table 6 Colorful - Accent 3"/>
    <w:basedOn w:val="7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404040" w:themeColor="accent3" w:themeTint="98" w:themeShade="95"/>
        <w:sz w:val="22"/>
      </w:rPr>
    </w:tblStylePr>
    <w:tblStylePr w:type="firstCol">
      <w:rPr>
        <w:b/>
        <w:color w:val="d29001" w:themeColor="accent3" w:themeTint="98" w:themeShade="95"/>
      </w:rPr>
    </w:tblStylePr>
    <w:tblStylePr w:type="firstRow">
      <w:rPr>
        <w:b/>
        <w:color w:val="d29001" w:themeColor="accent3" w:themeTint="98" w:themeShade="95"/>
      </w:rPr>
      <w:tcPr>
        <w:tcBorders>
          <w:bottom w:val="single" w:color="000000" w:themeColor="accent3" w:themeTint="98" w:sz="4" w:space="0"/>
        </w:tcBorders>
      </w:tcPr>
    </w:tblStylePr>
    <w:tblStylePr w:type="lastCol">
      <w:rPr>
        <w:b/>
        <w:color w:val="d29001" w:themeColor="accent3" w:themeTint="98" w:themeShade="95"/>
      </w:rPr>
    </w:tblStylePr>
    <w:tblStylePr w:type="lastRow">
      <w:rPr>
        <w:b/>
        <w:color w:val="d29001" w:themeColor="accent3" w:themeTint="98" w:themeShade="95"/>
      </w:rPr>
      <w:tcPr>
        <w:tcBorders>
          <w:top w:val="single" w:color="000000" w:themeColor="accent3" w:themeTint="98" w:sz="4" w:space="0"/>
        </w:tcBorders>
      </w:tcPr>
    </w:tblStylePr>
  </w:style>
  <w:style w:type="table" w:styleId="142">
    <w:name w:val="List Table 6 Colorful - Accent 4"/>
    <w:basedOn w:val="7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4" w:space="0"/>
        </w:tcBorders>
      </w:tcPr>
    </w:tblStylePr>
    <w:tblStylePr w:type="lastCol">
      <w:rPr>
        <w:b/>
        <w:color w:val="019ac0" w:themeColor="accent4" w:themeTint="9A" w:themeShade="95"/>
      </w:rPr>
    </w:tblStylePr>
    <w:tblStylePr w:type="lastRow">
      <w:rPr>
        <w:b/>
        <w:color w:val="019ac0" w:themeColor="accent4" w:themeTint="9A" w:themeShade="95"/>
      </w:rPr>
      <w:tcPr>
        <w:tcBorders>
          <w:top w:val="single" w:color="000000" w:themeColor="accent4" w:themeTint="9A" w:sz="4" w:space="0"/>
        </w:tcBorders>
      </w:tcPr>
    </w:tblStylePr>
  </w:style>
  <w:style w:type="table" w:styleId="143">
    <w:name w:val="List Table 6 Colorful - Accent 5"/>
    <w:basedOn w:val="7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04040" w:themeColor="accent5" w:themeTint="9A" w:themeShade="95"/>
        <w:sz w:val="22"/>
      </w:rPr>
    </w:tblStylePr>
    <w:tblStylePr w:type="firstCol">
      <w:rPr>
        <w:b/>
        <w:color w:val="415ca2" w:themeColor="accent5" w:themeTint="9A" w:themeShade="95"/>
      </w:rPr>
    </w:tblStylePr>
    <w:tblStylePr w:type="firstRow">
      <w:rPr>
        <w:b/>
        <w:color w:val="415ca2" w:themeColor="accent5" w:themeTint="9A" w:themeShade="95"/>
      </w:rPr>
      <w:tcPr>
        <w:tcBorders>
          <w:bottom w:val="single" w:color="000000" w:themeColor="accent5" w:themeTint="9A" w:sz="4" w:space="0"/>
        </w:tcBorders>
      </w:tcPr>
    </w:tblStylePr>
    <w:tblStylePr w:type="lastCol">
      <w:rPr>
        <w:b/>
        <w:color w:val="415ca2" w:themeColor="accent5" w:themeTint="9A" w:themeShade="95"/>
      </w:rPr>
    </w:tblStylePr>
    <w:tblStylePr w:type="lastRow">
      <w:rPr>
        <w:b/>
        <w:color w:val="415ca2" w:themeColor="accent5" w:themeTint="9A" w:themeShade="95"/>
      </w:rPr>
      <w:tcPr>
        <w:tcBorders>
          <w:top w:val="single" w:color="000000" w:themeColor="accent5" w:themeTint="9A" w:sz="4" w:space="0"/>
        </w:tcBorders>
      </w:tcPr>
    </w:tblStylePr>
  </w:style>
  <w:style w:type="table" w:styleId="144">
    <w:name w:val="List Table 6 Colorful - Accent 6"/>
    <w:basedOn w:val="7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404040" w:themeColor="accent6" w:themeTint="98" w:themeShade="95"/>
        <w:sz w:val="22"/>
      </w:rPr>
    </w:tblStylePr>
    <w:tblStylePr w:type="firstCol">
      <w:rPr>
        <w:b/>
        <w:color w:val="18a58f" w:themeColor="accent6" w:themeTint="98" w:themeShade="95"/>
      </w:rPr>
    </w:tblStylePr>
    <w:tblStylePr w:type="firstRow">
      <w:rPr>
        <w:b/>
        <w:color w:val="18a58f" w:themeColor="accent6" w:themeTint="98" w:themeShade="95"/>
      </w:rPr>
      <w:tcPr>
        <w:tcBorders>
          <w:bottom w:val="single" w:color="000000" w:themeColor="accent6" w:themeTint="98" w:sz="4" w:space="0"/>
        </w:tcBorders>
      </w:tcPr>
    </w:tblStylePr>
    <w:tblStylePr w:type="lastCol">
      <w:rPr>
        <w:b/>
        <w:color w:val="18a58f" w:themeColor="accent6" w:themeTint="98" w:themeShade="95"/>
      </w:rPr>
    </w:tblStylePr>
    <w:tblStylePr w:type="lastRow">
      <w:rPr>
        <w:b/>
        <w:color w:val="18a58f" w:themeColor="accent6" w:themeTint="98" w:themeShade="95"/>
      </w:rPr>
      <w:tcPr>
        <w:tcBorders>
          <w:top w:val="single" w:color="000000" w:themeColor="accent6" w:themeTint="98" w:sz="4" w:space="0"/>
        </w:tcBorders>
      </w:tcPr>
    </w:tblStylePr>
  </w:style>
  <w:style w:type="table" w:styleId="145">
    <w:name w:val="List Table 7 Colorful"/>
    <w:basedOn w:val="7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4b7e1d"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b7e1d" w:themeColor="accent1" w:themeShade="95"/>
        <w:sz w:val="22"/>
      </w:rPr>
    </w:tblStylePr>
    <w:tblStylePr w:type="firstCol">
      <w:rPr>
        <w:rFonts w:ascii="Arial" w:hAnsi="Arial"/>
        <w:i/>
        <w:color w:val="4b7e1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4b7e1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4b7e1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4b7e1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4b7e1d" w:themeColor="accent1" w:themeShade="95"/>
        <w:sz w:val="22"/>
      </w:rPr>
    </w:tblStylePr>
  </w:style>
  <w:style w:type="table" w:styleId="147">
    <w:name w:val="List Table 7 Colorful - Accent 2"/>
    <w:basedOn w:val="7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be116b"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be116b"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be116b"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be116b" w:themeColor="accent2" w:themeTint="97" w:themeShade="95"/>
        <w:sz w:val="22"/>
      </w:rPr>
    </w:tblStylePr>
  </w:style>
  <w:style w:type="table" w:styleId="148">
    <w:name w:val="List Table 7 Colorful - Accent 3"/>
    <w:basedOn w:val="7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d29001"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d29001" w:themeColor="accent3" w:themeTint="98" w:themeShade="95"/>
        <w:sz w:val="22"/>
      </w:rPr>
    </w:tblStylePr>
    <w:tblStylePr w:type="firstCol">
      <w:rPr>
        <w:rFonts w:ascii="Arial" w:hAnsi="Arial"/>
        <w:i/>
        <w:color w:val="d29001"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d29001"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d29001"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d29001"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d29001" w:themeColor="accent3" w:themeTint="98" w:themeShade="95"/>
        <w:sz w:val="22"/>
      </w:rPr>
    </w:tblStylePr>
  </w:style>
  <w:style w:type="table" w:styleId="149">
    <w:name w:val="List Table 7 Colorful - Accent 4"/>
    <w:basedOn w:val="7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019ac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19ac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019ac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019ac0" w:themeColor="accent4" w:themeTint="9A" w:themeShade="95"/>
        <w:sz w:val="22"/>
      </w:rPr>
    </w:tblStylePr>
  </w:style>
  <w:style w:type="table" w:styleId="150">
    <w:name w:val="List Table 7 Colorful - Accent 5"/>
    <w:basedOn w:val="7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415ca2"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15ca2" w:themeColor="accent5" w:themeTint="9A" w:themeShade="95"/>
        <w:sz w:val="22"/>
      </w:rPr>
    </w:tblStylePr>
    <w:tblStylePr w:type="firstCol">
      <w:rPr>
        <w:rFonts w:ascii="Arial" w:hAnsi="Arial"/>
        <w:i/>
        <w:color w:val="415ca2"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415ca2"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415ca2"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415ca2"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415ca2" w:themeColor="accent5" w:themeTint="9A" w:themeShade="95"/>
        <w:sz w:val="22"/>
      </w:rPr>
    </w:tblStylePr>
  </w:style>
  <w:style w:type="table" w:styleId="151">
    <w:name w:val="List Table 7 Colorful - Accent 6"/>
    <w:basedOn w:val="7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18a58f"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18a58f" w:themeColor="accent6" w:themeTint="98" w:themeShade="95"/>
        <w:sz w:val="22"/>
      </w:rPr>
    </w:tblStylePr>
    <w:tblStylePr w:type="firstCol">
      <w:rPr>
        <w:rFonts w:ascii="Arial" w:hAnsi="Arial"/>
        <w:i/>
        <w:color w:val="18a58f"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18a58f"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18a58f"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18a58f"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18a58f" w:themeColor="accent6" w:themeTint="98" w:themeShade="95"/>
        <w:sz w:val="22"/>
      </w:rPr>
    </w:tblStylePr>
  </w:style>
  <w:style w:type="table" w:styleId="152">
    <w:name w:val="Lined - Accent"/>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154">
    <w:name w:val="Lined - Accent 2"/>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155">
    <w:name w:val="Lined - Accent 3"/>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156">
    <w:name w:val="Lined - Accent 4"/>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157">
    <w:name w:val="Lined - Accent 5"/>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158">
    <w:name w:val="Lined - Accent 6"/>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159">
    <w:name w:val="Bordered &amp; Lined - Accent"/>
    <w:basedOn w:val="7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161">
    <w:name w:val="Bordered &amp; Lined - Accent 2"/>
    <w:basedOn w:val="7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162">
    <w:name w:val="Bordered &amp; Lined - Accent 3"/>
    <w:basedOn w:val="7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163">
    <w:name w:val="Bordered &amp; Lined - Accent 4"/>
    <w:basedOn w:val="7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164">
    <w:name w:val="Bordered &amp; Lined - Accent 5"/>
    <w:basedOn w:val="7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165">
    <w:name w:val="Bordered &amp; Lined - Accent 6"/>
    <w:basedOn w:val="7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166">
    <w:name w:val="Bordered"/>
    <w:basedOn w:val="7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87"/>
    <w:uiPriority w:val="99"/>
    <w:rPr>
      <w:sz w:val="18"/>
    </w:rPr>
  </w:style>
  <w:style w:type="paragraph" w:styleId="177">
    <w:name w:val="endnote text"/>
    <w:basedOn w:val="7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64"/>
    <w:uiPriority w:val="99"/>
    <w:semiHidden/>
    <w:unhideWhenUsed/>
    <w:rPr>
      <w:vertAlign w:val="superscript"/>
    </w:rPr>
  </w:style>
  <w:style w:type="paragraph" w:styleId="183">
    <w:name w:val="toc 4"/>
    <w:basedOn w:val="754"/>
    <w:next w:val="754"/>
    <w:uiPriority w:val="39"/>
    <w:unhideWhenUsed/>
    <w:pPr>
      <w:ind w:left="850" w:right="0" w:firstLine="0"/>
      <w:spacing w:after="57"/>
    </w:pPr>
  </w:style>
  <w:style w:type="paragraph" w:styleId="184">
    <w:name w:val="toc 5"/>
    <w:basedOn w:val="754"/>
    <w:next w:val="754"/>
    <w:uiPriority w:val="39"/>
    <w:unhideWhenUsed/>
    <w:pPr>
      <w:ind w:left="1134" w:right="0" w:firstLine="0"/>
      <w:spacing w:after="57"/>
    </w:pPr>
  </w:style>
  <w:style w:type="paragraph" w:styleId="185">
    <w:name w:val="toc 6"/>
    <w:basedOn w:val="754"/>
    <w:next w:val="754"/>
    <w:uiPriority w:val="39"/>
    <w:unhideWhenUsed/>
    <w:pPr>
      <w:ind w:left="1417" w:right="0" w:firstLine="0"/>
      <w:spacing w:after="57"/>
    </w:pPr>
  </w:style>
  <w:style w:type="paragraph" w:styleId="186">
    <w:name w:val="toc 7"/>
    <w:basedOn w:val="754"/>
    <w:next w:val="754"/>
    <w:uiPriority w:val="39"/>
    <w:unhideWhenUsed/>
    <w:pPr>
      <w:ind w:left="1701" w:right="0" w:firstLine="0"/>
      <w:spacing w:after="57"/>
    </w:pPr>
  </w:style>
  <w:style w:type="paragraph" w:styleId="187">
    <w:name w:val="toc 8"/>
    <w:basedOn w:val="754"/>
    <w:next w:val="754"/>
    <w:uiPriority w:val="39"/>
    <w:unhideWhenUsed/>
    <w:pPr>
      <w:ind w:left="1984" w:right="0" w:firstLine="0"/>
      <w:spacing w:after="57"/>
    </w:pPr>
  </w:style>
  <w:style w:type="paragraph" w:styleId="188">
    <w:name w:val="toc 9"/>
    <w:basedOn w:val="754"/>
    <w:next w:val="75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4"/>
    <w:next w:val="754"/>
    <w:uiPriority w:val="99"/>
    <w:unhideWhenUsed/>
    <w:pPr>
      <w:spacing w:after="0" w:afterAutospacing="0"/>
    </w:pPr>
  </w:style>
  <w:style w:type="paragraph" w:styleId="754" w:default="1">
    <w:name w:val="Normal"/>
    <w:uiPriority w:val="0"/>
    <w:qFormat/>
    <w:pPr>
      <w:jc w:val="both"/>
      <w:widowControl w:val="off"/>
    </w:pPr>
    <w:rPr>
      <w:rFonts w:ascii="Calibri" w:hAnsi="Calibri" w:eastAsia="宋体" w:cs="宋体"/>
      <w:sz w:val="21"/>
      <w:szCs w:val="22"/>
      <w:lang w:val="en-US" w:eastAsia="zh-CN" w:bidi="ar-SA"/>
    </w:rPr>
  </w:style>
  <w:style w:type="paragraph" w:styleId="755">
    <w:name w:val="Heading 1"/>
    <w:basedOn w:val="754"/>
    <w:next w:val="754"/>
    <w:link w:val="806"/>
    <w:uiPriority w:val="0"/>
    <w:qFormat/>
    <w:pPr>
      <w:keepLines/>
      <w:keepNext/>
      <w:spacing w:before="340" w:after="330" w:line="578" w:lineRule="auto"/>
      <w:outlineLvl w:val="0"/>
    </w:pPr>
    <w:rPr>
      <w:b/>
      <w:bCs/>
      <w:sz w:val="44"/>
      <w:szCs w:val="44"/>
    </w:rPr>
  </w:style>
  <w:style w:type="paragraph" w:styleId="756">
    <w:name w:val="Heading 2"/>
    <w:basedOn w:val="754"/>
    <w:next w:val="754"/>
    <w:link w:val="807"/>
    <w:uiPriority w:val="0"/>
    <w:qFormat/>
    <w:pPr>
      <w:keepLines/>
      <w:keepNext/>
      <w:spacing w:before="260" w:after="260" w:line="413" w:lineRule="auto"/>
      <w:outlineLvl w:val="1"/>
    </w:pPr>
    <w:rPr>
      <w:rFonts w:ascii="Arial" w:hAnsi="Arial" w:eastAsia="黑体" w:cs="Times New Roman"/>
      <w:b/>
      <w:bCs/>
      <w:sz w:val="32"/>
      <w:szCs w:val="32"/>
    </w:rPr>
  </w:style>
  <w:style w:type="paragraph" w:styleId="757">
    <w:name w:val="Heading 3"/>
    <w:basedOn w:val="754"/>
    <w:next w:val="754"/>
    <w:link w:val="808"/>
    <w:uiPriority w:val="0"/>
    <w:unhideWhenUsed/>
    <w:qFormat/>
    <w:pPr>
      <w:keepLines/>
      <w:keepNext/>
      <w:spacing w:before="260" w:after="260" w:line="416" w:lineRule="auto"/>
      <w:outlineLvl w:val="2"/>
    </w:pPr>
    <w:rPr>
      <w:b/>
      <w:bCs/>
      <w:sz w:val="32"/>
      <w:szCs w:val="32"/>
    </w:rPr>
  </w:style>
  <w:style w:type="paragraph" w:styleId="758">
    <w:name w:val="Heading 4"/>
    <w:basedOn w:val="754"/>
    <w:next w:val="766"/>
    <w:link w:val="809"/>
    <w:uiPriority w:val="9"/>
    <w:qFormat/>
    <w:pPr>
      <w:keepLines/>
      <w:keepNext/>
      <w:spacing w:before="120" w:after="120"/>
      <w:outlineLvl w:val="3"/>
    </w:pPr>
    <w:rPr>
      <w:rFonts w:ascii="Arial" w:hAnsi="Arial" w:eastAsia="黑体" w:cs="Times New Roman"/>
      <w:b/>
      <w:sz w:val="28"/>
      <w:szCs w:val="20"/>
    </w:rPr>
  </w:style>
  <w:style w:type="paragraph" w:styleId="759">
    <w:name w:val="Heading 5"/>
    <w:basedOn w:val="754"/>
    <w:next w:val="754"/>
    <w:link w:val="810"/>
    <w:uiPriority w:val="0"/>
    <w:qFormat/>
    <w:pPr>
      <w:ind w:left="1008" w:hanging="1008"/>
      <w:keepLines/>
      <w:keepNext/>
      <w:spacing w:before="280" w:after="290" w:line="372" w:lineRule="auto"/>
      <w:tabs>
        <w:tab w:val="left" w:pos="1008" w:leader="none"/>
      </w:tabs>
      <w:outlineLvl w:val="4"/>
    </w:pPr>
    <w:rPr>
      <w:rFonts w:cs="Times New Roman"/>
      <w:b/>
      <w:bCs/>
      <w:sz w:val="28"/>
      <w:szCs w:val="28"/>
    </w:rPr>
  </w:style>
  <w:style w:type="paragraph" w:styleId="760">
    <w:name w:val="Heading 6"/>
    <w:basedOn w:val="754"/>
    <w:next w:val="754"/>
    <w:link w:val="811"/>
    <w:uiPriority w:val="0"/>
    <w:qFormat/>
    <w:pPr>
      <w:ind w:left="1152" w:hanging="1152"/>
      <w:keepLines/>
      <w:keepNext/>
      <w:spacing w:before="240" w:after="64" w:line="317" w:lineRule="auto"/>
      <w:tabs>
        <w:tab w:val="left" w:pos="1152" w:leader="none"/>
      </w:tabs>
      <w:outlineLvl w:val="5"/>
    </w:pPr>
    <w:rPr>
      <w:rFonts w:ascii="Arial" w:hAnsi="Arial" w:eastAsia="黑体" w:cs="Times New Roman"/>
      <w:b/>
      <w:bCs/>
      <w:sz w:val="24"/>
      <w:szCs w:val="24"/>
    </w:rPr>
  </w:style>
  <w:style w:type="paragraph" w:styleId="761">
    <w:name w:val="Heading 7"/>
    <w:basedOn w:val="754"/>
    <w:next w:val="754"/>
    <w:link w:val="812"/>
    <w:uiPriority w:val="0"/>
    <w:qFormat/>
    <w:pPr>
      <w:ind w:left="1296" w:hanging="1296"/>
      <w:keepLines/>
      <w:keepNext/>
      <w:spacing w:before="240" w:after="64" w:line="317" w:lineRule="auto"/>
      <w:tabs>
        <w:tab w:val="left" w:pos="1296" w:leader="none"/>
      </w:tabs>
      <w:outlineLvl w:val="6"/>
    </w:pPr>
    <w:rPr>
      <w:rFonts w:cs="Times New Roman"/>
      <w:b/>
      <w:bCs/>
      <w:sz w:val="24"/>
      <w:szCs w:val="24"/>
    </w:rPr>
  </w:style>
  <w:style w:type="paragraph" w:styleId="762">
    <w:name w:val="Heading 8"/>
    <w:basedOn w:val="754"/>
    <w:next w:val="754"/>
    <w:link w:val="813"/>
    <w:uiPriority w:val="0"/>
    <w:qFormat/>
    <w:pPr>
      <w:ind w:left="1440" w:hanging="1440"/>
      <w:keepLines/>
      <w:keepNext/>
      <w:spacing w:before="240" w:after="64" w:line="317" w:lineRule="auto"/>
      <w:tabs>
        <w:tab w:val="left" w:pos="1440" w:leader="none"/>
      </w:tabs>
      <w:outlineLvl w:val="7"/>
    </w:pPr>
    <w:rPr>
      <w:rFonts w:ascii="Arial" w:hAnsi="Arial" w:eastAsia="黑体" w:cs="Times New Roman"/>
      <w:sz w:val="24"/>
      <w:szCs w:val="24"/>
    </w:rPr>
  </w:style>
  <w:style w:type="paragraph" w:styleId="763">
    <w:name w:val="Heading 9"/>
    <w:basedOn w:val="754"/>
    <w:next w:val="754"/>
    <w:link w:val="814"/>
    <w:uiPriority w:val="0"/>
    <w:qFormat/>
    <w:pPr>
      <w:ind w:left="1584" w:hanging="1584"/>
      <w:keepLines/>
      <w:keepNext/>
      <w:spacing w:before="240" w:after="64" w:line="317" w:lineRule="auto"/>
      <w:tabs>
        <w:tab w:val="left" w:pos="1584" w:leader="none"/>
      </w:tabs>
      <w:outlineLvl w:val="8"/>
    </w:pPr>
    <w:rPr>
      <w:rFonts w:ascii="Arial" w:hAnsi="Arial" w:eastAsia="黑体" w:cs="Times New Roman"/>
      <w:szCs w:val="21"/>
    </w:rPr>
  </w:style>
  <w:style w:type="character" w:styleId="764" w:default="1">
    <w:name w:val="Default Paragraph Font"/>
    <w:uiPriority w:val="1"/>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Normal Indent"/>
    <w:basedOn w:val="754"/>
    <w:link w:val="997"/>
    <w:uiPriority w:val="0"/>
    <w:qFormat/>
    <w:pPr>
      <w:ind w:firstLine="420"/>
    </w:pPr>
    <w:rPr>
      <w:rFonts w:cs="Times New Roman"/>
      <w:szCs w:val="20"/>
    </w:rPr>
  </w:style>
  <w:style w:type="paragraph" w:styleId="767">
    <w:name w:val="List Number 2"/>
    <w:basedOn w:val="754"/>
    <w:uiPriority w:val="0"/>
    <w:qFormat/>
    <w:pPr>
      <w:ind w:left="1440" w:hanging="1440"/>
      <w:spacing w:line="360" w:lineRule="auto"/>
      <w:tabs>
        <w:tab w:val="left" w:pos="1440" w:leader="none"/>
      </w:tabs>
    </w:pPr>
    <w:rPr>
      <w:rFonts w:cs="Times New Roman"/>
      <w:sz w:val="24"/>
      <w:szCs w:val="24"/>
    </w:rPr>
  </w:style>
  <w:style w:type="paragraph" w:styleId="768">
    <w:name w:val="List Number"/>
    <w:basedOn w:val="754"/>
    <w:uiPriority w:val="0"/>
    <w:qFormat/>
    <w:pPr>
      <w:ind w:left="2952" w:hanging="432"/>
      <w:tabs>
        <w:tab w:val="left" w:pos="2952" w:leader="none"/>
      </w:tabs>
    </w:pPr>
    <w:rPr>
      <w:rFonts w:cs="Times New Roman"/>
      <w:szCs w:val="24"/>
    </w:rPr>
  </w:style>
  <w:style w:type="paragraph" w:styleId="769">
    <w:name w:val="Document Map"/>
    <w:basedOn w:val="754"/>
    <w:link w:val="815"/>
    <w:uiPriority w:val="0"/>
    <w:qFormat/>
    <w:rPr>
      <w:rFonts w:ascii="宋体"/>
      <w:sz w:val="18"/>
      <w:szCs w:val="18"/>
    </w:rPr>
  </w:style>
  <w:style w:type="paragraph" w:styleId="770">
    <w:name w:val="annotation text"/>
    <w:basedOn w:val="754"/>
    <w:link w:val="816"/>
    <w:uiPriority w:val="99"/>
    <w:qFormat/>
    <w:pPr>
      <w:jc w:val="left"/>
    </w:pPr>
    <w:rPr>
      <w:rFonts w:ascii="Times New Roman" w:hAnsi="Times New Roman" w:cs="Times New Roman"/>
      <w:szCs w:val="20"/>
    </w:rPr>
  </w:style>
  <w:style w:type="paragraph" w:styleId="771">
    <w:name w:val="Salutation"/>
    <w:basedOn w:val="754"/>
    <w:next w:val="754"/>
    <w:link w:val="817"/>
    <w:uiPriority w:val="0"/>
    <w:qFormat/>
    <w:rPr>
      <w:rFonts w:ascii="仿宋_GB2312" w:hAnsi="Times New Roman" w:eastAsia="仿宋_GB2312" w:cs="Times New Roman"/>
      <w:sz w:val="28"/>
      <w:szCs w:val="20"/>
    </w:rPr>
  </w:style>
  <w:style w:type="paragraph" w:styleId="772">
    <w:name w:val="Body Text 3"/>
    <w:basedOn w:val="754"/>
    <w:link w:val="818"/>
    <w:uiPriority w:val="0"/>
    <w:qFormat/>
    <w:pPr>
      <w:spacing w:after="120"/>
    </w:pPr>
    <w:rPr>
      <w:rFonts w:ascii="Times New Roman" w:hAnsi="Times New Roman" w:cs="Times New Roman"/>
      <w:sz w:val="16"/>
      <w:szCs w:val="16"/>
    </w:rPr>
  </w:style>
  <w:style w:type="paragraph" w:styleId="773">
    <w:name w:val="Body Text"/>
    <w:basedOn w:val="754"/>
    <w:link w:val="819"/>
    <w:uiPriority w:val="0"/>
    <w:unhideWhenUsed/>
    <w:qFormat/>
    <w:pPr>
      <w:spacing w:after="120"/>
    </w:pPr>
  </w:style>
  <w:style w:type="paragraph" w:styleId="774">
    <w:name w:val="Body Text Indent"/>
    <w:basedOn w:val="754"/>
    <w:link w:val="805"/>
    <w:uiPriority w:val="99"/>
    <w:qFormat/>
    <w:pPr>
      <w:ind w:firstLine="574"/>
      <w:spacing w:line="312" w:lineRule="atLeast"/>
    </w:pPr>
    <w:rPr>
      <w:rFonts w:ascii="宋体"/>
      <w:sz w:val="28"/>
    </w:rPr>
  </w:style>
  <w:style w:type="paragraph" w:styleId="775">
    <w:name w:val="toc 3"/>
    <w:basedOn w:val="754"/>
    <w:next w:val="754"/>
    <w:uiPriority w:val="39"/>
    <w:qFormat/>
    <w:pPr>
      <w:ind w:left="840"/>
    </w:pPr>
    <w:rPr>
      <w:rFonts w:cs="Times New Roman"/>
      <w:szCs w:val="24"/>
    </w:rPr>
  </w:style>
  <w:style w:type="paragraph" w:styleId="776">
    <w:name w:val="Plain Text"/>
    <w:basedOn w:val="754"/>
    <w:link w:val="820"/>
    <w:uiPriority w:val="0"/>
    <w:qFormat/>
    <w:rPr>
      <w:rFonts w:ascii="宋体" w:hAnsi="Courier New" w:cs="Times New Roman"/>
      <w:sz w:val="20"/>
      <w:szCs w:val="21"/>
    </w:rPr>
  </w:style>
  <w:style w:type="paragraph" w:styleId="777">
    <w:name w:val="index 3"/>
    <w:basedOn w:val="754"/>
    <w:next w:val="754"/>
    <w:uiPriority w:val="0"/>
    <w:qFormat/>
    <w:pPr>
      <w:ind w:left="840"/>
    </w:pPr>
    <w:rPr>
      <w:rFonts w:cs="Times New Roman"/>
      <w:szCs w:val="20"/>
    </w:rPr>
  </w:style>
  <w:style w:type="paragraph" w:styleId="778">
    <w:name w:val="Date"/>
    <w:basedOn w:val="754"/>
    <w:next w:val="754"/>
    <w:link w:val="821"/>
    <w:uiPriority w:val="0"/>
    <w:qFormat/>
    <w:pPr>
      <w:ind w:left="100"/>
    </w:pPr>
    <w:rPr>
      <w:rFonts w:ascii="Times New Roman" w:hAnsi="Times New Roman" w:cs="Times New Roman"/>
      <w:sz w:val="28"/>
      <w:szCs w:val="20"/>
    </w:rPr>
  </w:style>
  <w:style w:type="paragraph" w:styleId="779">
    <w:name w:val="Body Text Indent 2"/>
    <w:basedOn w:val="754"/>
    <w:link w:val="822"/>
    <w:uiPriority w:val="0"/>
    <w:qFormat/>
    <w:pPr>
      <w:ind w:firstLine="480"/>
      <w:spacing w:line="400" w:lineRule="exact"/>
    </w:pPr>
    <w:rPr>
      <w:rFonts w:ascii="宋体" w:hAnsi="宋体" w:cs="Times New Roman"/>
      <w:sz w:val="24"/>
      <w:szCs w:val="24"/>
    </w:rPr>
  </w:style>
  <w:style w:type="paragraph" w:styleId="780">
    <w:name w:val="Balloon Text"/>
    <w:basedOn w:val="754"/>
    <w:link w:val="823"/>
    <w:uiPriority w:val="0"/>
    <w:qFormat/>
    <w:rPr>
      <w:sz w:val="18"/>
      <w:szCs w:val="18"/>
    </w:rPr>
  </w:style>
  <w:style w:type="paragraph" w:styleId="781">
    <w:name w:val="Footer"/>
    <w:basedOn w:val="754"/>
    <w:link w:val="824"/>
    <w:uiPriority w:val="99"/>
    <w:qFormat/>
    <w:pPr>
      <w:jc w:val="left"/>
      <w:tabs>
        <w:tab w:val="center" w:pos="4153" w:leader="none"/>
        <w:tab w:val="right" w:pos="8306" w:leader="none"/>
      </w:tabs>
    </w:pPr>
    <w:rPr>
      <w:sz w:val="18"/>
      <w:szCs w:val="18"/>
    </w:rPr>
  </w:style>
  <w:style w:type="paragraph" w:styleId="782">
    <w:name w:val="Header"/>
    <w:basedOn w:val="754"/>
    <w:link w:val="825"/>
    <w:uiPriority w:val="99"/>
    <w:qFormat/>
    <w:pPr>
      <w:jc w:val="center"/>
      <w:tabs>
        <w:tab w:val="center" w:pos="4153" w:leader="none"/>
        <w:tab w:val="right" w:pos="8306" w:leader="none"/>
      </w:tabs>
      <w:pBdr>
        <w:bottom w:val="single" w:color="auto" w:sz="6" w:space="1"/>
      </w:pBdr>
    </w:pPr>
    <w:rPr>
      <w:sz w:val="18"/>
      <w:szCs w:val="18"/>
    </w:rPr>
  </w:style>
  <w:style w:type="paragraph" w:styleId="783">
    <w:name w:val="Signature"/>
    <w:basedOn w:val="754"/>
    <w:link w:val="826"/>
    <w:uiPriority w:val="0"/>
    <w:qFormat/>
    <w:pPr>
      <w:jc w:val="center"/>
      <w:spacing w:after="600" w:line="312" w:lineRule="atLeast"/>
    </w:pPr>
    <w:rPr>
      <w:rFonts w:ascii="Times New Roman" w:hAnsi="Times New Roman" w:eastAsia="仿宋_GB2312" w:cs="Times New Roman"/>
      <w:sz w:val="24"/>
      <w:szCs w:val="20"/>
    </w:rPr>
  </w:style>
  <w:style w:type="paragraph" w:styleId="784">
    <w:name w:val="toc 1"/>
    <w:basedOn w:val="754"/>
    <w:next w:val="754"/>
    <w:uiPriority w:val="39"/>
    <w:qFormat/>
  </w:style>
  <w:style w:type="paragraph" w:styleId="785">
    <w:name w:val="index heading"/>
    <w:basedOn w:val="754"/>
    <w:next w:val="786"/>
    <w:uiPriority w:val="0"/>
    <w:qFormat/>
    <w:rPr>
      <w:rFonts w:cs="Times New Roman"/>
      <w:szCs w:val="20"/>
    </w:rPr>
  </w:style>
  <w:style w:type="paragraph" w:styleId="786">
    <w:name w:val="index 1"/>
    <w:basedOn w:val="754"/>
    <w:next w:val="754"/>
    <w:uiPriority w:val="0"/>
    <w:semiHidden/>
    <w:qFormat/>
    <w:rPr>
      <w:rFonts w:cs="Times New Roman"/>
      <w:szCs w:val="24"/>
    </w:rPr>
  </w:style>
  <w:style w:type="paragraph" w:styleId="787">
    <w:name w:val="footnote text"/>
    <w:basedOn w:val="754"/>
    <w:link w:val="827"/>
    <w:uiPriority w:val="0"/>
    <w:qFormat/>
    <w:pPr>
      <w:jc w:val="left"/>
    </w:pPr>
    <w:rPr>
      <w:rFonts w:ascii="Times New Roman" w:hAnsi="Times New Roman" w:cs="Times New Roman"/>
      <w:sz w:val="18"/>
      <w:szCs w:val="18"/>
    </w:rPr>
  </w:style>
  <w:style w:type="paragraph" w:styleId="788">
    <w:name w:val="Body Text Indent 3"/>
    <w:basedOn w:val="754"/>
    <w:link w:val="828"/>
    <w:uiPriority w:val="0"/>
    <w:qFormat/>
    <w:pPr>
      <w:ind w:left="480"/>
      <w:spacing w:before="120" w:after="120" w:line="264" w:lineRule="auto"/>
    </w:pPr>
    <w:rPr>
      <w:rFonts w:ascii="Times New Roman" w:hAnsi="Times New Roman" w:cs="Times New Roman"/>
      <w:b/>
      <w:bCs/>
      <w:sz w:val="24"/>
      <w:szCs w:val="20"/>
    </w:rPr>
  </w:style>
  <w:style w:type="paragraph" w:styleId="789">
    <w:name w:val="toc 2"/>
    <w:basedOn w:val="754"/>
    <w:next w:val="754"/>
    <w:uiPriority w:val="0"/>
    <w:qFormat/>
    <w:pPr>
      <w:ind w:left="420"/>
    </w:pPr>
    <w:rPr>
      <w:rFonts w:cs="Times New Roman"/>
      <w:szCs w:val="24"/>
    </w:rPr>
  </w:style>
  <w:style w:type="paragraph" w:styleId="790">
    <w:name w:val="Body Text 2"/>
    <w:basedOn w:val="754"/>
    <w:link w:val="829"/>
    <w:uiPriority w:val="0"/>
    <w:qFormat/>
    <w:pPr>
      <w:jc w:val="center"/>
    </w:pPr>
    <w:rPr>
      <w:rFonts w:ascii="Times New Roman" w:hAnsi="Times New Roman" w:cs="Times New Roman"/>
      <w:b/>
      <w:bCs/>
      <w:sz w:val="72"/>
      <w:szCs w:val="20"/>
    </w:rPr>
  </w:style>
  <w:style w:type="paragraph" w:styleId="791">
    <w:name w:val="HTML Preformatted"/>
    <w:basedOn w:val="754"/>
    <w:link w:val="8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92">
    <w:name w:val="Normal (Web)"/>
    <w:basedOn w:val="754"/>
    <w:uiPriority w:val="99"/>
    <w:qFormat/>
    <w:pPr>
      <w:jc w:val="left"/>
      <w:spacing w:before="100" w:beforeAutospacing="1" w:after="100" w:afterAutospacing="1"/>
      <w:widowControl/>
    </w:pPr>
    <w:rPr>
      <w:rFonts w:ascii="宋体" w:hAnsi="宋体"/>
      <w:sz w:val="24"/>
      <w:szCs w:val="24"/>
    </w:rPr>
  </w:style>
  <w:style w:type="paragraph" w:styleId="793">
    <w:name w:val="Title"/>
    <w:basedOn w:val="754"/>
    <w:link w:val="831"/>
    <w:uiPriority w:val="10"/>
    <w:qFormat/>
    <w:pPr>
      <w:jc w:val="center"/>
      <w:spacing w:line="420" w:lineRule="exact"/>
      <w:widowControl/>
    </w:pPr>
    <w:rPr>
      <w:rFonts w:ascii="Times New Roman" w:hAnsi="Times New Roman" w:eastAsia="黑体" w:cs="Times New Roman"/>
      <w:b/>
      <w:sz w:val="28"/>
      <w:szCs w:val="20"/>
      <w:lang w:val="en-GB"/>
    </w:rPr>
  </w:style>
  <w:style w:type="paragraph" w:styleId="794">
    <w:name w:val="annotation subject"/>
    <w:basedOn w:val="770"/>
    <w:next w:val="770"/>
    <w:link w:val="832"/>
    <w:uiPriority w:val="0"/>
    <w:unhideWhenUsed/>
    <w:qFormat/>
    <w:rPr>
      <w:rFonts w:ascii="Calibri" w:hAnsi="Calibri" w:cs="宋体"/>
      <w:b/>
      <w:bCs/>
      <w:szCs w:val="22"/>
    </w:rPr>
  </w:style>
  <w:style w:type="paragraph" w:styleId="795">
    <w:name w:val="Body Text First Indent"/>
    <w:basedOn w:val="773"/>
    <w:link w:val="833"/>
    <w:uiPriority w:val="0"/>
    <w:qFormat/>
    <w:pPr>
      <w:ind w:firstLine="420"/>
    </w:pPr>
    <w:rPr>
      <w:rFonts w:ascii="Times New Roman" w:hAnsi="Times New Roman" w:cs="Times New Roman"/>
      <w:sz w:val="20"/>
      <w:szCs w:val="24"/>
    </w:rPr>
  </w:style>
  <w:style w:type="paragraph" w:styleId="796">
    <w:name w:val="Body Text First Indent 2"/>
    <w:basedOn w:val="774"/>
    <w:next w:val="754"/>
    <w:link w:val="835"/>
    <w:uiPriority w:val="99"/>
    <w:qFormat/>
    <w:pPr>
      <w:ind w:firstLine="420"/>
    </w:pPr>
    <w:rPr>
      <w:rFonts w:ascii="Times New Roman" w:hAnsi="Times New Roman" w:eastAsiaTheme="minorEastAsia" w:cstheme="minorBidi"/>
      <w:szCs w:val="24"/>
    </w:rPr>
  </w:style>
  <w:style w:type="table" w:styleId="797">
    <w:name w:val="Table Grid"/>
    <w:basedOn w:val="76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8">
    <w:name w:val="Strong"/>
    <w:uiPriority w:val="0"/>
    <w:qFormat/>
    <w:rPr>
      <w:b/>
      <w:bCs/>
    </w:rPr>
  </w:style>
  <w:style w:type="character" w:styleId="799">
    <w:name w:val="page number"/>
    <w:uiPriority w:val="0"/>
    <w:qFormat/>
    <w:rPr>
      <w:rFonts w:ascii="Tahoma" w:hAnsi="Tahoma"/>
      <w:sz w:val="24"/>
      <w:szCs w:val="20"/>
    </w:rPr>
  </w:style>
  <w:style w:type="character" w:styleId="800">
    <w:name w:val="FollowedHyperlink"/>
    <w:uiPriority w:val="0"/>
    <w:qFormat/>
    <w:rPr>
      <w:color w:val="800080"/>
      <w:u w:val="single"/>
    </w:rPr>
  </w:style>
  <w:style w:type="character" w:styleId="801">
    <w:name w:val="line number"/>
    <w:uiPriority w:val="0"/>
    <w:qFormat/>
    <w:rPr>
      <w:rFonts w:ascii="Tahoma" w:hAnsi="Tahoma"/>
      <w:sz w:val="24"/>
      <w:szCs w:val="20"/>
    </w:rPr>
  </w:style>
  <w:style w:type="character" w:styleId="802">
    <w:name w:val="Hyperlink"/>
    <w:basedOn w:val="764"/>
    <w:uiPriority w:val="99"/>
    <w:qFormat/>
    <w:rPr>
      <w:color w:val="0000ff"/>
      <w:u w:val="single"/>
    </w:rPr>
  </w:style>
  <w:style w:type="character" w:styleId="803">
    <w:name w:val="annotation reference"/>
    <w:uiPriority w:val="0"/>
    <w:qFormat/>
    <w:rPr>
      <w:sz w:val="21"/>
    </w:rPr>
  </w:style>
  <w:style w:type="character" w:styleId="804">
    <w:name w:val="footnote reference"/>
    <w:uiPriority w:val="0"/>
    <w:qFormat/>
    <w:rPr>
      <w:vertAlign w:val="superscript"/>
    </w:rPr>
  </w:style>
  <w:style w:type="character" w:styleId="805" w:customStyle="1">
    <w:name w:val="正文文本缩进 字符"/>
    <w:link w:val="774"/>
    <w:uiPriority w:val="99"/>
    <w:qFormat/>
    <w:rPr>
      <w:rFonts w:ascii="宋体" w:hAnsi="Calibri" w:cs="宋体"/>
      <w:sz w:val="28"/>
      <w:szCs w:val="22"/>
    </w:rPr>
  </w:style>
  <w:style w:type="character" w:styleId="806" w:customStyle="1">
    <w:name w:val="标题 1 字符"/>
    <w:basedOn w:val="764"/>
    <w:link w:val="755"/>
    <w:uiPriority w:val="0"/>
    <w:qFormat/>
    <w:rPr>
      <w:b/>
      <w:bCs/>
      <w:sz w:val="44"/>
      <w:szCs w:val="44"/>
    </w:rPr>
  </w:style>
  <w:style w:type="character" w:styleId="807" w:customStyle="1">
    <w:name w:val="标题 2 字符"/>
    <w:basedOn w:val="764"/>
    <w:link w:val="756"/>
    <w:uiPriority w:val="99"/>
    <w:qFormat/>
    <w:rPr>
      <w:rFonts w:ascii="Arial" w:hAnsi="Arial" w:eastAsia="黑体"/>
      <w:b/>
      <w:bCs/>
      <w:sz w:val="32"/>
      <w:szCs w:val="32"/>
    </w:rPr>
  </w:style>
  <w:style w:type="character" w:styleId="808" w:customStyle="1">
    <w:name w:val="标题 3 字符"/>
    <w:basedOn w:val="764"/>
    <w:link w:val="757"/>
    <w:uiPriority w:val="0"/>
    <w:qFormat/>
    <w:rPr>
      <w:rFonts w:ascii="Calibri" w:hAnsi="Calibri" w:cs="宋体"/>
      <w:b/>
      <w:bCs/>
      <w:sz w:val="32"/>
      <w:szCs w:val="32"/>
    </w:rPr>
  </w:style>
  <w:style w:type="character" w:styleId="809" w:customStyle="1">
    <w:name w:val="标题 4 字符"/>
    <w:basedOn w:val="764"/>
    <w:link w:val="758"/>
    <w:uiPriority w:val="9"/>
    <w:qFormat/>
    <w:rPr>
      <w:rFonts w:ascii="Arial" w:hAnsi="Arial" w:eastAsia="黑体"/>
      <w:b/>
      <w:sz w:val="28"/>
    </w:rPr>
  </w:style>
  <w:style w:type="character" w:styleId="810" w:customStyle="1">
    <w:name w:val="标题 5 字符"/>
    <w:basedOn w:val="764"/>
    <w:link w:val="759"/>
    <w:uiPriority w:val="0"/>
    <w:qFormat/>
    <w:rPr>
      <w:rFonts w:ascii="Calibri" w:hAnsi="Calibri"/>
      <w:b/>
      <w:bCs/>
      <w:sz w:val="28"/>
      <w:szCs w:val="28"/>
    </w:rPr>
  </w:style>
  <w:style w:type="character" w:styleId="811" w:customStyle="1">
    <w:name w:val="标题 6 字符"/>
    <w:basedOn w:val="764"/>
    <w:link w:val="760"/>
    <w:uiPriority w:val="0"/>
    <w:qFormat/>
    <w:rPr>
      <w:rFonts w:ascii="Arial" w:hAnsi="Arial" w:eastAsia="黑体"/>
      <w:b/>
      <w:bCs/>
      <w:sz w:val="24"/>
      <w:szCs w:val="24"/>
    </w:rPr>
  </w:style>
  <w:style w:type="character" w:styleId="812" w:customStyle="1">
    <w:name w:val="标题 7 字符"/>
    <w:basedOn w:val="764"/>
    <w:link w:val="761"/>
    <w:uiPriority w:val="0"/>
    <w:qFormat/>
    <w:rPr>
      <w:rFonts w:ascii="Calibri" w:hAnsi="Calibri"/>
      <w:b/>
      <w:bCs/>
      <w:sz w:val="24"/>
      <w:szCs w:val="24"/>
    </w:rPr>
  </w:style>
  <w:style w:type="character" w:styleId="813" w:customStyle="1">
    <w:name w:val="标题 8 字符"/>
    <w:basedOn w:val="764"/>
    <w:link w:val="762"/>
    <w:uiPriority w:val="0"/>
    <w:qFormat/>
    <w:rPr>
      <w:rFonts w:ascii="Arial" w:hAnsi="Arial" w:eastAsia="黑体"/>
      <w:sz w:val="24"/>
      <w:szCs w:val="24"/>
    </w:rPr>
  </w:style>
  <w:style w:type="character" w:styleId="814" w:customStyle="1">
    <w:name w:val="标题 9 字符"/>
    <w:basedOn w:val="764"/>
    <w:link w:val="763"/>
    <w:uiPriority w:val="0"/>
    <w:qFormat/>
    <w:rPr>
      <w:rFonts w:ascii="Arial" w:hAnsi="Arial" w:eastAsia="黑体"/>
      <w:sz w:val="21"/>
      <w:szCs w:val="21"/>
    </w:rPr>
  </w:style>
  <w:style w:type="character" w:styleId="815" w:customStyle="1">
    <w:name w:val="文档结构图 字符"/>
    <w:basedOn w:val="764"/>
    <w:link w:val="769"/>
    <w:uiPriority w:val="0"/>
    <w:qFormat/>
    <w:rPr>
      <w:rFonts w:ascii="宋体" w:eastAsia="宋体"/>
      <w:sz w:val="18"/>
      <w:szCs w:val="18"/>
    </w:rPr>
  </w:style>
  <w:style w:type="character" w:styleId="816" w:customStyle="1">
    <w:name w:val="批注文字 字符"/>
    <w:basedOn w:val="764"/>
    <w:link w:val="770"/>
    <w:uiPriority w:val="99"/>
    <w:qFormat/>
    <w:rPr>
      <w:sz w:val="21"/>
    </w:rPr>
  </w:style>
  <w:style w:type="character" w:styleId="817" w:customStyle="1">
    <w:name w:val="称呼 字符"/>
    <w:link w:val="771"/>
    <w:uiPriority w:val="0"/>
    <w:qFormat/>
    <w:rPr>
      <w:rFonts w:ascii="仿宋_GB2312" w:eastAsia="仿宋_GB2312"/>
      <w:sz w:val="28"/>
    </w:rPr>
  </w:style>
  <w:style w:type="character" w:styleId="818" w:customStyle="1">
    <w:name w:val="正文文本 3 字符"/>
    <w:link w:val="772"/>
    <w:uiPriority w:val="0"/>
    <w:qFormat/>
    <w:rPr>
      <w:sz w:val="16"/>
      <w:szCs w:val="16"/>
    </w:rPr>
  </w:style>
  <w:style w:type="character" w:styleId="819" w:customStyle="1">
    <w:name w:val="正文文本 字符"/>
    <w:basedOn w:val="764"/>
    <w:link w:val="773"/>
    <w:uiPriority w:val="99"/>
    <w:semiHidden/>
    <w:qFormat/>
    <w:rPr>
      <w:rFonts w:ascii="Calibri" w:hAnsi="Calibri" w:cs="宋体"/>
      <w:sz w:val="21"/>
      <w:szCs w:val="22"/>
    </w:rPr>
  </w:style>
  <w:style w:type="character" w:styleId="820" w:customStyle="1">
    <w:name w:val="纯文本 字符"/>
    <w:link w:val="776"/>
    <w:uiPriority w:val="0"/>
    <w:qFormat/>
    <w:rPr>
      <w:rFonts w:ascii="宋体" w:hAnsi="Courier New"/>
      <w:szCs w:val="21"/>
    </w:rPr>
  </w:style>
  <w:style w:type="character" w:styleId="821" w:customStyle="1">
    <w:name w:val="日期 字符"/>
    <w:link w:val="778"/>
    <w:uiPriority w:val="0"/>
    <w:qFormat/>
    <w:rPr>
      <w:sz w:val="28"/>
    </w:rPr>
  </w:style>
  <w:style w:type="character" w:styleId="822" w:customStyle="1">
    <w:name w:val="正文文本缩进 2 字符"/>
    <w:link w:val="779"/>
    <w:uiPriority w:val="0"/>
    <w:qFormat/>
    <w:rPr>
      <w:rFonts w:ascii="宋体" w:hAnsi="宋体"/>
      <w:sz w:val="24"/>
      <w:szCs w:val="24"/>
    </w:rPr>
  </w:style>
  <w:style w:type="character" w:styleId="823" w:customStyle="1">
    <w:name w:val="批注框文本 字符"/>
    <w:basedOn w:val="764"/>
    <w:link w:val="780"/>
    <w:uiPriority w:val="0"/>
    <w:qFormat/>
    <w:rPr>
      <w:sz w:val="18"/>
      <w:szCs w:val="18"/>
    </w:rPr>
  </w:style>
  <w:style w:type="character" w:styleId="824" w:customStyle="1">
    <w:name w:val="页脚 字符"/>
    <w:basedOn w:val="764"/>
    <w:link w:val="781"/>
    <w:uiPriority w:val="99"/>
    <w:qFormat/>
    <w:rPr>
      <w:sz w:val="18"/>
      <w:szCs w:val="18"/>
    </w:rPr>
  </w:style>
  <w:style w:type="character" w:styleId="825" w:customStyle="1">
    <w:name w:val="页眉 字符"/>
    <w:basedOn w:val="764"/>
    <w:link w:val="782"/>
    <w:uiPriority w:val="99"/>
    <w:qFormat/>
    <w:rPr>
      <w:sz w:val="18"/>
      <w:szCs w:val="18"/>
    </w:rPr>
  </w:style>
  <w:style w:type="character" w:styleId="826" w:customStyle="1">
    <w:name w:val="签名 字符"/>
    <w:link w:val="783"/>
    <w:uiPriority w:val="0"/>
    <w:qFormat/>
    <w:rPr>
      <w:rFonts w:eastAsia="仿宋_GB2312"/>
      <w:sz w:val="24"/>
    </w:rPr>
  </w:style>
  <w:style w:type="character" w:styleId="827" w:customStyle="1">
    <w:name w:val="脚注文本 字符"/>
    <w:link w:val="787"/>
    <w:uiPriority w:val="0"/>
    <w:qFormat/>
    <w:rPr>
      <w:sz w:val="18"/>
      <w:szCs w:val="18"/>
    </w:rPr>
  </w:style>
  <w:style w:type="character" w:styleId="828" w:customStyle="1">
    <w:name w:val="正文文本缩进 3 字符"/>
    <w:link w:val="788"/>
    <w:uiPriority w:val="0"/>
    <w:qFormat/>
    <w:rPr>
      <w:b/>
      <w:bCs/>
      <w:sz w:val="24"/>
    </w:rPr>
  </w:style>
  <w:style w:type="character" w:styleId="829" w:customStyle="1">
    <w:name w:val="正文文本 2 字符"/>
    <w:link w:val="790"/>
    <w:uiPriority w:val="0"/>
    <w:qFormat/>
    <w:rPr>
      <w:b/>
      <w:bCs/>
      <w:sz w:val="72"/>
    </w:rPr>
  </w:style>
  <w:style w:type="character" w:styleId="830" w:customStyle="1">
    <w:name w:val="HTML 预设格式 字符"/>
    <w:link w:val="791"/>
    <w:uiPriority w:val="0"/>
    <w:qFormat/>
    <w:rPr>
      <w:rFonts w:ascii="宋体" w:hAnsi="宋体" w:cs="宋体"/>
      <w:sz w:val="24"/>
      <w:szCs w:val="24"/>
    </w:rPr>
  </w:style>
  <w:style w:type="character" w:styleId="831" w:customStyle="1">
    <w:name w:val="标题 字符"/>
    <w:link w:val="793"/>
    <w:uiPriority w:val="10"/>
    <w:qFormat/>
    <w:rPr>
      <w:rFonts w:eastAsia="黑体"/>
      <w:b/>
      <w:sz w:val="28"/>
      <w:lang w:val="en-GB"/>
    </w:rPr>
  </w:style>
  <w:style w:type="character" w:styleId="832" w:customStyle="1">
    <w:name w:val="批注主题 字符"/>
    <w:basedOn w:val="816"/>
    <w:link w:val="794"/>
    <w:uiPriority w:val="0"/>
    <w:qFormat/>
    <w:rPr>
      <w:rFonts w:ascii="Calibri" w:hAnsi="Calibri" w:cs="宋体"/>
      <w:b/>
      <w:bCs/>
      <w:sz w:val="21"/>
      <w:szCs w:val="22"/>
    </w:rPr>
  </w:style>
  <w:style w:type="character" w:styleId="833" w:customStyle="1">
    <w:name w:val="正文文本首行缩进 字符"/>
    <w:basedOn w:val="834"/>
    <w:link w:val="795"/>
    <w:uiPriority w:val="0"/>
    <w:qFormat/>
    <w:rPr>
      <w:rFonts w:ascii="Times New Roman" w:hAnsi="Times New Roman" w:eastAsia="宋体" w:cs="Times New Roman"/>
      <w:szCs w:val="24"/>
    </w:rPr>
  </w:style>
  <w:style w:type="character" w:styleId="834" w:customStyle="1">
    <w:name w:val="正文文本 Char"/>
    <w:uiPriority w:val="99"/>
    <w:semiHidden/>
    <w:qFormat/>
    <w:rPr>
      <w:rFonts w:ascii="Times New Roman" w:hAnsi="Times New Roman" w:eastAsia="宋体" w:cs="Times New Roman"/>
      <w:szCs w:val="24"/>
    </w:rPr>
  </w:style>
  <w:style w:type="character" w:styleId="835" w:customStyle="1">
    <w:name w:val="正文文本首行缩进 2 字符"/>
    <w:basedOn w:val="805"/>
    <w:link w:val="796"/>
    <w:uiPriority w:val="99"/>
    <w:qFormat/>
    <w:rPr>
      <w:rFonts w:ascii="宋体" w:hAnsi="Calibri" w:eastAsiaTheme="minorEastAsia" w:cstheme="minorBidi"/>
      <w:sz w:val="28"/>
      <w:szCs w:val="24"/>
    </w:rPr>
  </w:style>
  <w:style w:type="character" w:styleId="836" w:customStyle="1">
    <w:name w:val="apple-converted-space"/>
    <w:uiPriority w:val="0"/>
    <w:qFormat/>
    <w:rPr>
      <w:rFonts w:cs="Times New Roman"/>
    </w:rPr>
  </w:style>
  <w:style w:type="paragraph" w:styleId="837" w:customStyle="1">
    <w:name w:val="列出段落1"/>
    <w:basedOn w:val="754"/>
    <w:uiPriority w:val="34"/>
    <w:qFormat/>
    <w:pPr>
      <w:ind w:firstLine="420"/>
    </w:pPr>
    <w:rPr>
      <w:rFonts w:cs="Times New Roman"/>
    </w:rPr>
  </w:style>
  <w:style w:type="paragraph" w:styleId="838" w:customStyle="1">
    <w:name w:val="列出段落4"/>
    <w:basedOn w:val="754"/>
    <w:uiPriority w:val="0"/>
    <w:qFormat/>
    <w:pPr>
      <w:ind w:firstLine="420"/>
    </w:pPr>
    <w:rPr>
      <w:rFonts w:cs="Times New Roman"/>
      <w:sz w:val="20"/>
      <w:szCs w:val="20"/>
    </w:rPr>
  </w:style>
  <w:style w:type="character" w:styleId="839" w:customStyle="1">
    <w:name w:val="normalfont1"/>
    <w:uiPriority w:val="0"/>
    <w:qFormat/>
    <w:rPr>
      <w:rFonts w:hint="default" w:ascii="ˎ̥" w:hAnsi="ˎ̥"/>
      <w:sz w:val="18"/>
      <w:szCs w:val="18"/>
      <w:u w:val="none"/>
    </w:rPr>
  </w:style>
  <w:style w:type="character" w:styleId="840" w:customStyle="1">
    <w:name w:val="小四 段落 宋体 Char Char Char Char1"/>
    <w:uiPriority w:val="0"/>
    <w:qFormat/>
    <w:rPr>
      <w:rFonts w:eastAsia="宋体"/>
      <w:sz w:val="24"/>
      <w:szCs w:val="24"/>
      <w:lang w:val="en-US" w:eastAsia="zh-CN" w:bidi="ar-SA"/>
    </w:rPr>
  </w:style>
  <w:style w:type="character" w:styleId="841" w:customStyle="1">
    <w:name w:val="Title1 Char"/>
    <w:uiPriority w:val="0"/>
    <w:qFormat/>
    <w:rPr>
      <w:rFonts w:eastAsia="宋体"/>
      <w:b/>
      <w:bCs/>
      <w:sz w:val="44"/>
      <w:szCs w:val="44"/>
      <w:lang w:val="en-US" w:eastAsia="zh-CN" w:bidi="ar-SA"/>
    </w:rPr>
  </w:style>
  <w:style w:type="character" w:styleId="842" w:customStyle="1">
    <w:name w:val="font31"/>
    <w:uiPriority w:val="0"/>
    <w:qFormat/>
    <w:rPr>
      <w:rFonts w:ascii="font-weight : 400" w:hAnsi="font-weight : 400" w:eastAsia="font-weight : 400" w:cs="font-weight : 400"/>
      <w:color w:val="000000"/>
      <w:sz w:val="22"/>
      <w:szCs w:val="22"/>
      <w:u w:val="none"/>
    </w:rPr>
  </w:style>
  <w:style w:type="character" w:styleId="843" w:customStyle="1">
    <w:name w:val="标准小四 Char Char"/>
    <w:uiPriority w:val="0"/>
    <w:qFormat/>
    <w:rPr>
      <w:rFonts w:ascii="Arial" w:hAnsi="Arial" w:eastAsia="宋体"/>
      <w:sz w:val="24"/>
      <w:szCs w:val="21"/>
      <w:lang w:val="en-US" w:eastAsia="zh-CN" w:bidi="ar-SA"/>
    </w:rPr>
  </w:style>
  <w:style w:type="character" w:styleId="844" w:customStyle="1">
    <w:name w:val="1page sec3 Char"/>
    <w:uiPriority w:val="0"/>
    <w:qFormat/>
    <w:rPr>
      <w:rFonts w:eastAsia="宋体"/>
      <w:sz w:val="18"/>
      <w:lang w:val="en-US" w:eastAsia="zh-CN"/>
    </w:rPr>
  </w:style>
  <w:style w:type="character" w:styleId="845" w:customStyle="1">
    <w:name w:val="华宇段落1 Char Char Char"/>
    <w:uiPriority w:val="0"/>
    <w:qFormat/>
    <w:rPr>
      <w:rFonts w:eastAsia="宋体"/>
      <w:bCs/>
      <w:sz w:val="24"/>
      <w:szCs w:val="24"/>
      <w:lang w:val="en-US" w:eastAsia="zh-CN" w:bidi="ar-SA"/>
    </w:rPr>
  </w:style>
  <w:style w:type="character" w:styleId="846" w:customStyle="1">
    <w:name w:val="小四 段落 宋体 Char Char Char Char Char Char Char Char"/>
    <w:uiPriority w:val="0"/>
    <w:qFormat/>
    <w:rPr>
      <w:rFonts w:eastAsia="宋体"/>
      <w:sz w:val="24"/>
      <w:szCs w:val="24"/>
      <w:lang w:val="en-US" w:eastAsia="zh-CN" w:bidi="ar-SA"/>
    </w:rPr>
  </w:style>
  <w:style w:type="character" w:styleId="847" w:customStyle="1">
    <w:name w:val="subtitle1"/>
    <w:uiPriority w:val="0"/>
    <w:qFormat/>
    <w:rPr>
      <w:rFonts w:hint="default" w:ascii="Georgia" w:hAnsi="Georgia"/>
      <w:b/>
      <w:bCs/>
      <w:color w:val="666666"/>
      <w:sz w:val="18"/>
      <w:szCs w:val="18"/>
    </w:rPr>
  </w:style>
  <w:style w:type="character" w:styleId="848" w:customStyle="1">
    <w:name w:val="缺省文本 Char"/>
    <w:link w:val="849"/>
    <w:uiPriority w:val="0"/>
    <w:qFormat/>
    <w:rPr>
      <w:rFonts w:ascii="Tahoma" w:hAnsi="Tahoma"/>
      <w:sz w:val="24"/>
      <w:szCs w:val="24"/>
    </w:rPr>
  </w:style>
  <w:style w:type="paragraph" w:styleId="849" w:customStyle="1">
    <w:name w:val="缺省文本"/>
    <w:basedOn w:val="754"/>
    <w:link w:val="848"/>
    <w:uiPriority w:val="0"/>
    <w:qFormat/>
    <w:pPr>
      <w:jc w:val="left"/>
    </w:pPr>
    <w:rPr>
      <w:rFonts w:ascii="Tahoma" w:hAnsi="Tahoma" w:cs="Times New Roman"/>
      <w:sz w:val="24"/>
      <w:szCs w:val="24"/>
    </w:rPr>
  </w:style>
  <w:style w:type="character" w:styleId="850" w:customStyle="1">
    <w:name w:val="style131"/>
    <w:uiPriority w:val="0"/>
    <w:qFormat/>
    <w:rPr>
      <w:rFonts w:cs="Times New Roman"/>
      <w:sz w:val="18"/>
      <w:szCs w:val="18"/>
    </w:rPr>
  </w:style>
  <w:style w:type="character" w:styleId="851" w:customStyle="1">
    <w:name w:val="font01"/>
    <w:uiPriority w:val="0"/>
    <w:qFormat/>
    <w:rPr>
      <w:rFonts w:hint="eastAsia" w:ascii="宋体" w:hAnsi="宋体" w:eastAsia="宋体" w:cs="宋体"/>
      <w:color w:val="000000"/>
      <w:sz w:val="20"/>
      <w:szCs w:val="20"/>
      <w:u w:val="none"/>
    </w:rPr>
  </w:style>
  <w:style w:type="character" w:styleId="852" w:customStyle="1">
    <w:name w:val="textcontents"/>
    <w:uiPriority w:val="0"/>
    <w:qFormat/>
    <w:rPr>
      <w:rFonts w:ascii="Tahoma" w:hAnsi="Tahoma"/>
      <w:sz w:val="24"/>
      <w:szCs w:val="20"/>
    </w:rPr>
  </w:style>
  <w:style w:type="character" w:styleId="853" w:customStyle="1">
    <w:name w:val="标准文本 Char Char"/>
    <w:uiPriority w:val="0"/>
    <w:qFormat/>
    <w:rPr>
      <w:rFonts w:eastAsia="宋体" w:cs="宋体"/>
      <w:sz w:val="24"/>
      <w:szCs w:val="24"/>
      <w:lang w:val="en-US" w:eastAsia="zh-CN" w:bidi="ar-SA"/>
    </w:rPr>
  </w:style>
  <w:style w:type="character" w:styleId="854" w:customStyle="1">
    <w:name w:val="小四 段落 宋体 Char1"/>
    <w:uiPriority w:val="0"/>
    <w:qFormat/>
    <w:rPr>
      <w:rFonts w:eastAsia="宋体"/>
      <w:sz w:val="24"/>
      <w:szCs w:val="24"/>
      <w:lang w:val="en-US" w:eastAsia="zh-CN" w:bidi="ar-SA"/>
    </w:rPr>
  </w:style>
  <w:style w:type="character" w:styleId="855" w:customStyle="1">
    <w:name w:val="标题 3 Char1"/>
    <w:uiPriority w:val="0"/>
    <w:qFormat/>
    <w:rPr>
      <w:rFonts w:eastAsia="宋体"/>
      <w:b/>
      <w:bCs/>
      <w:sz w:val="32"/>
      <w:szCs w:val="32"/>
      <w:lang w:val="en-US" w:eastAsia="zh-CN" w:bidi="ar-SA"/>
    </w:rPr>
  </w:style>
  <w:style w:type="character" w:styleId="85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857" w:customStyle="1">
    <w:name w:val="特点 Char1"/>
    <w:uiPriority w:val="0"/>
    <w:qFormat/>
    <w:rPr>
      <w:rFonts w:eastAsia="宋体"/>
      <w:sz w:val="21"/>
      <w:lang w:val="en-US" w:eastAsia="zh-CN" w:bidi="ar-SA"/>
    </w:rPr>
  </w:style>
  <w:style w:type="character" w:styleId="858" w:customStyle="1">
    <w:name w:val="小四 段落 宋体 Char Char Char1"/>
    <w:uiPriority w:val="0"/>
    <w:qFormat/>
    <w:rPr>
      <w:rFonts w:ascii="宋体" w:hAnsi="宋体" w:eastAsia="宋体"/>
      <w:sz w:val="24"/>
      <w:szCs w:val="24"/>
      <w:lang w:val="en-US" w:eastAsia="zh-CN" w:bidi="ar-SA"/>
    </w:rPr>
  </w:style>
  <w:style w:type="character" w:styleId="859" w:customStyle="1">
    <w:name w:val="content_lineheight1"/>
    <w:uiPriority w:val="0"/>
    <w:qFormat/>
    <w:rPr>
      <w:rFonts w:ascii="Tahoma" w:hAnsi="Tahoma"/>
      <w:sz w:val="24"/>
      <w:szCs w:val="20"/>
    </w:rPr>
  </w:style>
  <w:style w:type="character" w:styleId="860" w:customStyle="1">
    <w:name w:val="font11"/>
    <w:uiPriority w:val="0"/>
    <w:qFormat/>
    <w:rPr>
      <w:rFonts w:hint="eastAsia" w:ascii="宋体" w:hAnsi="宋体" w:eastAsia="宋体" w:cs="宋体"/>
      <w:color w:val="000000"/>
      <w:sz w:val="22"/>
      <w:szCs w:val="22"/>
      <w:u w:val="none"/>
    </w:rPr>
  </w:style>
  <w:style w:type="character" w:styleId="861" w:customStyle="1">
    <w:name w:val="样式 宋体 小四"/>
    <w:uiPriority w:val="0"/>
    <w:qFormat/>
    <w:rPr>
      <w:rFonts w:ascii="宋体" w:hAnsi="宋体"/>
      <w:sz w:val="24"/>
    </w:rPr>
  </w:style>
  <w:style w:type="character" w:styleId="862" w:customStyle="1">
    <w:name w:val="标题 3 Char Char"/>
    <w:uiPriority w:val="0"/>
    <w:qFormat/>
    <w:rPr>
      <w:rFonts w:eastAsia="仿宋_GB2312"/>
      <w:b/>
      <w:bCs/>
      <w:sz w:val="28"/>
      <w:szCs w:val="32"/>
      <w:lang w:val="en-US" w:eastAsia="zh-CN" w:bidi="ar-SA"/>
    </w:rPr>
  </w:style>
  <w:style w:type="character" w:styleId="863" w:customStyle="1">
    <w:name w:val="2nd level Char"/>
    <w:uiPriority w:val="0"/>
    <w:qFormat/>
    <w:rPr>
      <w:rFonts w:ascii="Arial" w:hAnsi="Arial" w:eastAsia="黑体"/>
      <w:b/>
      <w:bCs/>
      <w:sz w:val="32"/>
      <w:szCs w:val="32"/>
      <w:lang w:val="en-US" w:eastAsia="zh-CN" w:bidi="ar-SA"/>
    </w:rPr>
  </w:style>
  <w:style w:type="character" w:styleId="864" w:customStyle="1">
    <w:name w:val="ih151"/>
    <w:uiPriority w:val="0"/>
    <w:qFormat/>
    <w:rPr>
      <w:color w:val="666666"/>
      <w:sz w:val="18"/>
      <w:szCs w:val="18"/>
      <w:u w:val="none"/>
    </w:rPr>
  </w:style>
  <w:style w:type="character" w:styleId="865" w:customStyle="1">
    <w:name w:val="正文 + 宋体 Char"/>
    <w:uiPriority w:val="0"/>
    <w:qFormat/>
    <w:rPr>
      <w:rFonts w:eastAsia="宋体"/>
      <w:sz w:val="21"/>
      <w:szCs w:val="24"/>
      <w:lang w:val="en-US" w:eastAsia="zh-CN" w:bidi="ar-SA"/>
    </w:rPr>
  </w:style>
  <w:style w:type="character" w:styleId="866" w:customStyle="1">
    <w:name w:val="3zw"/>
    <w:uiPriority w:val="0"/>
    <w:qFormat/>
    <w:rPr>
      <w:rFonts w:ascii="Tahoma" w:hAnsi="Tahoma"/>
      <w:sz w:val="24"/>
      <w:szCs w:val="20"/>
    </w:rPr>
  </w:style>
  <w:style w:type="character" w:styleId="867" w:customStyle="1">
    <w:name w:val="纯文本 Char1"/>
    <w:uiPriority w:val="99"/>
    <w:semiHidden/>
    <w:qFormat/>
    <w:rPr>
      <w:rFonts w:ascii="宋体" w:hAnsi="Courier New" w:eastAsia="宋体" w:cs="Courier New"/>
      <w:szCs w:val="21"/>
    </w:rPr>
  </w:style>
  <w:style w:type="paragraph" w:styleId="868" w:customStyle="1">
    <w:name w:val="部分1"/>
    <w:basedOn w:val="754"/>
    <w:uiPriority w:val="0"/>
    <w:qFormat/>
    <w:pPr>
      <w:jc w:val="center"/>
      <w:keepNext/>
      <w:pageBreakBefore/>
      <w:spacing w:line="360" w:lineRule="auto"/>
      <w:tabs>
        <w:tab w:val="left" w:pos="360" w:leader="none"/>
      </w:tabs>
      <w:outlineLvl w:val="0"/>
    </w:pPr>
    <w:rPr>
      <w:rFonts w:eastAsia="黑体" w:cs="Times New Roman"/>
      <w:b/>
      <w:sz w:val="36"/>
      <w:szCs w:val="20"/>
    </w:rPr>
  </w:style>
  <w:style w:type="paragraph" w:styleId="869" w:customStyle="1">
    <w:name w:val="默认段落字体 Para Char"/>
    <w:basedOn w:val="754"/>
    <w:uiPriority w:val="0"/>
    <w:qFormat/>
    <w:pPr>
      <w:spacing w:line="360" w:lineRule="auto"/>
    </w:pPr>
    <w:rPr>
      <w:rFonts w:cs="Times New Roman"/>
      <w:sz w:val="24"/>
      <w:szCs w:val="24"/>
    </w:rPr>
  </w:style>
  <w:style w:type="paragraph" w:styleId="870" w:customStyle="1">
    <w:name w:val="默认段落字体 Para Char Char Char Char Char Char Char"/>
    <w:basedOn w:val="754"/>
    <w:uiPriority w:val="0"/>
    <w:qFormat/>
    <w:rPr>
      <w:rFonts w:ascii="Tahoma" w:hAnsi="Tahoma" w:cs="Times New Roman"/>
      <w:sz w:val="24"/>
      <w:szCs w:val="20"/>
    </w:rPr>
  </w:style>
  <w:style w:type="paragraph" w:styleId="871" w:customStyle="1">
    <w:name w:val="正文格式"/>
    <w:basedOn w:val="754"/>
    <w:uiPriority w:val="0"/>
    <w:qFormat/>
    <w:pPr>
      <w:ind w:left="178" w:right="44" w:hanging="178"/>
      <w:jc w:val="left"/>
      <w:spacing w:line="360" w:lineRule="auto"/>
      <w:widowControl/>
    </w:pPr>
    <w:rPr>
      <w:rFonts w:ascii="宋体" w:hAnsi="宋体" w:cs="Times New Roman"/>
      <w:bCs/>
      <w:szCs w:val="21"/>
    </w:rPr>
  </w:style>
  <w:style w:type="paragraph" w:styleId="872" w:customStyle="1">
    <w:name w:val="Char1"/>
    <w:basedOn w:val="754"/>
    <w:uiPriority w:val="0"/>
    <w:qFormat/>
    <w:rPr>
      <w:rFonts w:ascii="仿宋_GB2312" w:eastAsia="仿宋_GB2312" w:cs="Times New Roman"/>
      <w:b/>
      <w:sz w:val="32"/>
      <w:szCs w:val="32"/>
    </w:rPr>
  </w:style>
  <w:style w:type="paragraph" w:styleId="873" w:customStyle="1">
    <w:name w:val="正文lzq"/>
    <w:basedOn w:val="754"/>
    <w:uiPriority w:val="0"/>
    <w:qFormat/>
    <w:pPr>
      <w:ind w:firstLine="480"/>
      <w:spacing w:line="360" w:lineRule="auto"/>
    </w:pPr>
    <w:rPr>
      <w:rFonts w:cs="Times New Roman"/>
      <w:sz w:val="24"/>
      <w:szCs w:val="20"/>
    </w:rPr>
  </w:style>
  <w:style w:type="paragraph" w:styleId="874" w:customStyle="1">
    <w:name w:val="方案正文"/>
    <w:basedOn w:val="754"/>
    <w:uiPriority w:val="0"/>
    <w:qFormat/>
    <w:pPr>
      <w:ind w:firstLine="359"/>
      <w:jc w:val="left"/>
      <w:spacing w:before="156" w:line="360" w:lineRule="auto"/>
    </w:pPr>
    <w:rPr>
      <w:rFonts w:ascii="Arial" w:hAnsi="Arial"/>
      <w:sz w:val="24"/>
      <w:szCs w:val="21"/>
    </w:rPr>
  </w:style>
  <w:style w:type="paragraph" w:styleId="875" w:customStyle="1">
    <w:name w:val="tableau"/>
    <w:basedOn w:val="754"/>
    <w:uiPriority w:val="0"/>
    <w:qFormat/>
    <w:pPr>
      <w:jc w:val="center"/>
      <w:spacing w:before="20" w:after="20"/>
      <w:widowControl/>
    </w:pPr>
    <w:rPr>
      <w:rFonts w:ascii="Arial" w:hAnsi="Arial" w:cs="Times New Roman"/>
      <w:sz w:val="16"/>
      <w:szCs w:val="20"/>
      <w:lang w:val="en-GB" w:eastAsia="en-US"/>
    </w:rPr>
  </w:style>
  <w:style w:type="paragraph" w:styleId="876" w:customStyle="1">
    <w:name w:val="公文正文"/>
    <w:basedOn w:val="774"/>
    <w:uiPriority w:val="0"/>
    <w:qFormat/>
    <w:pPr>
      <w:ind w:firstLine="200"/>
      <w:spacing w:line="240" w:lineRule="auto"/>
    </w:pPr>
    <w:rPr>
      <w:rFonts w:ascii="仿宋_GB2312" w:hAnsi="宋体" w:eastAsia="仿宋_GB2312" w:cs="Times New Roman"/>
      <w:szCs w:val="24"/>
    </w:rPr>
  </w:style>
  <w:style w:type="paragraph" w:styleId="877" w:customStyle="1">
    <w:name w:val="正文--表格内正文"/>
    <w:basedOn w:val="754"/>
    <w:uiPriority w:val="0"/>
    <w:qFormat/>
    <w:pPr>
      <w:jc w:val="center"/>
      <w:spacing w:line="0" w:lineRule="atLeast"/>
    </w:pPr>
    <w:rPr>
      <w:rFonts w:ascii="宋体" w:hAnsi="宋体" w:cs="Times New Roman"/>
      <w:color w:val="000000"/>
      <w:sz w:val="24"/>
      <w:szCs w:val="24"/>
    </w:rPr>
  </w:style>
  <w:style w:type="paragraph" w:styleId="878" w:customStyle="1">
    <w:name w:val="样式 标题 2第一章 标题 2Heading 2 HiddenHeading 2 CCBSheading 2H2h2..."/>
    <w:basedOn w:val="756"/>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879" w:customStyle="1">
    <w:name w:val="丁华正文"/>
    <w:basedOn w:val="788"/>
    <w:uiPriority w:val="0"/>
    <w:qFormat/>
    <w:pPr>
      <w:ind w:left="0" w:firstLine="510"/>
      <w:spacing w:before="0" w:after="0" w:line="360" w:lineRule="auto"/>
    </w:pPr>
    <w:rPr>
      <w:rFonts w:ascii="宋体" w:hAnsi="Arial"/>
      <w:bCs w:val="0"/>
      <w:color w:val="000000"/>
      <w:szCs w:val="16"/>
    </w:rPr>
  </w:style>
  <w:style w:type="character" w:styleId="880" w:customStyle="1">
    <w:name w:val="脚注文本 Char1"/>
    <w:basedOn w:val="764"/>
    <w:uiPriority w:val="99"/>
    <w:semiHidden/>
    <w:qFormat/>
    <w:rPr>
      <w:rFonts w:ascii="Calibri" w:hAnsi="Calibri" w:cs="宋体"/>
      <w:sz w:val="18"/>
      <w:szCs w:val="18"/>
    </w:rPr>
  </w:style>
  <w:style w:type="character" w:styleId="881" w:customStyle="1">
    <w:name w:val="正文首行缩进 Char1"/>
    <w:basedOn w:val="819"/>
    <w:uiPriority w:val="99"/>
    <w:semiHidden/>
    <w:qFormat/>
    <w:rPr>
      <w:rFonts w:ascii="Calibri" w:hAnsi="Calibri" w:cs="宋体"/>
      <w:sz w:val="21"/>
      <w:szCs w:val="22"/>
    </w:rPr>
  </w:style>
  <w:style w:type="paragraph" w:styleId="882" w:customStyle="1">
    <w:name w:val="小四 段落 宋体 Char"/>
    <w:basedOn w:val="768"/>
    <w:uiPriority w:val="0"/>
    <w:qFormat/>
    <w:pPr>
      <w:ind w:left="0" w:right="-33" w:firstLine="600"/>
      <w:jc w:val="left"/>
      <w:tabs>
        <w:tab w:val="clear" w:pos="2952" w:leader="none"/>
      </w:tabs>
    </w:pPr>
    <w:rPr>
      <w:rFonts w:ascii="仿宋_GB2312" w:eastAsia="仿宋_GB2312"/>
      <w:sz w:val="30"/>
      <w:szCs w:val="30"/>
    </w:rPr>
  </w:style>
  <w:style w:type="paragraph" w:styleId="883" w:customStyle="1">
    <w:name w:val="样式 小四 段前: 5 磅 段后: 5 磅 首行缩进:  2 字符"/>
    <w:basedOn w:val="754"/>
    <w:uiPriority w:val="0"/>
    <w:qFormat/>
    <w:pPr>
      <w:spacing w:line="360" w:lineRule="auto"/>
    </w:pPr>
    <w:rPr>
      <w:rFonts w:ascii="宋体" w:hAnsi="宋体" w:cs="Times New Roman"/>
      <w:szCs w:val="21"/>
    </w:rPr>
  </w:style>
  <w:style w:type="character" w:styleId="884" w:customStyle="1">
    <w:name w:val="称呼 Char1"/>
    <w:basedOn w:val="764"/>
    <w:uiPriority w:val="99"/>
    <w:semiHidden/>
    <w:qFormat/>
    <w:rPr>
      <w:rFonts w:ascii="Calibri" w:hAnsi="Calibri" w:cs="宋体"/>
      <w:sz w:val="21"/>
      <w:szCs w:val="22"/>
    </w:rPr>
  </w:style>
  <w:style w:type="paragraph" w:styleId="885" w:customStyle="1">
    <w:name w:val="样式 标题 2节标题 1.11.1标题2b2标题 2 Char Char + 黑体 小三 段前: 6 磅 段后: ..."/>
    <w:basedOn w:val="756"/>
    <w:uiPriority w:val="99"/>
    <w:qFormat/>
    <w:pPr>
      <w:spacing w:before="120" w:after="120" w:line="360" w:lineRule="auto"/>
    </w:pPr>
    <w:rPr>
      <w:rFonts w:ascii="黑体" w:hAnsi="宋体" w:cs="宋体"/>
      <w:sz w:val="30"/>
      <w:szCs w:val="20"/>
    </w:rPr>
  </w:style>
  <w:style w:type="paragraph" w:styleId="886" w:customStyle="1">
    <w:name w:val="二级条标题"/>
    <w:basedOn w:val="754"/>
    <w:next w:val="887"/>
    <w:uiPriority w:val="0"/>
    <w:qFormat/>
    <w:pPr>
      <w:ind w:hanging="420"/>
      <w:widowControl/>
      <w:tabs>
        <w:tab w:val="left" w:pos="2240" w:leader="none"/>
      </w:tabs>
      <w:outlineLvl w:val="3"/>
    </w:pPr>
    <w:rPr>
      <w:rFonts w:eastAsia="黑体" w:cs="Times New Roman"/>
      <w:szCs w:val="20"/>
    </w:rPr>
  </w:style>
  <w:style w:type="paragraph" w:styleId="887" w:customStyle="1">
    <w:name w:val="段"/>
    <w:uiPriority w:val="0"/>
    <w:qFormat/>
    <w:pPr>
      <w:ind w:firstLine="200"/>
      <w:jc w:val="both"/>
    </w:pPr>
    <w:rPr>
      <w:rFonts w:ascii="宋体" w:hAnsi="Calibri" w:eastAsia="宋体" w:cs="Times New Roman"/>
      <w:sz w:val="21"/>
      <w:lang w:val="en-US" w:eastAsia="zh-CN" w:bidi="ar-SA"/>
    </w:rPr>
  </w:style>
  <w:style w:type="paragraph" w:styleId="888" w:customStyle="1">
    <w:name w:val="Char Char Char Char Char Char Char Char Char Char Char Char Char Char Char Char Char Char Char Char Char Char Char"/>
    <w:basedOn w:val="754"/>
    <w:uiPriority w:val="0"/>
    <w:qFormat/>
    <w:rPr>
      <w:rFonts w:ascii="Tahoma" w:hAnsi="Tahoma" w:cs="Times New Roman"/>
      <w:sz w:val="24"/>
      <w:szCs w:val="20"/>
    </w:rPr>
  </w:style>
  <w:style w:type="paragraph" w:styleId="889" w:customStyle="1">
    <w:name w:val="样式 样式 首行缩进:  2 字符 + 行距: 1.5 倍行距"/>
    <w:basedOn w:val="754"/>
    <w:uiPriority w:val="0"/>
    <w:qFormat/>
    <w:pPr>
      <w:ind w:firstLine="470"/>
      <w:spacing w:line="360" w:lineRule="auto"/>
    </w:pPr>
    <w:rPr>
      <w:rFonts w:cs="Times New Roman"/>
      <w:sz w:val="24"/>
      <w:szCs w:val="20"/>
    </w:rPr>
  </w:style>
  <w:style w:type="paragraph" w:styleId="890" w:customStyle="1">
    <w:name w:val="丁华标题2"/>
    <w:basedOn w:val="756"/>
    <w:next w:val="879"/>
    <w:uiPriority w:val="0"/>
    <w:qFormat/>
    <w:pPr>
      <w:ind w:left="567" w:hanging="567"/>
      <w:jc w:val="left"/>
      <w:spacing w:before="120" w:after="120"/>
      <w:tabs>
        <w:tab w:val="left" w:pos="567" w:leader="none"/>
      </w:tabs>
    </w:pPr>
    <w:rPr>
      <w:color w:val="000000"/>
      <w:sz w:val="28"/>
      <w:szCs w:val="20"/>
    </w:rPr>
  </w:style>
  <w:style w:type="paragraph" w:styleId="891" w:customStyle="1">
    <w:name w:val="标题 4宋体"/>
    <w:basedOn w:val="758"/>
    <w:uiPriority w:val="0"/>
    <w:qFormat/>
    <w:pPr>
      <w:jc w:val="left"/>
      <w:keepLines w:val="0"/>
      <w:spacing w:before="0" w:after="0" w:line="360" w:lineRule="auto"/>
    </w:pPr>
    <w:rPr>
      <w:rFonts w:ascii="宋体" w:hAnsi="宋体" w:eastAsia="宋体"/>
      <w:bCs/>
      <w:color w:val="000000"/>
      <w:sz w:val="24"/>
    </w:rPr>
  </w:style>
  <w:style w:type="paragraph" w:styleId="892" w:customStyle="1">
    <w:name w:val="7"/>
    <w:basedOn w:val="754"/>
    <w:next w:val="792"/>
    <w:uiPriority w:val="0"/>
    <w:qFormat/>
    <w:pPr>
      <w:jc w:val="left"/>
      <w:spacing w:before="100" w:beforeAutospacing="1" w:after="100" w:afterAutospacing="1"/>
      <w:widowControl/>
    </w:pPr>
    <w:rPr>
      <w:rFonts w:ascii="宋体" w:hAnsi="宋体" w:cs="Times New Roman"/>
      <w:sz w:val="24"/>
      <w:szCs w:val="20"/>
    </w:rPr>
  </w:style>
  <w:style w:type="paragraph" w:styleId="893" w:customStyle="1">
    <w:name w:val="段落"/>
    <w:uiPriority w:val="0"/>
    <w:qFormat/>
    <w:pPr>
      <w:ind w:firstLine="480"/>
      <w:jc w:val="both"/>
      <w:spacing w:before="120" w:after="120" w:line="360" w:lineRule="auto"/>
    </w:pPr>
    <w:rPr>
      <w:rFonts w:ascii="Calibri" w:hAnsi="Calibri" w:eastAsia="仿宋_GB2312" w:cs="Times New Roman"/>
      <w:sz w:val="24"/>
      <w:szCs w:val="24"/>
      <w:lang w:val="en-US" w:eastAsia="zh-CN" w:bidi="ar-SA"/>
    </w:rPr>
  </w:style>
  <w:style w:type="paragraph" w:styleId="894" w:customStyle="1">
    <w:name w:val="样式 加点正文 + 段前: 0.5 行 段后: 0.5 行1"/>
    <w:basedOn w:val="754"/>
    <w:uiPriority w:val="0"/>
    <w:qFormat/>
    <w:pPr>
      <w:numPr>
        <w:ilvl w:val="0"/>
        <w:numId w:val="1"/>
      </w:numPr>
      <w:ind w:left="1268"/>
      <w:spacing w:line="300" w:lineRule="auto"/>
      <w:tabs>
        <w:tab w:val="left" w:pos="1268" w:leader="none"/>
      </w:tabs>
    </w:pPr>
    <w:rPr>
      <w:rFonts w:cs="Times New Roman"/>
      <w:sz w:val="24"/>
      <w:szCs w:val="20"/>
    </w:rPr>
  </w:style>
  <w:style w:type="paragraph" w:styleId="895" w:customStyle="1">
    <w:name w:val="content_lineheight"/>
    <w:basedOn w:val="754"/>
    <w:uiPriority w:val="0"/>
    <w:qFormat/>
    <w:pPr>
      <w:jc w:val="left"/>
      <w:spacing w:before="100" w:beforeAutospacing="1" w:after="100" w:afterAutospacing="1"/>
      <w:widowControl/>
    </w:pPr>
    <w:rPr>
      <w:rFonts w:ascii="宋体" w:hAnsi="宋体" w:cs="Times New Roman"/>
      <w:sz w:val="24"/>
      <w:szCs w:val="24"/>
    </w:rPr>
  </w:style>
  <w:style w:type="paragraph" w:styleId="896" w:customStyle="1">
    <w:name w:val="样式"/>
    <w:basedOn w:val="754"/>
    <w:uiPriority w:val="0"/>
    <w:qFormat/>
    <w:pPr>
      <w:spacing w:before="120" w:after="120" w:line="360" w:lineRule="auto"/>
    </w:pPr>
    <w:rPr>
      <w:rFonts w:ascii="宋体" w:cs="Times New Roman"/>
      <w:sz w:val="24"/>
      <w:szCs w:val="20"/>
    </w:rPr>
  </w:style>
  <w:style w:type="character" w:styleId="897" w:customStyle="1">
    <w:name w:val="正文文本缩进 2 Char1"/>
    <w:basedOn w:val="764"/>
    <w:uiPriority w:val="99"/>
    <w:semiHidden/>
    <w:qFormat/>
    <w:rPr>
      <w:rFonts w:ascii="Calibri" w:hAnsi="Calibri" w:cs="宋体"/>
      <w:sz w:val="21"/>
      <w:szCs w:val="22"/>
    </w:rPr>
  </w:style>
  <w:style w:type="paragraph" w:styleId="898" w:customStyle="1">
    <w:name w:val="小四 段落 宋体 Char Char Char"/>
    <w:basedOn w:val="768"/>
    <w:uiPriority w:val="0"/>
    <w:qFormat/>
    <w:pPr>
      <w:ind w:left="0" w:right="-33" w:firstLine="545"/>
      <w:jc w:val="left"/>
      <w:spacing w:line="360" w:lineRule="auto"/>
      <w:tabs>
        <w:tab w:val="clear" w:pos="2952" w:leader="none"/>
      </w:tabs>
    </w:pPr>
    <w:rPr>
      <w:sz w:val="24"/>
    </w:rPr>
  </w:style>
  <w:style w:type="paragraph" w:styleId="899" w:customStyle="1">
    <w:name w:val="正文 New New New New New"/>
    <w:uiPriority w:val="0"/>
    <w:qFormat/>
    <w:pPr>
      <w:jc w:val="both"/>
      <w:widowControl w:val="off"/>
    </w:pPr>
    <w:rPr>
      <w:rFonts w:ascii="Calibri" w:hAnsi="Calibri" w:eastAsia="宋体" w:cs="Times New Roman"/>
      <w:sz w:val="21"/>
      <w:szCs w:val="24"/>
      <w:lang w:val="en-US" w:eastAsia="zh-CN" w:bidi="ar-SA"/>
    </w:rPr>
  </w:style>
  <w:style w:type="character" w:styleId="900" w:customStyle="1">
    <w:name w:val="标题 Char1"/>
    <w:basedOn w:val="764"/>
    <w:uiPriority w:val="10"/>
    <w:qFormat/>
    <w:rPr>
      <w:rFonts w:asciiTheme="majorHAnsi" w:hAnsiTheme="majorHAnsi" w:cstheme="majorBidi"/>
      <w:b/>
      <w:bCs/>
      <w:sz w:val="32"/>
      <w:szCs w:val="32"/>
    </w:rPr>
  </w:style>
  <w:style w:type="paragraph" w:styleId="901" w:customStyle="1">
    <w:name w:val="Char Char Char Char Char Char Char Char Char Char Char1 Char Char Char1"/>
    <w:basedOn w:val="754"/>
    <w:uiPriority w:val="0"/>
    <w:qFormat/>
    <w:pPr>
      <w:ind w:firstLine="200"/>
      <w:jc w:val="left"/>
    </w:pPr>
    <w:rPr>
      <w:rFonts w:ascii="Tahoma" w:hAnsi="Tahoma" w:cs="Times New Roman"/>
      <w:sz w:val="24"/>
      <w:szCs w:val="24"/>
    </w:rPr>
  </w:style>
  <w:style w:type="paragraph" w:styleId="902" w:customStyle="1">
    <w:name w:val="a"/>
    <w:basedOn w:val="754"/>
    <w:uiPriority w:val="0"/>
    <w:qFormat/>
    <w:pPr>
      <w:spacing w:before="100" w:beforeAutospacing="1" w:after="100" w:afterAutospacing="1"/>
      <w:widowControl/>
    </w:pPr>
    <w:rPr>
      <w:rFonts w:ascii="宋体" w:hAnsi="宋体"/>
      <w:sz w:val="24"/>
      <w:szCs w:val="24"/>
    </w:rPr>
  </w:style>
  <w:style w:type="paragraph" w:styleId="903" w:customStyle="1">
    <w:name w:val="Char Char1 Char"/>
    <w:basedOn w:val="754"/>
    <w:uiPriority w:val="0"/>
    <w:qFormat/>
    <w:pPr>
      <w:jc w:val="left"/>
      <w:spacing w:after="160" w:line="240" w:lineRule="exact"/>
      <w:widowControl/>
    </w:pPr>
    <w:rPr>
      <w:rFonts w:ascii="Verdana" w:hAnsi="Verdana" w:cs="Times New Roman"/>
      <w:sz w:val="20"/>
      <w:szCs w:val="20"/>
      <w:lang w:eastAsia="en-US"/>
    </w:rPr>
  </w:style>
  <w:style w:type="paragraph" w:styleId="904" w:customStyle="1">
    <w:name w:val="标题1，章节第一层"/>
    <w:basedOn w:val="871"/>
    <w:next w:val="871"/>
    <w:uiPriority w:val="0"/>
    <w:qFormat/>
    <w:pPr>
      <w:ind w:left="482"/>
      <w:tabs>
        <w:tab w:val="left" w:pos="693" w:leader="none"/>
      </w:tabs>
      <w:outlineLvl w:val="0"/>
    </w:pPr>
    <w:rPr>
      <w:color w:val="000000"/>
      <w:sz w:val="24"/>
      <w:szCs w:val="24"/>
    </w:rPr>
  </w:style>
  <w:style w:type="paragraph" w:styleId="905" w:customStyle="1">
    <w:name w:val="符号与编号 Char Char"/>
    <w:basedOn w:val="754"/>
    <w:uiPriority w:val="0"/>
    <w:qFormat/>
    <w:pPr>
      <w:ind w:left="839" w:hanging="419"/>
      <w:spacing w:line="400" w:lineRule="atLeast"/>
      <w:tabs>
        <w:tab w:val="left" w:pos="840" w:leader="none"/>
      </w:tabs>
    </w:pPr>
    <w:rPr>
      <w:rFonts w:cs="Times New Roman"/>
      <w:sz w:val="24"/>
      <w:szCs w:val="24"/>
    </w:rPr>
  </w:style>
  <w:style w:type="paragraph" w:styleId="906" w:customStyle="1">
    <w:name w:val="符号与编号"/>
    <w:basedOn w:val="754"/>
    <w:uiPriority w:val="0"/>
    <w:qFormat/>
    <w:pPr>
      <w:ind w:left="900" w:hanging="420"/>
      <w:spacing w:line="400" w:lineRule="atLeast"/>
      <w:tabs>
        <w:tab w:val="left" w:pos="900" w:leader="none"/>
      </w:tabs>
    </w:pPr>
    <w:rPr>
      <w:rFonts w:cs="Times New Roman"/>
      <w:sz w:val="24"/>
      <w:szCs w:val="24"/>
    </w:rPr>
  </w:style>
  <w:style w:type="paragraph" w:styleId="907" w:customStyle="1">
    <w:name w:val="flName"/>
    <w:basedOn w:val="908"/>
    <w:uiPriority w:val="0"/>
    <w:qFormat/>
    <w:pPr>
      <w:spacing w:before="0" w:line="113" w:lineRule="atLeast"/>
    </w:pPr>
  </w:style>
  <w:style w:type="paragraph" w:styleId="908" w:customStyle="1">
    <w:name w:val="flNote"/>
    <w:basedOn w:val="754"/>
    <w:uiPriority w:val="0"/>
    <w:qFormat/>
    <w:pPr>
      <w:jc w:val="center"/>
      <w:spacing w:before="567" w:line="360" w:lineRule="atLeast"/>
    </w:pPr>
    <w:rPr>
      <w:rFonts w:eastAsia="黑体" w:cs="Times New Roman"/>
      <w:b/>
      <w:sz w:val="24"/>
      <w:szCs w:val="20"/>
    </w:rPr>
  </w:style>
  <w:style w:type="paragraph" w:styleId="909" w:customStyle="1">
    <w:name w:val="马刚标题3"/>
    <w:basedOn w:val="754"/>
    <w:next w:val="754"/>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rPr>
  </w:style>
  <w:style w:type="paragraph" w:styleId="910" w:customStyle="1">
    <w:name w:val="Char Char Char Char Char Char Char Char Char Char Char Char Char Char Char Char Char Char Char Char Char"/>
    <w:basedOn w:val="754"/>
    <w:uiPriority w:val="0"/>
    <w:qFormat/>
    <w:rPr>
      <w:rFonts w:ascii="Tahoma" w:hAnsi="Tahoma" w:cs="Times New Roman"/>
      <w:sz w:val="24"/>
      <w:szCs w:val="20"/>
    </w:rPr>
  </w:style>
  <w:style w:type="paragraph" w:styleId="911" w:customStyle="1">
    <w:name w:val="样式3"/>
    <w:basedOn w:val="754"/>
    <w:next w:val="754"/>
    <w:uiPriority w:val="0"/>
    <w:qFormat/>
    <w:pPr>
      <w:spacing w:line="360" w:lineRule="auto"/>
    </w:pPr>
    <w:rPr>
      <w:rFonts w:cs="Times New Roman"/>
      <w:szCs w:val="20"/>
    </w:rPr>
  </w:style>
  <w:style w:type="paragraph" w:styleId="912" w:customStyle="1">
    <w:name w:val="公文标题 2"/>
    <w:basedOn w:val="754"/>
    <w:next w:val="876"/>
    <w:uiPriority w:val="0"/>
    <w:qFormat/>
    <w:pPr>
      <w:outlineLvl w:val="1"/>
    </w:pPr>
    <w:rPr>
      <w:rFonts w:ascii="仿宋_GB2312" w:hAnsi="宋体" w:eastAsia="仿宋_GB2312" w:cs="Times New Roman"/>
      <w:sz w:val="28"/>
      <w:szCs w:val="24"/>
    </w:rPr>
  </w:style>
  <w:style w:type="paragraph" w:styleId="913" w:customStyle="1">
    <w:name w:val="表格内容"/>
    <w:basedOn w:val="754"/>
    <w:uiPriority w:val="0"/>
    <w:qFormat/>
    <w:pPr>
      <w:jc w:val="center"/>
      <w:spacing w:before="60" w:line="300" w:lineRule="auto"/>
      <w:widowControl/>
    </w:pPr>
    <w:rPr>
      <w:rFonts w:cs="Times New Roman"/>
      <w:szCs w:val="20"/>
    </w:rPr>
  </w:style>
  <w:style w:type="paragraph" w:styleId="914" w:customStyle="1">
    <w:name w:val="插图"/>
    <w:basedOn w:val="754"/>
    <w:uiPriority w:val="0"/>
    <w:qFormat/>
    <w:pPr>
      <w:jc w:val="center"/>
      <w:tabs>
        <w:tab w:val="left" w:pos="1620" w:leader="none"/>
      </w:tabs>
    </w:pPr>
    <w:rPr>
      <w:rFonts w:cs="Times New Roman"/>
      <w:bCs/>
      <w:color w:val="000000"/>
    </w:rPr>
  </w:style>
  <w:style w:type="character" w:styleId="915" w:customStyle="1">
    <w:name w:val="签名 Char1"/>
    <w:basedOn w:val="764"/>
    <w:uiPriority w:val="99"/>
    <w:semiHidden/>
    <w:qFormat/>
    <w:rPr>
      <w:rFonts w:ascii="Calibri" w:hAnsi="Calibri" w:cs="宋体"/>
      <w:sz w:val="21"/>
      <w:szCs w:val="22"/>
    </w:rPr>
  </w:style>
  <w:style w:type="paragraph" w:styleId="916" w:customStyle="1">
    <w:name w:val="小四 段落 宋体"/>
    <w:basedOn w:val="768"/>
    <w:uiPriority w:val="0"/>
    <w:qFormat/>
    <w:pPr>
      <w:ind w:left="113" w:right="113" w:firstLine="425"/>
      <w:jc w:val="left"/>
      <w:spacing w:line="360" w:lineRule="auto"/>
      <w:tabs>
        <w:tab w:val="clear" w:pos="2952" w:leader="none"/>
      </w:tabs>
    </w:pPr>
    <w:rPr>
      <w:sz w:val="24"/>
    </w:rPr>
  </w:style>
  <w:style w:type="paragraph" w:styleId="917" w:customStyle="1">
    <w:name w:val="正文 + 宋体"/>
    <w:basedOn w:val="754"/>
    <w:uiPriority w:val="0"/>
    <w:qFormat/>
    <w:pPr>
      <w:ind w:firstLine="420"/>
      <w:spacing w:line="360" w:lineRule="auto"/>
    </w:pPr>
    <w:rPr>
      <w:rFonts w:cs="Times New Roman"/>
      <w:szCs w:val="24"/>
    </w:rPr>
  </w:style>
  <w:style w:type="paragraph" w:styleId="918" w:customStyle="1">
    <w:name w:val="正文 首行缩进:  2 字符 Char"/>
    <w:basedOn w:val="754"/>
    <w:uiPriority w:val="0"/>
    <w:qFormat/>
    <w:pPr>
      <w:ind w:firstLine="480"/>
      <w:spacing w:line="360" w:lineRule="auto"/>
    </w:pPr>
    <w:rPr>
      <w:sz w:val="24"/>
      <w:szCs w:val="20"/>
    </w:rPr>
  </w:style>
  <w:style w:type="paragraph" w:styleId="919" w:customStyle="1">
    <w:name w:val="标题5，章节第五层"/>
    <w:basedOn w:val="754"/>
    <w:next w:val="754"/>
    <w:uiPriority w:val="0"/>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character" w:styleId="920" w:customStyle="1">
    <w:name w:val="纯文本 Char2"/>
    <w:basedOn w:val="764"/>
    <w:uiPriority w:val="99"/>
    <w:semiHidden/>
    <w:qFormat/>
    <w:rPr>
      <w:rFonts w:ascii="宋体" w:hAnsi="Courier New" w:cs="Courier New"/>
      <w:sz w:val="21"/>
      <w:szCs w:val="21"/>
    </w:rPr>
  </w:style>
  <w:style w:type="paragraph" w:styleId="921" w:customStyle="1">
    <w:name w:val="样式1"/>
    <w:basedOn w:val="754"/>
    <w:uiPriority w:val="0"/>
    <w:qFormat/>
    <w:pPr>
      <w:ind w:firstLine="480"/>
      <w:spacing w:line="300" w:lineRule="auto"/>
    </w:pPr>
    <w:rPr>
      <w:rFonts w:cs="Times New Roman"/>
      <w:sz w:val="24"/>
      <w:szCs w:val="24"/>
    </w:rPr>
  </w:style>
  <w:style w:type="character" w:styleId="922" w:customStyle="1">
    <w:name w:val="日期 Char1"/>
    <w:basedOn w:val="764"/>
    <w:uiPriority w:val="99"/>
    <w:semiHidden/>
    <w:qFormat/>
    <w:rPr>
      <w:rFonts w:ascii="Calibri" w:hAnsi="Calibri" w:cs="宋体"/>
      <w:sz w:val="21"/>
      <w:szCs w:val="22"/>
    </w:rPr>
  </w:style>
  <w:style w:type="paragraph" w:styleId="923" w:customStyle="1">
    <w:name w:val="a0"/>
    <w:basedOn w:val="754"/>
    <w:uiPriority w:val="0"/>
    <w:qFormat/>
    <w:pPr>
      <w:spacing w:before="100" w:beforeAutospacing="1" w:after="100" w:afterAutospacing="1"/>
      <w:widowControl/>
    </w:pPr>
    <w:rPr>
      <w:rFonts w:ascii="宋体" w:hAnsi="宋体"/>
      <w:sz w:val="24"/>
      <w:szCs w:val="24"/>
    </w:rPr>
  </w:style>
  <w:style w:type="paragraph" w:styleId="924" w:customStyle="1">
    <w:name w:val="修订1"/>
    <w:uiPriority w:val="99"/>
    <w:unhideWhenUsed/>
    <w:qFormat/>
    <w:rPr>
      <w:rFonts w:ascii="Calibri" w:hAnsi="Calibri" w:eastAsia="宋体" w:cs="Times New Roman"/>
      <w:sz w:val="21"/>
      <w:szCs w:val="24"/>
      <w:lang w:val="en-US" w:eastAsia="zh-CN" w:bidi="ar-SA"/>
    </w:rPr>
  </w:style>
  <w:style w:type="paragraph" w:styleId="925" w:customStyle="1">
    <w:name w:val="标题4，章节第四层"/>
    <w:basedOn w:val="754"/>
    <w:next w:val="754"/>
    <w:uiPriority w:val="0"/>
    <w:qFormat/>
    <w:pPr>
      <w:spacing w:line="360" w:lineRule="auto"/>
      <w:tabs>
        <w:tab w:val="left" w:pos="0" w:leader="none"/>
      </w:tabs>
      <w:outlineLvl w:val="3"/>
    </w:pPr>
    <w:rPr>
      <w:rFonts w:ascii="宋体" w:hAnsi="宋体" w:cs="Times New Roman"/>
      <w:b/>
      <w:sz w:val="24"/>
      <w:szCs w:val="24"/>
    </w:rPr>
  </w:style>
  <w:style w:type="paragraph" w:styleId="926"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927" w:customStyle="1">
    <w:name w:val="华宇段落1 Char"/>
    <w:basedOn w:val="754"/>
    <w:uiPriority w:val="0"/>
    <w:qFormat/>
    <w:pPr>
      <w:ind w:firstLine="200"/>
      <w:spacing w:line="360" w:lineRule="auto"/>
    </w:pPr>
    <w:rPr>
      <w:rFonts w:cs="Times New Roman"/>
      <w:bCs/>
      <w:sz w:val="24"/>
      <w:szCs w:val="24"/>
    </w:rPr>
  </w:style>
  <w:style w:type="character" w:styleId="928" w:customStyle="1">
    <w:name w:val="正文文本缩进 3 Char1"/>
    <w:basedOn w:val="764"/>
    <w:uiPriority w:val="99"/>
    <w:semiHidden/>
    <w:qFormat/>
    <w:rPr>
      <w:rFonts w:ascii="Calibri" w:hAnsi="Calibri" w:cs="宋体"/>
      <w:sz w:val="16"/>
      <w:szCs w:val="16"/>
    </w:rPr>
  </w:style>
  <w:style w:type="paragraph" w:styleId="929" w:customStyle="1">
    <w:name w:val="Char2"/>
    <w:basedOn w:val="754"/>
    <w:uiPriority w:val="0"/>
    <w:qFormat/>
    <w:pPr>
      <w:spacing w:line="360" w:lineRule="auto"/>
    </w:pPr>
    <w:rPr>
      <w:rFonts w:ascii="Tahoma" w:hAnsi="Tahoma" w:cs="Times New Roman"/>
      <w:sz w:val="24"/>
      <w:szCs w:val="20"/>
    </w:rPr>
  </w:style>
  <w:style w:type="paragraph" w:styleId="930" w:customStyle="1">
    <w:name w:val="马刚标题1"/>
    <w:basedOn w:val="755"/>
    <w:next w:val="754"/>
    <w:uiPriority w:val="0"/>
    <w:qFormat/>
    <w:pPr>
      <w:ind w:left="567" w:hanging="567"/>
      <w:jc w:val="left"/>
      <w:spacing w:before="400" w:after="120" w:line="576" w:lineRule="auto"/>
      <w:tabs>
        <w:tab w:val="left" w:pos="315" w:leader="none"/>
        <w:tab w:val="left" w:pos="567" w:leader="none"/>
      </w:tabs>
    </w:pPr>
    <w:rPr>
      <w:rFonts w:eastAsia="黑体" w:cs="Times New Roman"/>
      <w:b w:val="0"/>
      <w:bCs w:val="0"/>
      <w:sz w:val="32"/>
      <w:szCs w:val="20"/>
    </w:rPr>
  </w:style>
  <w:style w:type="paragraph" w:styleId="931" w:customStyle="1">
    <w:name w:val="正文缩进2字符"/>
    <w:basedOn w:val="754"/>
    <w:uiPriority w:val="0"/>
    <w:qFormat/>
    <w:pPr>
      <w:ind w:firstLine="200"/>
      <w:spacing w:line="300" w:lineRule="auto"/>
    </w:pPr>
    <w:rPr>
      <w:rFonts w:ascii="仿宋_GB2312" w:eastAsia="仿宋_GB2312" w:cs="Times New Roman"/>
      <w:sz w:val="32"/>
      <w:szCs w:val="32"/>
    </w:rPr>
  </w:style>
  <w:style w:type="paragraph" w:styleId="932" w:customStyle="1">
    <w:name w:val="项目符号，二级"/>
    <w:basedOn w:val="871"/>
    <w:next w:val="871"/>
    <w:uiPriority w:val="0"/>
    <w:qFormat/>
    <w:pPr>
      <w:numPr>
        <w:ilvl w:val="0"/>
        <w:numId w:val="2"/>
      </w:numPr>
      <w:ind w:left="1337" w:right="-27" w:firstLine="480"/>
      <w:tabs>
        <w:tab w:val="left" w:pos="1211" w:leader="none"/>
        <w:tab w:val="left" w:pos="1337" w:leader="none"/>
      </w:tabs>
    </w:pPr>
    <w:rPr>
      <w:bCs w:val="0"/>
      <w:color w:val="000000"/>
      <w:sz w:val="24"/>
      <w:szCs w:val="24"/>
    </w:rPr>
  </w:style>
  <w:style w:type="paragraph" w:styleId="933" w:customStyle="1">
    <w:name w:val="马刚标题4"/>
    <w:basedOn w:val="909"/>
    <w:next w:val="754"/>
    <w:uiPriority w:val="0"/>
    <w:qFormat/>
    <w:pPr>
      <w:spacing w:before="100" w:after="40"/>
      <w:tabs>
        <w:tab w:val="clear" w:pos="567" w:leader="none"/>
        <w:tab w:val="clear" w:pos="735" w:leader="none"/>
        <w:tab w:val="left" w:pos="1050" w:leader="none"/>
      </w:tabs>
      <w:outlineLvl w:val="3"/>
    </w:pPr>
    <w:rPr>
      <w:b w:val="0"/>
    </w:rPr>
  </w:style>
  <w:style w:type="paragraph" w:styleId="934" w:customStyle="1">
    <w:name w:val="章标题"/>
    <w:next w:val="887"/>
    <w:uiPriority w:val="0"/>
    <w:qFormat/>
    <w:pPr>
      <w:jc w:val="both"/>
      <w:outlineLvl w:val="1"/>
    </w:pPr>
    <w:rPr>
      <w:rFonts w:ascii="Calibri" w:hAnsi="Calibri" w:eastAsia="黑体" w:cs="Times New Roman"/>
      <w:sz w:val="21"/>
      <w:lang w:val="en-US" w:eastAsia="zh-CN" w:bidi="ar-SA"/>
    </w:rPr>
  </w:style>
  <w:style w:type="paragraph" w:styleId="935" w:customStyle="1">
    <w:name w:val="项目符号，一级"/>
    <w:basedOn w:val="871"/>
    <w:next w:val="871"/>
    <w:uiPriority w:val="0"/>
    <w:qFormat/>
    <w:pPr>
      <w:ind w:left="376" w:firstLine="0"/>
      <w:spacing w:line="240" w:lineRule="atLeast"/>
      <w:tabs>
        <w:tab w:val="left" w:pos="1320" w:leader="none"/>
      </w:tabs>
    </w:pPr>
    <w:rPr>
      <w:bCs w:val="0"/>
      <w:color w:val="000000"/>
      <w:szCs w:val="24"/>
    </w:rPr>
  </w:style>
  <w:style w:type="paragraph" w:styleId="936"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937" w:customStyle="1">
    <w:name w:val="Char Char Char Char Char Char Char"/>
    <w:basedOn w:val="754"/>
    <w:uiPriority w:val="0"/>
    <w:qFormat/>
    <w:pPr>
      <w:jc w:val="left"/>
    </w:pPr>
    <w:rPr>
      <w:rFonts w:ascii="Tahoma" w:hAnsi="Tahoma" w:cs="Times New Roman"/>
      <w:sz w:val="24"/>
      <w:szCs w:val="20"/>
    </w:rPr>
  </w:style>
  <w:style w:type="paragraph" w:styleId="938" w:customStyle="1">
    <w:name w:val="列出段落11"/>
    <w:basedOn w:val="754"/>
    <w:uiPriority w:val="0"/>
    <w:qFormat/>
    <w:pPr>
      <w:contextualSpacing/>
      <w:ind w:left="720"/>
      <w:jc w:val="left"/>
      <w:widowControl/>
    </w:pPr>
    <w:rPr>
      <w:rFonts w:ascii="Arial" w:hAnsi="Arial" w:eastAsia="黑体" w:cs="Times New Roman"/>
      <w:sz w:val="24"/>
      <w:szCs w:val="24"/>
      <w:lang w:eastAsia="en-US"/>
    </w:rPr>
  </w:style>
  <w:style w:type="paragraph" w:styleId="939" w:customStyle="1">
    <w:name w:val="正文 New"/>
    <w:uiPriority w:val="0"/>
    <w:qFormat/>
    <w:pPr>
      <w:jc w:val="both"/>
      <w:widowControl w:val="off"/>
    </w:pPr>
    <w:rPr>
      <w:rFonts w:ascii="Calibri" w:hAnsi="Calibri" w:eastAsia="宋体" w:cs="Times New Roman"/>
      <w:sz w:val="21"/>
      <w:lang w:val="en-US" w:eastAsia="zh-CN" w:bidi="ar-SA"/>
    </w:rPr>
  </w:style>
  <w:style w:type="paragraph" w:styleId="940" w:customStyle="1">
    <w:name w:val="Test2"/>
    <w:basedOn w:val="756"/>
    <w:uiPriority w:val="0"/>
    <w:qFormat/>
    <w:pPr>
      <w:jc w:val="center"/>
      <w:spacing w:line="480" w:lineRule="exact"/>
      <w:widowControl/>
    </w:pPr>
    <w:rPr>
      <w:rFonts w:ascii="黑体"/>
      <w:sz w:val="24"/>
      <w:szCs w:val="24"/>
    </w:rPr>
  </w:style>
  <w:style w:type="character" w:styleId="941" w:customStyle="1">
    <w:name w:val="正文文本 2 Char1"/>
    <w:basedOn w:val="764"/>
    <w:uiPriority w:val="99"/>
    <w:semiHidden/>
    <w:qFormat/>
    <w:rPr>
      <w:rFonts w:ascii="Calibri" w:hAnsi="Calibri" w:cs="宋体"/>
      <w:sz w:val="21"/>
      <w:szCs w:val="22"/>
    </w:rPr>
  </w:style>
  <w:style w:type="paragraph" w:styleId="942" w:customStyle="1">
    <w:name w:val="正文 居中"/>
    <w:basedOn w:val="754"/>
    <w:uiPriority w:val="0"/>
    <w:qFormat/>
    <w:pPr>
      <w:jc w:val="center"/>
      <w:spacing w:line="360" w:lineRule="auto"/>
    </w:pPr>
    <w:rPr>
      <w:rFonts w:cs="Times New Roman"/>
      <w:sz w:val="24"/>
      <w:szCs w:val="20"/>
    </w:rPr>
  </w:style>
  <w:style w:type="paragraph" w:styleId="943" w:customStyle="1">
    <w:name w:val="样式2"/>
    <w:basedOn w:val="754"/>
    <w:uiPriority w:val="0"/>
    <w:qFormat/>
    <w:pPr>
      <w:ind w:left="200"/>
      <w:spacing w:line="360" w:lineRule="auto"/>
    </w:pPr>
    <w:rPr>
      <w:rFonts w:ascii="宋体" w:hAnsi="宋体" w:cs="Times New Roman"/>
      <w:b/>
      <w:sz w:val="24"/>
      <w:szCs w:val="24"/>
    </w:rPr>
  </w:style>
  <w:style w:type="paragraph" w:styleId="944" w:customStyle="1">
    <w:name w:val="大标题"/>
    <w:basedOn w:val="754"/>
    <w:next w:val="754"/>
    <w:uiPriority w:val="0"/>
    <w:qFormat/>
    <w:pPr>
      <w:ind w:hanging="420"/>
      <w:pageBreakBefore/>
      <w:spacing w:line="360" w:lineRule="auto"/>
      <w:tabs>
        <w:tab w:val="left" w:pos="420" w:leader="none"/>
      </w:tabs>
      <w:outlineLvl w:val="0"/>
    </w:pPr>
    <w:rPr>
      <w:rFonts w:cs="Times New Roman"/>
      <w:b/>
      <w:iCs/>
      <w:sz w:val="44"/>
      <w:szCs w:val="24"/>
    </w:rPr>
  </w:style>
  <w:style w:type="paragraph" w:styleId="945"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946" w:customStyle="1">
    <w:name w:val="正文文本 21"/>
    <w:basedOn w:val="754"/>
    <w:uiPriority w:val="0"/>
    <w:qFormat/>
    <w:pPr>
      <w:ind w:left="720" w:hanging="720"/>
      <w:widowControl/>
    </w:pPr>
    <w:rPr>
      <w:rFonts w:cs="Times New Roman"/>
      <w:sz w:val="24"/>
      <w:szCs w:val="20"/>
      <w:lang w:val="en-GB"/>
    </w:rPr>
  </w:style>
  <w:style w:type="paragraph" w:styleId="947" w:customStyle="1">
    <w:name w:val="zw"/>
    <w:basedOn w:val="754"/>
    <w:uiPriority w:val="0"/>
    <w:qFormat/>
    <w:pPr>
      <w:ind w:firstLine="480"/>
      <w:jc w:val="left"/>
      <w:spacing w:line="360" w:lineRule="auto"/>
      <w:widowControl/>
    </w:pPr>
    <w:rPr>
      <w:rFonts w:ascii="宋体" w:hAnsi="宋体" w:cs="Times New Roman"/>
      <w:bCs/>
      <w:sz w:val="24"/>
      <w:szCs w:val="20"/>
    </w:rPr>
  </w:style>
  <w:style w:type="paragraph" w:styleId="948" w:customStyle="1">
    <w:name w:val="标题3，章节第三层"/>
    <w:basedOn w:val="754"/>
    <w:next w:val="871"/>
    <w:uiPriority w:val="0"/>
    <w:qFormat/>
    <w:pPr>
      <w:spacing w:before="78" w:line="300" w:lineRule="auto"/>
      <w:outlineLvl w:val="2"/>
    </w:pPr>
    <w:rPr>
      <w:rFonts w:ascii="Arial" w:hAnsi="Arial" w:eastAsia="华文细黑" w:cs="Times New Roman"/>
      <w:sz w:val="30"/>
      <w:szCs w:val="24"/>
    </w:rPr>
  </w:style>
  <w:style w:type="character" w:styleId="949" w:customStyle="1">
    <w:name w:val="正文文本 3 Char1"/>
    <w:basedOn w:val="764"/>
    <w:uiPriority w:val="99"/>
    <w:semiHidden/>
    <w:qFormat/>
    <w:rPr>
      <w:rFonts w:ascii="Calibri" w:hAnsi="Calibri" w:cs="宋体"/>
      <w:sz w:val="16"/>
      <w:szCs w:val="16"/>
    </w:rPr>
  </w:style>
  <w:style w:type="character" w:styleId="950" w:customStyle="1">
    <w:name w:val="HTML 预设格式 Char1"/>
    <w:basedOn w:val="764"/>
    <w:uiPriority w:val="99"/>
    <w:semiHidden/>
    <w:qFormat/>
    <w:rPr>
      <w:rFonts w:ascii="Courier New" w:hAnsi="Courier New" w:cs="Courier New"/>
    </w:rPr>
  </w:style>
  <w:style w:type="paragraph" w:styleId="951" w:customStyle="1">
    <w:name w:val="标准文本"/>
    <w:basedOn w:val="754"/>
    <w:uiPriority w:val="0"/>
    <w:qFormat/>
    <w:pPr>
      <w:ind w:firstLine="480"/>
      <w:spacing w:line="360" w:lineRule="auto"/>
    </w:pPr>
    <w:rPr>
      <w:sz w:val="24"/>
      <w:szCs w:val="24"/>
    </w:rPr>
  </w:style>
  <w:style w:type="paragraph" w:styleId="952" w:customStyle="1">
    <w:name w:val="Char Char Char Char Char Char Char1"/>
    <w:basedOn w:val="754"/>
    <w:uiPriority w:val="0"/>
    <w:qFormat/>
    <w:rPr>
      <w:rFonts w:ascii="Tahoma" w:hAnsi="Tahoma" w:cs="Times New Roman"/>
      <w:sz w:val="24"/>
      <w:szCs w:val="20"/>
    </w:rPr>
  </w:style>
  <w:style w:type="paragraph" w:styleId="953" w:customStyle="1">
    <w:name w:val="标准小四"/>
    <w:basedOn w:val="754"/>
    <w:uiPriority w:val="0"/>
    <w:qFormat/>
    <w:pPr>
      <w:ind w:firstLine="480"/>
      <w:spacing w:line="360" w:lineRule="auto"/>
    </w:pPr>
    <w:rPr>
      <w:rFonts w:ascii="Arial" w:hAnsi="Arial" w:cs="Times New Roman"/>
      <w:sz w:val="24"/>
      <w:szCs w:val="21"/>
    </w:rPr>
  </w:style>
  <w:style w:type="paragraph" w:styleId="954" w:customStyle="1">
    <w:name w:val="正文2"/>
    <w:basedOn w:val="754"/>
    <w:uiPriority w:val="0"/>
    <w:qFormat/>
    <w:pPr>
      <w:ind w:firstLine="510"/>
      <w:spacing w:before="156" w:line="360" w:lineRule="auto"/>
    </w:pPr>
    <w:rPr>
      <w:rFonts w:cs="Times New Roman"/>
      <w:sz w:val="24"/>
      <w:szCs w:val="20"/>
    </w:rPr>
  </w:style>
  <w:style w:type="paragraph" w:styleId="955" w:customStyle="1">
    <w:name w:val="Char Char Char Char"/>
    <w:basedOn w:val="754"/>
    <w:uiPriority w:val="0"/>
    <w:qFormat/>
    <w:pPr>
      <w:jc w:val="center"/>
      <w:spacing w:after="160" w:line="240" w:lineRule="exact"/>
      <w:widowControl/>
    </w:pPr>
    <w:rPr>
      <w:rFonts w:ascii="黑体" w:hAnsi="Verdana" w:eastAsia="黑体" w:cs="Times New Roman"/>
      <w:sz w:val="32"/>
      <w:szCs w:val="32"/>
      <w:lang w:eastAsia="en-US"/>
    </w:rPr>
  </w:style>
  <w:style w:type="paragraph" w:styleId="956" w:customStyle="1">
    <w:name w:val="正文表标题"/>
    <w:next w:val="887"/>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957" w:customStyle="1">
    <w:name w:val="Char Char2 Char"/>
    <w:basedOn w:val="754"/>
    <w:uiPriority w:val="0"/>
    <w:qFormat/>
    <w:pPr>
      <w:ind w:left="390" w:hanging="390"/>
      <w:keepLines/>
      <w:keepNext/>
      <w:pageBreakBefore/>
      <w:tabs>
        <w:tab w:val="left" w:pos="390" w:leader="none"/>
      </w:tabs>
    </w:pPr>
    <w:rPr>
      <w:rFonts w:ascii="Tahoma" w:hAnsi="Tahoma" w:cs="Times New Roman"/>
      <w:sz w:val="24"/>
      <w:szCs w:val="20"/>
    </w:rPr>
  </w:style>
  <w:style w:type="paragraph" w:styleId="958" w:customStyle="1">
    <w:name w:val="样式 样式 首行缩进:  0.74 厘米 行距: 1.5 倍行距 + 段后: 0.5 行"/>
    <w:basedOn w:val="754"/>
    <w:uiPriority w:val="0"/>
    <w:qFormat/>
    <w:pPr>
      <w:ind w:firstLine="420"/>
      <w:spacing w:line="360" w:lineRule="auto"/>
    </w:pPr>
    <w:rPr>
      <w:rFonts w:ascii="楷体_GB2312" w:eastAsia="楷体_GB2312" w:cs="Times New Roman"/>
      <w:bCs/>
      <w:sz w:val="24"/>
      <w:szCs w:val="20"/>
    </w:rPr>
  </w:style>
  <w:style w:type="paragraph" w:styleId="959" w:customStyle="1">
    <w:name w:val="样式 样式 标题 3H3sect1.2.3BOD 0Heading 3 - oldh3l3CTLevel 3 Head... +..."/>
    <w:basedOn w:val="754"/>
    <w:uiPriority w:val="0"/>
    <w:qFormat/>
    <w:pPr>
      <w:jc w:val="left"/>
      <w:keepLines/>
      <w:keepNext/>
      <w:outlineLvl w:val="2"/>
    </w:pPr>
    <w:rPr>
      <w:b/>
      <w:bCs/>
      <w:sz w:val="24"/>
      <w:szCs w:val="20"/>
    </w:rPr>
  </w:style>
  <w:style w:type="paragraph" w:styleId="960" w:customStyle="1">
    <w:name w:val="Char Char Char Char Char Char Char Char Char Char Char Char Char Char"/>
    <w:basedOn w:val="754"/>
    <w:uiPriority w:val="0"/>
    <w:qFormat/>
    <w:rPr>
      <w:rFonts w:ascii="Tahoma" w:hAnsi="Tahoma" w:cs="Times New Roman"/>
      <w:sz w:val="24"/>
      <w:szCs w:val="20"/>
    </w:rPr>
  </w:style>
  <w:style w:type="paragraph" w:styleId="961" w:customStyle="1">
    <w:name w:val="样式4 Char"/>
    <w:basedOn w:val="754"/>
    <w:uiPriority w:val="0"/>
    <w:qFormat/>
    <w:pPr>
      <w:ind w:firstLine="480"/>
      <w:jc w:val="left"/>
      <w:spacing w:line="360" w:lineRule="auto"/>
      <w:widowControl/>
    </w:pPr>
    <w:rPr>
      <w:color w:val="000000"/>
      <w:sz w:val="24"/>
      <w:szCs w:val="24"/>
    </w:rPr>
  </w:style>
  <w:style w:type="paragraph" w:styleId="962" w:customStyle="1">
    <w:name w:val="表格内文字"/>
    <w:basedOn w:val="754"/>
    <w:uiPriority w:val="0"/>
    <w:qFormat/>
    <w:pPr>
      <w:spacing w:line="300" w:lineRule="atLeast"/>
    </w:pPr>
    <w:rPr>
      <w:rFonts w:cs="Times New Roman"/>
      <w:sz w:val="18"/>
      <w:szCs w:val="24"/>
    </w:rPr>
  </w:style>
  <w:style w:type="paragraph" w:styleId="963" w:customStyle="1">
    <w:name w:val="retrait3"/>
    <w:basedOn w:val="754"/>
    <w:uiPriority w:val="0"/>
    <w:qFormat/>
    <w:pPr>
      <w:ind w:left="851"/>
      <w:jc w:val="left"/>
      <w:spacing w:before="20" w:after="20"/>
      <w:widowControl/>
    </w:pPr>
    <w:rPr>
      <w:rFonts w:ascii="Arial" w:hAnsi="Arial" w:cs="Times New Roman"/>
      <w:sz w:val="24"/>
      <w:szCs w:val="20"/>
      <w:lang w:val="en-GB"/>
    </w:rPr>
  </w:style>
  <w:style w:type="paragraph" w:styleId="964" w:customStyle="1">
    <w:name w:val="Char Char1"/>
    <w:basedOn w:val="754"/>
    <w:uiPriority w:val="0"/>
    <w:qFormat/>
    <w:rPr>
      <w:rFonts w:ascii="Tahoma" w:hAnsi="Tahoma" w:cs="Times New Roman"/>
      <w:sz w:val="24"/>
      <w:szCs w:val="20"/>
    </w:rPr>
  </w:style>
  <w:style w:type="paragraph" w:styleId="965" w:customStyle="1">
    <w:name w:val="flType"/>
    <w:basedOn w:val="907"/>
    <w:uiPriority w:val="0"/>
    <w:qFormat/>
    <w:pPr>
      <w:spacing w:after="284"/>
    </w:pPr>
    <w:rPr>
      <w:rFonts w:eastAsia="宋体"/>
      <w:b w:val="0"/>
    </w:rPr>
  </w:style>
  <w:style w:type="paragraph" w:styleId="966" w:customStyle="1">
    <w:name w:val="项目符号：一级"/>
    <w:basedOn w:val="871"/>
    <w:next w:val="871"/>
    <w:uiPriority w:val="0"/>
    <w:qFormat/>
    <w:pPr>
      <w:ind w:right="-134"/>
    </w:pPr>
    <w:rPr>
      <w:bCs w:val="0"/>
    </w:rPr>
  </w:style>
  <w:style w:type="paragraph" w:styleId="967" w:customStyle="1">
    <w:name w:val="文档正文"/>
    <w:basedOn w:val="754"/>
    <w:uiPriority w:val="0"/>
    <w:qFormat/>
    <w:pPr>
      <w:spacing w:line="360" w:lineRule="auto"/>
    </w:pPr>
    <w:rPr>
      <w:rFonts w:ascii="宋体" w:hAnsi="宋体" w:cs="Times New Roman"/>
      <w:b/>
      <w:bCs/>
      <w:szCs w:val="24"/>
    </w:rPr>
  </w:style>
  <w:style w:type="paragraph" w:styleId="968" w:customStyle="1">
    <w:name w:val="Char Char1 Char1"/>
    <w:basedOn w:val="754"/>
    <w:uiPriority w:val="0"/>
    <w:qFormat/>
    <w:pPr>
      <w:jc w:val="left"/>
      <w:spacing w:after="160" w:line="240" w:lineRule="exact"/>
      <w:widowControl/>
    </w:pPr>
    <w:rPr>
      <w:rFonts w:ascii="Verdana" w:hAnsi="Verdana" w:cs="Times New Roman"/>
      <w:sz w:val="20"/>
      <w:szCs w:val="20"/>
      <w:lang w:eastAsia="en-US"/>
    </w:rPr>
  </w:style>
  <w:style w:type="paragraph" w:styleId="969" w:customStyle="1">
    <w:name w:val="1"/>
    <w:basedOn w:val="754"/>
    <w:next w:val="790"/>
    <w:uiPriority w:val="0"/>
    <w:qFormat/>
    <w:pPr>
      <w:spacing w:line="360" w:lineRule="auto"/>
    </w:pPr>
    <w:rPr>
      <w:rFonts w:eastAsia="仿宋_GB2312" w:cs="Times New Roman"/>
      <w:sz w:val="24"/>
      <w:szCs w:val="24"/>
    </w:rPr>
  </w:style>
  <w:style w:type="paragraph" w:styleId="970" w:customStyle="1">
    <w:name w:val="默认段落字体 Para Char Char Char Char Char Char Char Char Char1 Char Char Char Char Char Char Char"/>
    <w:basedOn w:val="769"/>
    <w:uiPriority w:val="0"/>
    <w:qFormat/>
    <w:pPr>
      <w:shd w:val="clear" w:color="auto" w:fill="000080"/>
    </w:pPr>
    <w:rPr>
      <w:rFonts w:ascii="Calibri" w:cs="Times New Roman"/>
      <w:sz w:val="21"/>
      <w:szCs w:val="20"/>
    </w:rPr>
  </w:style>
  <w:style w:type="paragraph" w:styleId="971" w:customStyle="1">
    <w:name w:val="font7"/>
    <w:basedOn w:val="754"/>
    <w:uiPriority w:val="0"/>
    <w:qFormat/>
    <w:pPr>
      <w:jc w:val="left"/>
      <w:spacing w:before="100" w:beforeAutospacing="1" w:after="100" w:afterAutospacing="1"/>
      <w:widowControl/>
    </w:pPr>
    <w:rPr>
      <w:rFonts w:hint="eastAsia" w:ascii="宋体" w:hAnsi="宋体" w:cs="Times New Roman"/>
      <w:b/>
      <w:bCs/>
      <w:sz w:val="24"/>
      <w:szCs w:val="24"/>
    </w:rPr>
  </w:style>
  <w:style w:type="paragraph" w:styleId="972" w:customStyle="1">
    <w:name w:val="Char Char Char"/>
    <w:basedOn w:val="754"/>
    <w:uiPriority w:val="0"/>
    <w:qFormat/>
    <w:rPr>
      <w:rFonts w:ascii="Tahoma" w:hAnsi="Tahoma" w:cs="Times New Roman"/>
      <w:sz w:val="24"/>
      <w:szCs w:val="20"/>
    </w:rPr>
  </w:style>
  <w:style w:type="paragraph" w:styleId="973" w:customStyle="1">
    <w:name w:val="Char Char Char Char Char"/>
    <w:basedOn w:val="754"/>
    <w:uiPriority w:val="0"/>
    <w:qFormat/>
    <w:rPr>
      <w:rFonts w:ascii="Tahoma" w:hAnsi="Tahoma" w:cs="Times New Roman"/>
      <w:sz w:val="24"/>
      <w:szCs w:val="20"/>
    </w:rPr>
  </w:style>
  <w:style w:type="paragraph" w:styleId="974" w:customStyle="1">
    <w:name w:val="Char"/>
    <w:basedOn w:val="769"/>
    <w:uiPriority w:val="0"/>
    <w:qFormat/>
    <w:pPr>
      <w:shd w:val="clear" w:color="auto" w:fill="000080"/>
    </w:pPr>
    <w:rPr>
      <w:rFonts w:ascii="Tahoma" w:hAnsi="Tahoma" w:cs="Times New Roman"/>
      <w:sz w:val="24"/>
      <w:szCs w:val="24"/>
    </w:rPr>
  </w:style>
  <w:style w:type="paragraph" w:styleId="975" w:customStyle="1">
    <w:name w:val="样式 标题 3H3sect1.2.3BOD 0Heading 3 - oldh3l3CTLevel 3 Head..."/>
    <w:basedOn w:val="757"/>
    <w:uiPriority w:val="0"/>
    <w:qFormat/>
    <w:pPr>
      <w:jc w:val="left"/>
      <w:spacing w:line="240" w:lineRule="auto"/>
    </w:pPr>
    <w:rPr>
      <w:sz w:val="30"/>
      <w:szCs w:val="20"/>
    </w:rPr>
  </w:style>
  <w:style w:type="paragraph" w:styleId="976" w:customStyle="1">
    <w:name w:val="Char Char Char Char Char Char Char Char Char Char Char"/>
    <w:basedOn w:val="754"/>
    <w:uiPriority w:val="0"/>
    <w:qFormat/>
    <w:rPr>
      <w:rFonts w:ascii="Tahoma" w:hAnsi="Tahoma" w:cs="Times New Roman"/>
      <w:sz w:val="24"/>
      <w:szCs w:val="20"/>
    </w:rPr>
  </w:style>
  <w:style w:type="paragraph" w:styleId="977" w:customStyle="1">
    <w:name w:val="表蕊"/>
    <w:basedOn w:val="754"/>
    <w:uiPriority w:val="0"/>
    <w:qFormat/>
    <w:pPr>
      <w:jc w:val="left"/>
      <w:spacing w:line="320" w:lineRule="atLeast"/>
    </w:pPr>
    <w:rPr>
      <w:rFonts w:eastAsia="楷体_GB2312" w:cs="Times New Roman"/>
      <w:spacing w:val="-10"/>
      <w:szCs w:val="20"/>
    </w:rPr>
  </w:style>
  <w:style w:type="paragraph" w:styleId="978" w:customStyle="1">
    <w:name w:val="条1"/>
    <w:basedOn w:val="754"/>
    <w:uiPriority w:val="0"/>
    <w:qFormat/>
    <w:pPr>
      <w:ind w:left="780" w:hanging="360"/>
      <w:spacing w:before="156" w:line="360" w:lineRule="auto"/>
      <w:tabs>
        <w:tab w:val="left" w:pos="780" w:leader="none"/>
      </w:tabs>
    </w:pPr>
    <w:rPr>
      <w:rFonts w:eastAsia="黑体" w:cs="Times New Roman"/>
      <w:sz w:val="24"/>
      <w:szCs w:val="20"/>
    </w:rPr>
  </w:style>
  <w:style w:type="paragraph" w:styleId="979" w:customStyle="1">
    <w:name w:val="Char1 Char Char Char"/>
    <w:basedOn w:val="754"/>
    <w:uiPriority w:val="0"/>
    <w:qFormat/>
    <w:rPr>
      <w:rFonts w:ascii="Tahoma" w:hAnsi="Tahoma" w:cs="Times New Roman"/>
      <w:sz w:val="24"/>
      <w:szCs w:val="20"/>
    </w:rPr>
  </w:style>
  <w:style w:type="paragraph" w:styleId="980" w:customStyle="1">
    <w:name w:val="正文1"/>
    <w:basedOn w:val="754"/>
    <w:next w:val="754"/>
    <w:uiPriority w:val="0"/>
    <w:qFormat/>
    <w:pPr>
      <w:ind w:firstLine="510"/>
      <w:spacing w:before="156" w:line="360" w:lineRule="auto"/>
    </w:pPr>
    <w:rPr>
      <w:rFonts w:cs="Times New Roman"/>
      <w:sz w:val="24"/>
      <w:szCs w:val="20"/>
    </w:rPr>
  </w:style>
  <w:style w:type="paragraph" w:styleId="981" w:customStyle="1">
    <w:name w:val="表头_5"/>
    <w:basedOn w:val="754"/>
    <w:uiPriority w:val="0"/>
    <w:qFormat/>
    <w:pPr>
      <w:spacing w:line="360" w:lineRule="auto"/>
    </w:pPr>
    <w:rPr>
      <w:rFonts w:cs="Times New Roman"/>
      <w:b/>
      <w:bCs/>
      <w:sz w:val="28"/>
      <w:szCs w:val="21"/>
    </w:rPr>
  </w:style>
  <w:style w:type="paragraph" w:styleId="982" w:customStyle="1">
    <w:name w:val="_Style 56"/>
    <w:basedOn w:val="769"/>
    <w:uiPriority w:val="0"/>
    <w:qFormat/>
    <w:pPr>
      <w:spacing w:line="436" w:lineRule="exact"/>
      <w:shd w:val="clear" w:color="auto" w:fill="000080"/>
    </w:pPr>
    <w:rPr>
      <w:rFonts w:ascii="Calibri" w:cs="Times New Roman"/>
      <w:sz w:val="21"/>
      <w:szCs w:val="20"/>
    </w:rPr>
  </w:style>
  <w:style w:type="paragraph" w:styleId="983" w:customStyle="1">
    <w:name w:val="Char Char Char Char Char Char Char Char Char"/>
    <w:basedOn w:val="754"/>
    <w:uiPriority w:val="0"/>
    <w:qFormat/>
    <w:pPr>
      <w:ind w:left="360" w:hanging="360"/>
      <w:tabs>
        <w:tab w:val="left" w:pos="360" w:leader="none"/>
      </w:tabs>
    </w:pPr>
    <w:rPr>
      <w:rFonts w:cs="Times New Roman"/>
      <w:sz w:val="24"/>
      <w:szCs w:val="24"/>
    </w:rPr>
  </w:style>
  <w:style w:type="paragraph" w:styleId="984" w:customStyle="1">
    <w:name w:val="标题2，章节第二层"/>
    <w:basedOn w:val="754"/>
    <w:next w:val="871"/>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cs="Times New Roman"/>
      <w:sz w:val="32"/>
      <w:szCs w:val="24"/>
    </w:rPr>
  </w:style>
  <w:style w:type="character" w:styleId="985" w:customStyle="1">
    <w:name w:val="font71"/>
    <w:basedOn w:val="764"/>
    <w:uiPriority w:val="0"/>
    <w:qFormat/>
    <w:rPr>
      <w:rFonts w:hint="eastAsia" w:ascii="方正仿宋_GBK" w:hAnsi="方正仿宋_GBK" w:eastAsia="方正仿宋_GBK" w:cs="方正仿宋_GBK"/>
      <w:b/>
      <w:color w:val="000000"/>
      <w:sz w:val="28"/>
      <w:szCs w:val="28"/>
      <w:u w:val="none"/>
    </w:rPr>
  </w:style>
  <w:style w:type="character" w:styleId="986" w:customStyle="1">
    <w:name w:val="font21"/>
    <w:basedOn w:val="764"/>
    <w:uiPriority w:val="0"/>
    <w:qFormat/>
    <w:rPr>
      <w:rFonts w:hint="default" w:ascii="Times New Roman" w:hAnsi="Times New Roman" w:cs="Times New Roman"/>
      <w:color w:val="000000"/>
      <w:sz w:val="28"/>
      <w:szCs w:val="28"/>
      <w:u w:val="none"/>
    </w:rPr>
  </w:style>
  <w:style w:type="character" w:styleId="987" w:customStyle="1">
    <w:name w:val="font51"/>
    <w:basedOn w:val="764"/>
    <w:uiPriority w:val="0"/>
    <w:qFormat/>
    <w:rPr>
      <w:rFonts w:ascii="方正仿宋_GBK" w:hAnsi="方正仿宋_GBK" w:eastAsia="方正仿宋_GBK" w:cs="方正仿宋_GBK"/>
      <w:color w:val="000000"/>
      <w:sz w:val="28"/>
      <w:szCs w:val="28"/>
      <w:u w:val="none"/>
    </w:rPr>
  </w:style>
  <w:style w:type="character" w:styleId="988" w:customStyle="1">
    <w:name w:val="font112"/>
    <w:basedOn w:val="764"/>
    <w:uiPriority w:val="0"/>
    <w:qFormat/>
    <w:rPr>
      <w:rFonts w:hint="eastAsia" w:ascii="方正黑体_GBK" w:hAnsi="方正黑体_GBK" w:eastAsia="方正黑体_GBK" w:cs="方正黑体_GBK"/>
      <w:color w:val="000000"/>
      <w:sz w:val="28"/>
      <w:szCs w:val="28"/>
      <w:u w:val="none"/>
    </w:rPr>
  </w:style>
  <w:style w:type="paragraph" w:styleId="989" w:customStyle="1">
    <w:name w:val="Table Paragraph"/>
    <w:basedOn w:val="754"/>
    <w:uiPriority w:val="1"/>
    <w:qFormat/>
    <w:rPr>
      <w:rFonts w:ascii="Times New Roman" w:hAnsi="Times New Roman" w:cs="Times New Roman"/>
      <w:szCs w:val="24"/>
    </w:rPr>
  </w:style>
  <w:style w:type="character" w:styleId="990" w:customStyle="1">
    <w:name w:val="Char Char22"/>
    <w:uiPriority w:val="0"/>
    <w:qFormat/>
    <w:rPr>
      <w:b/>
      <w:bCs/>
      <w:sz w:val="24"/>
      <w:szCs w:val="24"/>
    </w:rPr>
  </w:style>
  <w:style w:type="character" w:styleId="991" w:customStyle="1">
    <w:name w:val="style13"/>
    <w:uiPriority w:val="0"/>
    <w:qFormat/>
    <w:rPr>
      <w:sz w:val="18"/>
      <w:szCs w:val="18"/>
    </w:rPr>
  </w:style>
  <w:style w:type="paragraph" w:styleId="992" w:customStyle="1">
    <w:name w:val="列表段落1"/>
    <w:basedOn w:val="754"/>
    <w:uiPriority w:val="34"/>
    <w:qFormat/>
    <w:pPr>
      <w:ind w:firstLine="420"/>
    </w:pPr>
  </w:style>
  <w:style w:type="character" w:styleId="993" w:customStyle="1">
    <w:name w:val="font81"/>
    <w:basedOn w:val="764"/>
    <w:uiPriority w:val="0"/>
    <w:qFormat/>
    <w:rPr>
      <w:rFonts w:hint="default" w:ascii="Times New Roman" w:hAnsi="Times New Roman" w:cs="Times New Roman"/>
      <w:color w:val="000000"/>
      <w:sz w:val="18"/>
      <w:szCs w:val="18"/>
      <w:u w:val="none"/>
    </w:rPr>
  </w:style>
  <w:style w:type="paragraph" w:styleId="994" w:customStyle="1">
    <w:name w:val="正文 A"/>
    <w:next w:val="887"/>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995" w:customStyle="1">
    <w:name w:val="Other|1"/>
    <w:basedOn w:val="754"/>
    <w:uiPriority w:val="0"/>
    <w:qFormat/>
    <w:pPr>
      <w:ind w:firstLine="400"/>
      <w:spacing w:line="377" w:lineRule="auto"/>
    </w:pPr>
    <w:rPr>
      <w:rFonts w:ascii="宋体" w:hAnsi="宋体"/>
      <w:sz w:val="22"/>
      <w:lang w:val="zh-TW" w:eastAsia="zh-TW" w:bidi="zh-TW"/>
    </w:rPr>
  </w:style>
  <w:style w:type="paragraph" w:styleId="996" w:customStyle="1">
    <w:name w:val="首行缩进"/>
    <w:basedOn w:val="754"/>
    <w:uiPriority w:val="99"/>
    <w:qFormat/>
    <w:pPr>
      <w:ind w:firstLine="480"/>
      <w:jc w:val="left"/>
      <w:spacing w:line="360" w:lineRule="auto"/>
    </w:pPr>
    <w:rPr>
      <w:rFonts w:ascii="宋体" w:hAnsi="宋体" w:cs="Times New Roman"/>
      <w:sz w:val="24"/>
      <w:szCs w:val="20"/>
    </w:rPr>
  </w:style>
  <w:style w:type="character" w:styleId="997" w:customStyle="1">
    <w:name w:val="正文缩进 字符"/>
    <w:link w:val="766"/>
    <w:uiPriority w:val="0"/>
    <w:qFormat/>
    <w:rPr>
      <w:rFonts w:ascii="Calibri" w:hAnsi="Calibri"/>
      <w:sz w:val="21"/>
    </w:rPr>
  </w:style>
  <w:style w:type="paragraph" w:styleId="998" w:customStyle="1">
    <w:name w:val="普通正文"/>
    <w:basedOn w:val="754"/>
    <w:uiPriority w:val="99"/>
    <w:qFormat/>
    <w:pPr>
      <w:ind w:firstLine="480"/>
      <w:jc w:val="left"/>
      <w:spacing w:before="120" w:after="120" w:line="360" w:lineRule="auto"/>
    </w:pPr>
    <w:rPr>
      <w:rFonts w:ascii="Arial" w:hAnsi="Arial" w:cs="Arial"/>
      <w:sz w:val="24"/>
      <w:szCs w:val="24"/>
    </w:rPr>
  </w:style>
  <w:style w:type="character" w:styleId="999" w:customStyle="1">
    <w:name w:val="未处理的提及1"/>
    <w:basedOn w:val="764"/>
    <w:uiPriority w:val="99"/>
    <w:unhideWhenUsed/>
    <w:qFormat/>
    <w:rPr>
      <w:color w:val="605e5c"/>
      <w:shd w:val="clear" w:color="auto" w:fill="e1dfdd"/>
    </w:rPr>
  </w:style>
  <w:style w:type="paragraph" w:styleId="1000" w:customStyle="1">
    <w:name w:val="修订2"/>
    <w:hidden/>
    <w:uiPriority w:val="99"/>
    <w:semiHidden/>
    <w:qFormat/>
    <w:rPr>
      <w:rFonts w:ascii="Calibri" w:hAnsi="Calibri" w:eastAsia="宋体" w:cs="宋体"/>
      <w:sz w:val="21"/>
      <w:szCs w:val="22"/>
      <w:lang w:val="en-US" w:eastAsia="zh-CN" w:bidi="ar-SA"/>
    </w:rPr>
  </w:style>
  <w:style w:type="table" w:styleId="1001" w:customStyle="1">
    <w:name w:val="网格型1"/>
    <w:basedOn w:val="765"/>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02" w:customStyle="1">
    <w:name w:val="_Style 413"/>
    <w:basedOn w:val="773"/>
    <w:next w:val="795"/>
    <w:uiPriority w:val="0"/>
    <w:qFormat/>
    <w:pPr>
      <w:ind w:firstLine="420"/>
    </w:pPr>
    <w:rPr>
      <w:rFonts w:ascii="Times New Roman" w:hAnsi="Times New Roman" w:cs="Times New Roman"/>
      <w:szCs w:val="24"/>
    </w:rPr>
  </w:style>
  <w:style w:type="character" w:styleId="1003" w:customStyle="1">
    <w:name w:val="纯文本 字符1"/>
    <w:uiPriority w:val="0"/>
    <w:qFormat/>
    <w:rPr>
      <w:rFonts w:ascii="宋体" w:hAnsi="Courier New"/>
      <w:sz w:val="21"/>
    </w:rPr>
  </w:style>
  <w:style w:type="paragraph" w:styleId="1004" w:customStyle="1">
    <w:name w:val="样式 首行缩进:  2 字符"/>
    <w:basedOn w:val="754"/>
    <w:link w:val="1005"/>
    <w:uiPriority w:val="0"/>
    <w:qFormat/>
    <w:pPr>
      <w:ind w:firstLine="480"/>
      <w:spacing w:line="360" w:lineRule="auto"/>
    </w:pPr>
    <w:rPr>
      <w:rFonts w:ascii="Times New Roman" w:hAnsi="Times New Roman"/>
      <w:sz w:val="24"/>
      <w:szCs w:val="20"/>
    </w:rPr>
  </w:style>
  <w:style w:type="character" w:styleId="1005" w:customStyle="1">
    <w:name w:val="样式 首行缩进:  2 字符 Char Char"/>
    <w:link w:val="1004"/>
    <w:uiPriority w:val="0"/>
    <w:qFormat/>
    <w:rPr>
      <w:rFonts w:cs="宋体"/>
      <w:sz w:val="24"/>
    </w:rPr>
  </w:style>
  <w:style w:type="table" w:styleId="1006" w:customStyle="1">
    <w:name w:val="Table Normal"/>
    <w:uiPriority w:val="0"/>
    <w:unhideWhenUsed/>
    <w:qFormat/>
    <w:tblPr>
      <w:tblCellMar>
        <w:left w:w="0" w:type="dxa"/>
        <w:top w:w="0" w:type="dxa"/>
        <w:right w:w="0" w:type="dxa"/>
        <w:bottom w:w="0" w:type="dxa"/>
      </w:tblCellMar>
    </w:tblPr>
  </w:style>
  <w:style w:type="paragraph" w:styleId="1007" w:customStyle="1">
    <w:name w:val="Table Text"/>
    <w:basedOn w:val="754"/>
    <w:uiPriority w:val="0"/>
    <w:semiHidden/>
    <w:qFormat/>
    <w:rPr>
      <w:rFonts w:ascii="Arial" w:hAnsi="Arial" w:eastAsia="Arial" w:cs="Arial"/>
      <w:szCs w:val="21"/>
      <w:lang w:eastAsia="en-US"/>
    </w:rPr>
  </w:style>
  <w:style w:type="paragraph" w:styleId="1008" w:customStyle="1">
    <w:name w:val="修订3"/>
    <w:hidden/>
    <w:uiPriority w:val="99"/>
    <w:unhideWhenUsed/>
    <w:qFormat/>
    <w:rPr>
      <w:rFonts w:ascii="Calibri" w:hAnsi="Calibri" w:eastAsia="宋体" w:cs="宋体"/>
      <w:sz w:val="21"/>
      <w:szCs w:val="22"/>
      <w:lang w:val="en-US" w:eastAsia="zh-CN" w:bidi="ar-SA"/>
    </w:rPr>
  </w:style>
  <w:style w:type="paragraph" w:styleId="1009" w:customStyle="1">
    <w:name w:val="修订4"/>
    <w:hidden/>
    <w:uiPriority w:val="99"/>
    <w:unhideWhenUsed/>
    <w:qFormat/>
    <w:rPr>
      <w:rFonts w:ascii="Calibri" w:hAnsi="Calibri" w:eastAsia="宋体" w:cs="宋体"/>
      <w:sz w:val="21"/>
      <w:szCs w:val="22"/>
      <w:lang w:val="en-US" w:eastAsia="zh-CN" w:bidi="ar-SA"/>
    </w:rPr>
  </w:style>
  <w:style w:type="character" w:styleId="1010" w:customStyle="1">
    <w:name w:val="正文文本缩进 Char"/>
    <w:uiPriority w:val="99"/>
    <w:qFormat/>
    <w:rPr>
      <w:rFonts w:ascii="宋体" w:hAnsi="Calibri" w:eastAsia="宋体" w:cs="宋体"/>
      <w:sz w:val="28"/>
      <w14:ligatures w14:val="none"/>
    </w:rPr>
  </w:style>
  <w:style w:type="paragraph" w:styleId="1011" w:customStyle="1">
    <w:name w:val="_Style 257"/>
    <w:basedOn w:val="754"/>
    <w:next w:val="1012"/>
    <w:uiPriority w:val="99"/>
    <w:qFormat/>
    <w:pPr>
      <w:ind w:firstLine="420"/>
    </w:pPr>
  </w:style>
  <w:style w:type="paragraph" w:styleId="1012">
    <w:name w:val="List Paragraph"/>
    <w:basedOn w:val="754"/>
    <w:uiPriority w:val="99"/>
    <w:unhideWhenUsed/>
    <w:qFormat/>
    <w:pPr>
      <w:ind w:firstLine="420"/>
    </w:pPr>
  </w:style>
  <w:style w:type="paragraph" w:styleId="1013" w:customStyle="1">
    <w:name w:val="_Style 259"/>
    <w:basedOn w:val="754"/>
    <w:next w:val="1012"/>
    <w:uiPriority w:val="99"/>
    <w:qFormat/>
    <w:pPr>
      <w:ind w:firstLine="420"/>
    </w:pPr>
  </w:style>
  <w:style w:type="paragraph" w:styleId="1014" w:customStyle="1">
    <w:name w:val="修订5"/>
    <w:hidden/>
    <w:uiPriority w:val="99"/>
    <w:unhideWhenUsed/>
    <w:qFormat/>
    <w:rPr>
      <w:rFonts w:ascii="Calibri" w:hAnsi="Calibri" w:eastAsia="宋体" w:cs="宋体"/>
      <w:sz w:val="21"/>
      <w:szCs w:val="22"/>
      <w:lang w:val="en-US" w:eastAsia="zh-CN" w:bidi="ar-SA"/>
    </w:rPr>
  </w:style>
  <w:style w:type="paragraph" w:styleId="1015" w:customStyle="1">
    <w:name w:val="（RZM政采）正文-首行缩进2"/>
    <w:basedOn w:val="754"/>
    <w:uiPriority w:val="0"/>
    <w:qFormat/>
    <w:pPr>
      <w:ind w:firstLine="200"/>
      <w:spacing w:line="360" w:lineRule="auto"/>
    </w:pPr>
    <w:rPr>
      <w:rFonts w:ascii="宋体" w:hAnsi="宋体"/>
      <w:szCs w:val="21"/>
      <w:lang w:val="zh-CN"/>
    </w:rPr>
  </w:style>
  <w:style w:type="numbering" w:styleId="82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穿越">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刘工</cp:lastModifiedBy>
  <cp:revision>10</cp:revision>
  <dcterms:created xsi:type="dcterms:W3CDTF">2026-05-18T00:51:00Z</dcterms:created>
  <dcterms:modified xsi:type="dcterms:W3CDTF">2026-08-17T03:29:13Z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45761524A0FF4BF89E569251AB6260E1_13</vt:lpwstr>
  </property>
  <property fmtid="{D5CDD505-2E9C-101B-9397-08002B2CF9AE}" pid="4" name="KSOTemplateDocerSaveRecord">
    <vt:lpwstr>eyJoZGlkIjoiMDJlYWIyZTJiZmU3NzUyNThhN2MwMmEzZTI4MWM2MjQiLCJ1c2VySWQiOiI3NzEwNTg4NDIifQ==</vt:lpwstr>
  </property>
</Properties>
</file>