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FAA149">
      <w:pPr>
        <w:spacing w:line="360" w:lineRule="auto"/>
        <w:ind w:firstLine="160"/>
        <w:outlineLvl w:val="9"/>
        <w:rPr>
          <w:rFonts w:hint="eastAsia" w:ascii="CESI黑体-GB2312" w:hAnsi="CESI黑体-GB2312" w:eastAsia="CESI黑体-GB2312" w:cs="CESI黑体-GB2312"/>
          <w:color w:val="auto"/>
          <w:sz w:val="32"/>
          <w:szCs w:val="32"/>
          <w:highlight w:val="none"/>
          <w:lang w:eastAsia="zh-CN"/>
        </w:rPr>
      </w:pPr>
    </w:p>
    <w:p w14:paraId="41954F62">
      <w:pPr>
        <w:spacing w:line="360" w:lineRule="auto"/>
        <w:ind w:firstLine="300"/>
        <w:outlineLvl w:val="9"/>
        <w:rPr>
          <w:color w:val="auto"/>
          <w:sz w:val="60"/>
          <w:szCs w:val="60"/>
          <w:highlight w:val="none"/>
        </w:rPr>
      </w:pPr>
    </w:p>
    <w:p w14:paraId="6CDA3536">
      <w:pPr>
        <w:jc w:val="center"/>
        <w:rPr>
          <w:b/>
          <w:bCs/>
          <w:color w:val="auto"/>
          <w:sz w:val="60"/>
          <w:szCs w:val="60"/>
        </w:rPr>
      </w:pPr>
      <w:r>
        <w:rPr>
          <w:b/>
          <w:bCs/>
          <w:color w:val="auto"/>
          <w:sz w:val="60"/>
          <w:szCs w:val="60"/>
        </w:rPr>
        <w:t>常州市政府采购项目</w:t>
      </w:r>
    </w:p>
    <w:p w14:paraId="20BEB926">
      <w:pPr>
        <w:jc w:val="center"/>
        <w:rPr>
          <w:b/>
          <w:bCs/>
          <w:color w:val="auto"/>
          <w:sz w:val="60"/>
          <w:szCs w:val="60"/>
        </w:rPr>
      </w:pPr>
      <w:r>
        <w:rPr>
          <w:rFonts w:hint="eastAsia"/>
          <w:b/>
          <w:bCs/>
          <w:color w:val="auto"/>
          <w:sz w:val="60"/>
          <w:szCs w:val="60"/>
        </w:rPr>
        <w:t>公开</w:t>
      </w:r>
      <w:r>
        <w:rPr>
          <w:b/>
          <w:bCs/>
          <w:color w:val="auto"/>
          <w:sz w:val="60"/>
          <w:szCs w:val="60"/>
        </w:rPr>
        <w:t>招标文件示范文本</w:t>
      </w:r>
    </w:p>
    <w:p w14:paraId="74943DCC">
      <w:pPr>
        <w:jc w:val="center"/>
        <w:outlineLvl w:val="9"/>
        <w:rPr>
          <w:rFonts w:hint="eastAsia"/>
          <w:b/>
          <w:bCs/>
          <w:color w:val="auto"/>
          <w:sz w:val="60"/>
          <w:szCs w:val="60"/>
          <w:highlight w:val="none"/>
          <w:lang w:eastAsia="zh-CN"/>
        </w:rPr>
      </w:pPr>
    </w:p>
    <w:p w14:paraId="10831677">
      <w:pPr>
        <w:jc w:val="center"/>
        <w:outlineLvl w:val="9"/>
        <w:rPr>
          <w:b/>
          <w:bCs/>
          <w:color w:val="auto"/>
          <w:sz w:val="60"/>
          <w:szCs w:val="60"/>
          <w:highlight w:val="none"/>
        </w:rPr>
      </w:pPr>
    </w:p>
    <w:p w14:paraId="5D8C16DD">
      <w:pPr>
        <w:jc w:val="center"/>
        <w:outlineLvl w:val="9"/>
        <w:rPr>
          <w:b/>
          <w:bCs/>
          <w:color w:val="auto"/>
          <w:sz w:val="60"/>
          <w:szCs w:val="60"/>
          <w:highlight w:val="none"/>
        </w:rPr>
      </w:pPr>
    </w:p>
    <w:p w14:paraId="2400C4A9">
      <w:pPr>
        <w:spacing w:line="360" w:lineRule="auto"/>
        <w:jc w:val="center"/>
        <w:outlineLvl w:val="9"/>
        <w:rPr>
          <w:color w:val="auto"/>
          <w:sz w:val="60"/>
          <w:szCs w:val="60"/>
          <w:highlight w:val="none"/>
        </w:rPr>
      </w:pPr>
    </w:p>
    <w:p w14:paraId="7D1E3846">
      <w:pPr>
        <w:tabs>
          <w:tab w:val="left" w:pos="3240"/>
          <w:tab w:val="left" w:pos="3420"/>
        </w:tabs>
        <w:spacing w:line="360" w:lineRule="auto"/>
        <w:ind w:left="2832" w:hanging="1900"/>
        <w:jc w:val="left"/>
        <w:outlineLvl w:val="9"/>
        <w:rPr>
          <w:rFonts w:hint="eastAsia" w:eastAsia="宋体"/>
          <w:bCs/>
          <w:color w:val="auto"/>
          <w:sz w:val="36"/>
          <w:szCs w:val="36"/>
          <w:highlight w:val="none"/>
          <w:lang w:eastAsia="zh-CN"/>
        </w:rPr>
      </w:pPr>
      <w:r>
        <w:rPr>
          <w:bCs/>
          <w:color w:val="auto"/>
          <w:sz w:val="36"/>
          <w:szCs w:val="36"/>
          <w:highlight w:val="none"/>
        </w:rPr>
        <w:t>项目名称：</w:t>
      </w:r>
      <w:r>
        <w:rPr>
          <w:rFonts w:hint="eastAsia"/>
          <w:bCs/>
          <w:color w:val="auto"/>
          <w:sz w:val="36"/>
          <w:szCs w:val="36"/>
          <w:highlight w:val="none"/>
          <w:lang w:eastAsia="zh-CN"/>
        </w:rPr>
        <w:t>深化常州市春港化工有限公司原厂址地块土壤污染风险评估项目</w:t>
      </w:r>
    </w:p>
    <w:p w14:paraId="60E816F0">
      <w:pPr>
        <w:tabs>
          <w:tab w:val="left" w:pos="3240"/>
          <w:tab w:val="left" w:pos="3420"/>
        </w:tabs>
        <w:spacing w:line="360" w:lineRule="auto"/>
        <w:ind w:left="2832" w:hanging="1900"/>
        <w:jc w:val="left"/>
        <w:outlineLvl w:val="9"/>
        <w:rPr>
          <w:rFonts w:hint="eastAsia"/>
          <w:bCs/>
          <w:color w:val="auto"/>
          <w:sz w:val="36"/>
          <w:szCs w:val="36"/>
          <w:highlight w:val="none"/>
          <w:lang w:eastAsia="zh-CN"/>
        </w:rPr>
      </w:pPr>
      <w:r>
        <w:rPr>
          <w:bCs/>
          <w:color w:val="auto"/>
          <w:sz w:val="36"/>
          <w:szCs w:val="36"/>
          <w:highlight w:val="none"/>
        </w:rPr>
        <w:t>项目编号：</w:t>
      </w:r>
      <w:r>
        <w:rPr>
          <w:rFonts w:hint="eastAsia"/>
          <w:bCs/>
          <w:color w:val="auto"/>
          <w:sz w:val="36"/>
          <w:szCs w:val="36"/>
          <w:highlight w:val="none"/>
          <w:lang w:eastAsia="zh-CN"/>
        </w:rPr>
        <w:t>JSZC-320411001-CXZB-G2026-0001</w:t>
      </w:r>
      <w:r>
        <w:rPr>
          <w:rFonts w:hint="eastAsia"/>
          <w:bCs/>
          <w:color w:val="auto"/>
          <w:sz w:val="36"/>
          <w:szCs w:val="36"/>
          <w:highlight w:val="none"/>
          <w:lang w:eastAsia="zh-CN"/>
        </w:rPr>
        <w:tab/>
      </w:r>
    </w:p>
    <w:p w14:paraId="28BD6170">
      <w:pPr>
        <w:tabs>
          <w:tab w:val="left" w:pos="3240"/>
          <w:tab w:val="left" w:pos="3420"/>
        </w:tabs>
        <w:spacing w:line="360" w:lineRule="auto"/>
        <w:ind w:left="2832" w:hanging="1900"/>
        <w:jc w:val="left"/>
        <w:outlineLvl w:val="9"/>
        <w:rPr>
          <w:rFonts w:hint="eastAsia" w:eastAsia="宋体"/>
          <w:bCs/>
          <w:color w:val="auto"/>
          <w:sz w:val="36"/>
          <w:szCs w:val="36"/>
          <w:highlight w:val="none"/>
          <w:lang w:val="en-US" w:eastAsia="zh-CN"/>
        </w:rPr>
      </w:pPr>
      <w:r>
        <w:rPr>
          <w:bCs/>
          <w:color w:val="auto"/>
          <w:sz w:val="36"/>
          <w:szCs w:val="36"/>
          <w:highlight w:val="none"/>
        </w:rPr>
        <w:t>采 购 人：</w:t>
      </w:r>
      <w:r>
        <w:rPr>
          <w:rFonts w:hint="eastAsia"/>
          <w:bCs/>
          <w:color w:val="auto"/>
          <w:sz w:val="36"/>
          <w:szCs w:val="36"/>
          <w:highlight w:val="none"/>
          <w:lang w:val="en-US" w:eastAsia="zh-CN"/>
        </w:rPr>
        <w:t>江苏常州滨江经济开发区管理委员会</w:t>
      </w:r>
    </w:p>
    <w:p w14:paraId="303DC25C">
      <w:pPr>
        <w:tabs>
          <w:tab w:val="left" w:pos="3240"/>
          <w:tab w:val="left" w:pos="3420"/>
        </w:tabs>
        <w:spacing w:line="360" w:lineRule="auto"/>
        <w:ind w:left="2832" w:hanging="1900"/>
        <w:jc w:val="left"/>
        <w:outlineLvl w:val="9"/>
        <w:rPr>
          <w:rFonts w:hint="eastAsia" w:eastAsia="宋体"/>
          <w:bCs/>
          <w:color w:val="auto"/>
          <w:sz w:val="36"/>
          <w:szCs w:val="36"/>
          <w:highlight w:val="none"/>
          <w:lang w:eastAsia="zh-CN"/>
        </w:rPr>
      </w:pPr>
      <w:r>
        <w:rPr>
          <w:rFonts w:hint="eastAsia"/>
          <w:bCs/>
          <w:color w:val="auto"/>
          <w:sz w:val="36"/>
          <w:szCs w:val="36"/>
          <w:highlight w:val="none"/>
        </w:rPr>
        <w:t>采购</w:t>
      </w:r>
      <w:r>
        <w:rPr>
          <w:bCs/>
          <w:color w:val="auto"/>
          <w:sz w:val="36"/>
          <w:szCs w:val="36"/>
          <w:highlight w:val="none"/>
        </w:rPr>
        <w:t>代理机构：</w:t>
      </w:r>
      <w:r>
        <w:rPr>
          <w:rFonts w:hint="eastAsia"/>
          <w:bCs/>
          <w:color w:val="auto"/>
          <w:sz w:val="36"/>
          <w:szCs w:val="36"/>
          <w:highlight w:val="none"/>
          <w:lang w:eastAsia="zh-CN"/>
        </w:rPr>
        <w:t>江苏常信招标代理有限公司</w:t>
      </w:r>
    </w:p>
    <w:p w14:paraId="205BCCEF">
      <w:pPr>
        <w:spacing w:line="360" w:lineRule="auto"/>
        <w:jc w:val="center"/>
        <w:outlineLvl w:val="9"/>
        <w:rPr>
          <w:b/>
          <w:bCs/>
          <w:color w:val="auto"/>
          <w:sz w:val="44"/>
          <w:highlight w:val="none"/>
        </w:rPr>
      </w:pPr>
      <w:r>
        <w:rPr>
          <w:b/>
          <w:bCs/>
          <w:color w:val="auto"/>
          <w:sz w:val="44"/>
          <w:highlight w:val="none"/>
        </w:rPr>
        <w:br w:type="page" w:clear="all"/>
      </w:r>
      <w:bookmarkStart w:id="0" w:name="_Toc99301418"/>
    </w:p>
    <w:p w14:paraId="7BCA6647">
      <w:pPr>
        <w:spacing w:line="360" w:lineRule="auto"/>
        <w:jc w:val="center"/>
        <w:outlineLvl w:val="9"/>
        <w:rPr>
          <w:b/>
          <w:bCs/>
          <w:color w:val="auto"/>
          <w:sz w:val="44"/>
          <w:highlight w:val="none"/>
        </w:rPr>
      </w:pPr>
      <w:r>
        <w:rPr>
          <w:b/>
          <w:bCs/>
          <w:color w:val="auto"/>
          <w:sz w:val="44"/>
          <w:highlight w:val="none"/>
        </w:rPr>
        <w:t>目      录</w:t>
      </w:r>
      <w:bookmarkEnd w:id="0"/>
    </w:p>
    <w:p w14:paraId="3101FB84">
      <w:pPr>
        <w:keepNext w:val="0"/>
        <w:keepLines w:val="0"/>
        <w:pageBreakBefore w:val="0"/>
        <w:widowControl w:val="0"/>
        <w:spacing w:line="360" w:lineRule="auto"/>
        <w:outlineLvl w:val="9"/>
        <w:rPr>
          <w:rFonts w:hint="eastAsia" w:ascii="宋体" w:hAnsi="宋体" w:eastAsia="宋体" w:cs="宋体"/>
          <w:color w:val="auto"/>
          <w:sz w:val="32"/>
          <w:szCs w:val="32"/>
          <w:highlight w:val="none"/>
        </w:rPr>
      </w:pPr>
    </w:p>
    <w:p w14:paraId="3458A322">
      <w:pPr>
        <w:pStyle w:val="240"/>
        <w:keepNext w:val="0"/>
        <w:keepLines w:val="0"/>
        <w:pageBreakBefore w:val="0"/>
        <w:widowControl w:val="0"/>
        <w:spacing w:line="360" w:lineRule="auto"/>
        <w:outlineLvl w:val="9"/>
        <w:rPr>
          <w:b w:val="0"/>
          <w:bCs/>
          <w:color w:val="auto"/>
          <w:sz w:val="44"/>
          <w:highlight w:val="none"/>
        </w:rPr>
      </w:pPr>
    </w:p>
    <w:p w14:paraId="0EB09884">
      <w:pPr>
        <w:pStyle w:val="240"/>
        <w:keepNext w:val="0"/>
        <w:keepLines w:val="0"/>
        <w:pageBreakBefore w:val="0"/>
        <w:widowControl w:val="0"/>
        <w:spacing w:line="360" w:lineRule="auto"/>
        <w:outlineLvl w:val="9"/>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TOC \o "1-1" \h \u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\l _Toc15932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第一章   投标邀请</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_Toc15932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3</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fldChar w:fldCharType="end"/>
      </w:r>
    </w:p>
    <w:p w14:paraId="5A2D4ECE">
      <w:pPr>
        <w:pStyle w:val="240"/>
        <w:keepNext w:val="0"/>
        <w:keepLines w:val="0"/>
        <w:pageBreakBefore w:val="0"/>
        <w:widowControl w:val="0"/>
        <w:spacing w:line="360" w:lineRule="auto"/>
        <w:outlineLvl w:val="9"/>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\l _Toc11085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第二章   投标人须知</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_Toc11085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7</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fldChar w:fldCharType="end"/>
      </w:r>
    </w:p>
    <w:p w14:paraId="575E9E22">
      <w:pPr>
        <w:pStyle w:val="240"/>
        <w:keepNext w:val="0"/>
        <w:keepLines w:val="0"/>
        <w:pageBreakBefore w:val="0"/>
        <w:widowControl w:val="0"/>
        <w:spacing w:line="360" w:lineRule="auto"/>
        <w:outlineLvl w:val="9"/>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\l _Toc4607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第三章   资格审查</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_Toc4607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23</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fldChar w:fldCharType="end"/>
      </w:r>
    </w:p>
    <w:p w14:paraId="0E66BDC0">
      <w:pPr>
        <w:pStyle w:val="240"/>
        <w:keepNext w:val="0"/>
        <w:keepLines w:val="0"/>
        <w:pageBreakBefore w:val="0"/>
        <w:widowControl w:val="0"/>
        <w:spacing w:line="360" w:lineRule="auto"/>
        <w:outlineLvl w:val="9"/>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\l _Toc8940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第四章   评标程序、评标方法和评标标准</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_Toc8940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25</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fldChar w:fldCharType="end"/>
      </w:r>
    </w:p>
    <w:p w14:paraId="6B5F6493">
      <w:pPr>
        <w:pStyle w:val="240"/>
        <w:keepNext w:val="0"/>
        <w:keepLines w:val="0"/>
        <w:pageBreakBefore w:val="0"/>
        <w:widowControl w:val="0"/>
        <w:spacing w:line="360" w:lineRule="auto"/>
        <w:outlineLvl w:val="9"/>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\l _Toc29962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第五章   采购需求</w:t>
      </w:r>
      <w:r>
        <w:rPr>
          <w:rFonts w:hint="eastAsia" w:ascii="宋体" w:hAnsi="宋体" w:eastAsia="宋体" w:cs="宋体"/>
          <w:color w:val="auto"/>
          <w:sz w:val="32"/>
          <w:szCs w:val="32"/>
          <w:highlight w:val="none"/>
        </w:rPr>
        <w:tab/>
      </w:r>
      <w:r>
        <w:rPr>
          <w:rFonts w:hint="eastAsia" w:eastAsia="宋体" w:cs="宋体"/>
          <w:color w:val="auto"/>
          <w:sz w:val="32"/>
          <w:szCs w:val="32"/>
          <w:highlight w:val="none"/>
          <w:lang w:val="en-US" w:eastAsia="zh-CN"/>
        </w:rPr>
        <w:t>3</w:t>
      </w:r>
      <w:r>
        <w:rPr>
          <w:rFonts w:hint="eastAsia" w:ascii="宋体" w:hAnsi="宋体" w:eastAsia="宋体" w:cs="宋体"/>
          <w:color w:val="auto"/>
          <w:sz w:val="32"/>
          <w:szCs w:val="32"/>
          <w:highlight w:val="none"/>
        </w:rPr>
        <w:fldChar w:fldCharType="end"/>
      </w:r>
      <w:r>
        <w:rPr>
          <w:rFonts w:hint="eastAsia" w:cs="宋体"/>
          <w:color w:val="auto"/>
          <w:sz w:val="32"/>
          <w:szCs w:val="32"/>
          <w:highlight w:val="none"/>
          <w:lang w:val="en-US" w:eastAsia="zh-CN"/>
        </w:rPr>
        <w:t>3</w:t>
      </w:r>
    </w:p>
    <w:p w14:paraId="7287FA7D">
      <w:pPr>
        <w:pStyle w:val="240"/>
        <w:keepNext w:val="0"/>
        <w:keepLines w:val="0"/>
        <w:pageBreakBefore w:val="0"/>
        <w:widowControl w:val="0"/>
        <w:spacing w:line="360" w:lineRule="auto"/>
        <w:outlineLvl w:val="9"/>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\l _Toc13366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第六章   拟签订的合同文本</w:t>
      </w:r>
      <w:r>
        <w:rPr>
          <w:rFonts w:hint="eastAsia" w:ascii="宋体" w:hAnsi="宋体" w:eastAsia="宋体" w:cs="宋体"/>
          <w:color w:val="auto"/>
          <w:sz w:val="32"/>
          <w:szCs w:val="32"/>
          <w:highlight w:val="none"/>
        </w:rPr>
        <w:tab/>
      </w:r>
      <w:r>
        <w:rPr>
          <w:rFonts w:hint="eastAsia" w:cs="宋体"/>
          <w:color w:val="auto"/>
          <w:sz w:val="32"/>
          <w:szCs w:val="32"/>
          <w:highlight w:val="none"/>
          <w:lang w:val="en-US" w:eastAsia="zh-CN"/>
        </w:rPr>
        <w:t>3</w:t>
      </w:r>
      <w:r>
        <w:rPr>
          <w:rFonts w:hint="eastAsia" w:ascii="宋体" w:hAnsi="宋体" w:eastAsia="宋体" w:cs="宋体"/>
          <w:color w:val="auto"/>
          <w:sz w:val="32"/>
          <w:szCs w:val="32"/>
          <w:highlight w:val="none"/>
        </w:rPr>
        <w:fldChar w:fldCharType="end"/>
      </w:r>
      <w:r>
        <w:rPr>
          <w:rFonts w:hint="eastAsia" w:cs="宋体"/>
          <w:color w:val="auto"/>
          <w:sz w:val="32"/>
          <w:szCs w:val="32"/>
          <w:highlight w:val="none"/>
          <w:lang w:val="en-US" w:eastAsia="zh-CN"/>
        </w:rPr>
        <w:t>6</w:t>
      </w:r>
    </w:p>
    <w:p w14:paraId="26F2F5DD">
      <w:pPr>
        <w:pStyle w:val="240"/>
        <w:keepNext w:val="0"/>
        <w:keepLines w:val="0"/>
        <w:pageBreakBefore w:val="0"/>
        <w:widowControl w:val="0"/>
        <w:spacing w:line="360" w:lineRule="auto"/>
        <w:outlineLvl w:val="9"/>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\l _Toc18832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第七章   投标文件格式</w:t>
      </w:r>
      <w:r>
        <w:rPr>
          <w:rFonts w:hint="eastAsia" w:ascii="宋体" w:hAnsi="宋体" w:eastAsia="宋体" w:cs="宋体"/>
          <w:color w:val="auto"/>
          <w:sz w:val="32"/>
          <w:szCs w:val="32"/>
          <w:highlight w:val="none"/>
        </w:rPr>
        <w:tab/>
      </w:r>
      <w:r>
        <w:rPr>
          <w:rFonts w:hint="eastAsia" w:eastAsia="宋体" w:cs="宋体"/>
          <w:color w:val="auto"/>
          <w:sz w:val="32"/>
          <w:szCs w:val="32"/>
          <w:highlight w:val="none"/>
          <w:lang w:val="en-US" w:eastAsia="zh-CN"/>
        </w:rPr>
        <w:t>4</w:t>
      </w:r>
      <w:r>
        <w:rPr>
          <w:rFonts w:hint="eastAsia" w:ascii="宋体" w:hAnsi="宋体" w:eastAsia="宋体" w:cs="宋体"/>
          <w:color w:val="auto"/>
          <w:sz w:val="32"/>
          <w:szCs w:val="32"/>
          <w:highlight w:val="none"/>
        </w:rPr>
        <w:fldChar w:fldCharType="end"/>
      </w:r>
      <w:r>
        <w:rPr>
          <w:rFonts w:hint="eastAsia" w:cs="宋体"/>
          <w:color w:val="auto"/>
          <w:sz w:val="32"/>
          <w:szCs w:val="32"/>
          <w:highlight w:val="none"/>
          <w:lang w:val="en-US" w:eastAsia="zh-CN"/>
        </w:rPr>
        <w:t>8</w:t>
      </w:r>
    </w:p>
    <w:p w14:paraId="3AA6E0ED">
      <w:pPr>
        <w:pStyle w:val="240"/>
        <w:keepNext w:val="0"/>
        <w:keepLines w:val="0"/>
        <w:pageBreakBefore w:val="0"/>
        <w:widowControl w:val="0"/>
        <w:spacing w:line="360" w:lineRule="auto"/>
        <w:outlineLvl w:val="9"/>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fldChar w:fldCharType="end"/>
      </w:r>
    </w:p>
    <w:p w14:paraId="58567760">
      <w:pPr>
        <w:pStyle w:val="240"/>
        <w:keepNext w:val="0"/>
        <w:keepLines w:val="0"/>
        <w:pageBreakBefore w:val="0"/>
        <w:widowControl w:val="0"/>
        <w:spacing w:line="360" w:lineRule="auto"/>
        <w:jc w:val="center"/>
        <w:outlineLvl w:val="9"/>
        <w:rPr>
          <w:b/>
          <w:color w:val="auto"/>
          <w:sz w:val="36"/>
          <w:szCs w:val="36"/>
          <w:highlight w:val="none"/>
        </w:rPr>
      </w:pPr>
      <w:r>
        <w:rPr>
          <w:rFonts w:hint="eastAsia" w:ascii="宋体" w:hAnsi="宋体" w:eastAsia="宋体" w:cs="宋体"/>
          <w:color w:val="auto"/>
          <w:sz w:val="32"/>
          <w:szCs w:val="32"/>
          <w:highlight w:val="none"/>
        </w:rPr>
        <w:br w:type="page" w:clear="all"/>
      </w:r>
      <w:bookmarkStart w:id="1" w:name="_Toc15932"/>
      <w:bookmarkStart w:id="2" w:name="_Toc99301419"/>
      <w:r>
        <w:rPr>
          <w:b/>
          <w:color w:val="auto"/>
          <w:sz w:val="36"/>
          <w:szCs w:val="36"/>
          <w:highlight w:val="none"/>
        </w:rPr>
        <w:t>第一章   投标邀请</w:t>
      </w:r>
      <w:bookmarkEnd w:id="1"/>
      <w:bookmarkEnd w:id="2"/>
    </w:p>
    <w:p w14:paraId="0BC7CC0F">
      <w:pPr>
        <w:keepNext w:val="0"/>
        <w:keepLines w:val="0"/>
        <w:pageBreakBefore w:val="0"/>
        <w:widowControl w:val="0"/>
        <w:spacing w:line="360" w:lineRule="auto"/>
        <w:outlineLvl w:val="9"/>
        <w:rPr>
          <w:rFonts w:hint="eastAsia" w:ascii="宋体" w:hAnsi="宋体" w:eastAsia="宋体" w:cs="Times New Roman"/>
          <w:b/>
          <w:bCs/>
          <w:color w:val="auto"/>
          <w:sz w:val="24"/>
          <w:szCs w:val="24"/>
          <w:highlight w:val="none"/>
        </w:rPr>
      </w:pPr>
      <w:bookmarkStart w:id="3" w:name="_Toc28359079"/>
      <w:bookmarkStart w:id="4" w:name="_Toc35393790"/>
      <w:bookmarkStart w:id="5" w:name="_Toc28359002"/>
      <w:bookmarkStart w:id="6" w:name="_Toc35393621"/>
      <w:bookmarkStart w:id="7" w:name="_Hlk24379207"/>
      <w:r>
        <w:rPr>
          <w:rFonts w:hint="eastAsia" w:ascii="宋体" w:hAnsi="宋体" w:eastAsia="宋体" w:cs="Times New Roman"/>
          <w:b/>
          <w:bCs/>
          <w:color w:val="auto"/>
          <w:sz w:val="24"/>
          <w:szCs w:val="24"/>
          <w:highlight w:val="none"/>
        </w:rPr>
        <w:t>一、项目基本情况</w:t>
      </w:r>
      <w:bookmarkEnd w:id="3"/>
      <w:bookmarkEnd w:id="4"/>
      <w:bookmarkEnd w:id="5"/>
      <w:bookmarkEnd w:id="6"/>
    </w:p>
    <w:p w14:paraId="53B84F50">
      <w:pPr>
        <w:keepNext w:val="0"/>
        <w:keepLines w:val="0"/>
        <w:pageBreakBefore w:val="0"/>
        <w:widowControl w:val="0"/>
        <w:spacing w:line="360" w:lineRule="auto"/>
        <w:ind w:firstLine="480"/>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1.项目编号：</w:t>
      </w:r>
      <w:r>
        <w:rPr>
          <w:rFonts w:hint="eastAsia" w:ascii="宋体" w:hAnsi="宋体" w:cs="宋体"/>
          <w:color w:val="auto"/>
          <w:sz w:val="24"/>
          <w:szCs w:val="24"/>
          <w:highlight w:val="none"/>
          <w:u w:val="single"/>
          <w:lang w:eastAsia="zh-CN"/>
        </w:rPr>
        <w:t>JSZC-320411001-CXZB-G2026-0001</w:t>
      </w:r>
      <w:r>
        <w:rPr>
          <w:rFonts w:hint="eastAsia" w:ascii="宋体" w:hAnsi="宋体" w:cs="宋体"/>
          <w:color w:val="auto"/>
          <w:sz w:val="24"/>
          <w:szCs w:val="24"/>
          <w:highlight w:val="none"/>
          <w:u w:val="single"/>
          <w:lang w:val="en-US" w:eastAsia="zh-CN"/>
        </w:rPr>
        <w:t xml:space="preserve">                         </w:t>
      </w:r>
    </w:p>
    <w:p w14:paraId="12FEB49F">
      <w:pPr>
        <w:keepNext w:val="0"/>
        <w:keepLines w:val="0"/>
        <w:pageBreakBefore w:val="0"/>
        <w:widowControl w:val="0"/>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2.项目名称：</w:t>
      </w:r>
      <w:r>
        <w:rPr>
          <w:rFonts w:hint="eastAsia" w:ascii="宋体" w:hAnsi="宋体" w:cs="宋体"/>
          <w:color w:val="auto"/>
          <w:sz w:val="24"/>
          <w:szCs w:val="24"/>
          <w:highlight w:val="none"/>
          <w:u w:val="single"/>
          <w:lang w:eastAsia="zh-CN"/>
        </w:rPr>
        <w:t>深化常州市春港化工有限公司原厂址地块土壤污染风险评估项目</w:t>
      </w:r>
    </w:p>
    <w:p w14:paraId="62B1F88D">
      <w:pPr>
        <w:keepNext w:val="0"/>
        <w:keepLines w:val="0"/>
        <w:pageBreakBefore w:val="0"/>
        <w:widowControl w:val="0"/>
        <w:spacing w:line="360" w:lineRule="auto"/>
        <w:ind w:firstLine="480"/>
        <w:outlineLvl w:val="9"/>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3.项目预算金额：</w:t>
      </w:r>
      <w:r>
        <w:rPr>
          <w:rFonts w:hint="eastAsia" w:ascii="宋体" w:hAnsi="宋体" w:eastAsia="宋体" w:cs="宋体"/>
          <w:color w:val="auto"/>
          <w:sz w:val="24"/>
          <w:szCs w:val="24"/>
          <w:highlight w:val="none"/>
          <w:u w:val="single"/>
          <w:lang w:val="en-US" w:eastAsia="zh-CN"/>
        </w:rPr>
        <w:t>1</w:t>
      </w:r>
      <w:r>
        <w:rPr>
          <w:rFonts w:hint="eastAsia" w:ascii="宋体" w:hAnsi="宋体" w:cs="宋体"/>
          <w:color w:val="auto"/>
          <w:sz w:val="24"/>
          <w:szCs w:val="24"/>
          <w:highlight w:val="none"/>
          <w:u w:val="single"/>
          <w:lang w:val="en-US" w:eastAsia="zh-CN"/>
        </w:rPr>
        <w:t>22</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项目最高限价：</w:t>
      </w:r>
      <w:r>
        <w:rPr>
          <w:rFonts w:hint="eastAsia" w:ascii="宋体" w:hAnsi="宋体" w:eastAsia="宋体" w:cs="宋体"/>
          <w:color w:val="auto"/>
          <w:sz w:val="24"/>
          <w:szCs w:val="24"/>
          <w:highlight w:val="none"/>
          <w:u w:val="single"/>
          <w:lang w:val="en-US" w:eastAsia="zh-CN"/>
        </w:rPr>
        <w:t>1</w:t>
      </w:r>
      <w:r>
        <w:rPr>
          <w:rFonts w:hint="eastAsia" w:ascii="宋体" w:hAnsi="宋体" w:cs="宋体"/>
          <w:color w:val="auto"/>
          <w:sz w:val="24"/>
          <w:szCs w:val="24"/>
          <w:highlight w:val="none"/>
          <w:u w:val="single"/>
          <w:lang w:val="en-US" w:eastAsia="zh-CN"/>
        </w:rPr>
        <w:t>22</w:t>
      </w:r>
      <w:r>
        <w:rPr>
          <w:rFonts w:hint="eastAsia" w:ascii="宋体" w:hAnsi="宋体" w:eastAsia="宋体" w:cs="宋体"/>
          <w:color w:val="auto"/>
          <w:sz w:val="24"/>
          <w:szCs w:val="24"/>
          <w:highlight w:val="none"/>
        </w:rPr>
        <w:t>万元</w:t>
      </w:r>
    </w:p>
    <w:p w14:paraId="56BB5C5F">
      <w:pPr>
        <w:keepNext w:val="0"/>
        <w:keepLines w:val="0"/>
        <w:pageBreakBefore w:val="0"/>
        <w:widowControl w:val="0"/>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4.采购需求：</w:t>
      </w:r>
    </w:p>
    <w:bookmarkEnd w:id="7"/>
    <w:tbl>
      <w:tblPr>
        <w:tblStyle w:val="33"/>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272"/>
        <w:gridCol w:w="1876"/>
        <w:gridCol w:w="1094"/>
        <w:gridCol w:w="4039"/>
      </w:tblGrid>
      <w:tr w14:paraId="025429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24" w:type="dxa"/>
            <w:noWrap w:val="0"/>
            <w:vAlign w:val="center"/>
          </w:tcPr>
          <w:p w14:paraId="55C30337">
            <w:pPr>
              <w:keepNext w:val="0"/>
              <w:keepLines w:val="0"/>
              <w:pageBreakBefore w:val="0"/>
              <w:widowControl w:val="0"/>
              <w:jc w:val="center"/>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标的名称</w:t>
            </w:r>
          </w:p>
        </w:tc>
        <w:tc>
          <w:tcPr>
            <w:tcW w:w="1010" w:type="dxa"/>
            <w:noWrap w:val="0"/>
            <w:vAlign w:val="center"/>
          </w:tcPr>
          <w:p w14:paraId="2BF048EB">
            <w:pPr>
              <w:keepNext w:val="0"/>
              <w:keepLines w:val="0"/>
              <w:pageBreakBefore w:val="0"/>
              <w:widowControl w:val="0"/>
              <w:jc w:val="center"/>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采购预算金额（万元）</w:t>
            </w:r>
          </w:p>
        </w:tc>
        <w:tc>
          <w:tcPr>
            <w:tcW w:w="589" w:type="dxa"/>
            <w:noWrap w:val="0"/>
            <w:vAlign w:val="center"/>
          </w:tcPr>
          <w:p w14:paraId="3764D890">
            <w:pPr>
              <w:keepNext w:val="0"/>
              <w:keepLines w:val="0"/>
              <w:pageBreakBefore w:val="0"/>
              <w:widowControl w:val="0"/>
              <w:jc w:val="center"/>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数量</w:t>
            </w:r>
          </w:p>
        </w:tc>
        <w:tc>
          <w:tcPr>
            <w:tcW w:w="2175" w:type="dxa"/>
            <w:noWrap w:val="0"/>
            <w:vAlign w:val="center"/>
          </w:tcPr>
          <w:p w14:paraId="2A7D3635">
            <w:pPr>
              <w:keepNext w:val="0"/>
              <w:keepLines w:val="0"/>
              <w:pageBreakBefore w:val="0"/>
              <w:widowControl w:val="0"/>
              <w:jc w:val="left"/>
              <w:outlineLvl w:val="9"/>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简要技术需求或服务要求</w:t>
            </w:r>
          </w:p>
        </w:tc>
      </w:tr>
      <w:tr w14:paraId="22DB84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1" w:hRule="atLeast"/>
        </w:trPr>
        <w:tc>
          <w:tcPr>
            <w:tcW w:w="1224" w:type="dxa"/>
            <w:noWrap w:val="0"/>
            <w:vAlign w:val="center"/>
          </w:tcPr>
          <w:p w14:paraId="72F6CC09">
            <w:pPr>
              <w:keepNext w:val="0"/>
              <w:keepLines w:val="0"/>
              <w:pageBreakBefore w:val="0"/>
              <w:widowControl w:val="0"/>
              <w:spacing w:line="360" w:lineRule="auto"/>
              <w:jc w:val="center"/>
              <w:outlineLvl w:val="9"/>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eastAsia="zh-CN"/>
              </w:rPr>
              <w:t>深化常州市春港化工有限公司原厂址地块土壤污染风险评估项目</w:t>
            </w:r>
          </w:p>
        </w:tc>
        <w:tc>
          <w:tcPr>
            <w:tcW w:w="1010" w:type="dxa"/>
            <w:noWrap w:val="0"/>
            <w:vAlign w:val="center"/>
          </w:tcPr>
          <w:p w14:paraId="58608531">
            <w:pPr>
              <w:keepNext w:val="0"/>
              <w:keepLines w:val="0"/>
              <w:pageBreakBefore w:val="0"/>
              <w:widowControl w:val="0"/>
              <w:spacing w:line="360" w:lineRule="auto"/>
              <w:jc w:val="center"/>
              <w:outlineLvl w:val="9"/>
              <w:rPr>
                <w:rFonts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122</w:t>
            </w:r>
          </w:p>
        </w:tc>
        <w:tc>
          <w:tcPr>
            <w:tcW w:w="589" w:type="dxa"/>
            <w:noWrap w:val="0"/>
            <w:vAlign w:val="center"/>
          </w:tcPr>
          <w:p w14:paraId="53A77613">
            <w:pPr>
              <w:keepNext w:val="0"/>
              <w:keepLines w:val="0"/>
              <w:pageBreakBefore w:val="0"/>
              <w:widowControl w:val="0"/>
              <w:spacing w:line="360" w:lineRule="auto"/>
              <w:jc w:val="center"/>
              <w:outlineLvl w:val="9"/>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w:t>
            </w:r>
          </w:p>
        </w:tc>
        <w:tc>
          <w:tcPr>
            <w:tcW w:w="2175" w:type="dxa"/>
            <w:noWrap w:val="0"/>
            <w:vAlign w:val="center"/>
          </w:tcPr>
          <w:p w14:paraId="6E433EB9">
            <w:pPr>
              <w:keepNext w:val="0"/>
              <w:keepLines w:val="0"/>
              <w:pageBreakBefore w:val="0"/>
              <w:widowControl w:val="0"/>
              <w:spacing w:line="360" w:lineRule="auto"/>
              <w:jc w:val="left"/>
              <w:outlineLvl w:val="9"/>
              <w:rPr>
                <w:rFonts w:hint="eastAsia" w:ascii="宋体" w:hAnsi="宋体" w:eastAsia="宋体" w:cs="宋体"/>
                <w:bCs/>
                <w:color w:val="auto"/>
                <w:sz w:val="24"/>
                <w:szCs w:val="24"/>
                <w:highlight w:val="none"/>
                <w:lang w:val="en-US" w:eastAsia="zh-CN"/>
              </w:rPr>
            </w:pPr>
            <w:r>
              <w:rPr>
                <w:rFonts w:hint="eastAsia" w:ascii="宋体" w:hAnsi="宋体" w:cs="宋体"/>
                <w:color w:val="auto"/>
                <w:sz w:val="24"/>
                <w:szCs w:val="24"/>
                <w:highlight w:val="none"/>
                <w:u w:val="none"/>
                <w:lang w:eastAsia="zh-CN"/>
              </w:rPr>
              <w:t>根据《长江沿线1公里化工腾退地块土壤污染专项治理行动方案》、现行法律法规及技术规范等文件要求，</w:t>
            </w:r>
            <w:r>
              <w:rPr>
                <w:rFonts w:hint="eastAsia" w:ascii="宋体" w:hAnsi="宋体" w:cs="宋体"/>
                <w:color w:val="auto"/>
                <w:sz w:val="24"/>
                <w:szCs w:val="24"/>
                <w:highlight w:val="none"/>
                <w:u w:val="none"/>
                <w:lang w:val="en-US" w:eastAsia="zh-CN"/>
              </w:rPr>
              <w:t>开展</w:t>
            </w:r>
            <w:r>
              <w:rPr>
                <w:rFonts w:hint="eastAsia" w:ascii="宋体" w:hAnsi="宋体" w:cs="宋体"/>
                <w:color w:val="auto"/>
                <w:sz w:val="24"/>
                <w:szCs w:val="24"/>
                <w:highlight w:val="none"/>
                <w:u w:val="none"/>
                <w:lang w:eastAsia="zh-CN"/>
              </w:rPr>
              <w:t>深化常州市春港化工有限公司原厂址地块（</w:t>
            </w:r>
            <w:r>
              <w:rPr>
                <w:rFonts w:hint="eastAsia" w:ascii="宋体" w:hAnsi="宋体" w:cs="宋体"/>
                <w:color w:val="auto"/>
                <w:sz w:val="24"/>
                <w:szCs w:val="24"/>
                <w:highlight w:val="none"/>
                <w:u w:val="none"/>
                <w:lang w:val="en-US" w:eastAsia="zh-CN"/>
              </w:rPr>
              <w:t>占地面积约73333m2</w:t>
            </w:r>
            <w:r>
              <w:rPr>
                <w:rFonts w:hint="eastAsia" w:ascii="宋体" w:hAnsi="宋体" w:cs="宋体"/>
                <w:color w:val="auto"/>
                <w:sz w:val="24"/>
                <w:szCs w:val="24"/>
                <w:highlight w:val="none"/>
                <w:u w:val="none"/>
                <w:lang w:eastAsia="zh-CN"/>
              </w:rPr>
              <w:t>）土壤污染风险评估</w:t>
            </w:r>
            <w:r>
              <w:rPr>
                <w:rFonts w:hint="eastAsia" w:ascii="宋体" w:hAnsi="宋体" w:cs="宋体"/>
                <w:color w:val="auto"/>
                <w:sz w:val="24"/>
                <w:szCs w:val="24"/>
                <w:highlight w:val="none"/>
                <w:u w:val="none"/>
                <w:lang w:val="en-US" w:eastAsia="zh-CN"/>
              </w:rPr>
              <w:t>工作</w:t>
            </w:r>
            <w:r>
              <w:rPr>
                <w:rFonts w:hint="eastAsia" w:ascii="宋体" w:hAnsi="宋体" w:cs="宋体"/>
                <w:color w:val="auto"/>
                <w:sz w:val="24"/>
                <w:szCs w:val="24"/>
                <w:highlight w:val="none"/>
                <w:u w:val="none"/>
                <w:lang w:eastAsia="zh-CN"/>
              </w:rPr>
              <w:t>。</w:t>
            </w:r>
          </w:p>
        </w:tc>
      </w:tr>
    </w:tbl>
    <w:p w14:paraId="25866211">
      <w:pPr>
        <w:keepNext w:val="0"/>
        <w:keepLines w:val="0"/>
        <w:pageBreakBefore w:val="0"/>
        <w:widowControl w:val="0"/>
        <w:spacing w:before="233" w:line="360" w:lineRule="auto"/>
        <w:ind w:firstLine="480"/>
        <w:outlineLvl w:val="9"/>
        <w:rPr>
          <w:rFonts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.合同履行期限：</w:t>
      </w:r>
      <w:r>
        <w:rPr>
          <w:rFonts w:hint="eastAsia" w:ascii="宋体" w:hAnsi="宋体" w:cs="宋体"/>
          <w:color w:val="auto"/>
          <w:sz w:val="24"/>
          <w:szCs w:val="24"/>
          <w:highlight w:val="none"/>
          <w:u w:val="single"/>
          <w:lang w:eastAsia="zh-CN"/>
        </w:rPr>
        <w:t>自签订合同之日起120个日历天内，完成项目地块土壤污染风险评估报告编制（含入江风险评估专章）经甲方确认后，提交并通过</w:t>
      </w:r>
      <w:r>
        <w:rPr>
          <w:rFonts w:hint="eastAsia" w:ascii="宋体" w:hAnsi="宋体" w:cs="宋体"/>
          <w:color w:val="auto"/>
          <w:sz w:val="24"/>
          <w:szCs w:val="24"/>
          <w:highlight w:val="none"/>
          <w:u w:val="single"/>
          <w:lang w:val="en-US" w:eastAsia="zh-CN"/>
        </w:rPr>
        <w:t>生态环境</w:t>
      </w:r>
      <w:r>
        <w:rPr>
          <w:rFonts w:hint="eastAsia" w:ascii="宋体" w:hAnsi="宋体" w:cs="宋体"/>
          <w:color w:val="auto"/>
          <w:sz w:val="24"/>
          <w:szCs w:val="24"/>
          <w:highlight w:val="none"/>
          <w:u w:val="single"/>
          <w:lang w:eastAsia="zh-CN"/>
        </w:rPr>
        <w:t>主管部门组织的专家评审。</w:t>
      </w:r>
    </w:p>
    <w:p w14:paraId="4B0A57A4">
      <w:pPr>
        <w:keepNext w:val="0"/>
        <w:keepLines w:val="0"/>
        <w:pageBreakBefore w:val="0"/>
        <w:widowControl w:val="0"/>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.本项目是否接受联合体：□是  ■否。</w:t>
      </w:r>
    </w:p>
    <w:p w14:paraId="26072796">
      <w:pPr>
        <w:keepNext w:val="0"/>
        <w:keepLines w:val="0"/>
        <w:pageBreakBefore w:val="0"/>
        <w:widowControl w:val="0"/>
        <w:spacing w:line="360" w:lineRule="auto"/>
        <w:outlineLvl w:val="9"/>
        <w:rPr>
          <w:rFonts w:hint="eastAsia" w:ascii="宋体" w:hAnsi="宋体" w:eastAsia="宋体" w:cs="Times New Roman"/>
          <w:b/>
          <w:bCs/>
          <w:color w:val="auto"/>
          <w:sz w:val="24"/>
          <w:szCs w:val="24"/>
          <w:highlight w:val="none"/>
        </w:rPr>
      </w:pPr>
      <w:bookmarkStart w:id="8" w:name="_Toc35393791"/>
      <w:bookmarkStart w:id="9" w:name="_Toc28359080"/>
      <w:bookmarkStart w:id="10" w:name="_Toc35393622"/>
      <w:bookmarkStart w:id="11" w:name="_Toc28359003"/>
      <w:r>
        <w:rPr>
          <w:rFonts w:hint="eastAsia" w:ascii="宋体" w:hAnsi="宋体" w:eastAsia="宋体" w:cs="Times New Roman"/>
          <w:b/>
          <w:bCs/>
          <w:color w:val="auto"/>
          <w:sz w:val="24"/>
          <w:szCs w:val="24"/>
          <w:highlight w:val="none"/>
        </w:rPr>
        <w:t>二、申请人的资格要求（须同时满足）</w:t>
      </w:r>
      <w:bookmarkEnd w:id="8"/>
      <w:bookmarkEnd w:id="9"/>
      <w:bookmarkEnd w:id="10"/>
      <w:bookmarkEnd w:id="11"/>
    </w:p>
    <w:p w14:paraId="1800631D">
      <w:pPr>
        <w:keepNext w:val="0"/>
        <w:keepLines w:val="0"/>
        <w:pageBreakBefore w:val="0"/>
        <w:widowControl w:val="0"/>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1.满足《中华人民共和国政府采购法》第二十二条规定以及下列情形：</w:t>
      </w:r>
    </w:p>
    <w:p w14:paraId="278DE4EB">
      <w:pPr>
        <w:keepNext w:val="0"/>
        <w:keepLines w:val="0"/>
        <w:pageBreakBefore w:val="0"/>
        <w:widowControl w:val="0"/>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1.1未被“信用中国”网站（WWW.creditchina.gov.cn）或“中国政府采购网”网站（www.ccgp.gov.cn）列入失信被执行人、重大税收违法案件当事人名单、政府采购严重失信行为记录名单；</w:t>
      </w:r>
    </w:p>
    <w:p w14:paraId="4AF82635">
      <w:pPr>
        <w:keepNext w:val="0"/>
        <w:keepLines w:val="0"/>
        <w:pageBreakBefore w:val="0"/>
        <w:widowControl w:val="0"/>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1.2单位负责人为同一人或者存在直接控股、管理关系的不同供应商（包含法定代表人为同一个人的两个及两个以上法人，母公司、全资子公司及其控股公司），不得参加同一合同项下的政府采购活动。</w:t>
      </w:r>
    </w:p>
    <w:p w14:paraId="3A3E8139">
      <w:pPr>
        <w:keepNext w:val="0"/>
        <w:keepLines w:val="0"/>
        <w:pageBreakBefore w:val="0"/>
        <w:widowControl w:val="0"/>
        <w:spacing w:line="360" w:lineRule="auto"/>
        <w:ind w:firstLine="480"/>
        <w:outlineLvl w:val="9"/>
        <w:rPr>
          <w:rFonts w:hint="eastAsia" w:ascii="宋体" w:hAnsi="宋体" w:eastAsia="宋体" w:cs="宋体"/>
          <w:color w:val="auto"/>
          <w:sz w:val="24"/>
          <w:szCs w:val="24"/>
          <w:highlight w:val="none"/>
        </w:rPr>
      </w:pPr>
      <w:bookmarkStart w:id="12" w:name="_Toc28359004"/>
      <w:bookmarkStart w:id="13" w:name="_Toc28359081"/>
      <w:r>
        <w:rPr>
          <w:rFonts w:hint="eastAsia" w:ascii="宋体" w:hAnsi="宋体" w:eastAsia="宋体" w:cs="宋体"/>
          <w:color w:val="auto"/>
          <w:sz w:val="24"/>
          <w:szCs w:val="24"/>
          <w:highlight w:val="none"/>
        </w:rPr>
        <w:t>2.落实政府采购政策需满足的资格要求：</w:t>
      </w:r>
    </w:p>
    <w:p w14:paraId="78B7DE59">
      <w:pPr>
        <w:keepNext w:val="0"/>
        <w:keepLines w:val="0"/>
        <w:pageBreakBefore w:val="0"/>
        <w:widowControl w:val="0"/>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中小企业政策</w:t>
      </w:r>
    </w:p>
    <w:p w14:paraId="6FC9D423">
      <w:pPr>
        <w:keepNext w:val="0"/>
        <w:keepLines w:val="0"/>
        <w:pageBreakBefore w:val="0"/>
        <w:widowControl w:val="0"/>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□本项目不专门面向中小企业预留采购份额。</w:t>
      </w:r>
    </w:p>
    <w:p w14:paraId="5A07195A">
      <w:pPr>
        <w:keepNext w:val="0"/>
        <w:keepLines w:val="0"/>
        <w:pageBreakBefore w:val="0"/>
        <w:widowControl w:val="0"/>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■本项目专门面向  ■中小 □小微企业  采购。即：提供的服务全部由符合政策要求的中小企业承接。</w:t>
      </w:r>
    </w:p>
    <w:p w14:paraId="36518601">
      <w:pPr>
        <w:keepNext w:val="0"/>
        <w:keepLines w:val="0"/>
        <w:pageBreakBefore w:val="0"/>
        <w:widowControl w:val="0"/>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w:t>
      </w:r>
    </w:p>
    <w:p w14:paraId="6B090D35">
      <w:pPr>
        <w:keepNext w:val="0"/>
        <w:keepLines w:val="0"/>
        <w:pageBreakBefore w:val="0"/>
        <w:widowControl w:val="0"/>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其它落实政府采购政策的资格要求：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w:t>
      </w:r>
    </w:p>
    <w:p w14:paraId="4D26795A">
      <w:pPr>
        <w:keepNext w:val="0"/>
        <w:keepLines w:val="0"/>
        <w:pageBreakBefore w:val="0"/>
        <w:widowControl w:val="0"/>
        <w:spacing w:line="360" w:lineRule="auto"/>
        <w:ind w:firstLine="480"/>
        <w:outlineLvl w:val="9"/>
        <w:rPr>
          <w:rFonts w:hint="eastAsia" w:ascii="宋体" w:hAnsi="宋体" w:eastAsia="宋体" w:cs="宋体"/>
          <w:i/>
          <w:iCs/>
          <w:color w:val="auto"/>
          <w:sz w:val="24"/>
          <w:szCs w:val="24"/>
          <w:highlight w:val="none"/>
          <w:u w:val="single"/>
        </w:rPr>
      </w:pPr>
      <w:r>
        <w:rPr>
          <w:rFonts w:hint="eastAsia" w:ascii="宋体" w:hAnsi="宋体" w:eastAsia="宋体" w:cs="宋体"/>
          <w:color w:val="auto"/>
          <w:sz w:val="24"/>
          <w:szCs w:val="24"/>
          <w:highlight w:val="none"/>
        </w:rPr>
        <w:t>3.本项目的特定资格要求：</w:t>
      </w:r>
    </w:p>
    <w:p w14:paraId="2876B642">
      <w:pPr>
        <w:keepNext w:val="0"/>
        <w:keepLines w:val="0"/>
        <w:pageBreakBefore w:val="0"/>
        <w:widowControl w:val="0"/>
        <w:tabs>
          <w:tab w:val="left" w:pos="900"/>
          <w:tab w:val="left" w:pos="1134"/>
          <w:tab w:val="left" w:pos="1589"/>
          <w:tab w:val="left" w:pos="5521"/>
        </w:tabs>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3.1本项目是否接受分支机构参与</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：□是   ■否；</w:t>
      </w:r>
    </w:p>
    <w:p w14:paraId="59185E83">
      <w:pPr>
        <w:keepNext w:val="0"/>
        <w:keepLines w:val="0"/>
        <w:pageBreakBefore w:val="0"/>
        <w:widowControl w:val="0"/>
        <w:tabs>
          <w:tab w:val="left" w:pos="900"/>
          <w:tab w:val="left" w:pos="1134"/>
          <w:tab w:val="left" w:pos="1589"/>
          <w:tab w:val="left" w:pos="5521"/>
        </w:tabs>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 本项目是否属于政府购买服务：</w:t>
      </w:r>
    </w:p>
    <w:p w14:paraId="00EE573A">
      <w:pPr>
        <w:keepNext w:val="0"/>
        <w:keepLines w:val="0"/>
        <w:pageBreakBefore w:val="0"/>
        <w:widowControl w:val="0"/>
        <w:tabs>
          <w:tab w:val="left" w:pos="900"/>
          <w:tab w:val="left" w:pos="1134"/>
          <w:tab w:val="left" w:pos="1589"/>
          <w:tab w:val="left" w:pos="5521"/>
        </w:tabs>
        <w:spacing w:line="360" w:lineRule="auto"/>
        <w:ind w:left="991" w:firstLine="2"/>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□否</w:t>
      </w:r>
    </w:p>
    <w:p w14:paraId="2EC308B1">
      <w:pPr>
        <w:keepNext w:val="0"/>
        <w:keepLines w:val="0"/>
        <w:pageBreakBefore w:val="0"/>
        <w:widowControl w:val="0"/>
        <w:tabs>
          <w:tab w:val="left" w:pos="900"/>
          <w:tab w:val="left" w:pos="1134"/>
          <w:tab w:val="left" w:pos="1589"/>
          <w:tab w:val="left" w:pos="5521"/>
        </w:tabs>
        <w:spacing w:line="360" w:lineRule="auto"/>
        <w:ind w:left="991" w:firstLine="2"/>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■是，公益一类事业单位、使用事业编制且由财政拨款保障的群团组织，不得作为承接主体；</w:t>
      </w:r>
    </w:p>
    <w:p w14:paraId="7BDA36AF">
      <w:pPr>
        <w:keepNext w:val="0"/>
        <w:keepLines w:val="0"/>
        <w:pageBreakBefore w:val="0"/>
        <w:widowControl w:val="0"/>
        <w:tabs>
          <w:tab w:val="left" w:pos="900"/>
          <w:tab w:val="left" w:pos="1134"/>
          <w:tab w:val="left" w:pos="1589"/>
          <w:tab w:val="left" w:pos="5521"/>
        </w:tabs>
        <w:spacing w:line="360" w:lineRule="auto"/>
        <w:ind w:firstLine="480"/>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3.3其他特定资格要求：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w:t>
      </w:r>
    </w:p>
    <w:bookmarkEnd w:id="12"/>
    <w:bookmarkEnd w:id="13"/>
    <w:p w14:paraId="7E1787D0">
      <w:pPr>
        <w:keepNext w:val="0"/>
        <w:keepLines w:val="0"/>
        <w:pageBreakBefore w:val="0"/>
        <w:widowControl w:val="0"/>
        <w:spacing w:line="360" w:lineRule="auto"/>
        <w:outlineLvl w:val="9"/>
        <w:rPr>
          <w:rFonts w:hint="eastAsia" w:ascii="宋体" w:hAnsi="宋体" w:eastAsia="宋体" w:cs="Times New Roman"/>
          <w:b/>
          <w:bCs/>
          <w:color w:val="auto"/>
          <w:sz w:val="24"/>
          <w:szCs w:val="24"/>
          <w:highlight w:val="none"/>
        </w:rPr>
      </w:pPr>
      <w:bookmarkStart w:id="14" w:name="_Toc35393792"/>
      <w:bookmarkStart w:id="15" w:name="_Toc35393623"/>
      <w:r>
        <w:rPr>
          <w:rFonts w:hint="eastAsia" w:ascii="宋体" w:hAnsi="宋体" w:eastAsia="宋体" w:cs="Times New Roman"/>
          <w:b/>
          <w:bCs/>
          <w:color w:val="auto"/>
          <w:sz w:val="24"/>
          <w:szCs w:val="24"/>
          <w:highlight w:val="none"/>
        </w:rPr>
        <w:t>三、获取招标文件</w:t>
      </w:r>
      <w:bookmarkEnd w:id="14"/>
      <w:bookmarkEnd w:id="15"/>
    </w:p>
    <w:p w14:paraId="4615D4EA">
      <w:pPr>
        <w:keepNext w:val="0"/>
        <w:keepLines w:val="0"/>
        <w:pageBreakBefore w:val="0"/>
        <w:spacing w:line="360" w:lineRule="auto"/>
        <w:ind w:firstLine="480"/>
        <w:outlineLvl w:val="9"/>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1.时间：自</w:t>
      </w:r>
      <w:r>
        <w:rPr>
          <w:rFonts w:hint="eastAsia" w:ascii="宋体" w:hAnsi="宋体" w:eastAsia="宋体" w:cs="宋体"/>
          <w:color w:val="auto"/>
          <w:sz w:val="24"/>
          <w:highlight w:val="none"/>
          <w:lang w:val="en-US" w:eastAsia="zh-CN" w:bidi="ar"/>
        </w:rPr>
        <w:t>招标</w:t>
      </w:r>
      <w:r>
        <w:rPr>
          <w:rFonts w:hint="eastAsia" w:ascii="宋体" w:hAnsi="宋体" w:eastAsia="宋体" w:cs="宋体"/>
          <w:color w:val="auto"/>
          <w:sz w:val="24"/>
          <w:highlight w:val="none"/>
          <w:lang w:bidi="ar"/>
        </w:rPr>
        <w:t>公告发布之日起5个工作日。</w:t>
      </w:r>
    </w:p>
    <w:p w14:paraId="48F67CB5">
      <w:pPr>
        <w:keepNext w:val="0"/>
        <w:keepLines w:val="0"/>
        <w:pageBreakBefore w:val="0"/>
        <w:spacing w:line="360" w:lineRule="auto"/>
        <w:ind w:firstLine="480"/>
        <w:outlineLvl w:val="9"/>
        <w:rPr>
          <w:rFonts w:hint="eastAsia" w:ascii="宋体" w:hAnsi="宋体" w:eastAsia="宋体" w:cs="宋体"/>
          <w:color w:val="auto"/>
          <w:sz w:val="24"/>
          <w:highlight w:val="none"/>
          <w:lang w:eastAsia="zh-CN" w:bidi="ar"/>
        </w:rPr>
      </w:pPr>
      <w:bookmarkStart w:id="16" w:name="_Toc28359082"/>
      <w:bookmarkStart w:id="17" w:name="_Toc28359005"/>
      <w:bookmarkStart w:id="18" w:name="_Toc35393793"/>
      <w:bookmarkStart w:id="19" w:name="_Toc35393624"/>
      <w:r>
        <w:rPr>
          <w:rFonts w:hint="eastAsia" w:ascii="宋体" w:hAnsi="宋体" w:eastAsia="宋体" w:cs="宋体"/>
          <w:color w:val="auto"/>
          <w:sz w:val="24"/>
          <w:highlight w:val="none"/>
          <w:lang w:bidi="ar"/>
        </w:rPr>
        <w:t>2.地点：</w:t>
      </w:r>
      <w:r>
        <w:rPr>
          <w:rFonts w:hint="eastAsia" w:ascii="宋体" w:hAnsi="宋体" w:eastAsia="宋体" w:cs="宋体"/>
          <w:color w:val="auto"/>
          <w:sz w:val="24"/>
          <w:szCs w:val="24"/>
          <w:highlight w:val="none"/>
        </w:rPr>
        <w:t>“苏采云”政府采购一体化平台。</w:t>
      </w:r>
    </w:p>
    <w:p w14:paraId="4555FE3E">
      <w:pPr>
        <w:keepNext w:val="0"/>
        <w:keepLines w:val="0"/>
        <w:pageBreakBefore w:val="0"/>
        <w:spacing w:line="360" w:lineRule="auto"/>
        <w:ind w:firstLine="480"/>
        <w:outlineLvl w:val="9"/>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3.方式：</w:t>
      </w:r>
      <w:r>
        <w:rPr>
          <w:rFonts w:hint="eastAsia" w:ascii="宋体" w:hAnsi="宋体" w:eastAsia="宋体" w:cs="宋体"/>
          <w:color w:val="auto"/>
          <w:sz w:val="24"/>
          <w:highlight w:val="none"/>
          <w:lang w:val="en-US" w:eastAsia="zh-CN" w:bidi="ar"/>
        </w:rPr>
        <w:t>投标</w:t>
      </w:r>
      <w:r>
        <w:rPr>
          <w:rFonts w:hint="eastAsia" w:ascii="宋体" w:hAnsi="宋体" w:eastAsia="宋体" w:cs="宋体"/>
          <w:color w:val="auto"/>
          <w:sz w:val="24"/>
          <w:szCs w:val="24"/>
          <w:highlight w:val="none"/>
          <w:lang w:val="en-US" w:eastAsia="zh-CN"/>
        </w:rPr>
        <w:t>供应商登陆“江苏政府采购网”，在网站首页点击“苏采云”→使用CA锁登录系统（新用户需进行“平台用户注册”）→“项目参与”进行登记，在“可参与项目”中选择“我要参与”，参与成功后到“已参与项目”界面中找到该项目下载文件并进行操作。</w:t>
      </w:r>
    </w:p>
    <w:p w14:paraId="3CCB4072">
      <w:pPr>
        <w:keepNext w:val="0"/>
        <w:keepLines w:val="0"/>
        <w:pageBreakBefore w:val="0"/>
        <w:widowControl w:val="0"/>
        <w:tabs>
          <w:tab w:val="left" w:pos="900"/>
          <w:tab w:val="left" w:pos="1134"/>
          <w:tab w:val="left" w:pos="1589"/>
          <w:tab w:val="left" w:pos="5521"/>
        </w:tabs>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bidi="ar"/>
        </w:rPr>
        <w:t>4.售价：</w:t>
      </w:r>
      <w:r>
        <w:rPr>
          <w:rFonts w:hint="eastAsia" w:ascii="宋体" w:hAnsi="宋体" w:eastAsia="宋体" w:cs="宋体"/>
          <w:color w:val="auto"/>
          <w:sz w:val="24"/>
          <w:highlight w:val="none"/>
          <w:u w:val="single"/>
          <w:lang w:bidi="ar"/>
        </w:rPr>
        <w:t xml:space="preserve"> 0 </w:t>
      </w:r>
      <w:r>
        <w:rPr>
          <w:rFonts w:hint="eastAsia" w:ascii="宋体" w:hAnsi="宋体" w:eastAsia="宋体" w:cs="宋体"/>
          <w:color w:val="auto"/>
          <w:sz w:val="24"/>
          <w:highlight w:val="none"/>
          <w:lang w:bidi="ar"/>
        </w:rPr>
        <w:t>元。</w:t>
      </w:r>
    </w:p>
    <w:p w14:paraId="6685F225">
      <w:pPr>
        <w:keepNext w:val="0"/>
        <w:keepLines w:val="0"/>
        <w:pageBreakBefore w:val="0"/>
        <w:widowControl w:val="0"/>
        <w:spacing w:line="360" w:lineRule="auto"/>
        <w:outlineLvl w:val="9"/>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四、提交投标文件</w:t>
      </w:r>
      <w:bookmarkEnd w:id="16"/>
      <w:bookmarkEnd w:id="17"/>
      <w:r>
        <w:rPr>
          <w:rFonts w:hint="eastAsia" w:ascii="宋体" w:hAnsi="宋体" w:eastAsia="宋体" w:cs="Times New Roman"/>
          <w:b/>
          <w:bCs/>
          <w:color w:val="auto"/>
          <w:sz w:val="24"/>
          <w:szCs w:val="24"/>
          <w:highlight w:val="none"/>
        </w:rPr>
        <w:t>截止时间、开标时间和地点</w:t>
      </w:r>
      <w:bookmarkEnd w:id="18"/>
      <w:bookmarkEnd w:id="19"/>
    </w:p>
    <w:p w14:paraId="1229C123">
      <w:pPr>
        <w:spacing w:line="360" w:lineRule="auto"/>
        <w:ind w:firstLine="480"/>
        <w:outlineLvl w:val="9"/>
        <w:rPr>
          <w:rFonts w:hint="eastAsia" w:ascii="宋体" w:hAnsi="宋体" w:eastAsia="宋体" w:cs="宋体"/>
          <w:iCs/>
          <w:color w:val="auto"/>
          <w:sz w:val="24"/>
          <w:highlight w:val="none"/>
          <w:lang w:bidi="ar"/>
        </w:rPr>
      </w:pPr>
      <w:r>
        <w:rPr>
          <w:color w:val="auto"/>
          <w:sz w:val="24"/>
          <w:highlight w:val="none"/>
          <w:lang w:bidi="ar"/>
        </w:rPr>
        <w:t>投标截止时间、开标时间：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202</w:t>
      </w:r>
      <w:r>
        <w:rPr>
          <w:rFonts w:hint="eastAsia" w:ascii="宋体" w:hAnsi="宋体" w:cs="宋体"/>
          <w:color w:val="auto"/>
          <w:sz w:val="24"/>
          <w:highlight w:val="none"/>
          <w:u w:val="single"/>
          <w:lang w:val="en-US" w:eastAsia="zh-CN"/>
        </w:rPr>
        <w:t>6</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bidi="ar"/>
        </w:rPr>
        <w:t>年</w:t>
      </w:r>
      <w:r>
        <w:rPr>
          <w:rFonts w:hint="eastAsia" w:ascii="宋体" w:hAnsi="宋体" w:cs="宋体"/>
          <w:color w:val="auto"/>
          <w:sz w:val="24"/>
          <w:highlight w:val="none"/>
          <w:u w:val="single"/>
          <w:lang w:val="en-US" w:eastAsia="zh-CN"/>
        </w:rPr>
        <w:t>9</w:t>
      </w:r>
      <w:r>
        <w:rPr>
          <w:rFonts w:hint="eastAsia" w:ascii="宋体" w:hAnsi="宋体" w:eastAsia="宋体" w:cs="宋体"/>
          <w:color w:val="auto"/>
          <w:sz w:val="24"/>
          <w:highlight w:val="none"/>
          <w:lang w:bidi="ar"/>
        </w:rPr>
        <w:t>月</w:t>
      </w:r>
      <w:r>
        <w:rPr>
          <w:rFonts w:hint="eastAsia" w:ascii="宋体" w:hAnsi="宋体" w:cs="宋体"/>
          <w:color w:val="auto"/>
          <w:sz w:val="24"/>
          <w:highlight w:val="none"/>
          <w:u w:val="single"/>
          <w:lang w:val="en-US" w:eastAsia="zh-CN"/>
        </w:rPr>
        <w:t>9</w:t>
      </w:r>
      <w:r>
        <w:rPr>
          <w:rFonts w:hint="eastAsia" w:ascii="宋体" w:hAnsi="宋体" w:eastAsia="宋体" w:cs="宋体"/>
          <w:color w:val="auto"/>
          <w:sz w:val="24"/>
          <w:highlight w:val="none"/>
          <w:lang w:bidi="ar"/>
        </w:rPr>
        <w:t>日</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14</w:t>
      </w:r>
      <w:r>
        <w:rPr>
          <w:rFonts w:hint="eastAsia" w:ascii="宋体" w:hAnsi="宋体" w:eastAsia="宋体" w:cs="宋体"/>
          <w:color w:val="auto"/>
          <w:sz w:val="24"/>
          <w:highlight w:val="none"/>
          <w:lang w:bidi="ar"/>
        </w:rPr>
        <w:t>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00 </w:t>
      </w:r>
      <w:r>
        <w:rPr>
          <w:rFonts w:hint="eastAsia" w:ascii="宋体" w:hAnsi="宋体" w:eastAsia="宋体" w:cs="宋体"/>
          <w:color w:val="auto"/>
          <w:sz w:val="24"/>
          <w:highlight w:val="none"/>
          <w:lang w:bidi="ar"/>
        </w:rPr>
        <w:t>分</w:t>
      </w:r>
      <w:r>
        <w:rPr>
          <w:rFonts w:hint="eastAsia" w:ascii="宋体" w:hAnsi="宋体" w:eastAsia="宋体" w:cs="宋体"/>
          <w:bCs/>
          <w:color w:val="auto"/>
          <w:sz w:val="24"/>
          <w:highlight w:val="none"/>
          <w:lang w:bidi="ar"/>
        </w:rPr>
        <w:t>（北京时间）</w:t>
      </w:r>
      <w:r>
        <w:rPr>
          <w:rFonts w:hint="eastAsia" w:ascii="宋体" w:hAnsi="宋体" w:eastAsia="宋体" w:cs="宋体"/>
          <w:iCs/>
          <w:color w:val="auto"/>
          <w:sz w:val="24"/>
          <w:highlight w:val="none"/>
          <w:lang w:bidi="ar"/>
        </w:rPr>
        <w:t>。</w:t>
      </w:r>
    </w:p>
    <w:p w14:paraId="3A300C6E">
      <w:pPr>
        <w:spacing w:line="360" w:lineRule="auto"/>
        <w:ind w:firstLine="480"/>
        <w:rPr>
          <w:rFonts w:hint="eastAsia" w:eastAsia="宋体"/>
          <w:color w:val="auto"/>
          <w:sz w:val="24"/>
          <w:highlight w:val="none"/>
          <w:lang w:val="zh-TW" w:eastAsia="zh-CN" w:bidi="ar"/>
        </w:rPr>
      </w:pPr>
      <w:bookmarkStart w:id="20" w:name="_Toc35393794"/>
      <w:bookmarkStart w:id="21" w:name="_Toc35393625"/>
      <w:bookmarkStart w:id="22" w:name="_Toc28359084"/>
      <w:bookmarkStart w:id="23" w:name="_Toc28359007"/>
      <w:r>
        <w:rPr>
          <w:color w:val="auto"/>
          <w:sz w:val="24"/>
          <w:highlight w:val="none"/>
          <w:lang w:bidi="ar"/>
        </w:rPr>
        <w:t>地点：</w:t>
      </w:r>
      <w:r>
        <w:rPr>
          <w:rFonts w:hint="eastAsia" w:ascii="宋体" w:hAnsi="宋体"/>
          <w:color w:val="auto"/>
          <w:sz w:val="24"/>
          <w:highlight w:val="none"/>
          <w:u w:val="single"/>
          <w:lang w:eastAsia="zh-CN"/>
        </w:rPr>
        <w:t>“苏采云”政府采购一体化平台网上开标大厅。</w:t>
      </w:r>
    </w:p>
    <w:p w14:paraId="493DB8C9">
      <w:pPr>
        <w:keepNext w:val="0"/>
        <w:keepLines w:val="0"/>
        <w:pageBreakBefore w:val="0"/>
        <w:widowControl w:val="0"/>
        <w:spacing w:line="360" w:lineRule="auto"/>
        <w:outlineLvl w:val="9"/>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五、公告期限</w:t>
      </w:r>
      <w:bookmarkEnd w:id="20"/>
      <w:bookmarkEnd w:id="21"/>
      <w:bookmarkEnd w:id="22"/>
      <w:bookmarkEnd w:id="23"/>
    </w:p>
    <w:p w14:paraId="773DDF99">
      <w:pPr>
        <w:spacing w:line="360" w:lineRule="auto"/>
        <w:ind w:firstLine="480"/>
        <w:outlineLvl w:val="9"/>
        <w:rPr>
          <w:color w:val="auto"/>
          <w:sz w:val="24"/>
          <w:highlight w:val="none"/>
        </w:rPr>
      </w:pPr>
      <w:r>
        <w:rPr>
          <w:color w:val="auto"/>
          <w:sz w:val="24"/>
          <w:highlight w:val="none"/>
        </w:rPr>
        <w:t>自本公告发布之日起5个工作日。</w:t>
      </w:r>
    </w:p>
    <w:p w14:paraId="046AE829">
      <w:pPr>
        <w:keepNext w:val="0"/>
        <w:keepLines w:val="0"/>
        <w:pageBreakBefore w:val="0"/>
        <w:widowControl w:val="0"/>
        <w:spacing w:line="360" w:lineRule="auto"/>
        <w:outlineLvl w:val="9"/>
        <w:rPr>
          <w:rFonts w:hint="eastAsia" w:ascii="宋体" w:hAnsi="宋体" w:eastAsia="宋体" w:cs="Times New Roman"/>
          <w:b/>
          <w:bCs/>
          <w:color w:val="auto"/>
          <w:sz w:val="24"/>
          <w:szCs w:val="24"/>
          <w:highlight w:val="none"/>
        </w:rPr>
      </w:pPr>
      <w:bookmarkStart w:id="24" w:name="_Toc35393626"/>
      <w:bookmarkStart w:id="25" w:name="_Toc35393795"/>
      <w:r>
        <w:rPr>
          <w:rFonts w:hint="eastAsia" w:ascii="宋体" w:hAnsi="宋体" w:eastAsia="宋体" w:cs="Times New Roman"/>
          <w:b/>
          <w:bCs/>
          <w:color w:val="auto"/>
          <w:sz w:val="24"/>
          <w:szCs w:val="24"/>
          <w:highlight w:val="none"/>
        </w:rPr>
        <w:t>六、其他补充事宜</w:t>
      </w:r>
      <w:bookmarkEnd w:id="24"/>
      <w:bookmarkEnd w:id="25"/>
    </w:p>
    <w:p w14:paraId="549351C4">
      <w:pPr>
        <w:spacing w:line="360" w:lineRule="auto"/>
        <w:ind w:firstLine="480"/>
        <w:rPr>
          <w:rFonts w:hint="eastAsia" w:ascii="宋体" w:hAnsi="宋体" w:cs="宋体"/>
          <w:color w:val="auto"/>
          <w:sz w:val="24"/>
          <w:highlight w:val="none"/>
        </w:rPr>
      </w:pPr>
      <w:bookmarkStart w:id="26" w:name="_Toc35393627"/>
      <w:bookmarkStart w:id="27" w:name="_Toc28359085"/>
      <w:bookmarkStart w:id="28" w:name="_Toc28359008"/>
      <w:bookmarkStart w:id="29" w:name="_Toc35393796"/>
      <w:r>
        <w:rPr>
          <w:rFonts w:hint="eastAsia" w:ascii="宋体" w:hAnsi="宋体" w:cs="宋体"/>
          <w:color w:val="auto"/>
          <w:sz w:val="24"/>
          <w:highlight w:val="none"/>
        </w:rPr>
        <w:t>1.本项目需要落实的政府采购政策：</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1D55E76E">
      <w:pPr>
        <w:keepNext w:val="0"/>
        <w:keepLines w:val="0"/>
        <w:pageBreakBefore w:val="0"/>
        <w:widowControl/>
        <w:spacing w:line="360" w:lineRule="auto"/>
        <w:ind w:firstLine="480"/>
        <w:jc w:val="left"/>
        <w:outlineLvl w:val="9"/>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eastAsia="宋体" w:cs="宋体"/>
          <w:color w:val="auto"/>
          <w:sz w:val="24"/>
          <w:highlight w:val="none"/>
          <w:lang w:val="en-US" w:eastAsia="zh-CN" w:bidi="ar"/>
        </w:rPr>
        <w:t>投标</w:t>
      </w: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sz w:val="24"/>
          <w:highlight w:val="none"/>
        </w:rPr>
        <w:t>通过苏采云系统参与政府采购项目，需要更换CA数字证书和电子签章。</w:t>
      </w:r>
    </w:p>
    <w:p w14:paraId="620F9678">
      <w:pPr>
        <w:keepNext w:val="0"/>
        <w:keepLines w:val="0"/>
        <w:pageBreakBefore w:val="0"/>
        <w:widowControl/>
        <w:spacing w:line="360" w:lineRule="auto"/>
        <w:ind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w:t>
      </w:r>
      <w:r>
        <w:rPr>
          <w:rFonts w:hint="eastAsia" w:ascii="宋体" w:hAnsi="宋体" w:eastAsia="宋体" w:cs="宋体"/>
          <w:color w:val="auto"/>
          <w:sz w:val="24"/>
          <w:highlight w:val="none"/>
          <w:lang w:val="en-US" w:eastAsia="zh-CN"/>
        </w:rPr>
        <w:t>投标文件</w:t>
      </w:r>
      <w:r>
        <w:rPr>
          <w:rFonts w:hint="eastAsia" w:ascii="宋体" w:hAnsi="宋体" w:eastAsia="宋体" w:cs="宋体"/>
          <w:color w:val="auto"/>
          <w:sz w:val="24"/>
          <w:highlight w:val="none"/>
        </w:rPr>
        <w:t>。</w:t>
      </w:r>
    </w:p>
    <w:p w14:paraId="2500CC5A">
      <w:pPr>
        <w:keepNext w:val="0"/>
        <w:keepLines w:val="0"/>
        <w:pageBreakBefore w:val="0"/>
        <w:widowControl/>
        <w:spacing w:line="360" w:lineRule="auto"/>
        <w:ind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本项目采用远程“不见面”交易方式，无需到现场提交，请</w:t>
      </w:r>
      <w:r>
        <w:rPr>
          <w:rFonts w:hint="eastAsia" w:ascii="宋体" w:hAnsi="宋体" w:eastAsia="宋体" w:cs="宋体"/>
          <w:color w:val="auto"/>
          <w:sz w:val="24"/>
          <w:highlight w:val="none"/>
          <w:lang w:val="en-US" w:eastAsia="zh-CN"/>
        </w:rPr>
        <w:t>投标</w:t>
      </w:r>
      <w:r>
        <w:rPr>
          <w:rFonts w:hint="eastAsia" w:ascii="宋体" w:hAnsi="宋体" w:eastAsia="宋体" w:cs="宋体"/>
          <w:color w:val="auto"/>
          <w:sz w:val="24"/>
          <w:highlight w:val="none"/>
        </w:rPr>
        <w:t>供应商在提交时间截止前提前登入“苏采云”，通过系统在线提交电子</w:t>
      </w:r>
      <w:r>
        <w:rPr>
          <w:rFonts w:hint="eastAsia" w:ascii="宋体" w:hAnsi="宋体" w:eastAsia="宋体" w:cs="宋体"/>
          <w:color w:val="auto"/>
          <w:sz w:val="24"/>
          <w:highlight w:val="none"/>
          <w:lang w:val="en-US" w:eastAsia="zh-CN"/>
        </w:rPr>
        <w:t>投标</w:t>
      </w:r>
      <w:r>
        <w:rPr>
          <w:rFonts w:hint="eastAsia" w:ascii="宋体" w:hAnsi="宋体" w:eastAsia="宋体" w:cs="宋体"/>
          <w:color w:val="auto"/>
          <w:sz w:val="24"/>
          <w:highlight w:val="none"/>
        </w:rPr>
        <w:t>文件。</w:t>
      </w:r>
    </w:p>
    <w:p w14:paraId="0EE3AD90">
      <w:pPr>
        <w:keepNext w:val="0"/>
        <w:keepLines w:val="0"/>
        <w:pageBreakBefore w:val="0"/>
        <w:widowControl/>
        <w:spacing w:line="360" w:lineRule="auto"/>
        <w:ind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.有关本次</w:t>
      </w:r>
      <w:r>
        <w:rPr>
          <w:rFonts w:hint="eastAsia" w:ascii="宋体" w:hAnsi="宋体" w:eastAsia="宋体" w:cs="宋体"/>
          <w:color w:val="auto"/>
          <w:sz w:val="24"/>
          <w:highlight w:val="none"/>
          <w:lang w:val="en-US" w:eastAsia="zh-CN"/>
        </w:rPr>
        <w:t>招标</w:t>
      </w:r>
      <w:r>
        <w:rPr>
          <w:rFonts w:hint="eastAsia" w:ascii="宋体" w:hAnsi="宋体" w:eastAsia="宋体" w:cs="宋体"/>
          <w:color w:val="auto"/>
          <w:sz w:val="24"/>
          <w:highlight w:val="none"/>
        </w:rPr>
        <w:t>的事项若存在变动或修改，敬请及时关注“江苏政府采购网”、“常州市政府采购网”发布的更正公告。</w:t>
      </w:r>
    </w:p>
    <w:p w14:paraId="54B36DA2">
      <w:pPr>
        <w:keepNext w:val="0"/>
        <w:keepLines w:val="0"/>
        <w:pageBreakBefore w:val="0"/>
        <w:widowControl/>
        <w:spacing w:line="360" w:lineRule="auto"/>
        <w:ind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.本</w:t>
      </w:r>
      <w:r>
        <w:rPr>
          <w:rFonts w:hint="eastAsia" w:ascii="宋体" w:hAnsi="宋体" w:eastAsia="宋体" w:cs="宋体"/>
          <w:color w:val="auto"/>
          <w:sz w:val="24"/>
          <w:highlight w:val="none"/>
          <w:lang w:val="en-US" w:eastAsia="zh-CN"/>
        </w:rPr>
        <w:t>项目</w:t>
      </w:r>
      <w:r>
        <w:rPr>
          <w:rFonts w:hint="eastAsia" w:ascii="宋体" w:hAnsi="宋体" w:eastAsia="宋体" w:cs="宋体"/>
          <w:color w:val="auto"/>
          <w:sz w:val="24"/>
          <w:highlight w:val="none"/>
        </w:rPr>
        <w:t>不收取</w:t>
      </w:r>
      <w:r>
        <w:rPr>
          <w:rFonts w:hint="eastAsia" w:ascii="宋体" w:hAnsi="宋体" w:eastAsia="宋体" w:cs="宋体"/>
          <w:color w:val="auto"/>
          <w:sz w:val="24"/>
          <w:highlight w:val="none"/>
          <w:lang w:val="en-US" w:eastAsia="zh-CN"/>
        </w:rPr>
        <w:t>投标</w:t>
      </w:r>
      <w:r>
        <w:rPr>
          <w:rFonts w:hint="eastAsia" w:ascii="宋体" w:hAnsi="宋体" w:eastAsia="宋体" w:cs="宋体"/>
          <w:color w:val="auto"/>
          <w:sz w:val="24"/>
          <w:highlight w:val="none"/>
        </w:rPr>
        <w:t>保证金。</w:t>
      </w:r>
    </w:p>
    <w:p w14:paraId="59E3DE47">
      <w:pPr>
        <w:keepNext w:val="0"/>
        <w:keepLines w:val="0"/>
        <w:pageBreakBefore w:val="0"/>
        <w:widowControl/>
        <w:spacing w:line="360" w:lineRule="auto"/>
        <w:ind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.注意事项</w:t>
      </w:r>
    </w:p>
    <w:p w14:paraId="3FE96147">
      <w:pPr>
        <w:keepNext w:val="0"/>
        <w:keepLines w:val="0"/>
        <w:pageBreakBefore w:val="0"/>
        <w:widowControl/>
        <w:spacing w:line="360" w:lineRule="auto"/>
        <w:ind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bidi="ar"/>
        </w:rPr>
        <w:t>投标</w:t>
      </w: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sz w:val="24"/>
          <w:highlight w:val="none"/>
        </w:rPr>
        <w:t>在</w:t>
      </w:r>
      <w:r>
        <w:rPr>
          <w:rFonts w:hint="eastAsia" w:ascii="宋体" w:hAnsi="宋体" w:eastAsia="宋体" w:cs="宋体"/>
          <w:color w:val="auto"/>
          <w:sz w:val="24"/>
          <w:highlight w:val="none"/>
          <w:lang w:val="en-US" w:eastAsia="zh-CN"/>
        </w:rPr>
        <w:t>开标</w:t>
      </w:r>
      <w:r>
        <w:rPr>
          <w:rFonts w:hint="eastAsia" w:ascii="宋体" w:hAnsi="宋体" w:eastAsia="宋体" w:cs="宋体"/>
          <w:color w:val="auto"/>
          <w:sz w:val="24"/>
          <w:highlight w:val="none"/>
        </w:rPr>
        <w:t>前应当使用“验证CA”功能验证本地计算机的控件环境是否正常（电脑需配备摄像头、音响和麦克风，用于保障不见面交易能够完成相关视频对话），并且在开标、评审过程中不可随意更换计算机，必须使用验证成功的计算机进行操作，否则造成相应后果由</w:t>
      </w:r>
      <w:r>
        <w:rPr>
          <w:rFonts w:hint="eastAsia" w:ascii="宋体" w:hAnsi="宋体" w:eastAsia="宋体" w:cs="宋体"/>
          <w:color w:val="auto"/>
          <w:sz w:val="24"/>
          <w:highlight w:val="none"/>
          <w:lang w:val="en-US" w:eastAsia="zh-CN" w:bidi="ar"/>
        </w:rPr>
        <w:t>投标</w:t>
      </w: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sz w:val="24"/>
          <w:highlight w:val="none"/>
        </w:rPr>
        <w:t>自行承担。</w:t>
      </w:r>
    </w:p>
    <w:p w14:paraId="20517327">
      <w:pPr>
        <w:keepNext w:val="0"/>
        <w:keepLines w:val="0"/>
        <w:pageBreakBefore w:val="0"/>
        <w:widowControl/>
        <w:numPr>
          <w:ilvl w:val="0"/>
          <w:numId w:val="0"/>
        </w:numPr>
        <w:spacing w:line="360" w:lineRule="auto"/>
        <w:ind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lang w:val="en-US" w:eastAsia="zh-CN" w:bidi="ar"/>
        </w:rPr>
        <w:t>投标</w:t>
      </w:r>
      <w:r>
        <w:rPr>
          <w:rFonts w:hint="eastAsia" w:ascii="宋体" w:hAnsi="宋体" w:eastAsia="宋体" w:cs="宋体"/>
          <w:color w:val="auto"/>
          <w:sz w:val="24"/>
          <w:highlight w:val="none"/>
          <w:lang w:val="en-US" w:eastAsia="zh-CN"/>
        </w:rPr>
        <w:t>供应商可以在“江苏政府采购网”或者“常州市政府采购网”自行免费下载采购文件，但本项目通过“苏采云”系统采用电子化不见面交易的模式，</w:t>
      </w:r>
      <w:r>
        <w:rPr>
          <w:rFonts w:hint="eastAsia" w:ascii="宋体" w:hAnsi="宋体" w:eastAsia="宋体" w:cs="宋体"/>
          <w:color w:val="auto"/>
          <w:sz w:val="24"/>
          <w:highlight w:val="none"/>
          <w:lang w:val="en-US" w:eastAsia="zh-CN" w:bidi="ar"/>
        </w:rPr>
        <w:t>投标</w:t>
      </w:r>
      <w:r>
        <w:rPr>
          <w:rFonts w:hint="eastAsia" w:ascii="宋体" w:hAnsi="宋体" w:eastAsia="宋体" w:cs="宋体"/>
          <w:color w:val="auto"/>
          <w:sz w:val="24"/>
          <w:highlight w:val="none"/>
          <w:lang w:val="en-US" w:eastAsia="zh-CN"/>
        </w:rPr>
        <w:t>供应商通过“江苏政府采购网”或“常州市政府采购网”下载采购文件后，还必须登录“苏采云”系统按照获取采购文件方式要求进行登记、参与及下载电子采购文件方可通过系统进行投标文件的编制和提交。</w:t>
      </w:r>
    </w:p>
    <w:p w14:paraId="632E0AA8">
      <w:pPr>
        <w:keepNext w:val="0"/>
        <w:keepLines w:val="0"/>
        <w:pageBreakBefore w:val="0"/>
        <w:widowControl/>
        <w:spacing w:line="360" w:lineRule="auto"/>
        <w:ind w:firstLine="480"/>
        <w:jc w:val="left"/>
        <w:outlineLvl w:val="9"/>
        <w:rPr>
          <w:rFonts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lang w:val="en-US" w:eastAsia="zh-CN" w:bidi="ar"/>
        </w:rPr>
        <w:t>投标</w:t>
      </w:r>
      <w:r>
        <w:rPr>
          <w:rFonts w:hint="eastAsia" w:ascii="宋体" w:hAnsi="宋体" w:eastAsia="宋体" w:cs="宋体"/>
          <w:color w:val="auto"/>
          <w:sz w:val="24"/>
          <w:highlight w:val="none"/>
          <w:lang w:val="en-US" w:eastAsia="zh-CN"/>
        </w:rPr>
        <w:t>供应商在“苏采云”系统进行登记、参与及下载电子采购文件，选择“我要参与”点提交的日期视同为依法获取采购文件日期。报名成功后须打印、保留“投标供应商确认函”，质疑时“投标供应商确认函”与质疑函一并提交；未依照招标公告要求实行网上报名的</w:t>
      </w:r>
      <w:r>
        <w:rPr>
          <w:rFonts w:hint="eastAsia" w:ascii="宋体" w:hAnsi="宋体" w:eastAsia="宋体" w:cs="宋体"/>
          <w:color w:val="auto"/>
          <w:sz w:val="24"/>
          <w:highlight w:val="none"/>
          <w:lang w:val="en-US" w:eastAsia="zh-CN" w:bidi="ar"/>
        </w:rPr>
        <w:t>投标</w:t>
      </w:r>
      <w:r>
        <w:rPr>
          <w:rFonts w:hint="eastAsia" w:ascii="宋体" w:hAnsi="宋体" w:eastAsia="宋体" w:cs="宋体"/>
          <w:color w:val="auto"/>
          <w:sz w:val="24"/>
          <w:highlight w:val="none"/>
          <w:lang w:val="en-US" w:eastAsia="zh-CN"/>
        </w:rPr>
        <w:t>供应商，视为未参与该项政府采购活动，不具备对该政府采购项目提出质疑的法定权利，但因</w:t>
      </w:r>
      <w:r>
        <w:rPr>
          <w:rFonts w:hint="eastAsia" w:ascii="宋体" w:hAnsi="宋体" w:eastAsia="宋体" w:cs="宋体"/>
          <w:color w:val="auto"/>
          <w:sz w:val="24"/>
          <w:highlight w:val="none"/>
          <w:lang w:val="en-US" w:eastAsia="zh-CN" w:bidi="ar"/>
        </w:rPr>
        <w:t>投标</w:t>
      </w:r>
      <w:r>
        <w:rPr>
          <w:rFonts w:hint="eastAsia" w:ascii="宋体" w:hAnsi="宋体" w:eastAsia="宋体" w:cs="宋体"/>
          <w:color w:val="auto"/>
          <w:sz w:val="24"/>
          <w:highlight w:val="none"/>
          <w:lang w:val="en-US" w:eastAsia="zh-CN"/>
        </w:rPr>
        <w:t>供应商资格条件或报名时间设定不符合有关法律法规规定等原因使</w:t>
      </w:r>
      <w:r>
        <w:rPr>
          <w:rFonts w:hint="eastAsia" w:ascii="宋体" w:hAnsi="宋体" w:eastAsia="宋体" w:cs="宋体"/>
          <w:color w:val="auto"/>
          <w:sz w:val="24"/>
          <w:highlight w:val="none"/>
          <w:lang w:val="en-US" w:eastAsia="zh-CN" w:bidi="ar"/>
        </w:rPr>
        <w:t>投标</w:t>
      </w:r>
      <w:r>
        <w:rPr>
          <w:rFonts w:hint="eastAsia" w:ascii="宋体" w:hAnsi="宋体" w:eastAsia="宋体" w:cs="宋体"/>
          <w:color w:val="auto"/>
          <w:sz w:val="24"/>
          <w:highlight w:val="none"/>
          <w:lang w:val="en-US" w:eastAsia="zh-CN"/>
        </w:rPr>
        <w:t>供应商权益受损的除外。</w:t>
      </w:r>
    </w:p>
    <w:p w14:paraId="5F1A423F">
      <w:pPr>
        <w:keepNext w:val="0"/>
        <w:keepLines w:val="0"/>
        <w:pageBreakBefore w:val="0"/>
        <w:widowControl/>
        <w:spacing w:line="360" w:lineRule="auto"/>
        <w:ind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10.如潜在</w:t>
      </w:r>
      <w:r>
        <w:rPr>
          <w:rFonts w:hint="eastAsia" w:ascii="宋体" w:hAnsi="宋体" w:eastAsia="宋体" w:cs="宋体"/>
          <w:color w:val="auto"/>
          <w:sz w:val="24"/>
          <w:highlight w:val="none"/>
          <w:lang w:val="en-US" w:eastAsia="zh-CN" w:bidi="ar"/>
        </w:rPr>
        <w:t>投标</w:t>
      </w:r>
      <w:r>
        <w:rPr>
          <w:rFonts w:hint="eastAsia" w:ascii="宋体" w:hAnsi="宋体" w:eastAsia="宋体" w:cs="宋体"/>
          <w:color w:val="auto"/>
          <w:sz w:val="24"/>
          <w:highlight w:val="none"/>
          <w:lang w:val="en-US" w:eastAsia="zh-CN"/>
        </w:rPr>
        <w:t>供应商未按上述要求操作，将自行承担所产生的风险。</w:t>
      </w:r>
    </w:p>
    <w:p w14:paraId="12391C78">
      <w:pPr>
        <w:keepNext w:val="0"/>
        <w:keepLines w:val="0"/>
        <w:pageBreakBefore w:val="0"/>
        <w:widowControl/>
        <w:spacing w:line="360" w:lineRule="auto"/>
        <w:ind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11</w:t>
      </w:r>
      <w:r>
        <w:rPr>
          <w:rFonts w:hint="eastAsia" w:ascii="宋体" w:hAnsi="宋体" w:eastAsia="宋体" w:cs="宋体"/>
          <w:color w:val="auto"/>
          <w:sz w:val="24"/>
          <w:highlight w:val="none"/>
        </w:rPr>
        <w:t>.关于常州市中小企业政府采购信用融资：</w:t>
      </w:r>
    </w:p>
    <w:p w14:paraId="1CBA87C9">
      <w:pPr>
        <w:spacing w:line="360" w:lineRule="auto"/>
        <w:ind w:firstLine="48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18B65B8F">
      <w:pPr>
        <w:spacing w:line="360" w:lineRule="auto"/>
        <w:ind w:firstLine="48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.关于深入开展常州市政府采购线上合同信用融资：</w:t>
      </w:r>
    </w:p>
    <w:p w14:paraId="6D4E5F28">
      <w:pPr>
        <w:spacing w:line="360" w:lineRule="auto"/>
        <w:ind w:firstLine="480"/>
        <w:outlineLvl w:val="9"/>
        <w:rPr>
          <w:rFonts w:hint="eastAsia" w:ascii="Times New Roman" w:hAnsi="Times New Roman" w:eastAsia="宋体" w:cs="Times New Roman"/>
          <w:color w:val="auto"/>
          <w:sz w:val="24"/>
          <w:highlight w:val="none"/>
        </w:rPr>
      </w:pPr>
      <w:r>
        <w:rPr>
          <w:rFonts w:hint="eastAsia" w:ascii="宋体" w:hAnsi="宋体" w:eastAsia="宋体" w:cs="宋体"/>
          <w:color w:val="auto"/>
          <w:sz w:val="24"/>
          <w:highlight w:val="none"/>
        </w:rPr>
        <w:t>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深入开展我市政府采购线上合同信用融资工作，线上“政采贷”业务流程及要求详见该文件相关内容或者常州市政府采购网。</w:t>
      </w:r>
    </w:p>
    <w:p w14:paraId="3024D4B6">
      <w:pPr>
        <w:keepNext w:val="0"/>
        <w:keepLines w:val="0"/>
        <w:pageBreakBefore w:val="0"/>
        <w:widowControl w:val="0"/>
        <w:spacing w:line="360" w:lineRule="auto"/>
        <w:outlineLvl w:val="9"/>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七、对本次招标提出询问，请按以下方式联系。</w:t>
      </w:r>
      <w:bookmarkEnd w:id="26"/>
      <w:bookmarkEnd w:id="27"/>
      <w:bookmarkEnd w:id="28"/>
      <w:bookmarkEnd w:id="29"/>
    </w:p>
    <w:p w14:paraId="3A501109">
      <w:pPr>
        <w:keepNext w:val="0"/>
        <w:keepLines w:val="0"/>
        <w:pageBreakBefore w:val="0"/>
        <w:widowControl/>
        <w:spacing w:line="360" w:lineRule="auto"/>
        <w:ind w:firstLine="482"/>
        <w:jc w:val="left"/>
        <w:outlineLvl w:val="9"/>
        <w:rPr>
          <w:rFonts w:hint="eastAsia" w:ascii="宋体" w:hAnsi="宋体" w:eastAsia="宋体" w:cs="宋体"/>
          <w:b/>
          <w:bCs/>
          <w:color w:val="auto"/>
          <w:sz w:val="24"/>
          <w:highlight w:val="none"/>
          <w:lang w:val="zh-TW" w:bidi="ar"/>
        </w:rPr>
      </w:pPr>
      <w:bookmarkStart w:id="30" w:name="_Toc353873938"/>
      <w:bookmarkStart w:id="31" w:name="_Toc127161488"/>
      <w:bookmarkStart w:id="32" w:name="_Toc305158854"/>
      <w:bookmarkStart w:id="33" w:name="_Toc99301420"/>
      <w:bookmarkStart w:id="34" w:name="_Toc512937850"/>
      <w:bookmarkStart w:id="35" w:name="_Toc265228423"/>
      <w:bookmarkStart w:id="36" w:name="_Toc150774783"/>
      <w:bookmarkStart w:id="37" w:name="_Toc226965856"/>
      <w:bookmarkStart w:id="38" w:name="_Toc264969275"/>
      <w:bookmarkStart w:id="39" w:name="_Toc305158928"/>
      <w:bookmarkStart w:id="40" w:name="_Toc127151777"/>
      <w:bookmarkStart w:id="41" w:name="_Toc195842950"/>
      <w:bookmarkStart w:id="42" w:name="_Toc353825548"/>
      <w:r>
        <w:rPr>
          <w:rFonts w:hint="eastAsia" w:ascii="宋体" w:hAnsi="宋体" w:eastAsia="宋体" w:cs="宋体"/>
          <w:b/>
          <w:bCs/>
          <w:color w:val="auto"/>
          <w:sz w:val="24"/>
          <w:highlight w:val="none"/>
          <w:lang w:val="zh-TW" w:bidi="ar"/>
        </w:rPr>
        <w:t>1.采购人信息</w:t>
      </w:r>
    </w:p>
    <w:p w14:paraId="3E5F767F">
      <w:pPr>
        <w:keepNext w:val="0"/>
        <w:keepLines w:val="0"/>
        <w:pageBreakBefore w:val="0"/>
        <w:widowControl/>
        <w:spacing w:line="360" w:lineRule="auto"/>
        <w:ind w:firstLine="480"/>
        <w:jc w:val="left"/>
        <w:outlineLvl w:val="9"/>
        <w:rPr>
          <w:rFonts w:hint="eastAsia" w:ascii="宋体" w:hAnsi="宋体" w:eastAsia="宋体" w:cs="宋体"/>
          <w:color w:val="auto"/>
          <w:sz w:val="24"/>
          <w:highlight w:val="none"/>
          <w:lang w:val="zh-TW" w:bidi="ar"/>
        </w:rPr>
      </w:pPr>
      <w:r>
        <w:rPr>
          <w:rFonts w:hint="eastAsia" w:ascii="宋体" w:hAnsi="宋体" w:eastAsia="宋体" w:cs="宋体"/>
          <w:color w:val="auto"/>
          <w:sz w:val="24"/>
          <w:highlight w:val="none"/>
          <w:lang w:val="zh-TW" w:bidi="ar"/>
        </w:rPr>
        <w:t>名    称：</w:t>
      </w:r>
      <w:r>
        <w:rPr>
          <w:rFonts w:hint="eastAsia" w:ascii="宋体" w:hAnsi="宋体" w:eastAsia="宋体" w:cs="宋体"/>
          <w:color w:val="auto"/>
          <w:sz w:val="24"/>
          <w:highlight w:val="none"/>
          <w:u w:val="single"/>
          <w:lang w:val="en-US" w:eastAsia="zh-CN" w:bidi="ar"/>
        </w:rPr>
        <w:t>江苏常州滨江经济开发区管理委员会</w:t>
      </w:r>
    </w:p>
    <w:p w14:paraId="22A9714D">
      <w:pPr>
        <w:keepNext w:val="0"/>
        <w:keepLines w:val="0"/>
        <w:pageBreakBefore w:val="0"/>
        <w:widowControl/>
        <w:spacing w:line="360" w:lineRule="auto"/>
        <w:ind w:firstLine="480"/>
        <w:jc w:val="left"/>
        <w:outlineLvl w:val="9"/>
        <w:rPr>
          <w:rFonts w:hint="eastAsia" w:ascii="宋体" w:hAnsi="宋体" w:eastAsia="宋体" w:cs="宋体"/>
          <w:color w:val="auto"/>
          <w:sz w:val="24"/>
          <w:highlight w:val="none"/>
          <w:u w:val="single"/>
          <w:lang w:val="zh-TW" w:bidi="ar"/>
        </w:rPr>
      </w:pPr>
      <w:r>
        <w:rPr>
          <w:rFonts w:hint="eastAsia" w:ascii="宋体" w:hAnsi="宋体" w:eastAsia="宋体" w:cs="宋体"/>
          <w:color w:val="auto"/>
          <w:sz w:val="24"/>
          <w:highlight w:val="none"/>
          <w:lang w:val="zh-TW" w:bidi="ar"/>
        </w:rPr>
        <w:t>地    址：</w:t>
      </w:r>
      <w:r>
        <w:rPr>
          <w:rFonts w:hint="eastAsia" w:ascii="宋体" w:hAnsi="宋体" w:cs="宋体"/>
          <w:color w:val="auto"/>
          <w:sz w:val="24"/>
          <w:highlight w:val="none"/>
          <w:u w:val="single"/>
          <w:lang w:bidi="ar"/>
        </w:rPr>
        <w:t>常州市新北区东海路202号</w:t>
      </w:r>
    </w:p>
    <w:p w14:paraId="413FACCD">
      <w:pPr>
        <w:keepNext w:val="0"/>
        <w:keepLines w:val="0"/>
        <w:pageBreakBefore w:val="0"/>
        <w:widowControl/>
        <w:spacing w:line="360" w:lineRule="auto"/>
        <w:ind w:firstLine="480"/>
        <w:jc w:val="left"/>
        <w:outlineLvl w:val="9"/>
        <w:rPr>
          <w:rFonts w:hint="eastAsia" w:ascii="宋体" w:hAnsi="宋体" w:eastAsia="宋体" w:cs="宋体"/>
          <w:color w:val="auto"/>
          <w:sz w:val="24"/>
          <w:highlight w:val="none"/>
          <w:u w:val="single"/>
          <w:lang w:val="en-US" w:eastAsia="zh-CN" w:bidi="ar"/>
        </w:rPr>
      </w:pPr>
      <w:r>
        <w:rPr>
          <w:rFonts w:hint="eastAsia" w:ascii="宋体" w:hAnsi="宋体" w:eastAsia="宋体" w:cs="宋体"/>
          <w:color w:val="auto"/>
          <w:sz w:val="24"/>
          <w:highlight w:val="none"/>
          <w:lang w:val="zh-TW" w:bidi="ar"/>
        </w:rPr>
        <w:t>联系方式：</w:t>
      </w:r>
      <w:r>
        <w:rPr>
          <w:rFonts w:hint="eastAsia" w:ascii="宋体" w:hAnsi="宋体" w:cs="宋体"/>
          <w:color w:val="auto"/>
          <w:sz w:val="24"/>
          <w:highlight w:val="none"/>
          <w:u w:val="single"/>
          <w:lang w:val="en-US" w:eastAsia="zh-CN" w:bidi="ar"/>
        </w:rPr>
        <w:t>万先生、0519-81591056</w:t>
      </w:r>
      <w:r>
        <w:rPr>
          <w:rFonts w:hint="eastAsia" w:ascii="宋体" w:hAnsi="宋体" w:eastAsia="宋体" w:cs="宋体"/>
          <w:color w:val="auto"/>
          <w:sz w:val="24"/>
          <w:highlight w:val="none"/>
          <w:u w:val="single"/>
          <w:lang w:val="en-US" w:eastAsia="zh-CN" w:bidi="ar"/>
        </w:rPr>
        <w:t xml:space="preserve">  </w:t>
      </w:r>
    </w:p>
    <w:p w14:paraId="65AD8EA7">
      <w:pPr>
        <w:keepNext w:val="0"/>
        <w:keepLines w:val="0"/>
        <w:pageBreakBefore w:val="0"/>
        <w:widowControl/>
        <w:spacing w:line="360" w:lineRule="auto"/>
        <w:ind w:firstLine="482"/>
        <w:jc w:val="left"/>
        <w:outlineLvl w:val="9"/>
        <w:rPr>
          <w:rFonts w:hint="eastAsia" w:ascii="宋体" w:hAnsi="宋体" w:eastAsia="宋体" w:cs="宋体"/>
          <w:b/>
          <w:bCs/>
          <w:color w:val="auto"/>
          <w:sz w:val="24"/>
          <w:highlight w:val="none"/>
          <w:lang w:val="zh-TW" w:bidi="ar"/>
        </w:rPr>
      </w:pPr>
      <w:r>
        <w:rPr>
          <w:rFonts w:hint="eastAsia" w:ascii="宋体" w:hAnsi="宋体" w:eastAsia="宋体" w:cs="宋体"/>
          <w:b/>
          <w:bCs/>
          <w:color w:val="auto"/>
          <w:sz w:val="24"/>
          <w:highlight w:val="none"/>
          <w:lang w:val="zh-TW" w:bidi="ar"/>
        </w:rPr>
        <w:t>2.采购代理机构信息</w:t>
      </w:r>
    </w:p>
    <w:p w14:paraId="245994F8">
      <w:pPr>
        <w:keepNext w:val="0"/>
        <w:keepLines w:val="0"/>
        <w:pageBreakBefore w:val="0"/>
        <w:widowControl/>
        <w:spacing w:line="360" w:lineRule="auto"/>
        <w:ind w:firstLine="480"/>
        <w:jc w:val="left"/>
        <w:outlineLvl w:val="9"/>
        <w:rPr>
          <w:rFonts w:hint="eastAsia" w:ascii="宋体" w:hAnsi="宋体" w:eastAsia="宋体" w:cs="宋体"/>
          <w:color w:val="auto"/>
          <w:sz w:val="24"/>
          <w:highlight w:val="none"/>
          <w:lang w:val="zh-TW" w:bidi="ar"/>
        </w:rPr>
      </w:pPr>
      <w:r>
        <w:rPr>
          <w:rFonts w:hint="eastAsia" w:ascii="宋体" w:hAnsi="宋体" w:eastAsia="宋体" w:cs="宋体"/>
          <w:color w:val="auto"/>
          <w:sz w:val="24"/>
          <w:highlight w:val="none"/>
          <w:lang w:val="zh-TW" w:bidi="ar"/>
        </w:rPr>
        <w:t>名    称：</w:t>
      </w:r>
      <w:r>
        <w:rPr>
          <w:rFonts w:hint="eastAsia" w:ascii="宋体" w:hAnsi="宋体" w:cs="宋体"/>
          <w:color w:val="auto"/>
          <w:sz w:val="24"/>
          <w:highlight w:val="none"/>
          <w:u w:val="single"/>
          <w:lang w:val="zh-TW" w:eastAsia="zh-CN" w:bidi="ar"/>
        </w:rPr>
        <w:t>江苏常信招标代理有限公司</w:t>
      </w:r>
    </w:p>
    <w:p w14:paraId="193B8260">
      <w:pPr>
        <w:keepNext w:val="0"/>
        <w:keepLines w:val="0"/>
        <w:pageBreakBefore w:val="0"/>
        <w:widowControl/>
        <w:spacing w:line="360" w:lineRule="auto"/>
        <w:ind w:firstLine="480"/>
        <w:jc w:val="left"/>
        <w:outlineLvl w:val="9"/>
        <w:rPr>
          <w:rFonts w:hint="eastAsia" w:ascii="宋体" w:hAnsi="宋体" w:eastAsia="宋体" w:cs="宋体"/>
          <w:color w:val="auto"/>
          <w:sz w:val="24"/>
          <w:highlight w:val="none"/>
          <w:lang w:val="zh-TW" w:bidi="ar"/>
        </w:rPr>
      </w:pPr>
      <w:r>
        <w:rPr>
          <w:rFonts w:hint="eastAsia" w:ascii="宋体" w:hAnsi="宋体" w:eastAsia="宋体" w:cs="宋体"/>
          <w:color w:val="auto"/>
          <w:sz w:val="24"/>
          <w:highlight w:val="none"/>
          <w:lang w:val="zh-TW" w:bidi="ar"/>
        </w:rPr>
        <w:t>地    址：</w:t>
      </w:r>
      <w:r>
        <w:rPr>
          <w:rFonts w:hint="eastAsia" w:ascii="宋体" w:hAnsi="宋体" w:cs="宋体"/>
          <w:color w:val="auto"/>
          <w:sz w:val="24"/>
          <w:highlight w:val="none"/>
          <w:u w:val="single"/>
          <w:lang w:val="zh-TW" w:eastAsia="zh-CN" w:bidi="ar"/>
        </w:rPr>
        <w:t>常州市新北区汉江西路118号1-2号楼B1层</w:t>
      </w:r>
    </w:p>
    <w:p w14:paraId="53DC2266">
      <w:pPr>
        <w:keepNext w:val="0"/>
        <w:keepLines w:val="0"/>
        <w:pageBreakBefore w:val="0"/>
        <w:widowControl/>
        <w:spacing w:line="360" w:lineRule="auto"/>
        <w:ind w:firstLine="480"/>
        <w:jc w:val="left"/>
        <w:outlineLvl w:val="9"/>
        <w:rPr>
          <w:rFonts w:hint="eastAsia" w:ascii="宋体" w:hAnsi="宋体" w:eastAsia="宋体" w:cs="宋体"/>
          <w:color w:val="auto"/>
          <w:sz w:val="24"/>
          <w:highlight w:val="none"/>
          <w:lang w:val="zh-TW" w:bidi="ar"/>
        </w:rPr>
      </w:pPr>
      <w:r>
        <w:rPr>
          <w:rFonts w:hint="eastAsia" w:ascii="宋体" w:hAnsi="宋体" w:eastAsia="宋体" w:cs="宋体"/>
          <w:color w:val="auto"/>
          <w:sz w:val="24"/>
          <w:highlight w:val="none"/>
          <w:lang w:val="zh-TW" w:bidi="ar"/>
        </w:rPr>
        <w:t>联系方式：</w:t>
      </w:r>
      <w:r>
        <w:rPr>
          <w:rFonts w:hint="eastAsia" w:ascii="宋体" w:hAnsi="宋体" w:eastAsia="宋体" w:cs="宋体"/>
          <w:color w:val="auto"/>
          <w:sz w:val="24"/>
          <w:highlight w:val="none"/>
          <w:u w:val="single"/>
          <w:lang w:val="zh-TW" w:bidi="ar"/>
        </w:rPr>
        <w:t>0519-</w:t>
      </w:r>
      <w:r>
        <w:rPr>
          <w:rFonts w:hint="eastAsia" w:ascii="宋体" w:hAnsi="宋体" w:cs="宋体"/>
          <w:color w:val="auto"/>
          <w:sz w:val="24"/>
          <w:highlight w:val="none"/>
          <w:u w:val="single"/>
          <w:lang w:val="zh-TW" w:eastAsia="zh-CN" w:bidi="ar"/>
        </w:rPr>
        <w:t>68979196</w:t>
      </w:r>
    </w:p>
    <w:p w14:paraId="72CE4155">
      <w:pPr>
        <w:keepNext w:val="0"/>
        <w:keepLines w:val="0"/>
        <w:pageBreakBefore w:val="0"/>
        <w:widowControl/>
        <w:spacing w:line="360" w:lineRule="auto"/>
        <w:ind w:firstLine="482"/>
        <w:jc w:val="left"/>
        <w:outlineLvl w:val="9"/>
        <w:rPr>
          <w:rFonts w:hint="eastAsia" w:ascii="宋体" w:hAnsi="宋体" w:eastAsia="宋体" w:cs="宋体"/>
          <w:b/>
          <w:bCs/>
          <w:color w:val="auto"/>
          <w:sz w:val="24"/>
          <w:highlight w:val="none"/>
          <w:lang w:val="zh-TW" w:bidi="ar"/>
        </w:rPr>
      </w:pPr>
      <w:r>
        <w:rPr>
          <w:rFonts w:hint="eastAsia" w:ascii="宋体" w:hAnsi="宋体" w:eastAsia="宋体" w:cs="宋体"/>
          <w:b/>
          <w:bCs/>
          <w:color w:val="auto"/>
          <w:sz w:val="24"/>
          <w:highlight w:val="none"/>
          <w:lang w:val="zh-TW" w:bidi="ar"/>
        </w:rPr>
        <w:t>3.项目联系方式</w:t>
      </w:r>
    </w:p>
    <w:p w14:paraId="791DE0DB">
      <w:pPr>
        <w:keepNext w:val="0"/>
        <w:keepLines w:val="0"/>
        <w:pageBreakBefore w:val="0"/>
        <w:widowControl/>
        <w:spacing w:line="360" w:lineRule="auto"/>
        <w:ind w:firstLine="480"/>
        <w:jc w:val="left"/>
        <w:outlineLvl w:val="9"/>
        <w:rPr>
          <w:rFonts w:hint="eastAsia" w:ascii="宋体" w:hAnsi="宋体" w:eastAsia="宋体" w:cs="宋体"/>
          <w:color w:val="auto"/>
          <w:sz w:val="24"/>
          <w:highlight w:val="none"/>
          <w:lang w:val="zh-TW" w:bidi="ar"/>
        </w:rPr>
      </w:pPr>
      <w:r>
        <w:rPr>
          <w:rFonts w:hint="eastAsia" w:ascii="宋体" w:hAnsi="宋体" w:eastAsia="宋体" w:cs="宋体"/>
          <w:color w:val="auto"/>
          <w:sz w:val="24"/>
          <w:highlight w:val="none"/>
          <w:lang w:val="zh-TW" w:bidi="ar"/>
        </w:rPr>
        <w:t>项目联系人：</w:t>
      </w:r>
      <w:r>
        <w:rPr>
          <w:rFonts w:hint="eastAsia" w:ascii="宋体" w:hAnsi="宋体" w:cs="宋体"/>
          <w:color w:val="auto"/>
          <w:sz w:val="24"/>
          <w:highlight w:val="none"/>
          <w:u w:val="single"/>
          <w:lang w:val="en-US" w:eastAsia="zh-CN" w:bidi="ar"/>
        </w:rPr>
        <w:t>尹剑峰</w:t>
      </w:r>
    </w:p>
    <w:p w14:paraId="086B2D3E">
      <w:pPr>
        <w:keepNext w:val="0"/>
        <w:keepLines w:val="0"/>
        <w:pageBreakBefore w:val="0"/>
        <w:widowControl/>
        <w:spacing w:line="360" w:lineRule="auto"/>
        <w:ind w:firstLine="480"/>
        <w:jc w:val="left"/>
        <w:outlineLvl w:val="9"/>
        <w:rPr>
          <w:rFonts w:hint="eastAsia" w:ascii="宋体" w:hAnsi="宋体" w:eastAsia="宋体" w:cs="宋体"/>
          <w:color w:val="auto"/>
          <w:sz w:val="24"/>
          <w:highlight w:val="none"/>
          <w:lang w:val="zh-TW" w:bidi="ar"/>
        </w:rPr>
      </w:pPr>
      <w:r>
        <w:rPr>
          <w:rFonts w:hint="eastAsia" w:ascii="宋体" w:hAnsi="宋体" w:eastAsia="宋体" w:cs="宋体"/>
          <w:color w:val="auto"/>
          <w:sz w:val="24"/>
          <w:highlight w:val="none"/>
          <w:lang w:val="zh-TW" w:bidi="ar"/>
        </w:rPr>
        <w:t>电      话：</w:t>
      </w:r>
      <w:r>
        <w:rPr>
          <w:rFonts w:hint="eastAsia" w:ascii="宋体" w:hAnsi="宋体" w:eastAsia="宋体" w:cs="宋体"/>
          <w:color w:val="auto"/>
          <w:sz w:val="24"/>
          <w:highlight w:val="none"/>
          <w:u w:val="single"/>
          <w:lang w:val="zh-TW" w:eastAsia="zh-CN" w:bidi="ar"/>
        </w:rPr>
        <w:t>0519-</w:t>
      </w:r>
      <w:r>
        <w:rPr>
          <w:rFonts w:hint="eastAsia" w:ascii="宋体" w:hAnsi="宋体" w:cs="宋体"/>
          <w:color w:val="auto"/>
          <w:sz w:val="24"/>
          <w:highlight w:val="none"/>
          <w:u w:val="single"/>
          <w:lang w:val="zh-TW" w:eastAsia="zh-CN" w:bidi="ar"/>
        </w:rPr>
        <w:t>68979196</w:t>
      </w:r>
    </w:p>
    <w:p w14:paraId="4154AC7D">
      <w:pPr>
        <w:keepNext w:val="0"/>
        <w:keepLines w:val="0"/>
        <w:pageBreakBefore w:val="0"/>
        <w:spacing w:line="360" w:lineRule="auto"/>
        <w:jc w:val="center"/>
        <w:outlineLvl w:val="9"/>
        <w:rPr>
          <w:rFonts w:hint="eastAsia" w:ascii="宋体" w:hAnsi="宋体" w:eastAsia="宋体" w:cs="宋体"/>
          <w:color w:val="auto"/>
          <w:sz w:val="24"/>
          <w:highlight w:val="none"/>
        </w:rPr>
        <w:sectPr>
          <w:headerReference r:id="rId4" w:type="first"/>
          <w:footerReference r:id="rId6" w:type="first"/>
          <w:headerReference r:id="rId3" w:type="default"/>
          <w:footerReference r:id="rId5" w:type="default"/>
          <w:type w:val="nextColumn"/>
          <w:pgSz w:w="11907" w:h="16840"/>
          <w:pgMar w:top="1418" w:right="1134" w:bottom="1418" w:left="1701" w:header="851" w:footer="851" w:gutter="0"/>
          <w:pgNumType w:fmt="decimal" w:start="1"/>
          <w:cols w:space="1701" w:num="1"/>
          <w:titlePg/>
          <w:docGrid w:linePitch="360" w:charSpace="0"/>
        </w:sectPr>
      </w:pPr>
      <w:r>
        <w:rPr>
          <w:rFonts w:hint="eastAsia" w:ascii="宋体" w:hAnsi="宋体" w:eastAsia="宋体" w:cs="宋体"/>
          <w:color w:val="auto"/>
          <w:sz w:val="24"/>
          <w:highlight w:val="none"/>
        </w:rPr>
        <w:br w:type="page" w:clear="all"/>
      </w:r>
    </w:p>
    <w:p w14:paraId="6804428E">
      <w:pPr>
        <w:keepNext w:val="0"/>
        <w:keepLines w:val="0"/>
        <w:pageBreakBefore w:val="0"/>
        <w:spacing w:line="360" w:lineRule="auto"/>
        <w:jc w:val="center"/>
        <w:outlineLvl w:val="0"/>
        <w:rPr>
          <w:b/>
          <w:color w:val="auto"/>
          <w:sz w:val="36"/>
          <w:szCs w:val="36"/>
          <w:highlight w:val="none"/>
        </w:rPr>
      </w:pPr>
      <w:bookmarkStart w:id="43" w:name="_Toc11085"/>
      <w:r>
        <w:rPr>
          <w:b/>
          <w:color w:val="auto"/>
          <w:sz w:val="36"/>
          <w:szCs w:val="36"/>
          <w:highlight w:val="none"/>
        </w:rPr>
        <w:t>第二章   投标人须知</w:t>
      </w:r>
      <w:bookmarkEnd w:id="30"/>
      <w:bookmarkEnd w:id="31"/>
      <w:bookmarkEnd w:id="32"/>
      <w:bookmarkEnd w:id="33"/>
      <w:bookmarkEnd w:id="34"/>
      <w:bookmarkEnd w:id="35"/>
      <w:bookmarkEnd w:id="36"/>
      <w:bookmarkEnd w:id="37"/>
      <w:bookmarkEnd w:id="38"/>
      <w:bookmarkEnd w:id="39"/>
      <w:bookmarkEnd w:id="40"/>
      <w:bookmarkEnd w:id="41"/>
      <w:bookmarkEnd w:id="42"/>
      <w:bookmarkEnd w:id="43"/>
    </w:p>
    <w:p w14:paraId="3A1BC6C3">
      <w:pPr>
        <w:keepNext w:val="0"/>
        <w:keepLines w:val="0"/>
        <w:pageBreakBefore w:val="0"/>
        <w:widowControl w:val="0"/>
        <w:spacing w:line="360" w:lineRule="auto"/>
        <w:jc w:val="center"/>
        <w:outlineLvl w:val="9"/>
        <w:rPr>
          <w:rFonts w:hint="eastAsia" w:ascii="宋体" w:hAnsi="宋体" w:eastAsia="宋体" w:cs="Times New Roman"/>
          <w:b/>
          <w:bCs/>
          <w:color w:val="auto"/>
          <w:sz w:val="28"/>
          <w:szCs w:val="28"/>
          <w:highlight w:val="none"/>
          <w:lang w:val="en-US" w:eastAsia="zh-CN"/>
        </w:rPr>
      </w:pPr>
      <w:bookmarkStart w:id="44" w:name="_Toc226337215"/>
      <w:bookmarkStart w:id="45" w:name="_Toc127151519"/>
      <w:bookmarkStart w:id="46" w:name="_Toc142311021"/>
      <w:bookmarkStart w:id="47" w:name="_Toc127161433"/>
      <w:bookmarkStart w:id="48" w:name="_Toc226965709"/>
      <w:bookmarkStart w:id="49" w:name="_Toc164608788"/>
      <w:bookmarkStart w:id="50" w:name="_Toc151193617"/>
      <w:bookmarkStart w:id="51" w:name="_Toc195842884"/>
      <w:bookmarkStart w:id="52" w:name="_Toc151193689"/>
      <w:bookmarkStart w:id="53" w:name="_Toc164608633"/>
      <w:bookmarkStart w:id="54" w:name="_Toc226309763"/>
      <w:bookmarkStart w:id="55" w:name="_Toc164229214"/>
      <w:bookmarkStart w:id="56" w:name="_Toc150774724"/>
      <w:bookmarkStart w:id="57" w:name="_Toc151190146"/>
      <w:bookmarkStart w:id="58" w:name="_Toc149720812"/>
      <w:bookmarkStart w:id="59" w:name="_Toc150509270"/>
      <w:bookmarkStart w:id="60" w:name="_Toc151193761"/>
      <w:bookmarkStart w:id="61" w:name="_Toc150774619"/>
      <w:bookmarkStart w:id="62" w:name="_Toc150480757"/>
      <w:bookmarkStart w:id="63" w:name="_Toc520356144"/>
      <w:bookmarkStart w:id="64" w:name="_Toc151193907"/>
      <w:bookmarkStart w:id="65" w:name="_Toc164351613"/>
      <w:bookmarkStart w:id="66" w:name="_Toc151193833"/>
      <w:bookmarkStart w:id="67" w:name="_Toc164229360"/>
      <w:bookmarkStart w:id="68" w:name="_Toc127151720"/>
      <w:bookmarkStart w:id="69" w:name="_Toc226965792"/>
      <w:r>
        <w:rPr>
          <w:rFonts w:hint="eastAsia" w:ascii="宋体" w:hAnsi="宋体" w:eastAsia="宋体" w:cs="Times New Roman"/>
          <w:b/>
          <w:bCs/>
          <w:color w:val="auto"/>
          <w:sz w:val="28"/>
          <w:szCs w:val="28"/>
          <w:highlight w:val="none"/>
          <w:lang w:val="en-US" w:eastAsia="zh-CN"/>
        </w:rPr>
        <w:t>投标人须知资料表</w:t>
      </w:r>
    </w:p>
    <w:p w14:paraId="44020D79">
      <w:pPr>
        <w:jc w:val="center"/>
        <w:outlineLvl w:val="9"/>
        <w:rPr>
          <w:b/>
          <w:color w:val="auto"/>
          <w:sz w:val="28"/>
          <w:szCs w:val="28"/>
          <w:highlight w:val="none"/>
        </w:rPr>
      </w:pPr>
    </w:p>
    <w:p w14:paraId="1579F11F">
      <w:pPr>
        <w:keepNext w:val="0"/>
        <w:keepLines w:val="0"/>
        <w:pageBreakBefore w:val="0"/>
        <w:widowControl/>
        <w:spacing w:line="360" w:lineRule="auto"/>
        <w:ind w:firstLine="480"/>
        <w:jc w:val="left"/>
        <w:outlineLvl w:val="9"/>
        <w:rPr>
          <w:rFonts w:hint="eastAsia" w:ascii="宋体" w:hAnsi="宋体" w:eastAsia="宋体" w:cs="宋体"/>
          <w:color w:val="auto"/>
          <w:sz w:val="24"/>
          <w:highlight w:val="none"/>
          <w:lang w:val="zh-TW" w:bidi="ar"/>
        </w:rPr>
      </w:pPr>
      <w:r>
        <w:rPr>
          <w:rFonts w:hint="eastAsia" w:ascii="宋体" w:hAnsi="宋体" w:eastAsia="宋体" w:cs="宋体"/>
          <w:color w:val="auto"/>
          <w:sz w:val="24"/>
          <w:highlight w:val="none"/>
          <w:lang w:val="zh-TW" w:bidi="ar"/>
        </w:rPr>
        <w:t>本表是对投标人须知的具体补充和修改，如有矛盾，均以本资料表为准。</w:t>
      </w:r>
    </w:p>
    <w:p w14:paraId="0800D0DF">
      <w:pPr>
        <w:keepNext w:val="0"/>
        <w:keepLines w:val="0"/>
        <w:pageBreakBefore w:val="0"/>
        <w:widowControl/>
        <w:spacing w:line="360" w:lineRule="auto"/>
        <w:ind w:firstLine="480"/>
        <w:jc w:val="left"/>
        <w:outlineLvl w:val="9"/>
        <w:rPr>
          <w:rFonts w:hint="eastAsia" w:ascii="宋体" w:hAnsi="宋体" w:eastAsia="宋体" w:cs="宋体"/>
          <w:color w:val="auto"/>
          <w:sz w:val="24"/>
          <w:highlight w:val="none"/>
          <w:lang w:val="zh-TW" w:bidi="ar"/>
        </w:rPr>
      </w:pPr>
      <w:r>
        <w:rPr>
          <w:rFonts w:hint="eastAsia" w:ascii="宋体" w:hAnsi="宋体" w:eastAsia="宋体" w:cs="宋体"/>
          <w:color w:val="auto"/>
          <w:sz w:val="24"/>
          <w:highlight w:val="none"/>
          <w:lang w:val="zh-TW" w:bidi="ar"/>
        </w:rPr>
        <w:t>标记“■”的选项意为适用于本项目，标记“□”的选项意为不适用于本项目。</w:t>
      </w:r>
    </w:p>
    <w:tbl>
      <w:tblPr>
        <w:tblStyle w:val="33"/>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701"/>
        <w:gridCol w:w="7540"/>
      </w:tblGrid>
      <w:tr w14:paraId="2010EB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blHeader/>
          <w:jc w:val="center"/>
        </w:trPr>
        <w:tc>
          <w:tcPr>
            <w:tcW w:w="988" w:type="dxa"/>
            <w:noWrap w:val="0"/>
            <w:vAlign w:val="center"/>
          </w:tcPr>
          <w:p w14:paraId="4CF2512E">
            <w:pPr>
              <w:spacing w:line="360" w:lineRule="auto"/>
              <w:jc w:val="center"/>
              <w:outlineLvl w:val="9"/>
              <w:rPr>
                <w:b/>
                <w:bCs/>
                <w:color w:val="auto"/>
                <w:sz w:val="24"/>
                <w:highlight w:val="none"/>
              </w:rPr>
            </w:pPr>
            <w:r>
              <w:rPr>
                <w:b/>
                <w:color w:val="auto"/>
                <w:sz w:val="24"/>
                <w:highlight w:val="none"/>
              </w:rPr>
              <w:t>条款号</w:t>
            </w:r>
          </w:p>
        </w:tc>
        <w:tc>
          <w:tcPr>
            <w:tcW w:w="1701" w:type="dxa"/>
            <w:noWrap w:val="0"/>
            <w:vAlign w:val="center"/>
          </w:tcPr>
          <w:p w14:paraId="2B4C4696">
            <w:pPr>
              <w:spacing w:line="360" w:lineRule="auto"/>
              <w:jc w:val="center"/>
              <w:outlineLvl w:val="9"/>
              <w:rPr>
                <w:b/>
                <w:bCs/>
                <w:color w:val="auto"/>
                <w:sz w:val="24"/>
                <w:highlight w:val="none"/>
              </w:rPr>
            </w:pPr>
            <w:r>
              <w:rPr>
                <w:b/>
                <w:bCs/>
                <w:color w:val="auto"/>
                <w:sz w:val="24"/>
                <w:highlight w:val="none"/>
              </w:rPr>
              <w:t>条目</w:t>
            </w:r>
          </w:p>
        </w:tc>
        <w:tc>
          <w:tcPr>
            <w:tcW w:w="7540" w:type="dxa"/>
            <w:noWrap w:val="0"/>
            <w:vAlign w:val="center"/>
          </w:tcPr>
          <w:p w14:paraId="4B60E0C5">
            <w:pPr>
              <w:spacing w:line="360" w:lineRule="auto"/>
              <w:jc w:val="center"/>
              <w:outlineLvl w:val="9"/>
              <w:rPr>
                <w:b/>
                <w:bCs/>
                <w:color w:val="auto"/>
                <w:sz w:val="24"/>
                <w:highlight w:val="none"/>
              </w:rPr>
            </w:pPr>
            <w:r>
              <w:rPr>
                <w:b/>
                <w:bCs/>
                <w:color w:val="auto"/>
                <w:sz w:val="24"/>
                <w:highlight w:val="none"/>
              </w:rPr>
              <w:t>内容</w:t>
            </w:r>
          </w:p>
        </w:tc>
      </w:tr>
      <w:tr w14:paraId="10685E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8" w:hRule="atLeast"/>
          <w:jc w:val="center"/>
        </w:trPr>
        <w:tc>
          <w:tcPr>
            <w:tcW w:w="988" w:type="dxa"/>
            <w:noWrap w:val="0"/>
            <w:vAlign w:val="center"/>
          </w:tcPr>
          <w:p w14:paraId="001179F2">
            <w:pPr>
              <w:pStyle w:val="227"/>
              <w:spacing w:line="360" w:lineRule="auto"/>
              <w:jc w:val="center"/>
              <w:outlineLvl w:val="9"/>
              <w:rPr>
                <w:rFonts w:ascii="Times New Roman" w:hAnsi="Times New Roman"/>
                <w:color w:val="auto"/>
                <w:sz w:val="24"/>
                <w:szCs w:val="24"/>
                <w:highlight w:val="none"/>
              </w:rPr>
            </w:pPr>
            <w:r>
              <w:rPr>
                <w:rFonts w:ascii="Times New Roman" w:hAnsi="Times New Roman"/>
                <w:color w:val="auto"/>
                <w:sz w:val="24"/>
                <w:szCs w:val="24"/>
                <w:highlight w:val="none"/>
              </w:rPr>
              <w:t>2.2</w:t>
            </w:r>
          </w:p>
        </w:tc>
        <w:tc>
          <w:tcPr>
            <w:tcW w:w="1701" w:type="dxa"/>
            <w:noWrap w:val="0"/>
            <w:vAlign w:val="center"/>
          </w:tcPr>
          <w:p w14:paraId="471CE2CE">
            <w:pPr>
              <w:spacing w:line="360" w:lineRule="auto"/>
              <w:jc w:val="center"/>
              <w:outlineLvl w:val="9"/>
              <w:rPr>
                <w:color w:val="auto"/>
                <w:sz w:val="24"/>
                <w:highlight w:val="none"/>
              </w:rPr>
            </w:pPr>
            <w:r>
              <w:rPr>
                <w:color w:val="auto"/>
                <w:sz w:val="24"/>
                <w:highlight w:val="none"/>
              </w:rPr>
              <w:t>项目属性</w:t>
            </w:r>
          </w:p>
        </w:tc>
        <w:tc>
          <w:tcPr>
            <w:tcW w:w="7540" w:type="dxa"/>
            <w:noWrap w:val="0"/>
            <w:vAlign w:val="center"/>
          </w:tcPr>
          <w:p w14:paraId="5D7CC39B">
            <w:pPr>
              <w:spacing w:line="360" w:lineRule="auto"/>
              <w:jc w:val="left"/>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项目属性：</w:t>
            </w:r>
          </w:p>
          <w:p w14:paraId="2F242B72">
            <w:pPr>
              <w:spacing w:line="360" w:lineRule="auto"/>
              <w:jc w:val="left"/>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■服务</w:t>
            </w:r>
          </w:p>
          <w:p w14:paraId="7092A98F">
            <w:pPr>
              <w:spacing w:line="360" w:lineRule="auto"/>
              <w:jc w:val="left"/>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□货物</w:t>
            </w:r>
          </w:p>
        </w:tc>
      </w:tr>
      <w:tr w14:paraId="19218B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8" w:hRule="atLeast"/>
          <w:jc w:val="center"/>
        </w:trPr>
        <w:tc>
          <w:tcPr>
            <w:tcW w:w="988" w:type="dxa"/>
            <w:vMerge w:val="restart"/>
            <w:noWrap w:val="0"/>
            <w:vAlign w:val="center"/>
          </w:tcPr>
          <w:p w14:paraId="75084102">
            <w:pPr>
              <w:pStyle w:val="227"/>
              <w:spacing w:line="360" w:lineRule="auto"/>
              <w:jc w:val="center"/>
              <w:outlineLvl w:val="9"/>
              <w:rPr>
                <w:rFonts w:ascii="Times New Roman" w:hAnsi="Times New Roman"/>
                <w:color w:val="auto"/>
                <w:sz w:val="24"/>
                <w:szCs w:val="24"/>
                <w:highlight w:val="none"/>
              </w:rPr>
            </w:pPr>
            <w:r>
              <w:rPr>
                <w:rFonts w:ascii="Times New Roman" w:hAnsi="Times New Roman"/>
                <w:color w:val="auto"/>
                <w:sz w:val="24"/>
                <w:szCs w:val="24"/>
                <w:highlight w:val="none"/>
              </w:rPr>
              <w:t>3.1</w:t>
            </w:r>
          </w:p>
        </w:tc>
        <w:tc>
          <w:tcPr>
            <w:tcW w:w="1701" w:type="dxa"/>
            <w:noWrap w:val="0"/>
            <w:vAlign w:val="center"/>
          </w:tcPr>
          <w:p w14:paraId="3BDE5943">
            <w:pPr>
              <w:spacing w:line="360" w:lineRule="auto"/>
              <w:jc w:val="center"/>
              <w:outlineLvl w:val="9"/>
              <w:rPr>
                <w:color w:val="auto"/>
                <w:sz w:val="24"/>
                <w:highlight w:val="none"/>
              </w:rPr>
            </w:pPr>
            <w:r>
              <w:rPr>
                <w:color w:val="auto"/>
                <w:sz w:val="24"/>
                <w:highlight w:val="none"/>
              </w:rPr>
              <w:t>现场考察</w:t>
            </w:r>
          </w:p>
        </w:tc>
        <w:tc>
          <w:tcPr>
            <w:tcW w:w="7540" w:type="dxa"/>
            <w:noWrap w:val="0"/>
            <w:vAlign w:val="center"/>
          </w:tcPr>
          <w:p w14:paraId="10077EC1">
            <w:pPr>
              <w:spacing w:line="360" w:lineRule="auto"/>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■不组织</w:t>
            </w:r>
          </w:p>
          <w:p w14:paraId="0B1C5323">
            <w:pPr>
              <w:spacing w:line="360" w:lineRule="auto"/>
              <w:jc w:val="left"/>
              <w:outlineLvl w:val="9"/>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□组织，考察时间：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bidi="ar"/>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bidi="ar"/>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bidi="ar"/>
              </w:rPr>
              <w:t>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bidi="ar"/>
              </w:rPr>
              <w:t>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bidi="ar"/>
              </w:rPr>
              <w:t>分</w:t>
            </w:r>
          </w:p>
          <w:p w14:paraId="201589B6">
            <w:pPr>
              <w:pStyle w:val="227"/>
              <w:spacing w:line="360" w:lineRule="auto"/>
              <w:outlineLvl w:val="9"/>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考察地点：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w:t>
            </w:r>
          </w:p>
        </w:tc>
      </w:tr>
      <w:tr w14:paraId="1C7D1C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3" w:hRule="atLeast"/>
          <w:jc w:val="center"/>
        </w:trPr>
        <w:tc>
          <w:tcPr>
            <w:tcW w:w="988" w:type="dxa"/>
            <w:vMerge w:val="continue"/>
            <w:noWrap w:val="0"/>
            <w:vAlign w:val="center"/>
          </w:tcPr>
          <w:p w14:paraId="2E18FE6D">
            <w:pPr>
              <w:pStyle w:val="227"/>
              <w:spacing w:line="360" w:lineRule="auto"/>
              <w:jc w:val="center"/>
              <w:outlineLvl w:val="9"/>
              <w:rPr>
                <w:rFonts w:ascii="Times New Roman" w:hAnsi="Times New Roman"/>
                <w:color w:val="auto"/>
                <w:sz w:val="24"/>
                <w:szCs w:val="24"/>
                <w:highlight w:val="none"/>
              </w:rPr>
            </w:pPr>
          </w:p>
        </w:tc>
        <w:tc>
          <w:tcPr>
            <w:tcW w:w="1701" w:type="dxa"/>
            <w:noWrap w:val="0"/>
            <w:vAlign w:val="center"/>
          </w:tcPr>
          <w:p w14:paraId="3F20F378">
            <w:pPr>
              <w:spacing w:line="360" w:lineRule="auto"/>
              <w:jc w:val="center"/>
              <w:outlineLvl w:val="9"/>
              <w:rPr>
                <w:color w:val="auto"/>
                <w:sz w:val="24"/>
                <w:highlight w:val="none"/>
              </w:rPr>
            </w:pPr>
            <w:r>
              <w:rPr>
                <w:color w:val="auto"/>
                <w:sz w:val="24"/>
                <w:highlight w:val="none"/>
              </w:rPr>
              <w:t>开标前答疑会</w:t>
            </w:r>
          </w:p>
        </w:tc>
        <w:tc>
          <w:tcPr>
            <w:tcW w:w="7540" w:type="dxa"/>
            <w:noWrap w:val="0"/>
            <w:vAlign w:val="center"/>
          </w:tcPr>
          <w:p w14:paraId="53CD5668">
            <w:pPr>
              <w:spacing w:line="360" w:lineRule="auto"/>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■不召开</w:t>
            </w:r>
          </w:p>
          <w:p w14:paraId="63AAA0AF">
            <w:pPr>
              <w:spacing w:line="360" w:lineRule="auto"/>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□召开，召开时间：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bidi="ar"/>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bidi="ar"/>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bidi="ar"/>
              </w:rPr>
              <w:t>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bidi="ar"/>
              </w:rPr>
              <w:t>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bidi="ar"/>
              </w:rPr>
              <w:t>分</w:t>
            </w:r>
          </w:p>
          <w:p w14:paraId="6AF50D7D">
            <w:pPr>
              <w:spacing w:line="360" w:lineRule="auto"/>
              <w:jc w:val="left"/>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召开地点：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w:t>
            </w:r>
          </w:p>
        </w:tc>
      </w:tr>
      <w:tr w14:paraId="0DD0A9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988" w:type="dxa"/>
            <w:noWrap w:val="0"/>
            <w:vAlign w:val="center"/>
          </w:tcPr>
          <w:p w14:paraId="02DF5205">
            <w:pPr>
              <w:pStyle w:val="227"/>
              <w:spacing w:line="360" w:lineRule="auto"/>
              <w:jc w:val="center"/>
              <w:outlineLvl w:val="9"/>
              <w:rPr>
                <w:rFonts w:ascii="Times New Roman" w:hAnsi="Times New Roman"/>
                <w:color w:val="auto"/>
                <w:sz w:val="24"/>
                <w:szCs w:val="24"/>
                <w:highlight w:val="none"/>
              </w:rPr>
            </w:pPr>
            <w:r>
              <w:rPr>
                <w:rFonts w:ascii="Times New Roman" w:hAnsi="Times New Roman"/>
                <w:color w:val="auto"/>
                <w:sz w:val="24"/>
                <w:szCs w:val="24"/>
                <w:highlight w:val="none"/>
              </w:rPr>
              <w:t>5.2.5</w:t>
            </w:r>
          </w:p>
        </w:tc>
        <w:tc>
          <w:tcPr>
            <w:tcW w:w="1701" w:type="dxa"/>
            <w:noWrap w:val="0"/>
            <w:vAlign w:val="center"/>
          </w:tcPr>
          <w:p w14:paraId="698E1044">
            <w:pPr>
              <w:spacing w:line="360" w:lineRule="auto"/>
              <w:jc w:val="center"/>
              <w:outlineLvl w:val="9"/>
              <w:rPr>
                <w:color w:val="auto"/>
                <w:sz w:val="24"/>
                <w:highlight w:val="none"/>
              </w:rPr>
            </w:pPr>
            <w:r>
              <w:rPr>
                <w:color w:val="auto"/>
                <w:sz w:val="24"/>
                <w:highlight w:val="none"/>
              </w:rPr>
              <w:t>标的所属行业</w:t>
            </w:r>
          </w:p>
        </w:tc>
        <w:tc>
          <w:tcPr>
            <w:tcW w:w="7540" w:type="dxa"/>
            <w:noWrap w:val="0"/>
            <w:vAlign w:val="center"/>
          </w:tcPr>
          <w:p w14:paraId="1F8C5CA0">
            <w:pPr>
              <w:keepNext w:val="0"/>
              <w:keepLines w:val="0"/>
              <w:widowControl/>
              <w:suppressLineNumbers w:val="0"/>
              <w:spacing w:line="360" w:lineRule="auto"/>
              <w:jc w:val="left"/>
              <w:outlineLvl w:val="9"/>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本项目采购标的对应的中小企业划分标准所属行业：</w:t>
            </w:r>
            <w:r>
              <w:rPr>
                <w:rFonts w:hint="eastAsia" w:ascii="宋体" w:hAnsi="宋体" w:eastAsia="宋体" w:cs="宋体"/>
                <w:b/>
                <w:bCs/>
                <w:color w:val="auto"/>
                <w:sz w:val="24"/>
                <w:szCs w:val="24"/>
                <w:highlight w:val="none"/>
                <w:u w:val="single"/>
                <w:lang w:val="en-US" w:eastAsia="zh-CN" w:bidi="ar"/>
              </w:rPr>
              <w:t>其他未列明行业</w:t>
            </w:r>
          </w:p>
        </w:tc>
      </w:tr>
      <w:tr w14:paraId="6C841E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18" w:hRule="atLeast"/>
          <w:jc w:val="center"/>
        </w:trPr>
        <w:tc>
          <w:tcPr>
            <w:tcW w:w="988" w:type="dxa"/>
            <w:noWrap w:val="0"/>
            <w:vAlign w:val="center"/>
          </w:tcPr>
          <w:p w14:paraId="003118D9">
            <w:pPr>
              <w:pStyle w:val="227"/>
              <w:spacing w:line="360" w:lineRule="auto"/>
              <w:jc w:val="center"/>
              <w:outlineLvl w:val="9"/>
              <w:rPr>
                <w:rFonts w:ascii="Times New Roman" w:hAnsi="Times New Roman"/>
                <w:color w:val="auto"/>
                <w:sz w:val="24"/>
                <w:szCs w:val="24"/>
                <w:highlight w:val="none"/>
              </w:rPr>
            </w:pPr>
            <w:r>
              <w:rPr>
                <w:rFonts w:ascii="Times New Roman" w:hAnsi="Times New Roman"/>
                <w:color w:val="auto"/>
                <w:sz w:val="24"/>
                <w:szCs w:val="24"/>
                <w:highlight w:val="none"/>
              </w:rPr>
              <w:t>11.2</w:t>
            </w:r>
          </w:p>
        </w:tc>
        <w:tc>
          <w:tcPr>
            <w:tcW w:w="1701" w:type="dxa"/>
            <w:noWrap w:val="0"/>
            <w:vAlign w:val="center"/>
          </w:tcPr>
          <w:p w14:paraId="2E628DB6">
            <w:pPr>
              <w:spacing w:line="360" w:lineRule="auto"/>
              <w:jc w:val="center"/>
              <w:outlineLvl w:val="9"/>
              <w:rPr>
                <w:color w:val="auto"/>
                <w:sz w:val="24"/>
                <w:highlight w:val="none"/>
              </w:rPr>
            </w:pPr>
            <w:r>
              <w:rPr>
                <w:rFonts w:hint="eastAsia"/>
                <w:color w:val="auto"/>
                <w:sz w:val="24"/>
                <w:highlight w:val="none"/>
              </w:rPr>
              <w:t>投标报价</w:t>
            </w:r>
          </w:p>
        </w:tc>
        <w:tc>
          <w:tcPr>
            <w:tcW w:w="7540" w:type="dxa"/>
            <w:noWrap w:val="0"/>
            <w:vAlign w:val="center"/>
          </w:tcPr>
          <w:p w14:paraId="0A96111D">
            <w:pPr>
              <w:spacing w:line="360" w:lineRule="auto"/>
              <w:jc w:val="left"/>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投标报价的特殊规定：</w:t>
            </w:r>
          </w:p>
          <w:p w14:paraId="642474DF">
            <w:pPr>
              <w:spacing w:line="360" w:lineRule="auto"/>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w:t>
            </w:r>
          </w:p>
          <w:p w14:paraId="2FFB10D8">
            <w:pPr>
              <w:spacing w:line="360" w:lineRule="auto"/>
              <w:jc w:val="left"/>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■有，具体情形：</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投标总价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tc>
      </w:tr>
      <w:tr w14:paraId="191422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988" w:type="dxa"/>
            <w:noWrap w:val="0"/>
            <w:vAlign w:val="center"/>
          </w:tcPr>
          <w:p w14:paraId="6D11E315">
            <w:pPr>
              <w:pStyle w:val="227"/>
              <w:spacing w:line="360" w:lineRule="auto"/>
              <w:jc w:val="center"/>
              <w:outlineLvl w:val="9"/>
              <w:rPr>
                <w:rFonts w:ascii="Times New Roman" w:hAnsi="Times New Roman"/>
                <w:color w:val="auto"/>
                <w:sz w:val="24"/>
                <w:szCs w:val="24"/>
                <w:highlight w:val="none"/>
              </w:rPr>
            </w:pPr>
            <w:r>
              <w:rPr>
                <w:rFonts w:ascii="Times New Roman" w:hAnsi="Times New Roman"/>
                <w:color w:val="auto"/>
                <w:sz w:val="24"/>
                <w:szCs w:val="24"/>
                <w:highlight w:val="none"/>
              </w:rPr>
              <w:t>12</w:t>
            </w:r>
          </w:p>
        </w:tc>
        <w:tc>
          <w:tcPr>
            <w:tcW w:w="1701" w:type="dxa"/>
            <w:noWrap w:val="0"/>
            <w:vAlign w:val="center"/>
          </w:tcPr>
          <w:p w14:paraId="08BCBE3D">
            <w:pPr>
              <w:spacing w:line="360" w:lineRule="auto"/>
              <w:jc w:val="center"/>
              <w:outlineLvl w:val="9"/>
              <w:rPr>
                <w:color w:val="auto"/>
                <w:sz w:val="24"/>
                <w:highlight w:val="none"/>
              </w:rPr>
            </w:pPr>
            <w:r>
              <w:rPr>
                <w:rFonts w:hint="eastAsia"/>
                <w:color w:val="auto"/>
                <w:sz w:val="24"/>
                <w:highlight w:val="none"/>
              </w:rPr>
              <w:t>投标保证金</w:t>
            </w:r>
          </w:p>
        </w:tc>
        <w:tc>
          <w:tcPr>
            <w:tcW w:w="7540" w:type="dxa"/>
            <w:noWrap w:val="0"/>
            <w:vAlign w:val="center"/>
          </w:tcPr>
          <w:p w14:paraId="1A25AE22">
            <w:pPr>
              <w:spacing w:line="360" w:lineRule="auto"/>
              <w:jc w:val="left"/>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免收</w:t>
            </w:r>
          </w:p>
        </w:tc>
      </w:tr>
      <w:tr w14:paraId="741C30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1" w:hRule="atLeast"/>
          <w:jc w:val="center"/>
        </w:trPr>
        <w:tc>
          <w:tcPr>
            <w:tcW w:w="988" w:type="dxa"/>
            <w:noWrap w:val="0"/>
            <w:vAlign w:val="center"/>
          </w:tcPr>
          <w:p w14:paraId="13A7957A">
            <w:pPr>
              <w:pStyle w:val="227"/>
              <w:spacing w:line="360" w:lineRule="auto"/>
              <w:jc w:val="center"/>
              <w:outlineLvl w:val="9"/>
              <w:rPr>
                <w:rFonts w:ascii="Times New Roman" w:hAnsi="Times New Roman"/>
                <w:color w:val="auto"/>
                <w:sz w:val="24"/>
                <w:szCs w:val="24"/>
                <w:highlight w:val="none"/>
              </w:rPr>
            </w:pPr>
            <w:r>
              <w:rPr>
                <w:rFonts w:ascii="Times New Roman" w:hAnsi="Times New Roman"/>
                <w:color w:val="auto"/>
                <w:sz w:val="24"/>
                <w:szCs w:val="24"/>
                <w:highlight w:val="none"/>
              </w:rPr>
              <w:t>13.1</w:t>
            </w:r>
          </w:p>
        </w:tc>
        <w:tc>
          <w:tcPr>
            <w:tcW w:w="1701" w:type="dxa"/>
            <w:noWrap w:val="0"/>
            <w:vAlign w:val="center"/>
          </w:tcPr>
          <w:p w14:paraId="326765B9">
            <w:pPr>
              <w:spacing w:line="360" w:lineRule="auto"/>
              <w:jc w:val="center"/>
              <w:outlineLvl w:val="9"/>
              <w:rPr>
                <w:color w:val="auto"/>
                <w:sz w:val="24"/>
                <w:highlight w:val="none"/>
              </w:rPr>
            </w:pPr>
            <w:r>
              <w:rPr>
                <w:color w:val="auto"/>
                <w:sz w:val="24"/>
                <w:highlight w:val="none"/>
              </w:rPr>
              <w:t>投标有效期</w:t>
            </w:r>
          </w:p>
        </w:tc>
        <w:tc>
          <w:tcPr>
            <w:tcW w:w="7540" w:type="dxa"/>
            <w:noWrap w:val="0"/>
            <w:vAlign w:val="center"/>
          </w:tcPr>
          <w:p w14:paraId="7028E5EC">
            <w:pPr>
              <w:spacing w:line="360" w:lineRule="auto"/>
              <w:jc w:val="left"/>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自提交投标文件的截止之日起算</w:t>
            </w:r>
            <w:r>
              <w:rPr>
                <w:rFonts w:hint="eastAsia" w:ascii="宋体" w:hAnsi="宋体" w:eastAsia="宋体" w:cs="宋体"/>
                <w:color w:val="auto"/>
                <w:sz w:val="24"/>
                <w:szCs w:val="24"/>
                <w:highlight w:val="none"/>
                <w:u w:val="single"/>
                <w:lang w:val="en-US" w:eastAsia="zh-CN"/>
              </w:rPr>
              <w:t xml:space="preserve"> 60 </w:t>
            </w:r>
            <w:r>
              <w:rPr>
                <w:rFonts w:hint="eastAsia" w:ascii="宋体" w:hAnsi="宋体" w:eastAsia="宋体" w:cs="宋体"/>
                <w:color w:val="auto"/>
                <w:sz w:val="24"/>
                <w:szCs w:val="24"/>
                <w:highlight w:val="none"/>
              </w:rPr>
              <w:t>日历天。</w:t>
            </w:r>
          </w:p>
        </w:tc>
      </w:tr>
      <w:tr w14:paraId="0D1F54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37" w:hRule="atLeast"/>
          <w:jc w:val="center"/>
        </w:trPr>
        <w:tc>
          <w:tcPr>
            <w:tcW w:w="988" w:type="dxa"/>
            <w:noWrap w:val="0"/>
            <w:vAlign w:val="center"/>
          </w:tcPr>
          <w:p w14:paraId="5E529BE1">
            <w:pPr>
              <w:pStyle w:val="227"/>
              <w:spacing w:line="360" w:lineRule="auto"/>
              <w:jc w:val="center"/>
              <w:outlineLvl w:val="9"/>
              <w:rPr>
                <w:rFonts w:ascii="Times New Roman" w:hAnsi="Times New Roman"/>
                <w:color w:val="auto"/>
                <w:sz w:val="24"/>
                <w:szCs w:val="24"/>
                <w:highlight w:val="none"/>
              </w:rPr>
            </w:pPr>
            <w:r>
              <w:rPr>
                <w:rFonts w:ascii="Times New Roman" w:hAnsi="Times New Roman"/>
                <w:color w:val="auto"/>
                <w:sz w:val="24"/>
                <w:szCs w:val="24"/>
                <w:highlight w:val="none"/>
              </w:rPr>
              <w:t>25.5</w:t>
            </w:r>
          </w:p>
        </w:tc>
        <w:tc>
          <w:tcPr>
            <w:tcW w:w="1701" w:type="dxa"/>
            <w:noWrap w:val="0"/>
            <w:vAlign w:val="center"/>
          </w:tcPr>
          <w:p w14:paraId="2DAFAC6D">
            <w:pPr>
              <w:spacing w:line="360" w:lineRule="auto"/>
              <w:jc w:val="center"/>
              <w:outlineLvl w:val="9"/>
              <w:rPr>
                <w:color w:val="auto"/>
                <w:sz w:val="24"/>
                <w:highlight w:val="none"/>
              </w:rPr>
            </w:pPr>
            <w:r>
              <w:rPr>
                <w:color w:val="auto"/>
                <w:sz w:val="24"/>
                <w:highlight w:val="none"/>
              </w:rPr>
              <w:t>分包</w:t>
            </w:r>
          </w:p>
        </w:tc>
        <w:tc>
          <w:tcPr>
            <w:tcW w:w="7540" w:type="dxa"/>
            <w:noWrap w:val="0"/>
            <w:vAlign w:val="center"/>
          </w:tcPr>
          <w:p w14:paraId="33792581">
            <w:pPr>
              <w:spacing w:line="360" w:lineRule="auto"/>
              <w:jc w:val="left"/>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本项目的非主体、非关键性工作是否允许分包： </w:t>
            </w:r>
          </w:p>
          <w:p w14:paraId="7015C6F0">
            <w:pPr>
              <w:spacing w:line="360" w:lineRule="auto"/>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■不允许</w:t>
            </w:r>
          </w:p>
          <w:p w14:paraId="6FF2D87D">
            <w:pPr>
              <w:spacing w:line="360" w:lineRule="auto"/>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□允许，具体要求：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w:t>
            </w:r>
          </w:p>
          <w:p w14:paraId="64D55129">
            <w:pPr>
              <w:spacing w:line="360" w:lineRule="auto"/>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（1）可以分包履行的具体内容：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w:t>
            </w:r>
          </w:p>
          <w:p w14:paraId="3CB5A6B9">
            <w:pPr>
              <w:spacing w:line="360" w:lineRule="auto"/>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（2）允许分包的金额或者比例：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w:t>
            </w:r>
          </w:p>
          <w:p w14:paraId="6A5CB90E">
            <w:pPr>
              <w:spacing w:line="360" w:lineRule="auto"/>
              <w:jc w:val="left"/>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（3）其他要求：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w:t>
            </w:r>
          </w:p>
        </w:tc>
      </w:tr>
      <w:tr w14:paraId="3E73C9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2" w:hRule="atLeast"/>
          <w:jc w:val="center"/>
        </w:trPr>
        <w:tc>
          <w:tcPr>
            <w:tcW w:w="988" w:type="dxa"/>
            <w:noWrap w:val="0"/>
            <w:vAlign w:val="center"/>
          </w:tcPr>
          <w:p w14:paraId="4E327BE6">
            <w:pPr>
              <w:pStyle w:val="227"/>
              <w:spacing w:line="360" w:lineRule="auto"/>
              <w:jc w:val="center"/>
              <w:outlineLvl w:val="9"/>
              <w:rPr>
                <w:rFonts w:ascii="Times New Roman" w:hAnsi="Times New Roman"/>
                <w:color w:val="auto"/>
                <w:sz w:val="24"/>
                <w:szCs w:val="24"/>
                <w:highlight w:val="none"/>
              </w:rPr>
            </w:pPr>
            <w:r>
              <w:rPr>
                <w:rFonts w:ascii="Times New Roman" w:hAnsi="Times New Roman"/>
                <w:color w:val="auto"/>
                <w:sz w:val="24"/>
                <w:szCs w:val="24"/>
                <w:highlight w:val="none"/>
              </w:rPr>
              <w:t>26.1.1</w:t>
            </w:r>
          </w:p>
        </w:tc>
        <w:tc>
          <w:tcPr>
            <w:tcW w:w="1701" w:type="dxa"/>
            <w:noWrap w:val="0"/>
            <w:vAlign w:val="center"/>
          </w:tcPr>
          <w:p w14:paraId="119C576E">
            <w:pPr>
              <w:spacing w:line="360" w:lineRule="auto"/>
              <w:jc w:val="center"/>
              <w:outlineLvl w:val="9"/>
              <w:rPr>
                <w:color w:val="auto"/>
                <w:sz w:val="24"/>
                <w:highlight w:val="none"/>
              </w:rPr>
            </w:pPr>
            <w:r>
              <w:rPr>
                <w:color w:val="auto"/>
                <w:sz w:val="24"/>
                <w:highlight w:val="none"/>
              </w:rPr>
              <w:t>询问</w:t>
            </w:r>
          </w:p>
        </w:tc>
        <w:tc>
          <w:tcPr>
            <w:tcW w:w="7540" w:type="dxa"/>
            <w:noWrap w:val="0"/>
            <w:vAlign w:val="center"/>
          </w:tcPr>
          <w:p w14:paraId="5853DD62">
            <w:pPr>
              <w:spacing w:line="360" w:lineRule="auto"/>
              <w:jc w:val="left"/>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询问送达形式：</w:t>
            </w:r>
            <w:r>
              <w:rPr>
                <w:rFonts w:hint="eastAsia" w:ascii="宋体" w:hAnsi="宋体" w:eastAsia="宋体" w:cs="宋体"/>
                <w:color w:val="auto"/>
                <w:sz w:val="24"/>
                <w:szCs w:val="24"/>
                <w:highlight w:val="none"/>
                <w:u w:val="single"/>
                <w:lang w:val="en-US" w:eastAsia="zh-CN"/>
              </w:rPr>
              <w:t>于202</w:t>
            </w:r>
            <w:r>
              <w:rPr>
                <w:rFonts w:hint="eastAsia" w:ascii="宋体" w:hAnsi="宋体" w:cs="宋体"/>
                <w:color w:val="auto"/>
                <w:sz w:val="24"/>
                <w:szCs w:val="24"/>
                <w:highlight w:val="none"/>
                <w:u w:val="single"/>
                <w:lang w:val="en-US" w:eastAsia="zh-CN"/>
              </w:rPr>
              <w:t>6</w:t>
            </w:r>
            <w:r>
              <w:rPr>
                <w:rFonts w:hint="eastAsia" w:ascii="宋体" w:hAnsi="宋体" w:eastAsia="宋体" w:cs="宋体"/>
                <w:color w:val="auto"/>
                <w:sz w:val="24"/>
                <w:szCs w:val="24"/>
                <w:highlight w:val="none"/>
                <w:u w:val="single"/>
                <w:lang w:val="en-US" w:eastAsia="zh-CN"/>
              </w:rPr>
              <w:t>年</w:t>
            </w:r>
            <w:r>
              <w:rPr>
                <w:rFonts w:hint="eastAsia" w:ascii="宋体" w:hAnsi="宋体" w:cs="宋体"/>
                <w:color w:val="auto"/>
                <w:sz w:val="24"/>
                <w:szCs w:val="24"/>
                <w:highlight w:val="none"/>
                <w:u w:val="single"/>
                <w:lang w:val="en-US" w:eastAsia="zh-CN"/>
              </w:rPr>
              <w:t>8</w:t>
            </w:r>
            <w:r>
              <w:rPr>
                <w:rFonts w:hint="eastAsia" w:ascii="宋体" w:hAnsi="宋体" w:eastAsia="宋体" w:cs="宋体"/>
                <w:color w:val="auto"/>
                <w:sz w:val="24"/>
                <w:szCs w:val="24"/>
                <w:highlight w:val="none"/>
                <w:u w:val="single"/>
                <w:lang w:val="en-US" w:eastAsia="zh-CN"/>
              </w:rPr>
              <w:t>月</w:t>
            </w:r>
            <w:r>
              <w:rPr>
                <w:rFonts w:hint="eastAsia" w:ascii="宋体" w:hAnsi="宋体" w:cs="宋体"/>
                <w:color w:val="auto"/>
                <w:sz w:val="24"/>
                <w:szCs w:val="24"/>
                <w:highlight w:val="none"/>
                <w:u w:val="single"/>
                <w:lang w:val="en-US" w:eastAsia="zh-CN"/>
              </w:rPr>
              <w:t>27</w:t>
            </w:r>
            <w:bookmarkStart w:id="913" w:name="_GoBack"/>
            <w:bookmarkEnd w:id="913"/>
            <w:r>
              <w:rPr>
                <w:rFonts w:hint="eastAsia" w:ascii="宋体" w:hAnsi="宋体" w:eastAsia="宋体" w:cs="宋体"/>
                <w:color w:val="auto"/>
                <w:sz w:val="24"/>
                <w:szCs w:val="24"/>
                <w:highlight w:val="none"/>
                <w:u w:val="single"/>
                <w:lang w:val="en-US" w:eastAsia="zh-CN"/>
              </w:rPr>
              <w:t>日11:00（北京时间）前以书面形式递交至</w:t>
            </w:r>
            <w:r>
              <w:rPr>
                <w:rFonts w:hint="eastAsia" w:ascii="宋体" w:hAnsi="宋体" w:cs="宋体"/>
                <w:color w:val="auto"/>
                <w:sz w:val="24"/>
                <w:szCs w:val="24"/>
                <w:highlight w:val="none"/>
                <w:u w:val="single"/>
                <w:lang w:val="en-US" w:eastAsia="zh-CN"/>
              </w:rPr>
              <w:t>江苏常信招标代理有限公司</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tc>
      </w:tr>
      <w:tr w14:paraId="697A6F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40" w:hRule="atLeast"/>
          <w:jc w:val="center"/>
        </w:trPr>
        <w:tc>
          <w:tcPr>
            <w:tcW w:w="988" w:type="dxa"/>
            <w:noWrap w:val="0"/>
            <w:vAlign w:val="center"/>
          </w:tcPr>
          <w:p w14:paraId="2479CB5B">
            <w:pPr>
              <w:pStyle w:val="227"/>
              <w:spacing w:line="360" w:lineRule="auto"/>
              <w:jc w:val="center"/>
              <w:outlineLvl w:val="9"/>
              <w:rPr>
                <w:rFonts w:ascii="Times New Roman" w:hAnsi="Times New Roman"/>
                <w:color w:val="auto"/>
                <w:sz w:val="24"/>
                <w:szCs w:val="24"/>
                <w:highlight w:val="none"/>
              </w:rPr>
            </w:pPr>
            <w:r>
              <w:rPr>
                <w:rFonts w:ascii="Times New Roman" w:hAnsi="Times New Roman"/>
                <w:color w:val="auto"/>
                <w:sz w:val="24"/>
                <w:szCs w:val="24"/>
                <w:highlight w:val="none"/>
              </w:rPr>
              <w:t>26.3</w:t>
            </w:r>
          </w:p>
        </w:tc>
        <w:tc>
          <w:tcPr>
            <w:tcW w:w="1701" w:type="dxa"/>
            <w:noWrap w:val="0"/>
            <w:vAlign w:val="center"/>
          </w:tcPr>
          <w:p w14:paraId="29026C44">
            <w:pPr>
              <w:spacing w:line="360" w:lineRule="auto"/>
              <w:jc w:val="center"/>
              <w:outlineLvl w:val="9"/>
              <w:rPr>
                <w:color w:val="auto"/>
                <w:sz w:val="24"/>
                <w:highlight w:val="none"/>
              </w:rPr>
            </w:pPr>
            <w:r>
              <w:rPr>
                <w:color w:val="auto"/>
                <w:sz w:val="24"/>
                <w:highlight w:val="none"/>
              </w:rPr>
              <w:t>联系方式</w:t>
            </w:r>
          </w:p>
        </w:tc>
        <w:tc>
          <w:tcPr>
            <w:tcW w:w="7540" w:type="dxa"/>
            <w:noWrap w:val="0"/>
            <w:vAlign w:val="center"/>
          </w:tcPr>
          <w:p w14:paraId="18BBE927">
            <w:pPr>
              <w:spacing w:line="360" w:lineRule="auto"/>
              <w:jc w:val="left"/>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接收询问和质疑的联系方式</w:t>
            </w:r>
          </w:p>
          <w:p w14:paraId="3BB24F1A">
            <w:pPr>
              <w:spacing w:line="360" w:lineRule="auto"/>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联系部门：</w:t>
            </w:r>
            <w:r>
              <w:rPr>
                <w:rFonts w:hint="eastAsia" w:ascii="宋体" w:hAnsi="宋体" w:cs="宋体"/>
                <w:color w:val="auto"/>
                <w:sz w:val="24"/>
                <w:szCs w:val="24"/>
                <w:highlight w:val="none"/>
                <w:u w:val="single"/>
                <w:lang w:val="en-US" w:eastAsia="zh-CN"/>
              </w:rPr>
              <w:t>尹剑峰</w:t>
            </w:r>
            <w:r>
              <w:rPr>
                <w:rFonts w:hint="eastAsia" w:ascii="宋体" w:hAnsi="宋体" w:eastAsia="宋体" w:cs="宋体"/>
                <w:color w:val="auto"/>
                <w:sz w:val="24"/>
                <w:szCs w:val="24"/>
                <w:highlight w:val="none"/>
              </w:rPr>
              <w:t>；</w:t>
            </w:r>
          </w:p>
          <w:p w14:paraId="428C505E">
            <w:pPr>
              <w:spacing w:line="360" w:lineRule="auto"/>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lang w:eastAsia="zh-CN"/>
              </w:rPr>
              <w:t>0519-</w:t>
            </w:r>
            <w:r>
              <w:rPr>
                <w:rFonts w:hint="eastAsia" w:ascii="宋体" w:hAnsi="宋体" w:cs="宋体"/>
                <w:color w:val="auto"/>
                <w:sz w:val="24"/>
                <w:szCs w:val="24"/>
                <w:highlight w:val="none"/>
                <w:u w:val="single"/>
                <w:lang w:eastAsia="zh-CN"/>
              </w:rPr>
              <w:t>68979196</w:t>
            </w:r>
            <w:r>
              <w:rPr>
                <w:rFonts w:hint="eastAsia" w:ascii="宋体" w:hAnsi="宋体" w:eastAsia="宋体" w:cs="宋体"/>
                <w:color w:val="auto"/>
                <w:sz w:val="24"/>
                <w:szCs w:val="24"/>
                <w:highlight w:val="none"/>
              </w:rPr>
              <w:t>；</w:t>
            </w:r>
          </w:p>
          <w:p w14:paraId="5605A6C7">
            <w:pPr>
              <w:spacing w:line="360" w:lineRule="auto"/>
              <w:jc w:val="left"/>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通讯地址：</w:t>
            </w:r>
            <w:r>
              <w:rPr>
                <w:rFonts w:hint="eastAsia" w:ascii="宋体" w:hAnsi="宋体" w:cs="宋体"/>
                <w:color w:val="auto"/>
                <w:sz w:val="24"/>
                <w:szCs w:val="24"/>
                <w:highlight w:val="none"/>
                <w:u w:val="single"/>
                <w:lang w:eastAsia="zh-CN"/>
              </w:rPr>
              <w:t>常州市新北区汉江西路118号1-2号楼B1层</w:t>
            </w:r>
            <w:r>
              <w:rPr>
                <w:rFonts w:hint="eastAsia" w:ascii="宋体" w:hAnsi="宋体" w:eastAsia="宋体" w:cs="宋体"/>
                <w:color w:val="auto"/>
                <w:sz w:val="24"/>
                <w:szCs w:val="24"/>
                <w:highlight w:val="none"/>
              </w:rPr>
              <w:t>。</w:t>
            </w:r>
          </w:p>
        </w:tc>
      </w:tr>
      <w:tr w14:paraId="4791FA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11" w:hRule="atLeast"/>
          <w:jc w:val="center"/>
        </w:trPr>
        <w:tc>
          <w:tcPr>
            <w:tcW w:w="988" w:type="dxa"/>
            <w:noWrap w:val="0"/>
            <w:vAlign w:val="center"/>
          </w:tcPr>
          <w:p w14:paraId="1D9FCEBB">
            <w:pPr>
              <w:pStyle w:val="227"/>
              <w:spacing w:line="360" w:lineRule="auto"/>
              <w:jc w:val="center"/>
              <w:outlineLvl w:val="9"/>
              <w:rPr>
                <w:rFonts w:ascii="Times New Roman" w:hAnsi="Times New Roman"/>
                <w:color w:val="auto"/>
                <w:sz w:val="24"/>
                <w:szCs w:val="24"/>
                <w:highlight w:val="none"/>
              </w:rPr>
            </w:pPr>
            <w:r>
              <w:rPr>
                <w:rFonts w:ascii="Times New Roman" w:hAnsi="Times New Roman"/>
                <w:color w:val="auto"/>
                <w:sz w:val="24"/>
                <w:szCs w:val="24"/>
                <w:highlight w:val="none"/>
              </w:rPr>
              <w:t>27</w:t>
            </w:r>
          </w:p>
        </w:tc>
        <w:tc>
          <w:tcPr>
            <w:tcW w:w="1701" w:type="dxa"/>
            <w:noWrap w:val="0"/>
            <w:vAlign w:val="center"/>
          </w:tcPr>
          <w:p w14:paraId="1B41A9EE">
            <w:pPr>
              <w:spacing w:line="360" w:lineRule="auto"/>
              <w:jc w:val="center"/>
              <w:outlineLvl w:val="9"/>
              <w:rPr>
                <w:color w:val="auto"/>
                <w:sz w:val="24"/>
                <w:highlight w:val="none"/>
              </w:rPr>
            </w:pPr>
            <w:r>
              <w:rPr>
                <w:color w:val="auto"/>
                <w:sz w:val="24"/>
                <w:highlight w:val="none"/>
              </w:rPr>
              <w:t>代理费</w:t>
            </w:r>
          </w:p>
        </w:tc>
        <w:tc>
          <w:tcPr>
            <w:tcW w:w="7540" w:type="dxa"/>
            <w:noWrap w:val="0"/>
            <w:vAlign w:val="center"/>
          </w:tcPr>
          <w:p w14:paraId="24D30451">
            <w:pPr>
              <w:spacing w:line="360" w:lineRule="auto"/>
              <w:jc w:val="left"/>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收费对象：</w:t>
            </w:r>
          </w:p>
          <w:p w14:paraId="0A3BA71A">
            <w:pPr>
              <w:spacing w:line="360" w:lineRule="auto"/>
              <w:jc w:val="left"/>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□采购人</w:t>
            </w:r>
          </w:p>
          <w:p w14:paraId="05C2687A">
            <w:pPr>
              <w:spacing w:line="360" w:lineRule="auto"/>
              <w:jc w:val="left"/>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bidi="ar-SA"/>
              </w:rPr>
              <w:t>中标供应商</w:t>
            </w:r>
          </w:p>
          <w:p w14:paraId="5E4AB537">
            <w:pPr>
              <w:spacing w:line="360" w:lineRule="auto"/>
              <w:jc w:val="left"/>
              <w:outlineLvl w:val="9"/>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收费标准：</w:t>
            </w:r>
            <w:r>
              <w:rPr>
                <w:rFonts w:hint="eastAsia" w:ascii="宋体" w:hAnsi="宋体" w:eastAsia="宋体" w:cs="宋体"/>
                <w:color w:val="auto"/>
                <w:sz w:val="24"/>
                <w:szCs w:val="24"/>
                <w:highlight w:val="none"/>
                <w:u w:val="single"/>
              </w:rPr>
              <w:t>收费比例按差额定率分档累进法计算，收费差额费率：</w:t>
            </w:r>
            <w:r>
              <w:rPr>
                <w:rFonts w:hint="eastAsia" w:ascii="宋体" w:hAnsi="宋体" w:eastAsia="宋体" w:cs="宋体"/>
                <w:color w:val="auto"/>
                <w:sz w:val="24"/>
                <w:szCs w:val="24"/>
                <w:highlight w:val="none"/>
                <w:u w:val="single"/>
                <w:lang w:val="en-US" w:eastAsia="zh-CN"/>
              </w:rPr>
              <w:t>中标</w:t>
            </w:r>
            <w:r>
              <w:rPr>
                <w:rFonts w:hint="eastAsia" w:ascii="宋体" w:hAnsi="宋体" w:eastAsia="宋体" w:cs="宋体"/>
                <w:color w:val="auto"/>
                <w:sz w:val="24"/>
                <w:szCs w:val="24"/>
                <w:highlight w:val="none"/>
                <w:u w:val="single"/>
              </w:rPr>
              <w:t>金额在100万元(含)以下的为1.5%，</w:t>
            </w:r>
            <w:r>
              <w:rPr>
                <w:rFonts w:hint="eastAsia" w:ascii="宋体" w:hAnsi="宋体" w:eastAsia="宋体" w:cs="宋体"/>
                <w:color w:val="auto"/>
                <w:sz w:val="24"/>
                <w:szCs w:val="24"/>
                <w:highlight w:val="none"/>
                <w:u w:val="single"/>
                <w:lang w:val="en-US" w:eastAsia="zh-CN"/>
              </w:rPr>
              <w:t>中标</w:t>
            </w:r>
            <w:r>
              <w:rPr>
                <w:rFonts w:hint="eastAsia" w:ascii="宋体" w:hAnsi="宋体" w:eastAsia="宋体" w:cs="宋体"/>
                <w:color w:val="auto"/>
                <w:sz w:val="24"/>
                <w:szCs w:val="24"/>
                <w:highlight w:val="none"/>
                <w:u w:val="single"/>
              </w:rPr>
              <w:t>金额在100万元（不含）至500万元（含）的为0.8%，</w:t>
            </w:r>
            <w:r>
              <w:rPr>
                <w:rFonts w:hint="eastAsia" w:ascii="宋体" w:hAnsi="宋体" w:eastAsia="宋体" w:cs="宋体"/>
                <w:color w:val="auto"/>
                <w:sz w:val="24"/>
                <w:szCs w:val="24"/>
                <w:highlight w:val="none"/>
                <w:u w:val="single"/>
                <w:lang w:val="en-US" w:eastAsia="zh-CN"/>
              </w:rPr>
              <w:t>中标</w:t>
            </w:r>
            <w:r>
              <w:rPr>
                <w:rFonts w:hint="eastAsia" w:ascii="宋体" w:hAnsi="宋体" w:eastAsia="宋体" w:cs="宋体"/>
                <w:color w:val="auto"/>
                <w:sz w:val="24"/>
                <w:szCs w:val="24"/>
                <w:highlight w:val="none"/>
                <w:u w:val="single"/>
              </w:rPr>
              <w:t>金额在</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00万元（不含）至</w:t>
            </w:r>
            <w:r>
              <w:rPr>
                <w:rFonts w:hint="eastAsia" w:ascii="宋体" w:hAnsi="宋体" w:eastAsia="宋体" w:cs="宋体"/>
                <w:color w:val="auto"/>
                <w:sz w:val="24"/>
                <w:szCs w:val="24"/>
                <w:highlight w:val="none"/>
                <w:u w:val="single"/>
                <w:lang w:val="en-US" w:eastAsia="zh-CN"/>
              </w:rPr>
              <w:t>10</w:t>
            </w:r>
            <w:r>
              <w:rPr>
                <w:rFonts w:hint="eastAsia" w:ascii="宋体" w:hAnsi="宋体" w:eastAsia="宋体" w:cs="宋体"/>
                <w:color w:val="auto"/>
                <w:sz w:val="24"/>
                <w:szCs w:val="24"/>
                <w:highlight w:val="none"/>
                <w:u w:val="single"/>
              </w:rPr>
              <w:t>00万元（含）的为0.</w:t>
            </w:r>
            <w:r>
              <w:rPr>
                <w:rFonts w:hint="eastAsia" w:ascii="宋体" w:hAnsi="宋体" w:eastAsia="宋体" w:cs="宋体"/>
                <w:color w:val="auto"/>
                <w:sz w:val="24"/>
                <w:szCs w:val="24"/>
                <w:highlight w:val="none"/>
                <w:u w:val="single"/>
                <w:lang w:val="en-US" w:eastAsia="zh-CN"/>
              </w:rPr>
              <w:t>45</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val="en-US" w:eastAsia="zh-CN"/>
              </w:rPr>
              <w:t>中标</w:t>
            </w:r>
            <w:r>
              <w:rPr>
                <w:rFonts w:hint="eastAsia" w:ascii="宋体" w:hAnsi="宋体" w:eastAsia="宋体" w:cs="宋体"/>
                <w:color w:val="auto"/>
                <w:sz w:val="24"/>
                <w:szCs w:val="24"/>
                <w:highlight w:val="none"/>
                <w:u w:val="single"/>
              </w:rPr>
              <w:t>服务收费按上述计算方法不足人民币3000元的，按人民币3000元收取</w:t>
            </w:r>
            <w:r>
              <w:rPr>
                <w:rFonts w:hint="eastAsia" w:ascii="宋体" w:hAnsi="宋体" w:eastAsia="宋体" w:cs="宋体"/>
                <w:color w:val="auto"/>
                <w:sz w:val="24"/>
                <w:szCs w:val="24"/>
                <w:highlight w:val="none"/>
                <w:u w:val="none"/>
                <w:lang w:eastAsia="zh-CN"/>
              </w:rPr>
              <w:t>；</w:t>
            </w:r>
          </w:p>
          <w:p w14:paraId="4C811E8B">
            <w:pPr>
              <w:spacing w:line="360" w:lineRule="auto"/>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缴纳时间：</w:t>
            </w:r>
            <w:r>
              <w:rPr>
                <w:rFonts w:hint="eastAsia" w:ascii="宋体" w:hAnsi="宋体" w:eastAsia="宋体" w:cs="宋体"/>
                <w:color w:val="auto"/>
                <w:sz w:val="24"/>
                <w:szCs w:val="24"/>
                <w:highlight w:val="none"/>
                <w:u w:val="single"/>
                <w:lang w:val="en-US" w:eastAsia="zh-CN"/>
              </w:rPr>
              <w:t>中标供应商</w:t>
            </w:r>
            <w:r>
              <w:rPr>
                <w:rFonts w:hint="eastAsia" w:ascii="宋体" w:hAnsi="宋体" w:eastAsia="宋体" w:cs="宋体"/>
                <w:color w:val="auto"/>
                <w:sz w:val="24"/>
                <w:szCs w:val="24"/>
                <w:highlight w:val="none"/>
                <w:u w:val="single"/>
              </w:rPr>
              <w:t>应在领取</w:t>
            </w:r>
            <w:r>
              <w:rPr>
                <w:rFonts w:hint="eastAsia" w:ascii="宋体" w:hAnsi="宋体" w:eastAsia="宋体" w:cs="宋体"/>
                <w:color w:val="auto"/>
                <w:sz w:val="24"/>
                <w:szCs w:val="24"/>
                <w:highlight w:val="none"/>
                <w:u w:val="single"/>
                <w:lang w:val="en-US" w:eastAsia="zh-CN"/>
              </w:rPr>
              <w:t>中标</w:t>
            </w:r>
            <w:r>
              <w:rPr>
                <w:rFonts w:hint="eastAsia" w:ascii="宋体" w:hAnsi="宋体" w:eastAsia="宋体" w:cs="宋体"/>
                <w:color w:val="auto"/>
                <w:sz w:val="24"/>
                <w:szCs w:val="24"/>
                <w:highlight w:val="none"/>
                <w:u w:val="single"/>
              </w:rPr>
              <w:t>通知书时将</w:t>
            </w:r>
            <w:r>
              <w:rPr>
                <w:rFonts w:hint="eastAsia" w:ascii="宋体" w:hAnsi="宋体" w:eastAsia="宋体" w:cs="宋体"/>
                <w:color w:val="auto"/>
                <w:sz w:val="24"/>
                <w:szCs w:val="24"/>
                <w:highlight w:val="none"/>
                <w:u w:val="single"/>
                <w:lang w:val="en-US" w:eastAsia="zh-CN"/>
              </w:rPr>
              <w:t>中标</w:t>
            </w:r>
            <w:r>
              <w:rPr>
                <w:rFonts w:hint="eastAsia" w:ascii="宋体" w:hAnsi="宋体" w:eastAsia="宋体" w:cs="宋体"/>
                <w:color w:val="auto"/>
                <w:sz w:val="24"/>
                <w:szCs w:val="24"/>
                <w:highlight w:val="none"/>
                <w:u w:val="single"/>
              </w:rPr>
              <w:t>服务费付至采购代理机构的</w:t>
            </w:r>
            <w:r>
              <w:rPr>
                <w:rFonts w:hint="eastAsia" w:ascii="宋体" w:hAnsi="宋体" w:eastAsia="宋体" w:cs="宋体"/>
                <w:color w:val="auto"/>
                <w:sz w:val="24"/>
                <w:szCs w:val="24"/>
                <w:highlight w:val="none"/>
                <w:u w:val="single"/>
                <w:lang w:eastAsia="zh-CN"/>
              </w:rPr>
              <w:t>账</w:t>
            </w:r>
            <w:r>
              <w:rPr>
                <w:rFonts w:hint="eastAsia" w:ascii="宋体" w:hAnsi="宋体" w:eastAsia="宋体" w:cs="宋体"/>
                <w:color w:val="auto"/>
                <w:sz w:val="24"/>
                <w:szCs w:val="24"/>
                <w:highlight w:val="none"/>
                <w:u w:val="single"/>
              </w:rPr>
              <w:t>户并备注项目编号</w:t>
            </w:r>
            <w:r>
              <w:rPr>
                <w:rFonts w:hint="eastAsia" w:ascii="宋体" w:hAnsi="宋体" w:eastAsia="宋体" w:cs="宋体"/>
                <w:color w:val="auto"/>
                <w:sz w:val="24"/>
                <w:szCs w:val="24"/>
                <w:highlight w:val="none"/>
              </w:rPr>
              <w:t>。</w:t>
            </w:r>
          </w:p>
          <w:p w14:paraId="64CCEB2E">
            <w:pPr>
              <w:spacing w:line="360" w:lineRule="auto"/>
              <w:jc w:val="left"/>
              <w:outlineLvl w:val="9"/>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none"/>
              </w:rPr>
              <w:t>收款单位：</w:t>
            </w:r>
            <w:r>
              <w:rPr>
                <w:rFonts w:hint="eastAsia" w:ascii="宋体" w:hAnsi="宋体" w:cs="宋体"/>
                <w:color w:val="auto"/>
                <w:sz w:val="24"/>
                <w:szCs w:val="24"/>
                <w:highlight w:val="none"/>
                <w:u w:val="single"/>
                <w:lang w:eastAsia="zh-CN"/>
              </w:rPr>
              <w:t>江苏常信招标代理有限公司</w:t>
            </w:r>
          </w:p>
          <w:p w14:paraId="74B9A559">
            <w:pPr>
              <w:spacing w:line="360" w:lineRule="auto"/>
              <w:jc w:val="left"/>
              <w:outlineLvl w:val="9"/>
              <w:rPr>
                <w:rFonts w:hint="eastAsia" w:ascii="宋体" w:hAnsi="宋体" w:cs="宋体"/>
                <w:color w:val="auto"/>
                <w:sz w:val="24"/>
                <w:szCs w:val="24"/>
                <w:highlight w:val="none"/>
                <w:u w:val="single"/>
                <w:lang w:eastAsia="zh-CN"/>
              </w:rPr>
            </w:pPr>
            <w:r>
              <w:rPr>
                <w:rFonts w:hint="eastAsia" w:ascii="宋体" w:hAnsi="宋体" w:eastAsia="宋体" w:cs="宋体"/>
                <w:color w:val="auto"/>
                <w:sz w:val="24"/>
                <w:szCs w:val="24"/>
                <w:highlight w:val="none"/>
                <w:u w:val="none"/>
              </w:rPr>
              <w:t>银行账号：</w:t>
            </w:r>
            <w:r>
              <w:rPr>
                <w:rFonts w:hint="eastAsia" w:ascii="宋体" w:hAnsi="宋体" w:cs="宋体"/>
                <w:color w:val="auto"/>
                <w:sz w:val="24"/>
                <w:szCs w:val="24"/>
                <w:highlight w:val="none"/>
                <w:u w:val="single"/>
                <w:lang w:eastAsia="zh-CN"/>
              </w:rPr>
              <w:t>11023 000 000 19883</w:t>
            </w:r>
          </w:p>
          <w:p w14:paraId="442D4F4D">
            <w:pPr>
              <w:spacing w:line="360" w:lineRule="auto"/>
              <w:jc w:val="left"/>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none"/>
              </w:rPr>
              <w:t>开户银行：</w:t>
            </w:r>
            <w:r>
              <w:rPr>
                <w:rFonts w:hint="eastAsia" w:ascii="宋体" w:hAnsi="宋体" w:cs="宋体"/>
                <w:color w:val="auto"/>
                <w:sz w:val="24"/>
                <w:szCs w:val="24"/>
                <w:highlight w:val="none"/>
                <w:u w:val="single"/>
                <w:lang w:eastAsia="zh-CN"/>
              </w:rPr>
              <w:t>江苏江南农村商业银行股份有限公司常州市新桥支行</w:t>
            </w:r>
          </w:p>
        </w:tc>
      </w:tr>
    </w:tbl>
    <w:p w14:paraId="46A6B051">
      <w:pPr>
        <w:tabs>
          <w:tab w:val="left" w:pos="5580"/>
        </w:tabs>
        <w:spacing w:line="360" w:lineRule="auto"/>
        <w:jc w:val="both"/>
        <w:outlineLvl w:val="9"/>
        <w:rPr>
          <w:color w:val="auto"/>
          <w:sz w:val="24"/>
          <w:highlight w:val="none"/>
        </w:rPr>
        <w:sectPr>
          <w:headerReference r:id="rId8" w:type="first"/>
          <w:footerReference r:id="rId10" w:type="first"/>
          <w:headerReference r:id="rId7" w:type="default"/>
          <w:footerReference r:id="rId9" w:type="default"/>
          <w:type w:val="nextColumn"/>
          <w:pgSz w:w="11907" w:h="16840"/>
          <w:pgMar w:top="1418" w:right="1134" w:bottom="1418" w:left="1701" w:header="851" w:footer="851" w:gutter="0"/>
          <w:pgNumType w:fmt="decimal"/>
          <w:cols w:space="1701" w:num="1"/>
          <w:titlePg/>
          <w:docGrid w:linePitch="360" w:charSpace="0"/>
        </w:sectPr>
      </w:pPr>
      <w:r>
        <w:rPr>
          <w:color w:val="auto"/>
          <w:sz w:val="24"/>
          <w:highlight w:val="none"/>
        </w:rPr>
        <w:br w:type="page" w:clear="all"/>
      </w:r>
    </w:p>
    <w:p w14:paraId="137127A1">
      <w:pPr>
        <w:spacing w:before="240" w:after="240"/>
        <w:jc w:val="center"/>
        <w:outlineLvl w:val="9"/>
        <w:rPr>
          <w:b/>
          <w:color w:val="auto"/>
          <w:sz w:val="28"/>
          <w:szCs w:val="28"/>
          <w:highlight w:val="none"/>
        </w:rPr>
      </w:pPr>
      <w:bookmarkStart w:id="70" w:name="_Toc127151517"/>
      <w:bookmarkStart w:id="71" w:name="_Toc150774722"/>
      <w:bookmarkStart w:id="72" w:name="_Toc305158785"/>
      <w:bookmarkStart w:id="73" w:name="_Toc226965790"/>
      <w:bookmarkStart w:id="74" w:name="_Toc195842882"/>
      <w:bookmarkStart w:id="75" w:name="_Toc264969207"/>
      <w:bookmarkStart w:id="76" w:name="_Toc265228355"/>
      <w:bookmarkStart w:id="77" w:name="_Toc150480755"/>
      <w:bookmarkStart w:id="78" w:name="_Toc353825542"/>
      <w:bookmarkStart w:id="79" w:name="_Toc353873932"/>
      <w:bookmarkStart w:id="80" w:name="_Toc305158859"/>
      <w:bookmarkStart w:id="81" w:name="_Toc353873662"/>
      <w:bookmarkStart w:id="82" w:name="_Toc142311019"/>
      <w:bookmarkStart w:id="83" w:name="_Toc226337213"/>
      <w:r>
        <w:rPr>
          <w:b/>
          <w:color w:val="auto"/>
          <w:sz w:val="28"/>
          <w:szCs w:val="28"/>
          <w:highlight w:val="none"/>
        </w:rPr>
        <w:t>投标人须知</w:t>
      </w:r>
      <w:bookmarkEnd w:id="70"/>
      <w:bookmarkEnd w:id="71"/>
      <w:bookmarkEnd w:id="72"/>
      <w:bookmarkEnd w:id="73"/>
      <w:bookmarkEnd w:id="74"/>
      <w:bookmarkEnd w:id="75"/>
      <w:bookmarkEnd w:id="76"/>
      <w:bookmarkEnd w:id="77"/>
      <w:bookmarkEnd w:id="78"/>
      <w:bookmarkEnd w:id="79"/>
      <w:bookmarkEnd w:id="80"/>
      <w:bookmarkEnd w:id="81"/>
      <w:bookmarkEnd w:id="82"/>
      <w:bookmarkEnd w:id="83"/>
    </w:p>
    <w:p w14:paraId="5FCBAA02">
      <w:pPr>
        <w:keepNext w:val="0"/>
        <w:keepLines w:val="0"/>
        <w:pageBreakBefore w:val="0"/>
        <w:widowControl w:val="0"/>
        <w:spacing w:line="360" w:lineRule="auto"/>
        <w:jc w:val="center"/>
        <w:outlineLvl w:val="9"/>
        <w:rPr>
          <w:rFonts w:hint="eastAsia" w:ascii="宋体" w:hAnsi="宋体" w:eastAsia="宋体" w:cs="Times New Roman"/>
          <w:b/>
          <w:bCs/>
          <w:color w:val="auto"/>
          <w:sz w:val="28"/>
          <w:szCs w:val="28"/>
          <w:highlight w:val="none"/>
          <w:lang w:val="en-US" w:eastAsia="zh-CN"/>
        </w:rPr>
      </w:pPr>
      <w:bookmarkStart w:id="84" w:name="_Toc226965708"/>
      <w:bookmarkStart w:id="85" w:name="_Toc265228356"/>
      <w:bookmarkStart w:id="86" w:name="_Toc264969208"/>
      <w:bookmarkStart w:id="87" w:name="_Toc226309762"/>
      <w:bookmarkStart w:id="88" w:name="_Toc151193832"/>
      <w:bookmarkStart w:id="89" w:name="_Toc226337214"/>
      <w:bookmarkStart w:id="90" w:name="_Toc151190145"/>
      <w:bookmarkStart w:id="91" w:name="_Toc151193688"/>
      <w:bookmarkStart w:id="92" w:name="_Toc142311020"/>
      <w:bookmarkStart w:id="93" w:name="_Toc151193906"/>
      <w:bookmarkStart w:id="94" w:name="_Toc151193760"/>
      <w:bookmarkStart w:id="95" w:name="_Toc520356143"/>
      <w:bookmarkStart w:id="96" w:name="_Toc151193616"/>
      <w:bookmarkStart w:id="97" w:name="_Toc150774723"/>
      <w:bookmarkStart w:id="98" w:name="_Toc127151518"/>
      <w:bookmarkStart w:id="99" w:name="_Toc150480756"/>
      <w:bookmarkStart w:id="100" w:name="_Toc226965791"/>
      <w:bookmarkStart w:id="101" w:name="_Toc305158860"/>
      <w:bookmarkStart w:id="102" w:name="_Toc150774618"/>
      <w:bookmarkStart w:id="103" w:name="_Toc305158786"/>
      <w:bookmarkStart w:id="104" w:name="_Toc195842883"/>
      <w:bookmarkStart w:id="105" w:name="_Toc150509269"/>
      <w:r>
        <w:rPr>
          <w:rFonts w:hint="eastAsia" w:ascii="宋体" w:hAnsi="宋体" w:eastAsia="宋体" w:cs="Times New Roman"/>
          <w:b/>
          <w:bCs/>
          <w:color w:val="auto"/>
          <w:sz w:val="28"/>
          <w:szCs w:val="28"/>
          <w:highlight w:val="none"/>
          <w:lang w:val="en-US" w:eastAsia="zh-CN"/>
        </w:rPr>
        <w:t>一   说  明</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14:paraId="6903CFA1">
      <w:pPr>
        <w:keepNext w:val="0"/>
        <w:keepLines w:val="0"/>
        <w:pageBreakBefore w:val="0"/>
        <w:widowControl w:val="0"/>
        <w:numPr>
          <w:ilvl w:val="0"/>
          <w:numId w:val="8"/>
        </w:numPr>
        <w:tabs>
          <w:tab w:val="left" w:pos="360"/>
        </w:tabs>
        <w:spacing w:line="360" w:lineRule="auto"/>
        <w:ind w:left="357" w:hanging="357"/>
        <w:outlineLvl w:val="9"/>
        <w:rPr>
          <w:rFonts w:hint="eastAsia" w:ascii="宋体" w:hAnsi="宋体" w:eastAsia="宋体" w:cs="宋体"/>
          <w:color w:val="auto"/>
          <w:sz w:val="24"/>
          <w:szCs w:val="24"/>
          <w:highlight w:val="none"/>
        </w:rPr>
      </w:pPr>
      <w:bookmarkStart w:id="106" w:name="_Toc305158787"/>
      <w:bookmarkStart w:id="107" w:name="_Toc305158861"/>
      <w:bookmarkStart w:id="108" w:name="_Toc264969209"/>
      <w:bookmarkStart w:id="109" w:name="_Toc265228357"/>
      <w:r>
        <w:rPr>
          <w:rFonts w:hint="eastAsia" w:ascii="宋体" w:hAnsi="宋体" w:eastAsia="宋体" w:cs="宋体"/>
          <w:color w:val="auto"/>
          <w:sz w:val="24"/>
          <w:szCs w:val="24"/>
          <w:highlight w:val="none"/>
        </w:rPr>
        <w:t>采购人、采购代理机构、投标人</w:t>
      </w:r>
      <w:bookmarkEnd w:id="106"/>
      <w:bookmarkEnd w:id="107"/>
      <w:bookmarkEnd w:id="108"/>
      <w:bookmarkEnd w:id="109"/>
      <w:r>
        <w:rPr>
          <w:rFonts w:hint="eastAsia" w:ascii="宋体" w:hAnsi="宋体" w:eastAsia="宋体" w:cs="宋体"/>
          <w:color w:val="auto"/>
          <w:sz w:val="24"/>
          <w:szCs w:val="24"/>
          <w:highlight w:val="none"/>
        </w:rPr>
        <w:t>、联合体</w:t>
      </w:r>
    </w:p>
    <w:p w14:paraId="541FC11B">
      <w:pPr>
        <w:keepNext w:val="0"/>
        <w:keepLines w:val="0"/>
        <w:pageBreakBefore w:val="0"/>
        <w:widowControl w:val="0"/>
        <w:numPr>
          <w:ilvl w:val="1"/>
          <w:numId w:val="8"/>
        </w:numPr>
        <w:tabs>
          <w:tab w:val="left" w:pos="1080"/>
          <w:tab w:val="left" w:pos="2014"/>
          <w:tab w:val="left" w:pos="5521"/>
        </w:tabs>
        <w:spacing w:line="360" w:lineRule="auto"/>
        <w:ind w:left="1080"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采购人、采购代理机构：指依法进行政府采购的国家机关、事业单位、团体组织，及其委托的采购代理机构。本项目采购人、采购代理机构见第一章《投标邀请》。</w:t>
      </w:r>
    </w:p>
    <w:p w14:paraId="5AEC31EB">
      <w:pPr>
        <w:keepNext w:val="0"/>
        <w:keepLines w:val="0"/>
        <w:pageBreakBefore w:val="0"/>
        <w:widowControl w:val="0"/>
        <w:numPr>
          <w:ilvl w:val="1"/>
          <w:numId w:val="8"/>
        </w:numPr>
        <w:tabs>
          <w:tab w:val="left" w:pos="1080"/>
          <w:tab w:val="left" w:pos="2014"/>
          <w:tab w:val="left" w:pos="5521"/>
        </w:tabs>
        <w:spacing w:line="360" w:lineRule="auto"/>
        <w:ind w:left="1080"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投标人（也称“供应商”、“申请人”）：指向采购人提供货物、工程或者服务的法人、其他组织或者自然人。</w:t>
      </w:r>
    </w:p>
    <w:p w14:paraId="3BF1FEF5">
      <w:pPr>
        <w:keepNext w:val="0"/>
        <w:keepLines w:val="0"/>
        <w:pageBreakBefore w:val="0"/>
        <w:widowControl w:val="0"/>
        <w:numPr>
          <w:ilvl w:val="1"/>
          <w:numId w:val="8"/>
        </w:numPr>
        <w:tabs>
          <w:tab w:val="left" w:pos="1080"/>
          <w:tab w:val="left" w:pos="2014"/>
          <w:tab w:val="left" w:pos="5521"/>
        </w:tabs>
        <w:spacing w:line="360" w:lineRule="auto"/>
        <w:ind w:left="1080"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联合体：指两个以上的自然人、法人或者其他组织组成一个联合体，以一个供应商的身份共同参加政府采购。</w:t>
      </w:r>
    </w:p>
    <w:p w14:paraId="2AA07EA5">
      <w:pPr>
        <w:keepNext w:val="0"/>
        <w:keepLines w:val="0"/>
        <w:pageBreakBefore w:val="0"/>
        <w:widowControl w:val="0"/>
        <w:numPr>
          <w:ilvl w:val="0"/>
          <w:numId w:val="8"/>
        </w:numPr>
        <w:tabs>
          <w:tab w:val="left" w:pos="360"/>
        </w:tabs>
        <w:spacing w:line="360" w:lineRule="auto"/>
        <w:ind w:left="357" w:hanging="357"/>
        <w:outlineLvl w:val="9"/>
        <w:rPr>
          <w:rFonts w:hint="eastAsia" w:ascii="宋体" w:hAnsi="宋体" w:eastAsia="宋体" w:cs="宋体"/>
          <w:color w:val="auto"/>
          <w:sz w:val="24"/>
          <w:szCs w:val="24"/>
          <w:highlight w:val="none"/>
        </w:rPr>
      </w:pPr>
      <w:bookmarkStart w:id="110" w:name="_Toc195842885"/>
      <w:bookmarkStart w:id="111" w:name="_Toc164608634"/>
      <w:bookmarkStart w:id="112" w:name="_Toc226965710"/>
      <w:bookmarkStart w:id="113" w:name="_Toc151193690"/>
      <w:bookmarkStart w:id="114" w:name="_Toc164608789"/>
      <w:bookmarkStart w:id="115" w:name="_Toc149720813"/>
      <w:bookmarkStart w:id="116" w:name="_Toc151193762"/>
      <w:bookmarkStart w:id="117" w:name="_Toc264969210"/>
      <w:bookmarkStart w:id="118" w:name="_Toc164229361"/>
      <w:bookmarkStart w:id="119" w:name="_Toc226309764"/>
      <w:bookmarkStart w:id="120" w:name="_Toc150509271"/>
      <w:bookmarkStart w:id="121" w:name="_Toc305158862"/>
      <w:bookmarkStart w:id="122" w:name="_Toc151193834"/>
      <w:bookmarkStart w:id="123" w:name="_Toc265228358"/>
      <w:bookmarkStart w:id="124" w:name="_Toc305158788"/>
      <w:bookmarkStart w:id="125" w:name="_Toc151190147"/>
      <w:bookmarkStart w:id="126" w:name="_Toc151193618"/>
      <w:bookmarkStart w:id="127" w:name="_Toc142311022"/>
      <w:bookmarkStart w:id="128" w:name="_Toc127151721"/>
      <w:bookmarkStart w:id="129" w:name="_Toc164351614"/>
      <w:bookmarkStart w:id="130" w:name="_Toc164229215"/>
      <w:bookmarkStart w:id="131" w:name="_Toc150774620"/>
      <w:bookmarkStart w:id="132" w:name="_Toc226965793"/>
      <w:bookmarkStart w:id="133" w:name="_Toc150480758"/>
      <w:bookmarkStart w:id="134" w:name="_Toc226337216"/>
      <w:bookmarkStart w:id="135" w:name="_Toc127161434"/>
      <w:bookmarkStart w:id="136" w:name="_Toc151193908"/>
      <w:bookmarkStart w:id="137" w:name="_Toc127151520"/>
      <w:bookmarkStart w:id="138" w:name="_Toc150774725"/>
      <w:r>
        <w:rPr>
          <w:rFonts w:hint="eastAsia" w:ascii="宋体" w:hAnsi="宋体" w:eastAsia="宋体" w:cs="宋体"/>
          <w:color w:val="auto"/>
          <w:sz w:val="24"/>
          <w:szCs w:val="24"/>
          <w:highlight w:val="none"/>
        </w:rPr>
        <w:t>资金来源</w:t>
      </w:r>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r>
        <w:rPr>
          <w:rFonts w:hint="eastAsia" w:ascii="宋体" w:hAnsi="宋体" w:eastAsia="宋体" w:cs="宋体"/>
          <w:color w:val="auto"/>
          <w:sz w:val="24"/>
          <w:szCs w:val="24"/>
          <w:highlight w:val="none"/>
        </w:rPr>
        <w:t>、项目属性、科研仪器设备采购、核心产品</w:t>
      </w:r>
    </w:p>
    <w:p w14:paraId="14E82217">
      <w:pPr>
        <w:keepNext w:val="0"/>
        <w:keepLines w:val="0"/>
        <w:pageBreakBefore w:val="0"/>
        <w:widowControl w:val="0"/>
        <w:numPr>
          <w:ilvl w:val="1"/>
          <w:numId w:val="8"/>
        </w:numPr>
        <w:tabs>
          <w:tab w:val="left" w:pos="1080"/>
          <w:tab w:val="left" w:pos="2014"/>
        </w:tabs>
        <w:spacing w:line="360" w:lineRule="auto"/>
        <w:ind w:left="1080"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资金来源为财政性资金和/或本项目采购中无法与财政性资金分割的非财政性资金。</w:t>
      </w:r>
    </w:p>
    <w:p w14:paraId="0F16FD12">
      <w:pPr>
        <w:keepNext w:val="0"/>
        <w:keepLines w:val="0"/>
        <w:pageBreakBefore w:val="0"/>
        <w:widowControl w:val="0"/>
        <w:numPr>
          <w:ilvl w:val="1"/>
          <w:numId w:val="8"/>
        </w:numPr>
        <w:tabs>
          <w:tab w:val="left" w:pos="1080"/>
          <w:tab w:val="left" w:pos="2014"/>
        </w:tabs>
        <w:spacing w:line="360" w:lineRule="auto"/>
        <w:ind w:left="1080"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项目属性见《投标人须知资料表》。</w:t>
      </w:r>
    </w:p>
    <w:p w14:paraId="5AFEE875">
      <w:pPr>
        <w:keepNext w:val="0"/>
        <w:keepLines w:val="0"/>
        <w:pageBreakBefore w:val="0"/>
        <w:widowControl w:val="0"/>
        <w:numPr>
          <w:ilvl w:val="1"/>
          <w:numId w:val="8"/>
        </w:numPr>
        <w:tabs>
          <w:tab w:val="left" w:pos="1080"/>
          <w:tab w:val="left" w:pos="2014"/>
        </w:tabs>
        <w:spacing w:line="360" w:lineRule="auto"/>
        <w:ind w:left="1080"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是否属于科研仪器设备采购见《投标人须知资料表》。</w:t>
      </w:r>
      <w:r>
        <w:rPr>
          <w:rFonts w:hint="eastAsia" w:ascii="宋体" w:hAnsi="宋体" w:eastAsia="宋体" w:cs="宋体"/>
          <w:color w:val="auto"/>
          <w:sz w:val="24"/>
          <w:szCs w:val="24"/>
          <w:highlight w:val="none"/>
          <w:lang w:eastAsia="zh-CN"/>
        </w:rPr>
        <w:t>（本项目不涉及）</w:t>
      </w:r>
    </w:p>
    <w:p w14:paraId="7B642993">
      <w:pPr>
        <w:keepNext w:val="0"/>
        <w:keepLines w:val="0"/>
        <w:pageBreakBefore w:val="0"/>
        <w:widowControl w:val="0"/>
        <w:numPr>
          <w:ilvl w:val="1"/>
          <w:numId w:val="8"/>
        </w:numPr>
        <w:tabs>
          <w:tab w:val="left" w:pos="1080"/>
          <w:tab w:val="left" w:pos="2014"/>
        </w:tabs>
        <w:spacing w:line="360" w:lineRule="auto"/>
        <w:ind w:left="1080"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核心产品见《投标人须知资料表》。</w:t>
      </w:r>
      <w:r>
        <w:rPr>
          <w:rFonts w:hint="eastAsia" w:ascii="宋体" w:hAnsi="宋体" w:eastAsia="宋体" w:cs="宋体"/>
          <w:color w:val="auto"/>
          <w:sz w:val="24"/>
          <w:szCs w:val="24"/>
          <w:highlight w:val="none"/>
          <w:lang w:eastAsia="zh-CN"/>
        </w:rPr>
        <w:t>（本项目不涉及）</w:t>
      </w:r>
    </w:p>
    <w:p w14:paraId="33D018A9">
      <w:pPr>
        <w:keepNext w:val="0"/>
        <w:keepLines w:val="0"/>
        <w:pageBreakBefore w:val="0"/>
        <w:widowControl w:val="0"/>
        <w:numPr>
          <w:ilvl w:val="0"/>
          <w:numId w:val="8"/>
        </w:numPr>
        <w:tabs>
          <w:tab w:val="left" w:pos="360"/>
        </w:tabs>
        <w:spacing w:line="360" w:lineRule="auto"/>
        <w:ind w:left="357" w:hanging="357"/>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现场考察、开标前答疑会</w:t>
      </w:r>
    </w:p>
    <w:p w14:paraId="64EB47D7">
      <w:pPr>
        <w:keepNext w:val="0"/>
        <w:keepLines w:val="0"/>
        <w:pageBreakBefore w:val="0"/>
        <w:widowControl w:val="0"/>
        <w:numPr>
          <w:ilvl w:val="1"/>
          <w:numId w:val="8"/>
        </w:numPr>
        <w:tabs>
          <w:tab w:val="left" w:pos="1080"/>
          <w:tab w:val="left" w:pos="2014"/>
        </w:tabs>
        <w:spacing w:line="360" w:lineRule="auto"/>
        <w:ind w:left="1080"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若《投标人须知资料表》中规定了组织现场考察、召开开标前答疑会，则投标人应按要求在规定的时间和地点参加。</w:t>
      </w:r>
      <w:bookmarkStart w:id="139" w:name="_Toc226965795"/>
      <w:bookmarkStart w:id="140" w:name="_Toc151193910"/>
      <w:bookmarkStart w:id="141" w:name="_Toc142311024"/>
      <w:bookmarkStart w:id="142" w:name="_Toc151193620"/>
      <w:bookmarkStart w:id="143" w:name="_Toc151193692"/>
      <w:bookmarkStart w:id="144" w:name="_Toc226309766"/>
      <w:bookmarkStart w:id="145" w:name="_Toc305158790"/>
      <w:bookmarkStart w:id="146" w:name="_Toc151193764"/>
      <w:bookmarkStart w:id="147" w:name="_Toc150774622"/>
      <w:bookmarkStart w:id="148" w:name="_Toc226337218"/>
      <w:bookmarkStart w:id="149" w:name="_Toc150509273"/>
      <w:bookmarkStart w:id="150" w:name="_Toc150480760"/>
      <w:bookmarkStart w:id="151" w:name="_Toc195842887"/>
      <w:bookmarkStart w:id="152" w:name="_Toc151193836"/>
      <w:bookmarkStart w:id="153" w:name="_Toc150774727"/>
      <w:bookmarkStart w:id="154" w:name="_Toc151190149"/>
      <w:bookmarkStart w:id="155" w:name="_Toc127151522"/>
      <w:bookmarkStart w:id="156" w:name="_Toc226965712"/>
      <w:bookmarkStart w:id="157" w:name="_Toc265228360"/>
      <w:bookmarkStart w:id="158" w:name="_Toc305158864"/>
      <w:bookmarkStart w:id="159" w:name="_Toc264969212"/>
      <w:bookmarkStart w:id="160" w:name="_Toc520356146"/>
    </w:p>
    <w:p w14:paraId="7207CEBC">
      <w:pPr>
        <w:keepNext w:val="0"/>
        <w:keepLines w:val="0"/>
        <w:pageBreakBefore w:val="0"/>
        <w:widowControl w:val="0"/>
        <w:numPr>
          <w:ilvl w:val="1"/>
          <w:numId w:val="8"/>
        </w:numPr>
        <w:tabs>
          <w:tab w:val="left" w:pos="1080"/>
          <w:tab w:val="left" w:pos="2014"/>
        </w:tabs>
        <w:spacing w:line="360" w:lineRule="auto"/>
        <w:ind w:left="1080"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由于未参加现场考察或开标前答疑会而导致对项目实际情况不了解，影响投标文件编制、投标报价准确性、综合因素响应不全面等问题的，由投标人自行承担不利评审后果。</w:t>
      </w:r>
    </w:p>
    <w:p w14:paraId="225503B9">
      <w:pPr>
        <w:keepNext w:val="0"/>
        <w:keepLines w:val="0"/>
        <w:pageBreakBefore w:val="0"/>
        <w:widowControl w:val="0"/>
        <w:numPr>
          <w:ilvl w:val="0"/>
          <w:numId w:val="8"/>
        </w:numPr>
        <w:tabs>
          <w:tab w:val="left" w:pos="360"/>
        </w:tabs>
        <w:spacing w:line="360" w:lineRule="auto"/>
        <w:ind w:left="357" w:hanging="357"/>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样品</w:t>
      </w:r>
      <w:r>
        <w:rPr>
          <w:rFonts w:hint="eastAsia" w:ascii="宋体" w:hAnsi="宋体" w:eastAsia="宋体" w:cs="宋体"/>
          <w:color w:val="auto"/>
          <w:sz w:val="24"/>
          <w:szCs w:val="24"/>
          <w:highlight w:val="none"/>
          <w:lang w:eastAsia="zh-CN"/>
        </w:rPr>
        <w:t>（本项目不涉及）</w:t>
      </w:r>
    </w:p>
    <w:p w14:paraId="465C199B">
      <w:pPr>
        <w:keepNext w:val="0"/>
        <w:keepLines w:val="0"/>
        <w:pageBreakBefore w:val="0"/>
        <w:widowControl w:val="0"/>
        <w:numPr>
          <w:ilvl w:val="1"/>
          <w:numId w:val="8"/>
        </w:numPr>
        <w:tabs>
          <w:tab w:val="left" w:pos="1080"/>
          <w:tab w:val="left" w:pos="2014"/>
        </w:tabs>
        <w:spacing w:line="360" w:lineRule="auto"/>
        <w:ind w:left="1080"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本项目是否要求投标人提供样品，以及样品制作的标准和要求、是否需要随样品提交相关检测报告、样品的递交与退还等要求见《投标人须知资料表》。</w:t>
      </w:r>
    </w:p>
    <w:p w14:paraId="73B326AC">
      <w:pPr>
        <w:keepNext w:val="0"/>
        <w:keepLines w:val="0"/>
        <w:pageBreakBefore w:val="0"/>
        <w:widowControl w:val="0"/>
        <w:numPr>
          <w:ilvl w:val="1"/>
          <w:numId w:val="8"/>
        </w:numPr>
        <w:tabs>
          <w:tab w:val="left" w:pos="1080"/>
          <w:tab w:val="left" w:pos="2014"/>
        </w:tabs>
        <w:spacing w:line="360" w:lineRule="auto"/>
        <w:ind w:left="1080"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样品的评审方法以及评审标准等内容见第四章《评标方法和评标标准》。</w:t>
      </w:r>
    </w:p>
    <w:p w14:paraId="05288826">
      <w:pPr>
        <w:keepNext w:val="0"/>
        <w:keepLines w:val="0"/>
        <w:pageBreakBefore w:val="0"/>
        <w:widowControl w:val="0"/>
        <w:numPr>
          <w:ilvl w:val="0"/>
          <w:numId w:val="8"/>
        </w:numPr>
        <w:tabs>
          <w:tab w:val="left" w:pos="360"/>
        </w:tabs>
        <w:spacing w:line="360" w:lineRule="auto"/>
        <w:ind w:left="357" w:hanging="357"/>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政府采购政策（包括但不限于下列具体政策要求）</w:t>
      </w:r>
    </w:p>
    <w:p w14:paraId="70093326">
      <w:pPr>
        <w:keepNext w:val="0"/>
        <w:keepLines w:val="0"/>
        <w:pageBreakBefore w:val="0"/>
        <w:widowControl w:val="0"/>
        <w:numPr>
          <w:ilvl w:val="1"/>
          <w:numId w:val="8"/>
        </w:numPr>
        <w:tabs>
          <w:tab w:val="left" w:pos="1080"/>
          <w:tab w:val="left" w:pos="2014"/>
        </w:tabs>
        <w:spacing w:line="360" w:lineRule="auto"/>
        <w:ind w:left="1080"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进口产品</w:t>
      </w:r>
      <w:r>
        <w:rPr>
          <w:rFonts w:hint="eastAsia" w:ascii="宋体" w:hAnsi="宋体" w:eastAsia="宋体" w:cs="宋体"/>
          <w:color w:val="auto"/>
          <w:sz w:val="24"/>
          <w:szCs w:val="24"/>
          <w:highlight w:val="none"/>
          <w:lang w:eastAsia="zh-CN"/>
        </w:rPr>
        <w:t>（本项目不涉及）</w:t>
      </w:r>
    </w:p>
    <w:p w14:paraId="4F759C05">
      <w:pPr>
        <w:keepNext w:val="0"/>
        <w:keepLines w:val="0"/>
        <w:pageBreakBefore w:val="0"/>
        <w:widowControl w:val="0"/>
        <w:numPr>
          <w:ilvl w:val="2"/>
          <w:numId w:val="8"/>
        </w:numPr>
        <w:tabs>
          <w:tab w:val="left" w:pos="2014"/>
        </w:tabs>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0B3369A4">
      <w:pPr>
        <w:keepNext w:val="0"/>
        <w:keepLines w:val="0"/>
        <w:pageBreakBefore w:val="0"/>
        <w:widowControl w:val="0"/>
        <w:numPr>
          <w:ilvl w:val="1"/>
          <w:numId w:val="8"/>
        </w:numPr>
        <w:tabs>
          <w:tab w:val="left" w:pos="1080"/>
          <w:tab w:val="left" w:pos="2014"/>
        </w:tabs>
        <w:spacing w:line="360" w:lineRule="auto"/>
        <w:ind w:left="1080"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中小企业、监狱企业及残疾人福利性单位</w:t>
      </w:r>
    </w:p>
    <w:p w14:paraId="7048DAAB">
      <w:pPr>
        <w:keepNext w:val="0"/>
        <w:keepLines w:val="0"/>
        <w:pageBreakBefore w:val="0"/>
        <w:widowControl w:val="0"/>
        <w:numPr>
          <w:ilvl w:val="2"/>
          <w:numId w:val="8"/>
        </w:num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中小企业定义：</w:t>
      </w:r>
    </w:p>
    <w:p w14:paraId="1A18F89E">
      <w:pPr>
        <w:pStyle w:val="297"/>
        <w:keepNext w:val="0"/>
        <w:keepLines w:val="0"/>
        <w:pageBreakBefore w:val="0"/>
        <w:widowControl w:val="0"/>
        <w:numPr>
          <w:ilvl w:val="0"/>
          <w:numId w:val="9"/>
        </w:numPr>
        <w:tabs>
          <w:tab w:val="left" w:pos="1980"/>
          <w:tab w:val="left" w:pos="2035"/>
          <w:tab w:val="left" w:pos="2977"/>
        </w:tabs>
        <w:spacing w:line="360" w:lineRule="auto"/>
        <w:outlineLvl w:val="9"/>
        <w:rPr>
          <w:rFonts w:hint="eastAsia" w:ascii="宋体" w:hAnsi="宋体" w:eastAsia="宋体" w:cs="宋体"/>
          <w:vanish/>
          <w:color w:val="auto"/>
          <w:sz w:val="24"/>
          <w:szCs w:val="24"/>
          <w:highlight w:val="none"/>
        </w:rPr>
      </w:pPr>
    </w:p>
    <w:p w14:paraId="6D9E6B73">
      <w:pPr>
        <w:pStyle w:val="297"/>
        <w:keepNext w:val="0"/>
        <w:keepLines w:val="0"/>
        <w:pageBreakBefore w:val="0"/>
        <w:widowControl w:val="0"/>
        <w:numPr>
          <w:ilvl w:val="0"/>
          <w:numId w:val="9"/>
        </w:numPr>
        <w:tabs>
          <w:tab w:val="left" w:pos="1980"/>
          <w:tab w:val="left" w:pos="2035"/>
          <w:tab w:val="left" w:pos="2977"/>
        </w:tabs>
        <w:spacing w:line="360" w:lineRule="auto"/>
        <w:outlineLvl w:val="9"/>
        <w:rPr>
          <w:rFonts w:hint="eastAsia" w:ascii="宋体" w:hAnsi="宋体" w:eastAsia="宋体" w:cs="宋体"/>
          <w:vanish/>
          <w:color w:val="auto"/>
          <w:sz w:val="24"/>
          <w:szCs w:val="24"/>
          <w:highlight w:val="none"/>
        </w:rPr>
      </w:pPr>
    </w:p>
    <w:p w14:paraId="36258E79">
      <w:pPr>
        <w:pStyle w:val="297"/>
        <w:keepNext w:val="0"/>
        <w:keepLines w:val="0"/>
        <w:pageBreakBefore w:val="0"/>
        <w:widowControl w:val="0"/>
        <w:numPr>
          <w:ilvl w:val="0"/>
          <w:numId w:val="9"/>
        </w:numPr>
        <w:tabs>
          <w:tab w:val="left" w:pos="1980"/>
          <w:tab w:val="left" w:pos="2035"/>
          <w:tab w:val="left" w:pos="2977"/>
        </w:tabs>
        <w:spacing w:line="360" w:lineRule="auto"/>
        <w:outlineLvl w:val="9"/>
        <w:rPr>
          <w:rFonts w:hint="eastAsia" w:ascii="宋体" w:hAnsi="宋体" w:eastAsia="宋体" w:cs="宋体"/>
          <w:vanish/>
          <w:color w:val="auto"/>
          <w:sz w:val="24"/>
          <w:szCs w:val="24"/>
          <w:highlight w:val="none"/>
        </w:rPr>
      </w:pPr>
    </w:p>
    <w:p w14:paraId="1D6018CA">
      <w:pPr>
        <w:pStyle w:val="297"/>
        <w:keepNext w:val="0"/>
        <w:keepLines w:val="0"/>
        <w:pageBreakBefore w:val="0"/>
        <w:widowControl w:val="0"/>
        <w:numPr>
          <w:ilvl w:val="0"/>
          <w:numId w:val="9"/>
        </w:numPr>
        <w:tabs>
          <w:tab w:val="left" w:pos="1980"/>
          <w:tab w:val="left" w:pos="2035"/>
          <w:tab w:val="left" w:pos="2977"/>
        </w:tabs>
        <w:spacing w:line="360" w:lineRule="auto"/>
        <w:outlineLvl w:val="9"/>
        <w:rPr>
          <w:rFonts w:hint="eastAsia" w:ascii="宋体" w:hAnsi="宋体" w:eastAsia="宋体" w:cs="宋体"/>
          <w:vanish/>
          <w:color w:val="auto"/>
          <w:sz w:val="24"/>
          <w:szCs w:val="24"/>
          <w:highlight w:val="none"/>
        </w:rPr>
      </w:pPr>
    </w:p>
    <w:p w14:paraId="5B5F064E">
      <w:pPr>
        <w:pStyle w:val="297"/>
        <w:keepNext w:val="0"/>
        <w:keepLines w:val="0"/>
        <w:pageBreakBefore w:val="0"/>
        <w:widowControl w:val="0"/>
        <w:numPr>
          <w:ilvl w:val="0"/>
          <w:numId w:val="9"/>
        </w:numPr>
        <w:tabs>
          <w:tab w:val="left" w:pos="1980"/>
          <w:tab w:val="left" w:pos="2035"/>
          <w:tab w:val="left" w:pos="2977"/>
        </w:tabs>
        <w:spacing w:line="360" w:lineRule="auto"/>
        <w:outlineLvl w:val="9"/>
        <w:rPr>
          <w:rFonts w:hint="eastAsia" w:ascii="宋体" w:hAnsi="宋体" w:eastAsia="宋体" w:cs="宋体"/>
          <w:vanish/>
          <w:color w:val="auto"/>
          <w:sz w:val="24"/>
          <w:szCs w:val="24"/>
          <w:highlight w:val="none"/>
        </w:rPr>
      </w:pPr>
    </w:p>
    <w:p w14:paraId="5A6BFB64">
      <w:pPr>
        <w:pStyle w:val="297"/>
        <w:keepNext w:val="0"/>
        <w:keepLines w:val="0"/>
        <w:pageBreakBefore w:val="0"/>
        <w:widowControl w:val="0"/>
        <w:numPr>
          <w:ilvl w:val="1"/>
          <w:numId w:val="9"/>
        </w:numPr>
        <w:tabs>
          <w:tab w:val="left" w:pos="1980"/>
          <w:tab w:val="left" w:pos="2035"/>
          <w:tab w:val="left" w:pos="2977"/>
        </w:tabs>
        <w:spacing w:line="360" w:lineRule="auto"/>
        <w:outlineLvl w:val="9"/>
        <w:rPr>
          <w:rFonts w:hint="eastAsia" w:ascii="宋体" w:hAnsi="宋体" w:eastAsia="宋体" w:cs="宋体"/>
          <w:vanish/>
          <w:color w:val="auto"/>
          <w:sz w:val="24"/>
          <w:szCs w:val="24"/>
          <w:highlight w:val="none"/>
        </w:rPr>
      </w:pPr>
    </w:p>
    <w:p w14:paraId="4137C549">
      <w:pPr>
        <w:pStyle w:val="297"/>
        <w:keepNext w:val="0"/>
        <w:keepLines w:val="0"/>
        <w:pageBreakBefore w:val="0"/>
        <w:widowControl w:val="0"/>
        <w:numPr>
          <w:ilvl w:val="1"/>
          <w:numId w:val="9"/>
        </w:numPr>
        <w:tabs>
          <w:tab w:val="left" w:pos="1980"/>
          <w:tab w:val="left" w:pos="2035"/>
          <w:tab w:val="left" w:pos="2977"/>
        </w:tabs>
        <w:spacing w:line="360" w:lineRule="auto"/>
        <w:outlineLvl w:val="9"/>
        <w:rPr>
          <w:rFonts w:hint="eastAsia" w:ascii="宋体" w:hAnsi="宋体" w:eastAsia="宋体" w:cs="宋体"/>
          <w:vanish/>
          <w:color w:val="auto"/>
          <w:sz w:val="24"/>
          <w:szCs w:val="24"/>
          <w:highlight w:val="none"/>
        </w:rPr>
      </w:pPr>
    </w:p>
    <w:p w14:paraId="3B1A3973">
      <w:pPr>
        <w:pStyle w:val="297"/>
        <w:keepNext w:val="0"/>
        <w:keepLines w:val="0"/>
        <w:pageBreakBefore w:val="0"/>
        <w:widowControl w:val="0"/>
        <w:numPr>
          <w:ilvl w:val="2"/>
          <w:numId w:val="9"/>
        </w:numPr>
        <w:tabs>
          <w:tab w:val="left" w:pos="2035"/>
          <w:tab w:val="left" w:pos="2977"/>
        </w:tabs>
        <w:spacing w:line="360" w:lineRule="auto"/>
        <w:outlineLvl w:val="9"/>
        <w:rPr>
          <w:rFonts w:hint="eastAsia" w:ascii="宋体" w:hAnsi="宋体" w:eastAsia="宋体" w:cs="宋体"/>
          <w:vanish/>
          <w:color w:val="auto"/>
          <w:sz w:val="24"/>
          <w:szCs w:val="24"/>
          <w:highlight w:val="none"/>
        </w:rPr>
      </w:pPr>
    </w:p>
    <w:p w14:paraId="0B7641B9">
      <w:pPr>
        <w:keepNext w:val="0"/>
        <w:keepLines w:val="0"/>
        <w:pageBreakBefore w:val="0"/>
        <w:widowControl w:val="0"/>
        <w:numPr>
          <w:ilvl w:val="3"/>
          <w:numId w:val="9"/>
        </w:numPr>
        <w:tabs>
          <w:tab w:val="left" w:pos="1980"/>
          <w:tab w:val="left" w:pos="2035"/>
          <w:tab w:val="left" w:pos="2885"/>
          <w:tab w:val="left" w:pos="2977"/>
        </w:tabs>
        <w:spacing w:line="360" w:lineRule="auto"/>
        <w:ind w:left="2885"/>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5294522D">
      <w:pPr>
        <w:keepNext w:val="0"/>
        <w:keepLines w:val="0"/>
        <w:pageBreakBefore w:val="0"/>
        <w:widowControl w:val="0"/>
        <w:numPr>
          <w:ilvl w:val="3"/>
          <w:numId w:val="9"/>
        </w:numPr>
        <w:tabs>
          <w:tab w:val="left" w:pos="1980"/>
          <w:tab w:val="left" w:pos="2035"/>
          <w:tab w:val="left" w:pos="2885"/>
          <w:tab w:val="left" w:pos="2977"/>
        </w:tabs>
        <w:spacing w:line="360" w:lineRule="auto"/>
        <w:ind w:left="2885"/>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供应商提供的货物、工程或者服务符合下列情形的，享受中小企业扶持政策：</w:t>
      </w:r>
    </w:p>
    <w:p w14:paraId="6C83D79B">
      <w:pPr>
        <w:keepNext w:val="0"/>
        <w:keepLines w:val="0"/>
        <w:pageBreakBefore w:val="0"/>
        <w:widowControl w:val="0"/>
        <w:tabs>
          <w:tab w:val="left" w:pos="1980"/>
        </w:tabs>
        <w:spacing w:line="360" w:lineRule="auto"/>
        <w:ind w:left="2835"/>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（1）在货物采购项目中，货物由中小企业制造，即货物由中小企业生产且使用该中小企业商号或者注册商标；</w:t>
      </w:r>
    </w:p>
    <w:p w14:paraId="66D3D39C">
      <w:pPr>
        <w:keepNext w:val="0"/>
        <w:keepLines w:val="0"/>
        <w:pageBreakBefore w:val="0"/>
        <w:widowControl w:val="0"/>
        <w:tabs>
          <w:tab w:val="left" w:pos="1980"/>
        </w:tabs>
        <w:spacing w:line="360" w:lineRule="auto"/>
        <w:ind w:left="2835"/>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（2）在工程采购项目中，工程由中小企业承建，即工程施工单位为中小企业；</w:t>
      </w:r>
    </w:p>
    <w:p w14:paraId="5760D3D3">
      <w:pPr>
        <w:keepNext w:val="0"/>
        <w:keepLines w:val="0"/>
        <w:pageBreakBefore w:val="0"/>
        <w:widowControl w:val="0"/>
        <w:tabs>
          <w:tab w:val="left" w:pos="1980"/>
        </w:tabs>
        <w:spacing w:line="360" w:lineRule="auto"/>
        <w:ind w:left="2835"/>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（3）在服务采购项目中，服务由中小企业承接，即提供服务的人员为中小企业依照《中华人民共和国劳动合同法》订立劳动合同的从业人员。</w:t>
      </w:r>
    </w:p>
    <w:p w14:paraId="659B8A6A">
      <w:pPr>
        <w:keepNext w:val="0"/>
        <w:keepLines w:val="0"/>
        <w:pageBreakBefore w:val="0"/>
        <w:widowControl w:val="0"/>
        <w:numPr>
          <w:ilvl w:val="3"/>
          <w:numId w:val="9"/>
        </w:numPr>
        <w:tabs>
          <w:tab w:val="left" w:pos="1980"/>
          <w:tab w:val="left" w:pos="2035"/>
          <w:tab w:val="left" w:pos="2885"/>
          <w:tab w:val="left" w:pos="2977"/>
        </w:tabs>
        <w:spacing w:line="360" w:lineRule="auto"/>
        <w:ind w:left="2885"/>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在货物采购项目中，供应商提供的货物既有中小企业制造货物，也有大型企业制造货物的，不享受中小企业扶持政策。</w:t>
      </w:r>
    </w:p>
    <w:p w14:paraId="691F089A">
      <w:pPr>
        <w:keepNext w:val="0"/>
        <w:keepLines w:val="0"/>
        <w:pageBreakBefore w:val="0"/>
        <w:widowControl w:val="0"/>
        <w:numPr>
          <w:ilvl w:val="3"/>
          <w:numId w:val="9"/>
        </w:numPr>
        <w:tabs>
          <w:tab w:val="left" w:pos="1980"/>
          <w:tab w:val="left" w:pos="2035"/>
          <w:tab w:val="left" w:pos="2885"/>
          <w:tab w:val="left" w:pos="2977"/>
        </w:tabs>
        <w:spacing w:line="360" w:lineRule="auto"/>
        <w:ind w:left="2885"/>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以联合体形式参加政府采购活动，联合体各方均为中小企业的，联合体视同中小企业。其中，联合体各方均为小微企业的，联合体视同小微企业。</w:t>
      </w:r>
    </w:p>
    <w:p w14:paraId="4208DE0D">
      <w:pPr>
        <w:keepNext w:val="0"/>
        <w:keepLines w:val="0"/>
        <w:pageBreakBefore w:val="0"/>
        <w:widowControl w:val="0"/>
        <w:numPr>
          <w:ilvl w:val="2"/>
          <w:numId w:val="8"/>
        </w:num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A2735BB">
      <w:pPr>
        <w:keepNext w:val="0"/>
        <w:keepLines w:val="0"/>
        <w:pageBreakBefore w:val="0"/>
        <w:widowControl w:val="0"/>
        <w:numPr>
          <w:ilvl w:val="2"/>
          <w:numId w:val="8"/>
        </w:num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残疾人福利单位定义：享受政府采购支持政策的残疾人福利性单位应当同时满足以下条件：</w:t>
      </w:r>
    </w:p>
    <w:p w14:paraId="6298D4F4">
      <w:pPr>
        <w:pStyle w:val="297"/>
        <w:keepNext w:val="0"/>
        <w:keepLines w:val="0"/>
        <w:pageBreakBefore w:val="0"/>
        <w:widowControl w:val="0"/>
        <w:numPr>
          <w:ilvl w:val="2"/>
          <w:numId w:val="9"/>
        </w:numPr>
        <w:tabs>
          <w:tab w:val="left" w:pos="2035"/>
          <w:tab w:val="left" w:pos="2977"/>
        </w:tabs>
        <w:spacing w:line="360" w:lineRule="auto"/>
        <w:outlineLvl w:val="9"/>
        <w:rPr>
          <w:rFonts w:hint="eastAsia" w:ascii="宋体" w:hAnsi="宋体" w:eastAsia="宋体" w:cs="宋体"/>
          <w:vanish/>
          <w:color w:val="auto"/>
          <w:sz w:val="24"/>
          <w:szCs w:val="24"/>
          <w:highlight w:val="none"/>
        </w:rPr>
      </w:pPr>
    </w:p>
    <w:p w14:paraId="255A090A">
      <w:pPr>
        <w:pStyle w:val="297"/>
        <w:keepNext w:val="0"/>
        <w:keepLines w:val="0"/>
        <w:pageBreakBefore w:val="0"/>
        <w:widowControl w:val="0"/>
        <w:numPr>
          <w:ilvl w:val="2"/>
          <w:numId w:val="9"/>
        </w:numPr>
        <w:tabs>
          <w:tab w:val="left" w:pos="2035"/>
          <w:tab w:val="left" w:pos="2977"/>
        </w:tabs>
        <w:spacing w:line="360" w:lineRule="auto"/>
        <w:outlineLvl w:val="9"/>
        <w:rPr>
          <w:rFonts w:hint="eastAsia" w:ascii="宋体" w:hAnsi="宋体" w:eastAsia="宋体" w:cs="宋体"/>
          <w:vanish/>
          <w:color w:val="auto"/>
          <w:sz w:val="24"/>
          <w:szCs w:val="24"/>
          <w:highlight w:val="none"/>
        </w:rPr>
      </w:pPr>
    </w:p>
    <w:p w14:paraId="37D9BB91">
      <w:pPr>
        <w:keepNext w:val="0"/>
        <w:keepLines w:val="0"/>
        <w:pageBreakBefore w:val="0"/>
        <w:widowControl w:val="0"/>
        <w:numPr>
          <w:ilvl w:val="3"/>
          <w:numId w:val="9"/>
        </w:numPr>
        <w:tabs>
          <w:tab w:val="left" w:pos="1980"/>
          <w:tab w:val="left" w:pos="2035"/>
          <w:tab w:val="left" w:pos="2885"/>
          <w:tab w:val="left" w:pos="2977"/>
        </w:tabs>
        <w:spacing w:line="360" w:lineRule="auto"/>
        <w:ind w:left="2885"/>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安置的残疾人占本单位在职职工人数的比例不低于25%（含25%），并且安置的残疾人人数不少于10 人（含10 人）；</w:t>
      </w:r>
    </w:p>
    <w:p w14:paraId="1AE354FA">
      <w:pPr>
        <w:keepNext w:val="0"/>
        <w:keepLines w:val="0"/>
        <w:pageBreakBefore w:val="0"/>
        <w:widowControl w:val="0"/>
        <w:numPr>
          <w:ilvl w:val="3"/>
          <w:numId w:val="9"/>
        </w:numPr>
        <w:tabs>
          <w:tab w:val="left" w:pos="1980"/>
          <w:tab w:val="left" w:pos="2035"/>
          <w:tab w:val="left" w:pos="2885"/>
          <w:tab w:val="left" w:pos="2977"/>
        </w:tabs>
        <w:spacing w:line="360" w:lineRule="auto"/>
        <w:ind w:left="2885"/>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依法与安置的每位残疾人签订了一年以上（含一年）的劳动合同或服务协议；</w:t>
      </w:r>
    </w:p>
    <w:p w14:paraId="2829807E">
      <w:pPr>
        <w:keepNext w:val="0"/>
        <w:keepLines w:val="0"/>
        <w:pageBreakBefore w:val="0"/>
        <w:widowControl w:val="0"/>
        <w:numPr>
          <w:ilvl w:val="3"/>
          <w:numId w:val="9"/>
        </w:numPr>
        <w:tabs>
          <w:tab w:val="left" w:pos="1980"/>
          <w:tab w:val="left" w:pos="2035"/>
          <w:tab w:val="left" w:pos="2885"/>
          <w:tab w:val="left" w:pos="2977"/>
        </w:tabs>
        <w:spacing w:line="360" w:lineRule="auto"/>
        <w:ind w:left="2885"/>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为安置的每位残疾人按月足额缴纳了基本养老保险、基本医疗保险、失业保险、工伤保险和生育保险等社会保险费；</w:t>
      </w:r>
    </w:p>
    <w:p w14:paraId="10D1573B">
      <w:pPr>
        <w:keepNext w:val="0"/>
        <w:keepLines w:val="0"/>
        <w:pageBreakBefore w:val="0"/>
        <w:widowControl w:val="0"/>
        <w:numPr>
          <w:ilvl w:val="3"/>
          <w:numId w:val="9"/>
        </w:numPr>
        <w:tabs>
          <w:tab w:val="left" w:pos="1980"/>
          <w:tab w:val="left" w:pos="2035"/>
          <w:tab w:val="left" w:pos="2885"/>
          <w:tab w:val="left" w:pos="2977"/>
        </w:tabs>
        <w:spacing w:line="360" w:lineRule="auto"/>
        <w:ind w:left="2885"/>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通过银行等金融机构向安置的每位残疾人，按月支付了不低于单位所在区县适用的经省级人民政府批准的月最低工资标准的工资；</w:t>
      </w:r>
    </w:p>
    <w:p w14:paraId="2B349D25">
      <w:pPr>
        <w:keepNext w:val="0"/>
        <w:keepLines w:val="0"/>
        <w:pageBreakBefore w:val="0"/>
        <w:widowControl w:val="0"/>
        <w:numPr>
          <w:ilvl w:val="3"/>
          <w:numId w:val="9"/>
        </w:numPr>
        <w:tabs>
          <w:tab w:val="left" w:pos="1980"/>
          <w:tab w:val="left" w:pos="2035"/>
          <w:tab w:val="left" w:pos="2885"/>
          <w:tab w:val="left" w:pos="2977"/>
        </w:tabs>
        <w:spacing w:line="360" w:lineRule="auto"/>
        <w:ind w:left="2885"/>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提供本单位制造的货物、承担的工程或者服务（以下简称产品），或者提供其他残疾人福利性单位制造的货物（不包括使用非残疾人福利性单位注册商标的货物）；</w:t>
      </w:r>
    </w:p>
    <w:p w14:paraId="27AEF700">
      <w:pPr>
        <w:keepNext w:val="0"/>
        <w:keepLines w:val="0"/>
        <w:pageBreakBefore w:val="0"/>
        <w:widowControl w:val="0"/>
        <w:numPr>
          <w:ilvl w:val="3"/>
          <w:numId w:val="9"/>
        </w:numPr>
        <w:tabs>
          <w:tab w:val="left" w:pos="1980"/>
          <w:tab w:val="left" w:pos="2035"/>
          <w:tab w:val="left" w:pos="2885"/>
          <w:tab w:val="left" w:pos="2977"/>
        </w:tabs>
        <w:spacing w:line="360" w:lineRule="auto"/>
        <w:ind w:left="2885"/>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773D4914">
      <w:pPr>
        <w:keepNext w:val="0"/>
        <w:keepLines w:val="0"/>
        <w:pageBreakBefore w:val="0"/>
        <w:widowControl w:val="0"/>
        <w:numPr>
          <w:ilvl w:val="2"/>
          <w:numId w:val="8"/>
        </w:num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本项目是否专门面向中小企业预留采购份额见第一章《投标邀请》。</w:t>
      </w:r>
    </w:p>
    <w:p w14:paraId="7FAF9144">
      <w:pPr>
        <w:keepNext w:val="0"/>
        <w:keepLines w:val="0"/>
        <w:pageBreakBefore w:val="0"/>
        <w:widowControl w:val="0"/>
        <w:numPr>
          <w:ilvl w:val="2"/>
          <w:numId w:val="8"/>
        </w:num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采购标的对应的中小企业划分标准所属行业见《投标人须知资料表》。</w:t>
      </w:r>
    </w:p>
    <w:p w14:paraId="612195A1">
      <w:pPr>
        <w:keepNext w:val="0"/>
        <w:keepLines w:val="0"/>
        <w:pageBreakBefore w:val="0"/>
        <w:widowControl w:val="0"/>
        <w:numPr>
          <w:ilvl w:val="2"/>
          <w:numId w:val="8"/>
        </w:num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小微企业价格评审优惠的政策调整：见第四章《评标方法和评标标准》。</w:t>
      </w:r>
    </w:p>
    <w:p w14:paraId="51C2A7EE">
      <w:pPr>
        <w:keepNext w:val="0"/>
        <w:keepLines w:val="0"/>
        <w:pageBreakBefore w:val="0"/>
        <w:widowControl w:val="0"/>
        <w:numPr>
          <w:ilvl w:val="1"/>
          <w:numId w:val="8"/>
        </w:numPr>
        <w:tabs>
          <w:tab w:val="left" w:pos="1080"/>
          <w:tab w:val="left" w:pos="2014"/>
        </w:tabs>
        <w:spacing w:line="360" w:lineRule="auto"/>
        <w:ind w:left="1080"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政府采购节能产品、环境标志产品</w:t>
      </w:r>
      <w:r>
        <w:rPr>
          <w:rFonts w:hint="eastAsia" w:ascii="宋体" w:hAnsi="宋体" w:eastAsia="宋体" w:cs="宋体"/>
          <w:color w:val="auto"/>
          <w:sz w:val="24"/>
          <w:szCs w:val="24"/>
          <w:highlight w:val="none"/>
          <w:lang w:eastAsia="zh-CN"/>
        </w:rPr>
        <w:t>（本项目不涉及）</w:t>
      </w:r>
    </w:p>
    <w:p w14:paraId="51F462FD">
      <w:pPr>
        <w:keepNext w:val="0"/>
        <w:keepLines w:val="0"/>
        <w:pageBreakBefore w:val="0"/>
        <w:widowControl w:val="0"/>
        <w:numPr>
          <w:ilvl w:val="2"/>
          <w:numId w:val="8"/>
        </w:num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3F2841BB">
      <w:pPr>
        <w:keepNext w:val="0"/>
        <w:keepLines w:val="0"/>
        <w:pageBreakBefore w:val="0"/>
        <w:widowControl w:val="0"/>
        <w:numPr>
          <w:ilvl w:val="2"/>
          <w:numId w:val="8"/>
        </w:num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59201064">
      <w:pPr>
        <w:keepNext w:val="0"/>
        <w:keepLines w:val="0"/>
        <w:pageBreakBefore w:val="0"/>
        <w:widowControl w:val="0"/>
        <w:numPr>
          <w:ilvl w:val="2"/>
          <w:numId w:val="8"/>
        </w:num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如本项目采购产品属于实施政府强制采购品目清单范围的节能产品，则投标人所报产品必须获得国家确定的认证机构出具的、处于有效期之内的节能产品认证证书，否则</w:t>
      </w:r>
      <w:r>
        <w:rPr>
          <w:rFonts w:hint="eastAsia" w:ascii="宋体" w:hAnsi="宋体" w:eastAsia="宋体" w:cs="宋体"/>
          <w:b/>
          <w:color w:val="auto"/>
          <w:sz w:val="24"/>
          <w:szCs w:val="24"/>
          <w:highlight w:val="none"/>
        </w:rPr>
        <w:t>投标无效</w:t>
      </w:r>
      <w:r>
        <w:rPr>
          <w:rFonts w:hint="eastAsia" w:ascii="宋体" w:hAnsi="宋体" w:eastAsia="宋体" w:cs="宋体"/>
          <w:color w:val="auto"/>
          <w:sz w:val="24"/>
          <w:szCs w:val="24"/>
          <w:highlight w:val="none"/>
        </w:rPr>
        <w:t>；</w:t>
      </w:r>
    </w:p>
    <w:p w14:paraId="48F0492D">
      <w:pPr>
        <w:keepNext w:val="0"/>
        <w:keepLines w:val="0"/>
        <w:pageBreakBefore w:val="0"/>
        <w:widowControl w:val="0"/>
        <w:numPr>
          <w:ilvl w:val="2"/>
          <w:numId w:val="8"/>
        </w:num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非政府强制采购的节能产品或环境标志产品，依据品目清单和认证证书实施政府优先采购。优先采购的具体规定见第四章《评标方法和评标标准》（</w:t>
      </w:r>
      <w:r>
        <w:rPr>
          <w:rFonts w:hint="eastAsia" w:ascii="宋体" w:hAnsi="宋体" w:eastAsia="宋体" w:cs="宋体"/>
          <w:color w:val="auto"/>
          <w:sz w:val="24"/>
          <w:szCs w:val="24"/>
          <w:highlight w:val="none"/>
          <w:lang w:val="en-US" w:eastAsia="zh-CN"/>
        </w:rPr>
        <w:t>本项目不</w:t>
      </w:r>
      <w:r>
        <w:rPr>
          <w:rFonts w:hint="eastAsia" w:ascii="宋体" w:hAnsi="宋体" w:eastAsia="宋体" w:cs="宋体"/>
          <w:color w:val="auto"/>
          <w:sz w:val="24"/>
          <w:szCs w:val="24"/>
          <w:highlight w:val="none"/>
        </w:rPr>
        <w:t>涉及）。</w:t>
      </w:r>
    </w:p>
    <w:p w14:paraId="510F626D">
      <w:pPr>
        <w:keepNext w:val="0"/>
        <w:keepLines w:val="0"/>
        <w:pageBreakBefore w:val="0"/>
        <w:widowControl w:val="0"/>
        <w:numPr>
          <w:ilvl w:val="2"/>
          <w:numId w:val="8"/>
        </w:numPr>
        <w:tabs>
          <w:tab w:val="left" w:pos="2014"/>
        </w:tabs>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依据《关于印发〈商品包装政府采购需求标准（试行）〉、〈快递包装政府采购需求标准（试行）〉的通知》（财办库〔2020〕123号）文件精神、财政部 生态环境部 工业和信息化部关于印发《绿色数据中心政府采购需求标准(试行)"的通知(财库{2023}7号)文件精神，采购人在采购文件中明确政府采购供应商提供产品及相关快递服务的具体包装要求的，在政府采购合同中载明对政府采购供应商提供产品及相关快递服务的具体包装要求和履约验收相关条款的，中标供应商必须严格执行，必要时应按照要求在履约验收环节出具检测报告。</w:t>
      </w:r>
    </w:p>
    <w:p w14:paraId="277A10F8">
      <w:pPr>
        <w:keepNext w:val="0"/>
        <w:keepLines w:val="0"/>
        <w:pageBreakBefore w:val="0"/>
        <w:widowControl w:val="0"/>
        <w:numPr>
          <w:ilvl w:val="1"/>
          <w:numId w:val="8"/>
        </w:numPr>
        <w:tabs>
          <w:tab w:val="left" w:pos="1080"/>
          <w:tab w:val="left" w:pos="2014"/>
        </w:tabs>
        <w:spacing w:line="360" w:lineRule="auto"/>
        <w:ind w:left="1080"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支持乡村产业振兴管理（</w:t>
      </w:r>
      <w:r>
        <w:rPr>
          <w:rFonts w:hint="eastAsia" w:ascii="宋体" w:hAnsi="宋体" w:eastAsia="宋体" w:cs="宋体"/>
          <w:color w:val="auto"/>
          <w:sz w:val="24"/>
          <w:szCs w:val="24"/>
          <w:highlight w:val="none"/>
          <w:lang w:val="en-US" w:eastAsia="zh-CN"/>
        </w:rPr>
        <w:t>本项目不</w:t>
      </w:r>
      <w:r>
        <w:rPr>
          <w:rFonts w:hint="eastAsia" w:ascii="宋体" w:hAnsi="宋体" w:eastAsia="宋体" w:cs="宋体"/>
          <w:color w:val="auto"/>
          <w:sz w:val="24"/>
          <w:szCs w:val="24"/>
          <w:highlight w:val="none"/>
        </w:rPr>
        <w:t>涉及）</w:t>
      </w:r>
    </w:p>
    <w:p w14:paraId="4F2D968D">
      <w:pPr>
        <w:keepNext w:val="0"/>
        <w:keepLines w:val="0"/>
        <w:pageBreakBefore w:val="0"/>
        <w:widowControl w:val="0"/>
        <w:numPr>
          <w:ilvl w:val="2"/>
          <w:numId w:val="8"/>
        </w:numPr>
        <w:tabs>
          <w:tab w:val="left" w:pos="2014"/>
        </w:tabs>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为落实《关于运用政府采购政策支持乡村产业振兴的通知》（财库〔2021〕19号）有关要求，做好支持脱贫攻坚工作，本项目采购活动中对于支持乡村振兴管理的相关要求见第五章《采购需求》。</w:t>
      </w:r>
    </w:p>
    <w:p w14:paraId="5BD315D0">
      <w:pPr>
        <w:keepNext w:val="0"/>
        <w:keepLines w:val="0"/>
        <w:pageBreakBefore w:val="0"/>
        <w:widowControl w:val="0"/>
        <w:numPr>
          <w:ilvl w:val="1"/>
          <w:numId w:val="8"/>
        </w:numPr>
        <w:tabs>
          <w:tab w:val="left" w:pos="1080"/>
          <w:tab w:val="left" w:pos="2014"/>
        </w:tabs>
        <w:spacing w:line="360" w:lineRule="auto"/>
        <w:ind w:left="1080"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正版软件</w:t>
      </w:r>
      <w:r>
        <w:rPr>
          <w:rFonts w:hint="eastAsia" w:ascii="宋体" w:hAnsi="宋体" w:eastAsia="宋体" w:cs="宋体"/>
          <w:color w:val="auto"/>
          <w:sz w:val="24"/>
          <w:szCs w:val="24"/>
          <w:highlight w:val="none"/>
          <w:lang w:eastAsia="zh-CN"/>
        </w:rPr>
        <w:t>（本项目不涉及）</w:t>
      </w:r>
    </w:p>
    <w:p w14:paraId="7CD7DD89">
      <w:pPr>
        <w:keepNext w:val="0"/>
        <w:keepLines w:val="0"/>
        <w:pageBreakBefore w:val="0"/>
        <w:widowControl w:val="0"/>
        <w:numPr>
          <w:ilvl w:val="2"/>
          <w:numId w:val="8"/>
        </w:num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ascii="宋体" w:hAnsi="宋体" w:eastAsia="宋体" w:cs="宋体"/>
          <w:b/>
          <w:color w:val="auto"/>
          <w:sz w:val="24"/>
          <w:szCs w:val="24"/>
          <w:highlight w:val="none"/>
        </w:rPr>
        <w:t>投标无效</w:t>
      </w:r>
      <w:r>
        <w:rPr>
          <w:rFonts w:hint="eastAsia" w:ascii="宋体" w:hAnsi="宋体" w:eastAsia="宋体" w:cs="宋体"/>
          <w:color w:val="auto"/>
          <w:sz w:val="24"/>
          <w:szCs w:val="24"/>
          <w:highlight w:val="none"/>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7BFAD780">
      <w:pPr>
        <w:keepNext w:val="0"/>
        <w:keepLines w:val="0"/>
        <w:pageBreakBefore w:val="0"/>
        <w:widowControl w:val="0"/>
        <w:numPr>
          <w:ilvl w:val="2"/>
          <w:numId w:val="8"/>
        </w:num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12E9D47E">
      <w:pPr>
        <w:keepNext w:val="0"/>
        <w:keepLines w:val="0"/>
        <w:pageBreakBefore w:val="0"/>
        <w:widowControl w:val="0"/>
        <w:numPr>
          <w:ilvl w:val="1"/>
          <w:numId w:val="8"/>
        </w:numPr>
        <w:tabs>
          <w:tab w:val="left" w:pos="1080"/>
          <w:tab w:val="left" w:pos="2014"/>
        </w:tabs>
        <w:spacing w:line="360" w:lineRule="auto"/>
        <w:ind w:left="1080"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政府采购创新产品政策</w:t>
      </w:r>
      <w:r>
        <w:rPr>
          <w:rFonts w:hint="eastAsia" w:ascii="宋体" w:hAnsi="宋体" w:eastAsia="宋体" w:cs="宋体"/>
          <w:color w:val="auto"/>
          <w:sz w:val="24"/>
          <w:szCs w:val="24"/>
          <w:highlight w:val="none"/>
          <w:lang w:eastAsia="zh-CN"/>
        </w:rPr>
        <w:t>（本项目不涉及）</w:t>
      </w:r>
    </w:p>
    <w:p w14:paraId="61B37D4F">
      <w:pPr>
        <w:spacing w:line="48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3D66FED0">
      <w:pPr>
        <w:spacing w:line="480" w:lineRule="exact"/>
        <w:ind w:firstLine="482"/>
        <w:rPr>
          <w:color w:val="auto"/>
          <w:sz w:val="24"/>
          <w:highlight w:val="none"/>
        </w:rPr>
      </w:pPr>
      <w:r>
        <w:rPr>
          <w:rFonts w:hint="eastAsia"/>
          <w:color w:val="auto"/>
          <w:sz w:val="24"/>
          <w:highlight w:val="none"/>
          <w:lang w:val="en-US" w:eastAsia="zh-CN"/>
        </w:rPr>
        <w:t>5</w:t>
      </w:r>
      <w:r>
        <w:rPr>
          <w:rFonts w:hint="eastAsia"/>
          <w:color w:val="auto"/>
          <w:sz w:val="24"/>
          <w:highlight w:val="none"/>
        </w:rPr>
        <w:t>.</w:t>
      </w:r>
      <w:r>
        <w:rPr>
          <w:rFonts w:hint="eastAsia"/>
          <w:color w:val="auto"/>
          <w:sz w:val="24"/>
          <w:highlight w:val="none"/>
          <w:lang w:val="en-US" w:eastAsia="zh-CN"/>
        </w:rPr>
        <w:t>7</w:t>
      </w:r>
      <w:r>
        <w:rPr>
          <w:rFonts w:hint="eastAsia"/>
          <w:color w:val="auto"/>
          <w:sz w:val="24"/>
          <w:highlight w:val="none"/>
        </w:rPr>
        <w:t xml:space="preserve"> 绿色采购政策</w:t>
      </w:r>
    </w:p>
    <w:p w14:paraId="41F1E112">
      <w:pPr>
        <w:spacing w:line="480" w:lineRule="exact"/>
        <w:ind w:firstLine="482"/>
        <w:rPr>
          <w:rFonts w:ascii="宋体" w:hAnsi="宋体"/>
          <w:b/>
          <w:color w:val="auto"/>
          <w:sz w:val="24"/>
          <w:highlight w:val="none"/>
        </w:rPr>
      </w:pPr>
      <w:r>
        <w:rPr>
          <w:rFonts w:hint="eastAsia"/>
          <w:color w:val="auto"/>
          <w:sz w:val="24"/>
          <w:highlight w:val="none"/>
          <w:lang w:val="en-US" w:eastAsia="zh-CN"/>
        </w:rPr>
        <w:t>5</w:t>
      </w:r>
      <w:r>
        <w:rPr>
          <w:rFonts w:hint="eastAsia"/>
          <w:color w:val="auto"/>
          <w:sz w:val="24"/>
          <w:highlight w:val="none"/>
        </w:rPr>
        <w:t>.</w:t>
      </w:r>
      <w:r>
        <w:rPr>
          <w:rFonts w:hint="eastAsia"/>
          <w:color w:val="auto"/>
          <w:sz w:val="24"/>
          <w:highlight w:val="none"/>
          <w:lang w:val="en-US" w:eastAsia="zh-CN"/>
        </w:rPr>
        <w:t>7</w:t>
      </w:r>
      <w:r>
        <w:rPr>
          <w:rFonts w:hint="eastAsia"/>
          <w:color w:val="auto"/>
          <w:sz w:val="24"/>
          <w:highlight w:val="none"/>
        </w:rPr>
        <w:t xml:space="preserve">.1  </w:t>
      </w:r>
      <w:r>
        <w:rPr>
          <w:rFonts w:hint="eastAsia" w:ascii="宋体" w:hAnsi="宋体"/>
          <w:b/>
          <w:color w:val="auto"/>
          <w:sz w:val="24"/>
          <w:highlight w:val="none"/>
        </w:rPr>
        <w:t xml:space="preserve">绿色数据中心政策 </w:t>
      </w:r>
    </w:p>
    <w:p w14:paraId="62D507A1">
      <w:pPr>
        <w:spacing w:line="480" w:lineRule="exact"/>
        <w:ind w:left="1197"/>
        <w:rPr>
          <w:rFonts w:ascii="宋体" w:hAnsi="宋体"/>
          <w:color w:val="auto"/>
          <w:sz w:val="24"/>
          <w:highlight w:val="none"/>
        </w:rPr>
      </w:pPr>
      <w:r>
        <w:rPr>
          <w:rFonts w:hint="eastAsia" w:ascii="宋体" w:hAnsi="宋体"/>
          <w:color w:val="auto"/>
          <w:sz w:val="24"/>
          <w:highlight w:val="none"/>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32162675">
      <w:pPr>
        <w:spacing w:line="480" w:lineRule="exact"/>
        <w:ind w:firstLine="480"/>
        <w:rPr>
          <w:rFonts w:ascii="宋体" w:hAnsi="宋体"/>
          <w:color w:val="auto"/>
          <w:sz w:val="24"/>
          <w:highlight w:val="none"/>
        </w:rPr>
      </w:pPr>
      <w:r>
        <w:rPr>
          <w:rFonts w:hint="eastAsia" w:ascii="宋体" w:hAnsi="宋体"/>
          <w:color w:val="auto"/>
          <w:sz w:val="24"/>
          <w:highlight w:val="none"/>
          <w:lang w:val="en-US" w:eastAsia="zh-CN"/>
        </w:rPr>
        <w:t>5</w:t>
      </w:r>
      <w:r>
        <w:rPr>
          <w:rFonts w:hint="eastAsia" w:ascii="宋体" w:hAnsi="宋体"/>
          <w:color w:val="auto"/>
          <w:sz w:val="24"/>
          <w:highlight w:val="none"/>
        </w:rPr>
        <w:t>.</w:t>
      </w:r>
      <w:r>
        <w:rPr>
          <w:rFonts w:hint="eastAsia" w:ascii="宋体" w:hAnsi="宋体"/>
          <w:color w:val="auto"/>
          <w:sz w:val="24"/>
          <w:highlight w:val="none"/>
          <w:lang w:val="en-US" w:eastAsia="zh-CN"/>
        </w:rPr>
        <w:t>7</w:t>
      </w:r>
      <w:r>
        <w:rPr>
          <w:rFonts w:hint="eastAsia" w:ascii="宋体" w:hAnsi="宋体"/>
          <w:color w:val="auto"/>
          <w:sz w:val="24"/>
          <w:highlight w:val="none"/>
        </w:rPr>
        <w:t>.2 推广应用绿色建材</w:t>
      </w:r>
    </w:p>
    <w:p w14:paraId="5FB0F0EF">
      <w:pPr>
        <w:spacing w:line="480" w:lineRule="exact"/>
        <w:ind w:left="1197"/>
        <w:rPr>
          <w:rFonts w:ascii="宋体" w:hAnsi="宋体"/>
          <w:color w:val="auto"/>
          <w:sz w:val="24"/>
          <w:highlight w:val="none"/>
        </w:rPr>
      </w:pPr>
      <w:r>
        <w:rPr>
          <w:rFonts w:hint="eastAsia" w:ascii="宋体" w:hAnsi="宋体"/>
          <w:color w:val="auto"/>
          <w:sz w:val="24"/>
          <w:highlight w:val="none"/>
        </w:rPr>
        <w:t>采购人实施政府采购工程项目，要按照《常州市政府采购支持绿色建材促进建筑品质提升试点工作方案》（</w:t>
      </w:r>
      <w:r>
        <w:rPr>
          <w:rFonts w:hint="eastAsia"/>
          <w:color w:val="auto"/>
          <w:sz w:val="24"/>
          <w:highlight w:val="none"/>
        </w:rPr>
        <w:t>常财购</w:t>
      </w:r>
      <w:r>
        <w:rPr>
          <w:color w:val="auto"/>
          <w:sz w:val="24"/>
          <w:highlight w:val="none"/>
        </w:rPr>
        <w:t>〔20</w:t>
      </w:r>
      <w:r>
        <w:rPr>
          <w:rFonts w:hint="eastAsia"/>
          <w:color w:val="auto"/>
          <w:sz w:val="24"/>
          <w:highlight w:val="none"/>
        </w:rPr>
        <w:t>23</w:t>
      </w:r>
      <w:r>
        <w:rPr>
          <w:color w:val="auto"/>
          <w:sz w:val="24"/>
          <w:highlight w:val="none"/>
        </w:rPr>
        <w:t>〕</w:t>
      </w:r>
      <w:r>
        <w:rPr>
          <w:rFonts w:hint="eastAsia"/>
          <w:color w:val="auto"/>
          <w:sz w:val="24"/>
          <w:highlight w:val="none"/>
        </w:rPr>
        <w:t>18</w:t>
      </w:r>
      <w:r>
        <w:rPr>
          <w:color w:val="auto"/>
          <w:sz w:val="24"/>
          <w:highlight w:val="none"/>
        </w:rPr>
        <w:t xml:space="preserve"> 号</w:t>
      </w:r>
      <w:r>
        <w:rPr>
          <w:rFonts w:hint="eastAsia" w:ascii="宋体" w:hAnsi="宋体"/>
          <w:color w:val="auto"/>
          <w:sz w:val="24"/>
          <w:highlight w:val="none"/>
        </w:rPr>
        <w:t>）总体要求，落实《绿色建筑和绿色建材政府采购需求标准》（</w:t>
      </w:r>
      <w:r>
        <w:rPr>
          <w:color w:val="auto"/>
          <w:sz w:val="24"/>
          <w:highlight w:val="none"/>
        </w:rPr>
        <w:t>财库〔20</w:t>
      </w:r>
      <w:r>
        <w:rPr>
          <w:rFonts w:hint="eastAsia"/>
          <w:color w:val="auto"/>
          <w:sz w:val="24"/>
          <w:highlight w:val="none"/>
        </w:rPr>
        <w:t>22</w:t>
      </w:r>
      <w:r>
        <w:rPr>
          <w:color w:val="auto"/>
          <w:sz w:val="24"/>
          <w:highlight w:val="none"/>
        </w:rPr>
        <w:t>〕</w:t>
      </w:r>
      <w:r>
        <w:rPr>
          <w:rFonts w:hint="eastAsia"/>
          <w:color w:val="auto"/>
          <w:sz w:val="24"/>
          <w:highlight w:val="none"/>
        </w:rPr>
        <w:t>35</w:t>
      </w:r>
      <w:r>
        <w:rPr>
          <w:color w:val="auto"/>
          <w:sz w:val="24"/>
          <w:highlight w:val="none"/>
        </w:rPr>
        <w:t xml:space="preserve"> 号</w:t>
      </w:r>
      <w:r>
        <w:rPr>
          <w:rFonts w:hint="eastAsia" w:ascii="宋体" w:hAnsi="宋体"/>
          <w:color w:val="auto"/>
          <w:sz w:val="24"/>
          <w:highlight w:val="none"/>
        </w:rPr>
        <w:t>）和《政府采购支持绿色建材促进建筑品质提升政策项目实施指南》（财办库</w:t>
      </w:r>
      <w:r>
        <w:rPr>
          <w:color w:val="auto"/>
          <w:sz w:val="24"/>
          <w:highlight w:val="none"/>
        </w:rPr>
        <w:t>〔20</w:t>
      </w:r>
      <w:r>
        <w:rPr>
          <w:rFonts w:hint="eastAsia"/>
          <w:color w:val="auto"/>
          <w:sz w:val="24"/>
          <w:highlight w:val="none"/>
        </w:rPr>
        <w:t>23</w:t>
      </w:r>
      <w:r>
        <w:rPr>
          <w:color w:val="auto"/>
          <w:sz w:val="24"/>
          <w:highlight w:val="none"/>
        </w:rPr>
        <w:t>〕</w:t>
      </w:r>
      <w:r>
        <w:rPr>
          <w:rFonts w:hint="eastAsia"/>
          <w:color w:val="auto"/>
          <w:sz w:val="24"/>
          <w:highlight w:val="none"/>
        </w:rPr>
        <w:t>52</w:t>
      </w:r>
      <w:r>
        <w:rPr>
          <w:color w:val="auto"/>
          <w:sz w:val="24"/>
          <w:highlight w:val="none"/>
        </w:rPr>
        <w:t xml:space="preserve"> 号</w:t>
      </w:r>
      <w:r>
        <w:rPr>
          <w:rFonts w:hint="eastAsia" w:ascii="宋体" w:hAnsi="宋体"/>
          <w:color w:val="auto"/>
          <w:sz w:val="24"/>
          <w:highlight w:val="none"/>
        </w:rPr>
        <w:t>）,依据相关需求标准确定采购需求，在采购文件和采购合同中载明具体需求、履约验收条款和违约责任。</w:t>
      </w:r>
    </w:p>
    <w:p w14:paraId="6BA28934">
      <w:pPr>
        <w:keepNext w:val="0"/>
        <w:keepLines w:val="0"/>
        <w:pageBreakBefore w:val="0"/>
        <w:widowControl w:val="0"/>
        <w:spacing w:line="360" w:lineRule="auto"/>
        <w:ind w:firstLine="480"/>
        <w:rPr>
          <w:rFonts w:ascii="宋体" w:hAnsi="宋体"/>
          <w:color w:val="auto"/>
          <w:sz w:val="24"/>
          <w:highlight w:val="none"/>
        </w:rPr>
      </w:pPr>
      <w:r>
        <w:rPr>
          <w:rFonts w:hint="eastAsia" w:ascii="宋体" w:hAnsi="宋体"/>
          <w:color w:val="auto"/>
          <w:sz w:val="24"/>
          <w:highlight w:val="none"/>
          <w:lang w:val="en-US" w:eastAsia="zh-CN"/>
        </w:rPr>
        <w:t>5</w:t>
      </w:r>
      <w:r>
        <w:rPr>
          <w:rFonts w:hint="eastAsia" w:ascii="宋体" w:hAnsi="宋体"/>
          <w:color w:val="auto"/>
          <w:sz w:val="24"/>
          <w:highlight w:val="none"/>
        </w:rPr>
        <w:t>.</w:t>
      </w:r>
      <w:r>
        <w:rPr>
          <w:rFonts w:hint="eastAsia" w:ascii="宋体" w:hAnsi="宋体"/>
          <w:color w:val="auto"/>
          <w:sz w:val="24"/>
          <w:highlight w:val="none"/>
          <w:lang w:val="en-US" w:eastAsia="zh-CN"/>
        </w:rPr>
        <w:t>7</w:t>
      </w:r>
      <w:r>
        <w:rPr>
          <w:rFonts w:hint="eastAsia" w:ascii="宋体" w:hAnsi="宋体"/>
          <w:color w:val="auto"/>
          <w:sz w:val="24"/>
          <w:highlight w:val="none"/>
        </w:rPr>
        <w:t>.3 优先使用低挥发性有机化合物产品</w:t>
      </w:r>
    </w:p>
    <w:p w14:paraId="5EAF875C">
      <w:pPr>
        <w:keepNext w:val="0"/>
        <w:keepLines w:val="0"/>
        <w:pageBreakBefore w:val="0"/>
        <w:widowControl w:val="0"/>
        <w:numPr>
          <w:ilvl w:val="0"/>
          <w:numId w:val="0"/>
        </w:numPr>
        <w:tabs>
          <w:tab w:val="left" w:pos="2014"/>
        </w:tabs>
        <w:spacing w:line="360" w:lineRule="auto"/>
        <w:ind w:left="1080"/>
        <w:outlineLvl w:val="9"/>
        <w:rPr>
          <w:rFonts w:hint="eastAsia" w:ascii="宋体" w:hAnsi="宋体" w:eastAsia="宋体" w:cs="宋体"/>
          <w:color w:val="auto"/>
          <w:sz w:val="24"/>
          <w:szCs w:val="24"/>
          <w:highlight w:val="none"/>
        </w:rPr>
      </w:pPr>
      <w:r>
        <w:rPr>
          <w:rFonts w:hint="eastAsia" w:ascii="宋体" w:hAnsi="宋体"/>
          <w:color w:val="auto"/>
          <w:sz w:val="24"/>
          <w:highlight w:val="none"/>
        </w:rPr>
        <w:t>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p w14:paraId="61DD5A16">
      <w:pPr>
        <w:keepNext w:val="0"/>
        <w:keepLines w:val="0"/>
        <w:pageBreakBefore w:val="0"/>
        <w:widowControl w:val="0"/>
        <w:numPr>
          <w:ilvl w:val="0"/>
          <w:numId w:val="8"/>
        </w:numPr>
        <w:tabs>
          <w:tab w:val="left" w:pos="360"/>
        </w:tabs>
        <w:spacing w:line="360" w:lineRule="auto"/>
        <w:ind w:left="357" w:hanging="357"/>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投标费用</w:t>
      </w:r>
    </w:p>
    <w:p w14:paraId="6511F414">
      <w:pPr>
        <w:keepNext w:val="0"/>
        <w:keepLines w:val="0"/>
        <w:pageBreakBefore w:val="0"/>
        <w:widowControl w:val="0"/>
        <w:numPr>
          <w:ilvl w:val="1"/>
          <w:numId w:val="8"/>
        </w:numPr>
        <w:tabs>
          <w:tab w:val="left" w:pos="1080"/>
          <w:tab w:val="left" w:pos="2014"/>
        </w:tabs>
        <w:spacing w:line="360" w:lineRule="auto"/>
        <w:ind w:left="1080"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投标人应自行承担所有与准备和参加投标有关的费用，无论投标的结果如何，采购人或采购代理机构在任何情况下均无承担这些费用的义务和责任。</w:t>
      </w:r>
    </w:p>
    <w:p w14:paraId="4763DB0F">
      <w:pPr>
        <w:keepNext w:val="0"/>
        <w:keepLines w:val="0"/>
        <w:pageBreakBefore w:val="0"/>
        <w:widowControl w:val="0"/>
        <w:spacing w:line="360" w:lineRule="auto"/>
        <w:jc w:val="center"/>
        <w:outlineLvl w:val="9"/>
        <w:rPr>
          <w:rFonts w:hint="eastAsia" w:ascii="宋体" w:hAnsi="宋体" w:eastAsia="宋体" w:cs="Times New Roman"/>
          <w:b/>
          <w:bCs/>
          <w:color w:val="auto"/>
          <w:sz w:val="28"/>
          <w:szCs w:val="28"/>
          <w:highlight w:val="none"/>
          <w:lang w:val="en-US" w:eastAsia="zh-CN"/>
        </w:rPr>
      </w:pPr>
      <w:bookmarkStart w:id="161" w:name="_1.8_计量单位"/>
      <w:bookmarkEnd w:id="161"/>
    </w:p>
    <w:p w14:paraId="5EA79240">
      <w:pPr>
        <w:keepNext w:val="0"/>
        <w:keepLines w:val="0"/>
        <w:pageBreakBefore w:val="0"/>
        <w:widowControl w:val="0"/>
        <w:spacing w:line="360" w:lineRule="auto"/>
        <w:jc w:val="center"/>
        <w:outlineLvl w:val="9"/>
        <w:rPr>
          <w:rFonts w:hint="eastAsia" w:ascii="宋体" w:hAnsi="宋体" w:eastAsia="宋体" w:cs="Times New Roman"/>
          <w:b/>
          <w:bCs/>
          <w:color w:val="auto"/>
          <w:sz w:val="28"/>
          <w:szCs w:val="28"/>
          <w:highlight w:val="none"/>
          <w:lang w:val="en-US" w:eastAsia="zh-CN"/>
        </w:rPr>
      </w:pPr>
      <w:r>
        <w:rPr>
          <w:rFonts w:hint="eastAsia" w:ascii="宋体" w:hAnsi="宋体" w:eastAsia="宋体" w:cs="Times New Roman"/>
          <w:b/>
          <w:bCs/>
          <w:color w:val="auto"/>
          <w:sz w:val="28"/>
          <w:szCs w:val="28"/>
          <w:highlight w:val="none"/>
          <w:lang w:val="en-US" w:eastAsia="zh-CN"/>
        </w:rPr>
        <w:t>二   招标文件</w:t>
      </w:r>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p>
    <w:p w14:paraId="0374183E">
      <w:pPr>
        <w:keepNext w:val="0"/>
        <w:keepLines w:val="0"/>
        <w:pageBreakBefore w:val="0"/>
        <w:widowControl w:val="0"/>
        <w:numPr>
          <w:ilvl w:val="0"/>
          <w:numId w:val="8"/>
        </w:numPr>
        <w:tabs>
          <w:tab w:val="left" w:pos="360"/>
        </w:tabs>
        <w:spacing w:line="360" w:lineRule="auto"/>
        <w:ind w:left="357" w:hanging="357"/>
        <w:outlineLvl w:val="9"/>
        <w:rPr>
          <w:rFonts w:hint="eastAsia" w:ascii="宋体" w:hAnsi="宋体" w:eastAsia="宋体" w:cs="宋体"/>
          <w:color w:val="auto"/>
          <w:sz w:val="24"/>
          <w:highlight w:val="none"/>
        </w:rPr>
      </w:pPr>
      <w:bookmarkStart w:id="162" w:name="_Toc164229364"/>
      <w:bookmarkStart w:id="163" w:name="_Toc164351617"/>
      <w:bookmarkStart w:id="164" w:name="_Toc164608637"/>
      <w:bookmarkStart w:id="165" w:name="_Toc127151724"/>
      <w:bookmarkStart w:id="166" w:name="_Toc150509274"/>
      <w:bookmarkStart w:id="167" w:name="_Toc226309767"/>
      <w:bookmarkStart w:id="168" w:name="_Toc151193765"/>
      <w:bookmarkStart w:id="169" w:name="_Toc151193621"/>
      <w:bookmarkStart w:id="170" w:name="_Toc164608792"/>
      <w:bookmarkStart w:id="171" w:name="_Toc142311025"/>
      <w:bookmarkStart w:id="172" w:name="_Toc264969213"/>
      <w:bookmarkStart w:id="173" w:name="_Toc127151523"/>
      <w:bookmarkStart w:id="174" w:name="_Toc151190150"/>
      <w:bookmarkStart w:id="175" w:name="_Toc226337219"/>
      <w:bookmarkStart w:id="176" w:name="_Toc265228361"/>
      <w:bookmarkStart w:id="177" w:name="_Toc305158865"/>
      <w:bookmarkStart w:id="178" w:name="_Toc151193693"/>
      <w:bookmarkStart w:id="179" w:name="_Toc520356147"/>
      <w:bookmarkStart w:id="180" w:name="_Toc195842888"/>
      <w:bookmarkStart w:id="181" w:name="_Toc226965713"/>
      <w:bookmarkStart w:id="182" w:name="_Toc151193837"/>
      <w:bookmarkStart w:id="183" w:name="_Toc150774623"/>
      <w:bookmarkStart w:id="184" w:name="_Toc226965796"/>
      <w:bookmarkStart w:id="185" w:name="_Toc149720816"/>
      <w:bookmarkStart w:id="186" w:name="_Toc150480761"/>
      <w:bookmarkStart w:id="187" w:name="_Toc305158791"/>
      <w:bookmarkStart w:id="188" w:name="_Toc150774728"/>
      <w:bookmarkStart w:id="189" w:name="_Toc151193911"/>
      <w:bookmarkStart w:id="190" w:name="_Toc164229218"/>
      <w:bookmarkStart w:id="191" w:name="_Toc127161437"/>
      <w:r>
        <w:rPr>
          <w:rFonts w:hint="eastAsia" w:ascii="宋体" w:hAnsi="宋体" w:eastAsia="宋体" w:cs="宋体"/>
          <w:color w:val="auto"/>
          <w:sz w:val="24"/>
          <w:highlight w:val="none"/>
        </w:rPr>
        <w:t>招标文件构</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r>
        <w:rPr>
          <w:rFonts w:hint="eastAsia" w:ascii="宋体" w:hAnsi="宋体" w:eastAsia="宋体" w:cs="宋体"/>
          <w:color w:val="auto"/>
          <w:sz w:val="24"/>
          <w:highlight w:val="none"/>
        </w:rPr>
        <w:t>成</w:t>
      </w:r>
    </w:p>
    <w:p w14:paraId="78AEAD23">
      <w:pPr>
        <w:keepNext w:val="0"/>
        <w:keepLines w:val="0"/>
        <w:pageBreakBefore w:val="0"/>
        <w:widowControl w:val="0"/>
        <w:numPr>
          <w:ilvl w:val="1"/>
          <w:numId w:val="8"/>
        </w:numPr>
        <w:tabs>
          <w:tab w:val="left" w:pos="1080"/>
          <w:tab w:val="left" w:pos="2014"/>
        </w:tabs>
        <w:spacing w:line="360" w:lineRule="auto"/>
        <w:ind w:left="1080"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招标文件包括以下部分：</w:t>
      </w:r>
    </w:p>
    <w:p w14:paraId="2E9B6FC5">
      <w:pPr>
        <w:keepNext w:val="0"/>
        <w:keepLines w:val="0"/>
        <w:pageBreakBefore w:val="0"/>
        <w:widowControl w:val="0"/>
        <w:numPr>
          <w:ilvl w:val="0"/>
          <w:numId w:val="10"/>
        </w:numPr>
        <w:tabs>
          <w:tab w:val="left" w:pos="1980"/>
          <w:tab w:val="left" w:pos="2520"/>
        </w:tabs>
        <w:spacing w:line="360" w:lineRule="auto"/>
        <w:ind w:left="1440" w:firstLine="5"/>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投标邀请</w:t>
      </w:r>
    </w:p>
    <w:p w14:paraId="27089B72">
      <w:pPr>
        <w:keepNext w:val="0"/>
        <w:keepLines w:val="0"/>
        <w:pageBreakBefore w:val="0"/>
        <w:widowControl w:val="0"/>
        <w:numPr>
          <w:ilvl w:val="0"/>
          <w:numId w:val="10"/>
        </w:numPr>
        <w:tabs>
          <w:tab w:val="left" w:pos="1980"/>
          <w:tab w:val="left" w:pos="2520"/>
        </w:tabs>
        <w:spacing w:line="360" w:lineRule="auto"/>
        <w:ind w:left="1440" w:firstLine="5"/>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投标人须知</w:t>
      </w:r>
    </w:p>
    <w:p w14:paraId="4E732D03">
      <w:pPr>
        <w:keepNext w:val="0"/>
        <w:keepLines w:val="0"/>
        <w:pageBreakBefore w:val="0"/>
        <w:widowControl w:val="0"/>
        <w:numPr>
          <w:ilvl w:val="0"/>
          <w:numId w:val="10"/>
        </w:numPr>
        <w:tabs>
          <w:tab w:val="left" w:pos="1980"/>
          <w:tab w:val="left" w:pos="2520"/>
        </w:tabs>
        <w:spacing w:line="360" w:lineRule="auto"/>
        <w:ind w:left="1440" w:firstLine="5"/>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资格审查</w:t>
      </w:r>
    </w:p>
    <w:p w14:paraId="73DA8A1C">
      <w:pPr>
        <w:keepNext w:val="0"/>
        <w:keepLines w:val="0"/>
        <w:pageBreakBefore w:val="0"/>
        <w:widowControl w:val="0"/>
        <w:numPr>
          <w:ilvl w:val="0"/>
          <w:numId w:val="10"/>
        </w:numPr>
        <w:tabs>
          <w:tab w:val="left" w:pos="1980"/>
          <w:tab w:val="left" w:pos="2520"/>
        </w:tabs>
        <w:spacing w:line="360" w:lineRule="auto"/>
        <w:ind w:left="1440" w:firstLine="5"/>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评标程序、评标方法和评标标准</w:t>
      </w:r>
    </w:p>
    <w:p w14:paraId="33F80269">
      <w:pPr>
        <w:keepNext w:val="0"/>
        <w:keepLines w:val="0"/>
        <w:pageBreakBefore w:val="0"/>
        <w:widowControl w:val="0"/>
        <w:numPr>
          <w:ilvl w:val="0"/>
          <w:numId w:val="10"/>
        </w:numPr>
        <w:tabs>
          <w:tab w:val="left" w:pos="1980"/>
          <w:tab w:val="left" w:pos="2520"/>
        </w:tabs>
        <w:spacing w:line="360" w:lineRule="auto"/>
        <w:ind w:left="1440" w:firstLine="5"/>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采购需求</w:t>
      </w:r>
    </w:p>
    <w:p w14:paraId="5AF64B7C">
      <w:pPr>
        <w:keepNext w:val="0"/>
        <w:keepLines w:val="0"/>
        <w:pageBreakBefore w:val="0"/>
        <w:widowControl w:val="0"/>
        <w:numPr>
          <w:ilvl w:val="0"/>
          <w:numId w:val="10"/>
        </w:numPr>
        <w:tabs>
          <w:tab w:val="left" w:pos="1980"/>
          <w:tab w:val="left" w:pos="2520"/>
        </w:tabs>
        <w:spacing w:line="360" w:lineRule="auto"/>
        <w:ind w:left="1440" w:firstLine="5"/>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拟签订的合同文本</w:t>
      </w:r>
    </w:p>
    <w:p w14:paraId="3382875C">
      <w:pPr>
        <w:keepNext w:val="0"/>
        <w:keepLines w:val="0"/>
        <w:pageBreakBefore w:val="0"/>
        <w:widowControl w:val="0"/>
        <w:numPr>
          <w:ilvl w:val="0"/>
          <w:numId w:val="10"/>
        </w:numPr>
        <w:tabs>
          <w:tab w:val="left" w:pos="1980"/>
          <w:tab w:val="left" w:pos="2520"/>
        </w:tabs>
        <w:spacing w:line="360" w:lineRule="auto"/>
        <w:ind w:left="1440" w:firstLine="5"/>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投标文件格式</w:t>
      </w:r>
    </w:p>
    <w:p w14:paraId="0EE675F2">
      <w:pPr>
        <w:keepNext w:val="0"/>
        <w:keepLines w:val="0"/>
        <w:pageBreakBefore w:val="0"/>
        <w:widowControl w:val="0"/>
        <w:numPr>
          <w:ilvl w:val="1"/>
          <w:numId w:val="8"/>
        </w:numPr>
        <w:tabs>
          <w:tab w:val="left" w:pos="1080"/>
          <w:tab w:val="left" w:pos="2014"/>
        </w:tabs>
        <w:spacing w:line="360" w:lineRule="auto"/>
        <w:ind w:left="1080"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color w:val="auto"/>
          <w:sz w:val="24"/>
          <w:highlight w:val="none"/>
        </w:rPr>
        <w:t>投标无效</w:t>
      </w:r>
      <w:r>
        <w:rPr>
          <w:rFonts w:hint="eastAsia" w:ascii="宋体" w:hAnsi="宋体" w:eastAsia="宋体" w:cs="宋体"/>
          <w:color w:val="auto"/>
          <w:sz w:val="24"/>
          <w:highlight w:val="none"/>
        </w:rPr>
        <w:t>。</w:t>
      </w:r>
    </w:p>
    <w:p w14:paraId="1F1DB372">
      <w:pPr>
        <w:keepNext w:val="0"/>
        <w:keepLines w:val="0"/>
        <w:pageBreakBefore w:val="0"/>
        <w:widowControl w:val="0"/>
        <w:numPr>
          <w:ilvl w:val="0"/>
          <w:numId w:val="8"/>
        </w:numPr>
        <w:tabs>
          <w:tab w:val="left" w:pos="1080"/>
          <w:tab w:val="left" w:pos="2014"/>
        </w:tabs>
        <w:spacing w:line="360" w:lineRule="auto"/>
        <w:ind w:left="357" w:hanging="357"/>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对招标文件的澄清或修改</w:t>
      </w:r>
    </w:p>
    <w:p w14:paraId="74593B34">
      <w:pPr>
        <w:keepNext w:val="0"/>
        <w:keepLines w:val="0"/>
        <w:pageBreakBefore w:val="0"/>
        <w:widowControl w:val="0"/>
        <w:numPr>
          <w:ilvl w:val="1"/>
          <w:numId w:val="8"/>
        </w:numPr>
        <w:tabs>
          <w:tab w:val="left" w:pos="1080"/>
          <w:tab w:val="left" w:pos="1561"/>
          <w:tab w:val="left" w:pos="2014"/>
        </w:tabs>
        <w:spacing w:line="360" w:lineRule="auto"/>
        <w:ind w:left="1080"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采购人或采购代理机构对已发出的招标文件进行必要澄清或者修改的，将在原公告发布媒体上以发布更正公告的形式通知所有获取招标文件的潜在投标人。</w:t>
      </w:r>
    </w:p>
    <w:p w14:paraId="605E3228">
      <w:pPr>
        <w:keepNext w:val="0"/>
        <w:keepLines w:val="0"/>
        <w:pageBreakBefore w:val="0"/>
        <w:widowControl w:val="0"/>
        <w:numPr>
          <w:ilvl w:val="1"/>
          <w:numId w:val="8"/>
        </w:numPr>
        <w:tabs>
          <w:tab w:val="left" w:pos="1080"/>
          <w:tab w:val="left" w:pos="1561"/>
          <w:tab w:val="left" w:pos="2014"/>
        </w:tabs>
        <w:spacing w:line="360" w:lineRule="auto"/>
        <w:ind w:left="1080"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p>
    <w:p w14:paraId="3BA6F26B">
      <w:pPr>
        <w:keepNext w:val="0"/>
        <w:keepLines w:val="0"/>
        <w:pageBreakBefore w:val="0"/>
        <w:widowControl w:val="0"/>
        <w:spacing w:line="360" w:lineRule="auto"/>
        <w:jc w:val="center"/>
        <w:outlineLvl w:val="9"/>
        <w:rPr>
          <w:rFonts w:hint="eastAsia" w:ascii="宋体" w:hAnsi="宋体" w:eastAsia="宋体" w:cs="Times New Roman"/>
          <w:b/>
          <w:bCs/>
          <w:color w:val="auto"/>
          <w:sz w:val="28"/>
          <w:szCs w:val="28"/>
          <w:highlight w:val="none"/>
          <w:lang w:val="en-US" w:eastAsia="zh-CN"/>
        </w:rPr>
      </w:pPr>
      <w:bookmarkStart w:id="192" w:name="_Toc516367020"/>
      <w:bookmarkStart w:id="193" w:name="_Toc151193840"/>
      <w:bookmarkStart w:id="194" w:name="_Toc142311028"/>
      <w:bookmarkStart w:id="195" w:name="_Toc226965716"/>
      <w:bookmarkStart w:id="196" w:name="_Toc150480764"/>
      <w:bookmarkStart w:id="197" w:name="_Toc150774731"/>
      <w:bookmarkStart w:id="198" w:name="_Toc226309770"/>
      <w:bookmarkStart w:id="199" w:name="_Toc226965799"/>
      <w:bookmarkStart w:id="200" w:name="_Toc226337222"/>
      <w:bookmarkStart w:id="201" w:name="_Toc151193914"/>
      <w:bookmarkStart w:id="202" w:name="_Toc151193696"/>
      <w:bookmarkStart w:id="203" w:name="_Toc151193624"/>
      <w:bookmarkStart w:id="204" w:name="_Toc151193768"/>
      <w:bookmarkStart w:id="205" w:name="_Toc520356150"/>
      <w:bookmarkStart w:id="206" w:name="_Toc150509277"/>
      <w:bookmarkStart w:id="207" w:name="_Toc305158794"/>
      <w:bookmarkStart w:id="208" w:name="_Toc264969216"/>
      <w:bookmarkStart w:id="209" w:name="_Toc195842891"/>
      <w:bookmarkStart w:id="210" w:name="_Toc265228364"/>
      <w:bookmarkStart w:id="211" w:name="_Toc127151526"/>
      <w:bookmarkStart w:id="212" w:name="_Toc305158868"/>
      <w:bookmarkStart w:id="213" w:name="_Toc151190153"/>
      <w:bookmarkStart w:id="214" w:name="_Toc150774626"/>
    </w:p>
    <w:p w14:paraId="0B7A9CFD">
      <w:pPr>
        <w:keepNext w:val="0"/>
        <w:keepLines w:val="0"/>
        <w:pageBreakBefore w:val="0"/>
        <w:widowControl w:val="0"/>
        <w:spacing w:line="360" w:lineRule="auto"/>
        <w:jc w:val="center"/>
        <w:outlineLvl w:val="9"/>
        <w:rPr>
          <w:rFonts w:hint="eastAsia" w:ascii="宋体" w:hAnsi="宋体" w:eastAsia="宋体" w:cs="Times New Roman"/>
          <w:b/>
          <w:bCs/>
          <w:color w:val="auto"/>
          <w:sz w:val="28"/>
          <w:szCs w:val="28"/>
          <w:highlight w:val="none"/>
          <w:lang w:val="en-US" w:eastAsia="zh-CN"/>
        </w:rPr>
      </w:pPr>
      <w:r>
        <w:rPr>
          <w:rFonts w:hint="eastAsia" w:ascii="宋体" w:hAnsi="宋体" w:eastAsia="宋体" w:cs="Times New Roman"/>
          <w:b/>
          <w:bCs/>
          <w:color w:val="auto"/>
          <w:sz w:val="28"/>
          <w:szCs w:val="28"/>
          <w:highlight w:val="none"/>
          <w:lang w:val="en-US" w:eastAsia="zh-CN"/>
        </w:rPr>
        <w:t>三   投标文件</w:t>
      </w:r>
      <w:bookmarkEnd w:id="192"/>
      <w:r>
        <w:rPr>
          <w:rFonts w:hint="eastAsia" w:ascii="宋体" w:hAnsi="宋体" w:eastAsia="宋体" w:cs="Times New Roman"/>
          <w:b/>
          <w:bCs/>
          <w:color w:val="auto"/>
          <w:sz w:val="28"/>
          <w:szCs w:val="28"/>
          <w:highlight w:val="none"/>
          <w:lang w:val="en-US" w:eastAsia="zh-CN"/>
        </w:rPr>
        <w:t>的编制</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p>
    <w:p w14:paraId="2FA0B508">
      <w:pPr>
        <w:keepNext w:val="0"/>
        <w:keepLines w:val="0"/>
        <w:pageBreakBefore w:val="0"/>
        <w:widowControl w:val="0"/>
        <w:numPr>
          <w:ilvl w:val="0"/>
          <w:numId w:val="8"/>
        </w:numPr>
        <w:tabs>
          <w:tab w:val="left" w:pos="360"/>
        </w:tabs>
        <w:spacing w:line="360" w:lineRule="auto"/>
        <w:ind w:left="357" w:hanging="357"/>
        <w:outlineLvl w:val="9"/>
        <w:rPr>
          <w:rFonts w:hint="eastAsia" w:ascii="宋体" w:hAnsi="宋体" w:eastAsia="宋体" w:cs="宋体"/>
          <w:color w:val="auto"/>
          <w:sz w:val="24"/>
          <w:highlight w:val="none"/>
        </w:rPr>
      </w:pPr>
      <w:bookmarkStart w:id="215" w:name="_Toc151193915"/>
      <w:bookmarkStart w:id="216" w:name="_Toc226309771"/>
      <w:bookmarkStart w:id="217" w:name="_Toc150509278"/>
      <w:bookmarkStart w:id="218" w:name="_Toc142311029"/>
      <w:bookmarkStart w:id="219" w:name="_Toc149720820"/>
      <w:bookmarkStart w:id="220" w:name="_Toc150480765"/>
      <w:bookmarkStart w:id="221" w:name="_Toc226337223"/>
      <w:bookmarkStart w:id="222" w:name="_Toc164229222"/>
      <w:bookmarkStart w:id="223" w:name="_Toc151193697"/>
      <w:bookmarkStart w:id="224" w:name="_Toc150774732"/>
      <w:bookmarkStart w:id="225" w:name="_Toc265228365"/>
      <w:bookmarkStart w:id="226" w:name="_Toc151193841"/>
      <w:bookmarkStart w:id="227" w:name="_Toc226965717"/>
      <w:bookmarkStart w:id="228" w:name="_Toc164229368"/>
      <w:bookmarkStart w:id="229" w:name="_Toc151190154"/>
      <w:bookmarkStart w:id="230" w:name="_Toc151193769"/>
      <w:bookmarkStart w:id="231" w:name="_Toc151193625"/>
      <w:bookmarkStart w:id="232" w:name="_Toc127151527"/>
      <w:bookmarkStart w:id="233" w:name="_Toc127161441"/>
      <w:bookmarkStart w:id="234" w:name="_Toc305158795"/>
      <w:bookmarkStart w:id="235" w:name="_Toc195842892"/>
      <w:bookmarkStart w:id="236" w:name="_Toc150774627"/>
      <w:bookmarkStart w:id="237" w:name="_Toc164608796"/>
      <w:bookmarkStart w:id="238" w:name="_Toc516367021"/>
      <w:bookmarkStart w:id="239" w:name="_Toc164608641"/>
      <w:bookmarkStart w:id="240" w:name="_Toc264969217"/>
      <w:bookmarkStart w:id="241" w:name="_Toc127151728"/>
      <w:bookmarkStart w:id="242" w:name="_Toc226965800"/>
      <w:bookmarkStart w:id="243" w:name="_Toc164351621"/>
      <w:bookmarkStart w:id="244" w:name="_Toc520356151"/>
      <w:bookmarkStart w:id="245" w:name="_Toc305158869"/>
      <w:r>
        <w:rPr>
          <w:rFonts w:hint="eastAsia" w:ascii="宋体" w:hAnsi="宋体" w:eastAsia="宋体" w:cs="宋体"/>
          <w:color w:val="auto"/>
          <w:sz w:val="24"/>
          <w:highlight w:val="none"/>
        </w:rPr>
        <w:t>投标范围、投标文件中计量单位的使用</w:t>
      </w:r>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r>
        <w:rPr>
          <w:rFonts w:hint="eastAsia" w:ascii="宋体" w:hAnsi="宋体" w:eastAsia="宋体" w:cs="宋体"/>
          <w:color w:val="auto"/>
          <w:sz w:val="24"/>
          <w:highlight w:val="none"/>
        </w:rPr>
        <w:t>及投标语言</w:t>
      </w:r>
    </w:p>
    <w:p w14:paraId="2F708CF2">
      <w:pPr>
        <w:keepNext w:val="0"/>
        <w:keepLines w:val="0"/>
        <w:pageBreakBefore w:val="0"/>
        <w:widowControl w:val="0"/>
        <w:numPr>
          <w:ilvl w:val="1"/>
          <w:numId w:val="8"/>
        </w:numPr>
        <w:tabs>
          <w:tab w:val="left" w:pos="1080"/>
          <w:tab w:val="left" w:pos="2014"/>
        </w:tabs>
        <w:spacing w:line="360" w:lineRule="auto"/>
        <w:ind w:left="1080"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color w:val="auto"/>
          <w:sz w:val="24"/>
          <w:highlight w:val="none"/>
        </w:rPr>
        <w:t>无效投标</w:t>
      </w:r>
      <w:r>
        <w:rPr>
          <w:rFonts w:hint="eastAsia" w:ascii="宋体" w:hAnsi="宋体" w:eastAsia="宋体" w:cs="宋体"/>
          <w:color w:val="auto"/>
          <w:sz w:val="24"/>
          <w:highlight w:val="none"/>
        </w:rPr>
        <w:t>。</w:t>
      </w:r>
    </w:p>
    <w:p w14:paraId="2434A425">
      <w:pPr>
        <w:keepNext w:val="0"/>
        <w:keepLines w:val="0"/>
        <w:pageBreakBefore w:val="0"/>
        <w:widowControl w:val="0"/>
        <w:numPr>
          <w:ilvl w:val="1"/>
          <w:numId w:val="8"/>
        </w:numPr>
        <w:tabs>
          <w:tab w:val="left" w:pos="1080"/>
          <w:tab w:val="left" w:pos="2014"/>
        </w:tabs>
        <w:spacing w:line="360" w:lineRule="auto"/>
        <w:ind w:left="1080"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除招标文件有特殊要求外，本项目投标所使用的计量单位，应采用中华人民共和国法定计量单位。</w:t>
      </w:r>
    </w:p>
    <w:p w14:paraId="4FCBBF87">
      <w:pPr>
        <w:keepNext w:val="0"/>
        <w:keepLines w:val="0"/>
        <w:pageBreakBefore w:val="0"/>
        <w:widowControl w:val="0"/>
        <w:numPr>
          <w:ilvl w:val="1"/>
          <w:numId w:val="8"/>
        </w:numPr>
        <w:tabs>
          <w:tab w:val="left" w:pos="1080"/>
          <w:tab w:val="left" w:pos="2014"/>
        </w:tabs>
        <w:spacing w:line="360" w:lineRule="auto"/>
        <w:ind w:left="1080"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73C49808">
      <w:pPr>
        <w:keepNext w:val="0"/>
        <w:keepLines w:val="0"/>
        <w:pageBreakBefore w:val="0"/>
        <w:widowControl w:val="0"/>
        <w:numPr>
          <w:ilvl w:val="0"/>
          <w:numId w:val="8"/>
        </w:numPr>
        <w:tabs>
          <w:tab w:val="left" w:pos="360"/>
        </w:tabs>
        <w:spacing w:line="360" w:lineRule="auto"/>
        <w:ind w:left="357" w:hanging="357"/>
        <w:outlineLvl w:val="9"/>
        <w:rPr>
          <w:rFonts w:hint="eastAsia" w:ascii="宋体" w:hAnsi="宋体" w:eastAsia="宋体" w:cs="宋体"/>
          <w:color w:val="auto"/>
          <w:sz w:val="24"/>
          <w:highlight w:val="none"/>
        </w:rPr>
      </w:pPr>
      <w:bookmarkStart w:id="246" w:name="_Ref467306195"/>
      <w:bookmarkStart w:id="247" w:name="_Toc516367022"/>
      <w:bookmarkStart w:id="248" w:name="_Ref467306676"/>
      <w:bookmarkStart w:id="249" w:name="_Toc226965801"/>
      <w:bookmarkStart w:id="250" w:name="_Toc226965718"/>
      <w:bookmarkStart w:id="251" w:name="_Toc164229369"/>
      <w:bookmarkStart w:id="252" w:name="_Toc164351622"/>
      <w:bookmarkStart w:id="253" w:name="_Toc150774733"/>
      <w:bookmarkStart w:id="254" w:name="_Toc195842893"/>
      <w:bookmarkStart w:id="255" w:name="_Toc151190155"/>
      <w:bookmarkStart w:id="256" w:name="_Toc150480766"/>
      <w:bookmarkStart w:id="257" w:name="_Toc265228366"/>
      <w:bookmarkStart w:id="258" w:name="_Toc164608642"/>
      <w:bookmarkStart w:id="259" w:name="_Toc164229223"/>
      <w:bookmarkStart w:id="260" w:name="_Toc127151528"/>
      <w:bookmarkStart w:id="261" w:name="_Toc127161442"/>
      <w:bookmarkStart w:id="262" w:name="_Toc142311030"/>
      <w:bookmarkStart w:id="263" w:name="_Toc305158870"/>
      <w:bookmarkStart w:id="264" w:name="_Toc226337224"/>
      <w:bookmarkStart w:id="265" w:name="_Toc127151729"/>
      <w:bookmarkStart w:id="266" w:name="_Toc149720821"/>
      <w:bookmarkStart w:id="267" w:name="_Toc150774628"/>
      <w:bookmarkStart w:id="268" w:name="_Toc151193916"/>
      <w:bookmarkStart w:id="269" w:name="_Toc151193770"/>
      <w:bookmarkStart w:id="270" w:name="_Toc151193842"/>
      <w:bookmarkStart w:id="271" w:name="_Toc150509279"/>
      <w:bookmarkStart w:id="272" w:name="_Toc164608797"/>
      <w:bookmarkStart w:id="273" w:name="_Toc226309772"/>
      <w:bookmarkStart w:id="274" w:name="_Toc151193626"/>
      <w:bookmarkStart w:id="275" w:name="_Toc264969218"/>
      <w:bookmarkStart w:id="276" w:name="_Toc151193698"/>
      <w:bookmarkStart w:id="277" w:name="_Toc520356152"/>
      <w:bookmarkStart w:id="278" w:name="_Toc305158796"/>
      <w:r>
        <w:rPr>
          <w:rFonts w:hint="eastAsia" w:ascii="宋体" w:hAnsi="宋体" w:eastAsia="宋体" w:cs="宋体"/>
          <w:color w:val="auto"/>
          <w:sz w:val="24"/>
          <w:highlight w:val="none"/>
        </w:rPr>
        <w:t>投标文件</w:t>
      </w:r>
      <w:bookmarkEnd w:id="246"/>
      <w:bookmarkEnd w:id="247"/>
      <w:bookmarkEnd w:id="248"/>
      <w:r>
        <w:rPr>
          <w:rFonts w:hint="eastAsia" w:ascii="宋体" w:hAnsi="宋体" w:eastAsia="宋体" w:cs="宋体"/>
          <w:color w:val="auto"/>
          <w:sz w:val="24"/>
          <w:highlight w:val="none"/>
        </w:rPr>
        <w:t>构成</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p>
    <w:p w14:paraId="6640F1A0">
      <w:pPr>
        <w:keepNext w:val="0"/>
        <w:keepLines w:val="0"/>
        <w:pageBreakBefore w:val="0"/>
        <w:widowControl w:val="0"/>
        <w:numPr>
          <w:ilvl w:val="1"/>
          <w:numId w:val="8"/>
        </w:numPr>
        <w:tabs>
          <w:tab w:val="left" w:pos="1080"/>
          <w:tab w:val="left" w:pos="2014"/>
        </w:tabs>
        <w:spacing w:line="360" w:lineRule="auto"/>
        <w:ind w:left="1077" w:hanging="720"/>
        <w:outlineLvl w:val="9"/>
        <w:rPr>
          <w:rFonts w:hint="eastAsia" w:ascii="宋体" w:hAnsi="宋体" w:eastAsia="宋体" w:cs="宋体"/>
          <w:color w:val="auto"/>
          <w:sz w:val="24"/>
          <w:highlight w:val="none"/>
        </w:rPr>
      </w:pPr>
      <w:bookmarkStart w:id="279" w:name="_Ref467052588"/>
      <w:r>
        <w:rPr>
          <w:rFonts w:hint="eastAsia" w:ascii="宋体" w:hAnsi="宋体" w:eastAsia="宋体" w:cs="宋体"/>
          <w:color w:val="auto"/>
          <w:sz w:val="24"/>
          <w:highlight w:val="none"/>
        </w:rPr>
        <w:t>投标人应当按照招标文件的要求编制投标文件。投标文件应由《资格证明文件》、《商务技术文件》两部分构成。投标文件的部分格式要求，见第七章《投标文件格式》。</w:t>
      </w:r>
    </w:p>
    <w:p w14:paraId="636486CA">
      <w:pPr>
        <w:keepNext w:val="0"/>
        <w:keepLines w:val="0"/>
        <w:pageBreakBefore w:val="0"/>
        <w:widowControl w:val="0"/>
        <w:numPr>
          <w:ilvl w:val="1"/>
          <w:numId w:val="8"/>
        </w:numPr>
        <w:tabs>
          <w:tab w:val="left" w:pos="1080"/>
          <w:tab w:val="left" w:pos="2014"/>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color w:val="auto"/>
          <w:sz w:val="24"/>
          <w:highlight w:val="none"/>
        </w:rPr>
        <w:t>投标无效</w:t>
      </w:r>
      <w:r>
        <w:rPr>
          <w:rFonts w:hint="eastAsia" w:ascii="宋体" w:hAnsi="宋体" w:eastAsia="宋体" w:cs="宋体"/>
          <w:color w:val="auto"/>
          <w:sz w:val="24"/>
          <w:highlight w:val="none"/>
        </w:rPr>
        <w:t>。未标记“实质性格式”的文件和招标文件未提供格式的内容，可由投标人自行编写。</w:t>
      </w:r>
    </w:p>
    <w:p w14:paraId="4BB0A356">
      <w:pPr>
        <w:keepNext w:val="0"/>
        <w:keepLines w:val="0"/>
        <w:pageBreakBefore w:val="0"/>
        <w:widowControl w:val="0"/>
        <w:numPr>
          <w:ilvl w:val="1"/>
          <w:numId w:val="8"/>
        </w:numPr>
        <w:tabs>
          <w:tab w:val="left" w:pos="1080"/>
          <w:tab w:val="left" w:pos="2014"/>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第四章《评标程序、评标方法和评标标准》中涉及的证明文件。</w:t>
      </w:r>
    </w:p>
    <w:p w14:paraId="235BD701">
      <w:pPr>
        <w:keepNext w:val="0"/>
        <w:keepLines w:val="0"/>
        <w:pageBreakBefore w:val="0"/>
        <w:widowControl w:val="0"/>
        <w:numPr>
          <w:ilvl w:val="1"/>
          <w:numId w:val="8"/>
        </w:numPr>
        <w:tabs>
          <w:tab w:val="left" w:pos="1080"/>
          <w:tab w:val="left" w:pos="2014"/>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3A5A6F9B">
      <w:pPr>
        <w:keepNext w:val="0"/>
        <w:keepLines w:val="0"/>
        <w:pageBreakBefore w:val="0"/>
        <w:widowControl w:val="0"/>
        <w:numPr>
          <w:ilvl w:val="1"/>
          <w:numId w:val="8"/>
        </w:numPr>
        <w:tabs>
          <w:tab w:val="left" w:pos="1080"/>
          <w:tab w:val="left" w:pos="2014"/>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投标人认为应附的其他材料。</w:t>
      </w:r>
      <w:bookmarkEnd w:id="279"/>
    </w:p>
    <w:p w14:paraId="2F8FC855">
      <w:pPr>
        <w:keepNext w:val="0"/>
        <w:keepLines w:val="0"/>
        <w:pageBreakBefore w:val="0"/>
        <w:widowControl w:val="0"/>
        <w:numPr>
          <w:ilvl w:val="0"/>
          <w:numId w:val="8"/>
        </w:numPr>
        <w:tabs>
          <w:tab w:val="left" w:pos="360"/>
        </w:tabs>
        <w:spacing w:line="360" w:lineRule="auto"/>
        <w:ind w:left="357" w:hanging="357"/>
        <w:outlineLvl w:val="9"/>
        <w:rPr>
          <w:rFonts w:hint="eastAsia" w:ascii="宋体" w:hAnsi="宋体" w:eastAsia="宋体" w:cs="宋体"/>
          <w:color w:val="auto"/>
          <w:sz w:val="24"/>
          <w:highlight w:val="none"/>
        </w:rPr>
      </w:pPr>
      <w:bookmarkStart w:id="280" w:name="_Toc151193918"/>
      <w:bookmarkStart w:id="281" w:name="_Toc164608644"/>
      <w:bookmarkStart w:id="282" w:name="_Toc164608799"/>
      <w:bookmarkStart w:id="283" w:name="_Toc142311032"/>
      <w:bookmarkStart w:id="284" w:name="_Toc149720823"/>
      <w:bookmarkStart w:id="285" w:name="_Toc520356155"/>
      <w:bookmarkStart w:id="286" w:name="_Toc151193844"/>
      <w:bookmarkStart w:id="287" w:name="_Toc127161444"/>
      <w:bookmarkStart w:id="288" w:name="_Toc150509281"/>
      <w:bookmarkStart w:id="289" w:name="_Toc151193628"/>
      <w:bookmarkStart w:id="290" w:name="_Toc127151530"/>
      <w:bookmarkStart w:id="291" w:name="_Toc164229225"/>
      <w:bookmarkStart w:id="292" w:name="_Toc150774630"/>
      <w:bookmarkStart w:id="293" w:name="_Toc151193700"/>
      <w:bookmarkStart w:id="294" w:name="_Toc150480768"/>
      <w:bookmarkStart w:id="295" w:name="_Toc164351624"/>
      <w:bookmarkStart w:id="296" w:name="_Toc151193772"/>
      <w:bookmarkStart w:id="297" w:name="_Toc150774735"/>
      <w:bookmarkStart w:id="298" w:name="_Toc127151731"/>
      <w:bookmarkStart w:id="299" w:name="_Toc151190157"/>
      <w:bookmarkStart w:id="300" w:name="_Toc164229371"/>
      <w:bookmarkStart w:id="301" w:name="_Toc195842895"/>
      <w:r>
        <w:rPr>
          <w:rFonts w:hint="eastAsia" w:ascii="宋体" w:hAnsi="宋体" w:eastAsia="宋体" w:cs="宋体"/>
          <w:color w:val="auto"/>
          <w:sz w:val="24"/>
          <w:highlight w:val="none"/>
        </w:rPr>
        <w:t>投标报价</w:t>
      </w:r>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p>
    <w:p w14:paraId="56C0023B">
      <w:pPr>
        <w:keepNext w:val="0"/>
        <w:keepLines w:val="0"/>
        <w:pageBreakBefore w:val="0"/>
        <w:widowControl w:val="0"/>
        <w:numPr>
          <w:ilvl w:val="1"/>
          <w:numId w:val="8"/>
        </w:numPr>
        <w:tabs>
          <w:tab w:val="left" w:pos="1080"/>
          <w:tab w:val="left" w:pos="2014"/>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所有投标均以人民币报价。</w:t>
      </w:r>
    </w:p>
    <w:p w14:paraId="431A119D">
      <w:pPr>
        <w:keepNext w:val="0"/>
        <w:keepLines w:val="0"/>
        <w:pageBreakBefore w:val="0"/>
        <w:widowControl w:val="0"/>
        <w:numPr>
          <w:ilvl w:val="1"/>
          <w:numId w:val="8"/>
        </w:numPr>
        <w:tabs>
          <w:tab w:val="left" w:pos="1080"/>
          <w:tab w:val="left" w:pos="2014"/>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投标人的报价应包括为完成本项目所发生的一切费用和税费，</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将不再支付报价以外的任何费用。投标人的报价应包括但不限于下列内容，《投标人须知资料表》中有特殊规定的，从其规定。</w:t>
      </w:r>
    </w:p>
    <w:p w14:paraId="6181BCE2">
      <w:pPr>
        <w:keepNext w:val="0"/>
        <w:keepLines w:val="0"/>
        <w:pageBreakBefore w:val="0"/>
        <w:widowControl w:val="0"/>
        <w:numPr>
          <w:ilvl w:val="2"/>
          <w:numId w:val="8"/>
        </w:numPr>
        <w:spacing w:line="360" w:lineRule="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总价应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p>
    <w:p w14:paraId="1CB3EB44">
      <w:pPr>
        <w:keepNext w:val="0"/>
        <w:keepLines w:val="0"/>
        <w:pageBreakBefore w:val="0"/>
        <w:widowControl w:val="0"/>
        <w:numPr>
          <w:ilvl w:val="2"/>
          <w:numId w:val="8"/>
        </w:numPr>
        <w:spacing w:line="360" w:lineRule="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按照招标文件要求完成本项目的全部相关服务费用。 </w:t>
      </w:r>
    </w:p>
    <w:p w14:paraId="0CE6D0CD">
      <w:pPr>
        <w:keepNext w:val="0"/>
        <w:keepLines w:val="0"/>
        <w:pageBreakBefore w:val="0"/>
        <w:widowControl w:val="0"/>
        <w:numPr>
          <w:ilvl w:val="1"/>
          <w:numId w:val="8"/>
        </w:numPr>
        <w:tabs>
          <w:tab w:val="left" w:pos="1080"/>
          <w:tab w:val="left" w:pos="2014"/>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采购人不得向供应商索要或者接受其给予的赠品、回扣或者与采购无关的其他商品、服务。</w:t>
      </w:r>
    </w:p>
    <w:p w14:paraId="37C3E1A3">
      <w:pPr>
        <w:keepNext w:val="0"/>
        <w:keepLines w:val="0"/>
        <w:pageBreakBefore w:val="0"/>
        <w:widowControl w:val="0"/>
        <w:numPr>
          <w:ilvl w:val="1"/>
          <w:numId w:val="8"/>
        </w:numPr>
        <w:tabs>
          <w:tab w:val="left" w:pos="1080"/>
          <w:tab w:val="left" w:pos="2014"/>
        </w:tabs>
        <w:spacing w:line="360" w:lineRule="auto"/>
        <w:ind w:left="1080"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投标人不能提供任何有选择性或可调整的报价，否则其</w:t>
      </w:r>
      <w:r>
        <w:rPr>
          <w:rFonts w:hint="eastAsia" w:ascii="宋体" w:hAnsi="宋体" w:eastAsia="宋体" w:cs="宋体"/>
          <w:b/>
          <w:color w:val="auto"/>
          <w:sz w:val="24"/>
          <w:highlight w:val="none"/>
        </w:rPr>
        <w:t>投标无效</w:t>
      </w:r>
      <w:r>
        <w:rPr>
          <w:rFonts w:hint="eastAsia" w:ascii="宋体" w:hAnsi="宋体" w:eastAsia="宋体" w:cs="宋体"/>
          <w:color w:val="auto"/>
          <w:sz w:val="24"/>
          <w:highlight w:val="none"/>
        </w:rPr>
        <w:t>。</w:t>
      </w:r>
    </w:p>
    <w:p w14:paraId="23E0C53B">
      <w:pPr>
        <w:keepNext w:val="0"/>
        <w:keepLines w:val="0"/>
        <w:pageBreakBefore w:val="0"/>
        <w:widowControl w:val="0"/>
        <w:numPr>
          <w:ilvl w:val="0"/>
          <w:numId w:val="8"/>
        </w:numPr>
        <w:tabs>
          <w:tab w:val="left" w:pos="360"/>
        </w:tabs>
        <w:spacing w:line="360" w:lineRule="auto"/>
        <w:ind w:left="357" w:hanging="357"/>
        <w:outlineLvl w:val="9"/>
        <w:rPr>
          <w:rFonts w:hint="eastAsia" w:ascii="宋体" w:hAnsi="宋体" w:eastAsia="宋体" w:cs="宋体"/>
          <w:color w:val="auto"/>
          <w:sz w:val="24"/>
          <w:highlight w:val="none"/>
        </w:rPr>
      </w:pPr>
      <w:bookmarkStart w:id="302" w:name="_Toc164608800"/>
      <w:bookmarkStart w:id="303" w:name="_Toc195842896"/>
      <w:bookmarkStart w:id="304" w:name="_Toc151193629"/>
      <w:bookmarkStart w:id="305" w:name="_Toc226965721"/>
      <w:bookmarkStart w:id="306" w:name="_Toc164351625"/>
      <w:bookmarkStart w:id="307" w:name="_Toc520356156"/>
      <w:bookmarkStart w:id="308" w:name="_Toc305158873"/>
      <w:bookmarkStart w:id="309" w:name="_Toc151193845"/>
      <w:bookmarkStart w:id="310" w:name="_Toc150480769"/>
      <w:bookmarkStart w:id="311" w:name="_Toc127151531"/>
      <w:bookmarkStart w:id="312" w:name="_Toc151193919"/>
      <w:bookmarkStart w:id="313" w:name="_Toc265228369"/>
      <w:bookmarkStart w:id="314" w:name="_Toc127151732"/>
      <w:bookmarkStart w:id="315" w:name="_Toc151190158"/>
      <w:bookmarkStart w:id="316" w:name="_Toc127161445"/>
      <w:bookmarkStart w:id="317" w:name="_Toc150774736"/>
      <w:bookmarkStart w:id="318" w:name="_Ref467306513"/>
      <w:bookmarkStart w:id="319" w:name="_Toc226309775"/>
      <w:bookmarkStart w:id="320" w:name="_Toc150774631"/>
      <w:bookmarkStart w:id="321" w:name="_Toc150509282"/>
      <w:bookmarkStart w:id="322" w:name="_Toc142311033"/>
      <w:bookmarkStart w:id="323" w:name="_Toc151193773"/>
      <w:bookmarkStart w:id="324" w:name="_Toc226965804"/>
      <w:bookmarkStart w:id="325" w:name="_Toc164229226"/>
      <w:bookmarkStart w:id="326" w:name="_Toc305158799"/>
      <w:bookmarkStart w:id="327" w:name="_Toc164608645"/>
      <w:bookmarkStart w:id="328" w:name="_Toc149720824"/>
      <w:bookmarkStart w:id="329" w:name="_Toc264969221"/>
      <w:bookmarkStart w:id="330" w:name="_Toc151193701"/>
      <w:bookmarkStart w:id="331" w:name="_Toc164229372"/>
      <w:bookmarkStart w:id="332" w:name="_Toc226337227"/>
      <w:r>
        <w:rPr>
          <w:rFonts w:hint="eastAsia" w:ascii="宋体" w:hAnsi="宋体" w:eastAsia="宋体" w:cs="宋体"/>
          <w:color w:val="auto"/>
          <w:sz w:val="24"/>
          <w:highlight w:val="none"/>
        </w:rPr>
        <w:t>投标保证金</w:t>
      </w:r>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p>
    <w:p w14:paraId="464FF2B9">
      <w:pPr>
        <w:keepNext w:val="0"/>
        <w:keepLines w:val="0"/>
        <w:pageBreakBefore w:val="0"/>
        <w:widowControl w:val="0"/>
        <w:tabs>
          <w:tab w:val="left" w:pos="360"/>
        </w:tabs>
        <w:spacing w:line="360" w:lineRule="auto"/>
        <w:ind w:left="357"/>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根据江苏省和常州市的相关文件规定，免收投标保证金。</w:t>
      </w:r>
    </w:p>
    <w:p w14:paraId="017C62A9">
      <w:pPr>
        <w:keepNext w:val="0"/>
        <w:keepLines w:val="0"/>
        <w:pageBreakBefore w:val="0"/>
        <w:widowControl w:val="0"/>
        <w:numPr>
          <w:ilvl w:val="0"/>
          <w:numId w:val="8"/>
        </w:numPr>
        <w:tabs>
          <w:tab w:val="left" w:pos="360"/>
        </w:tabs>
        <w:spacing w:line="360" w:lineRule="auto"/>
        <w:ind w:left="357" w:hanging="357"/>
        <w:outlineLvl w:val="9"/>
        <w:rPr>
          <w:rFonts w:hint="eastAsia" w:ascii="宋体" w:hAnsi="宋体" w:eastAsia="宋体" w:cs="宋体"/>
          <w:color w:val="auto"/>
          <w:sz w:val="24"/>
          <w:highlight w:val="none"/>
        </w:rPr>
      </w:pPr>
      <w:bookmarkStart w:id="333" w:name="_Toc264969222"/>
      <w:bookmarkStart w:id="334" w:name="_Toc164229227"/>
      <w:bookmarkStart w:id="335" w:name="_Toc164608646"/>
      <w:bookmarkStart w:id="336" w:name="_Toc150480770"/>
      <w:bookmarkStart w:id="337" w:name="_Toc305158800"/>
      <w:bookmarkStart w:id="338" w:name="_Toc150509283"/>
      <w:bookmarkStart w:id="339" w:name="_Toc164608801"/>
      <w:bookmarkStart w:id="340" w:name="_Toc151190159"/>
      <w:bookmarkStart w:id="341" w:name="_Toc151193774"/>
      <w:bookmarkStart w:id="342" w:name="_Toc151193702"/>
      <w:bookmarkStart w:id="343" w:name="_Toc226337228"/>
      <w:bookmarkStart w:id="344" w:name="_Toc151193630"/>
      <w:bookmarkStart w:id="345" w:name="_Toc151193846"/>
      <w:bookmarkStart w:id="346" w:name="_Toc226965805"/>
      <w:bookmarkStart w:id="347" w:name="_Toc305158874"/>
      <w:bookmarkStart w:id="348" w:name="_Toc127151733"/>
      <w:bookmarkStart w:id="349" w:name="_Toc195842897"/>
      <w:bookmarkStart w:id="350" w:name="_Toc164351626"/>
      <w:bookmarkStart w:id="351" w:name="_Toc520356157"/>
      <w:bookmarkStart w:id="352" w:name="_Toc226965722"/>
      <w:bookmarkStart w:id="353" w:name="_Toc150774632"/>
      <w:bookmarkStart w:id="354" w:name="_Toc151193920"/>
      <w:bookmarkStart w:id="355" w:name="_Toc150774737"/>
      <w:bookmarkStart w:id="356" w:name="_Toc127161446"/>
      <w:bookmarkStart w:id="357" w:name="_Toc226309776"/>
      <w:bookmarkStart w:id="358" w:name="_Toc127151532"/>
      <w:bookmarkStart w:id="359" w:name="_Toc149720825"/>
      <w:bookmarkStart w:id="360" w:name="_Toc265228370"/>
      <w:bookmarkStart w:id="361" w:name="_Toc142311034"/>
      <w:bookmarkStart w:id="362" w:name="_Toc164229373"/>
      <w:r>
        <w:rPr>
          <w:rFonts w:hint="eastAsia" w:ascii="宋体" w:hAnsi="宋体" w:eastAsia="宋体" w:cs="宋体"/>
          <w:color w:val="auto"/>
          <w:sz w:val="24"/>
          <w:highlight w:val="none"/>
        </w:rPr>
        <w:t>投标有效期</w:t>
      </w:r>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p>
    <w:p w14:paraId="57424CB5">
      <w:pPr>
        <w:keepNext w:val="0"/>
        <w:keepLines w:val="0"/>
        <w:pageBreakBefore w:val="0"/>
        <w:widowControl w:val="0"/>
        <w:numPr>
          <w:ilvl w:val="1"/>
          <w:numId w:val="8"/>
        </w:numPr>
        <w:tabs>
          <w:tab w:val="left" w:pos="1080"/>
          <w:tab w:val="left" w:pos="2014"/>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投标文件应在本招标文件《投标人须知资料表》中规定的投标有效期内保持有效，投标有效期少于招标文件规定期限的，其</w:t>
      </w:r>
      <w:r>
        <w:rPr>
          <w:rFonts w:hint="eastAsia" w:ascii="宋体" w:hAnsi="宋体" w:eastAsia="宋体" w:cs="宋体"/>
          <w:b/>
          <w:color w:val="auto"/>
          <w:sz w:val="24"/>
          <w:highlight w:val="none"/>
        </w:rPr>
        <w:t>投标无效</w:t>
      </w:r>
      <w:r>
        <w:rPr>
          <w:rFonts w:hint="eastAsia" w:ascii="宋体" w:hAnsi="宋体" w:eastAsia="宋体" w:cs="宋体"/>
          <w:color w:val="auto"/>
          <w:sz w:val="24"/>
          <w:highlight w:val="none"/>
        </w:rPr>
        <w:t>。</w:t>
      </w:r>
    </w:p>
    <w:p w14:paraId="3D2DADDA">
      <w:pPr>
        <w:numPr>
          <w:ilvl w:val="0"/>
          <w:numId w:val="8"/>
        </w:numPr>
        <w:tabs>
          <w:tab w:val="left" w:pos="360"/>
        </w:tabs>
        <w:spacing w:line="360" w:lineRule="auto"/>
        <w:ind w:left="357" w:hanging="357"/>
        <w:outlineLvl w:val="1"/>
        <w:rPr>
          <w:color w:val="auto"/>
          <w:sz w:val="24"/>
          <w:highlight w:val="none"/>
        </w:rPr>
      </w:pPr>
      <w:bookmarkStart w:id="363" w:name="_Toc150774738"/>
      <w:bookmarkStart w:id="364" w:name="_Toc164608647"/>
      <w:bookmarkStart w:id="365" w:name="_Toc150509284"/>
      <w:bookmarkStart w:id="366" w:name="_Toc151193703"/>
      <w:bookmarkStart w:id="367" w:name="_Toc264969223"/>
      <w:bookmarkStart w:id="368" w:name="_Toc164229228"/>
      <w:bookmarkStart w:id="369" w:name="_Toc164608802"/>
      <w:bookmarkStart w:id="370" w:name="_Toc520356158"/>
      <w:bookmarkStart w:id="371" w:name="_Toc150480771"/>
      <w:bookmarkStart w:id="372" w:name="_Toc195842898"/>
      <w:bookmarkStart w:id="373" w:name="_Toc226337229"/>
      <w:bookmarkStart w:id="374" w:name="_Toc164351627"/>
      <w:bookmarkStart w:id="375" w:name="_Toc226309777"/>
      <w:bookmarkStart w:id="376" w:name="_Toc151193847"/>
      <w:bookmarkStart w:id="377" w:name="_Toc226965806"/>
      <w:bookmarkStart w:id="378" w:name="_Toc150774633"/>
      <w:bookmarkStart w:id="379" w:name="_Toc226965723"/>
      <w:bookmarkStart w:id="380" w:name="_Toc127161447"/>
      <w:bookmarkStart w:id="381" w:name="_Toc142311035"/>
      <w:bookmarkStart w:id="382" w:name="_Toc305158801"/>
      <w:bookmarkStart w:id="383" w:name="_Toc305158875"/>
      <w:bookmarkStart w:id="384" w:name="_Toc151193631"/>
      <w:bookmarkStart w:id="385" w:name="_Toc127151533"/>
      <w:bookmarkStart w:id="386" w:name="_Toc265228371"/>
      <w:bookmarkStart w:id="387" w:name="_Toc149720826"/>
      <w:bookmarkStart w:id="388" w:name="_Toc151193775"/>
      <w:bookmarkStart w:id="389" w:name="_Toc151190160"/>
      <w:bookmarkStart w:id="390" w:name="_Toc127151734"/>
      <w:bookmarkStart w:id="391" w:name="_Toc164229374"/>
      <w:bookmarkStart w:id="392" w:name="_Toc151193921"/>
      <w:bookmarkStart w:id="393" w:name="_Toc305158802"/>
      <w:bookmarkStart w:id="394" w:name="_Toc226965724"/>
      <w:bookmarkStart w:id="395" w:name="_Toc150774739"/>
      <w:bookmarkStart w:id="396" w:name="_Toc265228372"/>
      <w:bookmarkStart w:id="397" w:name="_Toc151193704"/>
      <w:bookmarkStart w:id="398" w:name="_Toc150480772"/>
      <w:bookmarkStart w:id="399" w:name="_Toc226965807"/>
      <w:bookmarkStart w:id="400" w:name="_Toc520356159"/>
      <w:bookmarkStart w:id="401" w:name="_Toc226309778"/>
      <w:bookmarkStart w:id="402" w:name="_Toc150509285"/>
      <w:bookmarkStart w:id="403" w:name="_Toc195842899"/>
      <w:bookmarkStart w:id="404" w:name="_Toc151193776"/>
      <w:bookmarkStart w:id="405" w:name="_Toc142311036"/>
      <w:bookmarkStart w:id="406" w:name="_Toc151193632"/>
      <w:bookmarkStart w:id="407" w:name="_Toc305158876"/>
      <w:bookmarkStart w:id="408" w:name="_Toc151193922"/>
      <w:bookmarkStart w:id="409" w:name="_Toc151193848"/>
      <w:bookmarkStart w:id="410" w:name="_Toc264969224"/>
      <w:bookmarkStart w:id="411" w:name="_Toc150774634"/>
      <w:bookmarkStart w:id="412" w:name="_Toc151190161"/>
      <w:bookmarkStart w:id="413" w:name="_Toc127151534"/>
      <w:bookmarkStart w:id="414" w:name="_Toc226337230"/>
      <w:r>
        <w:rPr>
          <w:color w:val="auto"/>
          <w:sz w:val="24"/>
          <w:highlight w:val="none"/>
        </w:rPr>
        <w:t>投标文件的签署</w:t>
      </w:r>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r>
        <w:rPr>
          <w:color w:val="auto"/>
          <w:sz w:val="24"/>
          <w:highlight w:val="none"/>
        </w:rPr>
        <w:t>、加盖公章</w:t>
      </w:r>
    </w:p>
    <w:p w14:paraId="7B7F5B3C">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招标文件要求签字的内容（如授权委托书等），</w:t>
      </w:r>
      <w:r>
        <w:rPr>
          <w:rFonts w:hint="eastAsia"/>
          <w:color w:val="auto"/>
          <w:sz w:val="24"/>
          <w:highlight w:val="none"/>
        </w:rPr>
        <w:t>可以使用电子签章或使用原件的电子件（电子件指扫描件、照片等形式电子文件）；要求</w:t>
      </w:r>
      <w:r>
        <w:rPr>
          <w:color w:val="auto"/>
          <w:sz w:val="24"/>
          <w:highlight w:val="none"/>
        </w:rPr>
        <w:t>第三方出具的加盖公章原件（如联合协议、分包意向协议、制造商授权书等），投标文件中应使用原件的电子件。</w:t>
      </w:r>
    </w:p>
    <w:p w14:paraId="11A451C7">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招标文件要求加盖公章的内容，</w:t>
      </w:r>
      <w:r>
        <w:rPr>
          <w:rFonts w:hint="eastAsia"/>
          <w:color w:val="auto"/>
          <w:sz w:val="24"/>
          <w:highlight w:val="none"/>
        </w:rPr>
        <w:t>一般</w:t>
      </w:r>
      <w:r>
        <w:rPr>
          <w:color w:val="auto"/>
          <w:sz w:val="24"/>
          <w:highlight w:val="none"/>
        </w:rPr>
        <w:t>通过投标文件编制工具加盖电子签章。</w:t>
      </w:r>
    </w:p>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p w14:paraId="641A6444">
      <w:pPr>
        <w:pStyle w:val="189"/>
        <w:spacing w:before="0" w:line="360" w:lineRule="auto"/>
        <w:rPr>
          <w:rFonts w:ascii="Times New Roman" w:hAnsi="Times New Roman" w:eastAsia="宋体"/>
          <w:color w:val="auto"/>
          <w:sz w:val="28"/>
          <w:highlight w:val="none"/>
        </w:rPr>
      </w:pPr>
      <w:bookmarkStart w:id="415" w:name="_Toc520356169"/>
      <w:r>
        <w:rPr>
          <w:rFonts w:ascii="Times New Roman" w:hAnsi="Times New Roman" w:eastAsia="宋体"/>
          <w:color w:val="auto"/>
          <w:sz w:val="28"/>
          <w:highlight w:val="none"/>
        </w:rPr>
        <w:t>四   投标文件的提交</w:t>
      </w:r>
    </w:p>
    <w:p w14:paraId="4AE82937">
      <w:pPr>
        <w:numPr>
          <w:ilvl w:val="0"/>
          <w:numId w:val="8"/>
        </w:numPr>
        <w:tabs>
          <w:tab w:val="left" w:pos="360"/>
        </w:tabs>
        <w:spacing w:line="360" w:lineRule="auto"/>
        <w:ind w:left="357" w:hanging="357"/>
        <w:outlineLvl w:val="1"/>
        <w:rPr>
          <w:color w:val="auto"/>
          <w:sz w:val="24"/>
          <w:highlight w:val="none"/>
        </w:rPr>
      </w:pPr>
      <w:bookmarkStart w:id="416" w:name="_Toc164608804"/>
      <w:bookmarkStart w:id="417" w:name="_Toc265228373"/>
      <w:bookmarkStart w:id="418" w:name="_Toc226965725"/>
      <w:bookmarkStart w:id="419" w:name="_Toc150480773"/>
      <w:bookmarkStart w:id="420" w:name="_Toc151193923"/>
      <w:bookmarkStart w:id="421" w:name="_Toc164229230"/>
      <w:bookmarkStart w:id="422" w:name="_Toc164229376"/>
      <w:bookmarkStart w:id="423" w:name="_Toc127161449"/>
      <w:bookmarkStart w:id="424" w:name="_Toc520356160"/>
      <w:bookmarkStart w:id="425" w:name="_Toc151193633"/>
      <w:bookmarkStart w:id="426" w:name="_Toc226309779"/>
      <w:bookmarkStart w:id="427" w:name="_Toc150509286"/>
      <w:bookmarkStart w:id="428" w:name="_Toc164608649"/>
      <w:bookmarkStart w:id="429" w:name="_Toc150774740"/>
      <w:bookmarkStart w:id="430" w:name="_Toc150774635"/>
      <w:bookmarkStart w:id="431" w:name="_Toc195842900"/>
      <w:bookmarkStart w:id="432" w:name="_Toc164351629"/>
      <w:bookmarkStart w:id="433" w:name="_Toc305158877"/>
      <w:bookmarkStart w:id="434" w:name="_Toc151193705"/>
      <w:bookmarkStart w:id="435" w:name="_Toc151193849"/>
      <w:bookmarkStart w:id="436" w:name="_Toc149720828"/>
      <w:bookmarkStart w:id="437" w:name="_Toc151190162"/>
      <w:bookmarkStart w:id="438" w:name="_Toc264969225"/>
      <w:bookmarkStart w:id="439" w:name="_Toc305158803"/>
      <w:bookmarkStart w:id="440" w:name="_Toc226965808"/>
      <w:bookmarkStart w:id="441" w:name="_Toc142311037"/>
      <w:bookmarkStart w:id="442" w:name="_Toc127151736"/>
      <w:bookmarkStart w:id="443" w:name="_Toc127151535"/>
      <w:bookmarkStart w:id="444" w:name="_Toc151193777"/>
      <w:bookmarkStart w:id="445" w:name="_Toc226337231"/>
      <w:r>
        <w:rPr>
          <w:color w:val="auto"/>
          <w:sz w:val="24"/>
          <w:highlight w:val="none"/>
        </w:rPr>
        <w:t>投标文件的</w:t>
      </w:r>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r>
        <w:rPr>
          <w:color w:val="auto"/>
          <w:sz w:val="24"/>
          <w:highlight w:val="none"/>
        </w:rPr>
        <w:t>提交</w:t>
      </w:r>
    </w:p>
    <w:p w14:paraId="44DFBB0E">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本项目使用</w:t>
      </w:r>
      <w:r>
        <w:rPr>
          <w:rFonts w:hint="eastAsia"/>
          <w:color w:val="auto"/>
          <w:sz w:val="24"/>
          <w:highlight w:val="none"/>
          <w:lang w:eastAsia="zh-CN" w:bidi="ar"/>
        </w:rPr>
        <w:t>“苏采云”政府采购一体化平台</w:t>
      </w:r>
      <w:r>
        <w:rPr>
          <w:color w:val="auto"/>
          <w:sz w:val="24"/>
          <w:highlight w:val="none"/>
        </w:rPr>
        <w:t>。投标人根据招标文件及</w:t>
      </w:r>
      <w:r>
        <w:rPr>
          <w:rFonts w:hint="eastAsia"/>
          <w:color w:val="auto"/>
          <w:sz w:val="24"/>
          <w:highlight w:val="none"/>
          <w:lang w:eastAsia="zh-CN" w:bidi="ar"/>
        </w:rPr>
        <w:t>“苏采云”政府采购一体化平台</w:t>
      </w:r>
      <w:r>
        <w:rPr>
          <w:color w:val="auto"/>
          <w:sz w:val="24"/>
          <w:highlight w:val="none"/>
        </w:rPr>
        <w:t>供应商操作手册要求编制、生成并提交电子投标文件。</w:t>
      </w:r>
    </w:p>
    <w:p w14:paraId="086ACF72">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采购人及采购代理机构拒绝接受通过</w:t>
      </w:r>
      <w:r>
        <w:rPr>
          <w:rFonts w:hint="eastAsia"/>
          <w:color w:val="auto"/>
          <w:sz w:val="24"/>
          <w:highlight w:val="none"/>
          <w:lang w:eastAsia="zh-CN"/>
        </w:rPr>
        <w:t>“苏采云”政府采购一体化平台</w:t>
      </w:r>
      <w:r>
        <w:rPr>
          <w:color w:val="auto"/>
          <w:sz w:val="24"/>
          <w:highlight w:val="none"/>
        </w:rPr>
        <w:t>以外任何形式提交的投标文件。</w:t>
      </w:r>
    </w:p>
    <w:p w14:paraId="1723699C">
      <w:pPr>
        <w:numPr>
          <w:ilvl w:val="0"/>
          <w:numId w:val="8"/>
        </w:numPr>
        <w:tabs>
          <w:tab w:val="left" w:pos="360"/>
        </w:tabs>
        <w:spacing w:line="360" w:lineRule="auto"/>
        <w:ind w:left="357" w:hanging="357"/>
        <w:outlineLvl w:val="1"/>
        <w:rPr>
          <w:color w:val="auto"/>
          <w:sz w:val="24"/>
          <w:highlight w:val="none"/>
        </w:rPr>
      </w:pPr>
      <w:bookmarkStart w:id="446" w:name="_Toc151193924"/>
      <w:bookmarkStart w:id="447" w:name="_Toc226965809"/>
      <w:bookmarkStart w:id="448" w:name="_Toc226309780"/>
      <w:bookmarkStart w:id="449" w:name="_Toc264969226"/>
      <w:bookmarkStart w:id="450" w:name="_Toc127151737"/>
      <w:bookmarkStart w:id="451" w:name="_Toc150774741"/>
      <w:bookmarkStart w:id="452" w:name="_Toc164608650"/>
      <w:bookmarkStart w:id="453" w:name="_Toc150774636"/>
      <w:bookmarkStart w:id="454" w:name="_Toc305158878"/>
      <w:bookmarkStart w:id="455" w:name="_Toc149720829"/>
      <w:bookmarkStart w:id="456" w:name="_Toc226337232"/>
      <w:bookmarkStart w:id="457" w:name="_Toc164229231"/>
      <w:bookmarkStart w:id="458" w:name="_Toc164351630"/>
      <w:bookmarkStart w:id="459" w:name="_Toc150509287"/>
      <w:bookmarkStart w:id="460" w:name="_Toc151193706"/>
      <w:bookmarkStart w:id="461" w:name="_Toc151193778"/>
      <w:bookmarkStart w:id="462" w:name="_Toc151193634"/>
      <w:bookmarkStart w:id="463" w:name="_Toc305158804"/>
      <w:bookmarkStart w:id="464" w:name="_Toc127161450"/>
      <w:bookmarkStart w:id="465" w:name="_Toc265228374"/>
      <w:bookmarkStart w:id="466" w:name="_Toc226965726"/>
      <w:bookmarkStart w:id="467" w:name="_Toc164608805"/>
      <w:bookmarkStart w:id="468" w:name="_Toc164229377"/>
      <w:bookmarkStart w:id="469" w:name="_Toc151190163"/>
      <w:bookmarkStart w:id="470" w:name="_Toc127151536"/>
      <w:bookmarkStart w:id="471" w:name="_Toc520356161"/>
      <w:bookmarkStart w:id="472" w:name="_Toc151193850"/>
      <w:bookmarkStart w:id="473" w:name="_Toc150480774"/>
      <w:bookmarkStart w:id="474" w:name="_Toc142311038"/>
      <w:bookmarkStart w:id="475" w:name="_Toc195842901"/>
      <w:r>
        <w:rPr>
          <w:color w:val="auto"/>
          <w:sz w:val="24"/>
          <w:highlight w:val="none"/>
        </w:rPr>
        <w:t>投标截止</w:t>
      </w:r>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r>
        <w:rPr>
          <w:color w:val="auto"/>
          <w:sz w:val="24"/>
          <w:highlight w:val="none"/>
        </w:rPr>
        <w:t>时间</w:t>
      </w:r>
    </w:p>
    <w:p w14:paraId="6B63889D">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投标人应在招标文件要求提交投标文件截止时间前，将电子投标文件提交至</w:t>
      </w:r>
      <w:r>
        <w:rPr>
          <w:rFonts w:hint="eastAsia"/>
          <w:color w:val="auto"/>
          <w:sz w:val="24"/>
          <w:highlight w:val="none"/>
          <w:lang w:eastAsia="zh-CN"/>
        </w:rPr>
        <w:t>“苏采云”政府采购一体化平台</w:t>
      </w:r>
      <w:r>
        <w:rPr>
          <w:color w:val="auto"/>
          <w:sz w:val="24"/>
          <w:highlight w:val="none"/>
        </w:rPr>
        <w:t>。</w:t>
      </w:r>
    </w:p>
    <w:p w14:paraId="1CAFADDA">
      <w:pPr>
        <w:numPr>
          <w:ilvl w:val="0"/>
          <w:numId w:val="8"/>
        </w:numPr>
        <w:tabs>
          <w:tab w:val="left" w:pos="360"/>
        </w:tabs>
        <w:spacing w:line="360" w:lineRule="auto"/>
        <w:ind w:left="357" w:hanging="357"/>
        <w:outlineLvl w:val="1"/>
        <w:rPr>
          <w:color w:val="auto"/>
          <w:sz w:val="24"/>
          <w:highlight w:val="none"/>
        </w:rPr>
      </w:pPr>
      <w:bookmarkStart w:id="476" w:name="_Toc520356162"/>
      <w:bookmarkStart w:id="477" w:name="_Toc151193851"/>
      <w:bookmarkStart w:id="478" w:name="_Toc226965727"/>
      <w:bookmarkStart w:id="479" w:name="_Toc127161451"/>
      <w:bookmarkStart w:id="480" w:name="_Toc305158805"/>
      <w:bookmarkStart w:id="481" w:name="_Toc150509288"/>
      <w:bookmarkStart w:id="482" w:name="_Toc127151738"/>
      <w:bookmarkStart w:id="483" w:name="_Toc127151537"/>
      <w:bookmarkStart w:id="484" w:name="_Toc151193707"/>
      <w:bookmarkStart w:id="485" w:name="_Toc164351631"/>
      <w:bookmarkStart w:id="486" w:name="_Toc226337233"/>
      <w:bookmarkStart w:id="487" w:name="_Toc150480775"/>
      <w:bookmarkStart w:id="488" w:name="_Toc195842902"/>
      <w:bookmarkStart w:id="489" w:name="_Toc142311039"/>
      <w:bookmarkStart w:id="490" w:name="_Toc164608651"/>
      <w:bookmarkStart w:id="491" w:name="_Toc149720830"/>
      <w:bookmarkStart w:id="492" w:name="_Toc151193779"/>
      <w:bookmarkStart w:id="493" w:name="_Toc151190164"/>
      <w:bookmarkStart w:id="494" w:name="_Toc164608806"/>
      <w:bookmarkStart w:id="495" w:name="_Toc164229378"/>
      <w:bookmarkStart w:id="496" w:name="_Toc150774637"/>
      <w:bookmarkStart w:id="497" w:name="_Toc265228375"/>
      <w:bookmarkStart w:id="498" w:name="_Toc151193635"/>
      <w:bookmarkStart w:id="499" w:name="_Toc305158879"/>
      <w:bookmarkStart w:id="500" w:name="_Toc264969227"/>
      <w:bookmarkStart w:id="501" w:name="_Toc226965810"/>
      <w:bookmarkStart w:id="502" w:name="_Toc226309781"/>
      <w:bookmarkStart w:id="503" w:name="_Toc150774742"/>
      <w:bookmarkStart w:id="504" w:name="_Toc151193925"/>
      <w:bookmarkStart w:id="505" w:name="_Toc164229232"/>
      <w:r>
        <w:rPr>
          <w:color w:val="auto"/>
          <w:sz w:val="24"/>
          <w:highlight w:val="none"/>
        </w:rPr>
        <w:t>投标文件的修改与撤回</w:t>
      </w:r>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p>
    <w:p w14:paraId="13AE3C6F">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投标截止时间前，投标人可以通过</w:t>
      </w:r>
      <w:r>
        <w:rPr>
          <w:rFonts w:hint="eastAsia"/>
          <w:color w:val="auto"/>
          <w:sz w:val="24"/>
          <w:highlight w:val="none"/>
          <w:lang w:eastAsia="zh-CN"/>
        </w:rPr>
        <w:t>“苏采云”政府采购一体化平台</w:t>
      </w:r>
      <w:r>
        <w:rPr>
          <w:color w:val="auto"/>
          <w:sz w:val="24"/>
          <w:highlight w:val="none"/>
        </w:rPr>
        <w:t>对所提交的投标文件进行补充、修改或者撤回。</w:t>
      </w:r>
    </w:p>
    <w:p w14:paraId="37B7340B">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投标人对投标文件的补充、修改的内容应当按照招标文件要求签署、加盖公章，作为投标文件的组成部分。</w:t>
      </w:r>
    </w:p>
    <w:p w14:paraId="307E7EB4">
      <w:pPr>
        <w:spacing w:line="360" w:lineRule="auto"/>
        <w:rPr>
          <w:color w:val="auto"/>
          <w:sz w:val="24"/>
          <w:highlight w:val="none"/>
        </w:rPr>
      </w:pPr>
    </w:p>
    <w:p w14:paraId="6781B82E">
      <w:pPr>
        <w:pStyle w:val="189"/>
        <w:spacing w:before="0" w:line="360" w:lineRule="auto"/>
        <w:rPr>
          <w:rFonts w:ascii="Times New Roman" w:hAnsi="Times New Roman" w:eastAsia="宋体"/>
          <w:color w:val="auto"/>
          <w:sz w:val="28"/>
          <w:highlight w:val="none"/>
        </w:rPr>
      </w:pPr>
      <w:bookmarkStart w:id="506" w:name="_Toc520356163"/>
      <w:bookmarkStart w:id="507" w:name="_Toc142311040"/>
      <w:bookmarkStart w:id="508" w:name="_Toc151193852"/>
      <w:bookmarkStart w:id="509" w:name="_Toc226309782"/>
      <w:bookmarkStart w:id="510" w:name="_Toc151193636"/>
      <w:bookmarkStart w:id="511" w:name="_Toc305158806"/>
      <w:bookmarkStart w:id="512" w:name="_Toc226337234"/>
      <w:bookmarkStart w:id="513" w:name="_Toc195842903"/>
      <w:bookmarkStart w:id="514" w:name="_Toc151190165"/>
      <w:bookmarkStart w:id="515" w:name="_Toc127151538"/>
      <w:bookmarkStart w:id="516" w:name="_Toc226965728"/>
      <w:bookmarkStart w:id="517" w:name="_Toc265228376"/>
      <w:bookmarkStart w:id="518" w:name="_Toc151193708"/>
      <w:bookmarkStart w:id="519" w:name="_Toc226965811"/>
      <w:bookmarkStart w:id="520" w:name="_Toc150774743"/>
      <w:bookmarkStart w:id="521" w:name="_Toc150774638"/>
      <w:bookmarkStart w:id="522" w:name="_Toc150480776"/>
      <w:bookmarkStart w:id="523" w:name="_Toc305158880"/>
      <w:bookmarkStart w:id="524" w:name="_Toc150509289"/>
      <w:bookmarkStart w:id="525" w:name="_Toc151193926"/>
      <w:bookmarkStart w:id="526" w:name="_Toc264969228"/>
      <w:bookmarkStart w:id="527" w:name="_Toc151193780"/>
      <w:r>
        <w:rPr>
          <w:rFonts w:ascii="Times New Roman" w:hAnsi="Times New Roman" w:eastAsia="宋体"/>
          <w:color w:val="auto"/>
          <w:sz w:val="28"/>
          <w:highlight w:val="none"/>
        </w:rPr>
        <w:t>五   开标、资格审查及评标</w:t>
      </w:r>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p>
    <w:p w14:paraId="5A564A6B">
      <w:pPr>
        <w:numPr>
          <w:ilvl w:val="0"/>
          <w:numId w:val="8"/>
        </w:numPr>
        <w:tabs>
          <w:tab w:val="left" w:pos="360"/>
        </w:tabs>
        <w:spacing w:line="360" w:lineRule="auto"/>
        <w:ind w:left="357" w:hanging="357"/>
        <w:outlineLvl w:val="1"/>
        <w:rPr>
          <w:color w:val="auto"/>
          <w:sz w:val="24"/>
          <w:highlight w:val="none"/>
        </w:rPr>
      </w:pPr>
      <w:bookmarkStart w:id="528" w:name="_Toc150774744"/>
      <w:bookmarkStart w:id="529" w:name="_Toc164229380"/>
      <w:bookmarkStart w:id="530" w:name="_Toc151193853"/>
      <w:bookmarkStart w:id="531" w:name="_Toc151193637"/>
      <w:bookmarkStart w:id="532" w:name="_Toc150509290"/>
      <w:bookmarkStart w:id="533" w:name="_Toc226965812"/>
      <w:bookmarkStart w:id="534" w:name="_Toc226965729"/>
      <w:bookmarkStart w:id="535" w:name="_Toc305158881"/>
      <w:bookmarkStart w:id="536" w:name="_Toc226309783"/>
      <w:bookmarkStart w:id="537" w:name="_Toc226337235"/>
      <w:bookmarkStart w:id="538" w:name="_Toc151193927"/>
      <w:bookmarkStart w:id="539" w:name="_Toc164608653"/>
      <w:bookmarkStart w:id="540" w:name="_Toc520356164"/>
      <w:bookmarkStart w:id="541" w:name="_Toc127151539"/>
      <w:bookmarkStart w:id="542" w:name="_Toc127161453"/>
      <w:bookmarkStart w:id="543" w:name="_Toc149720832"/>
      <w:bookmarkStart w:id="544" w:name="_Toc150480777"/>
      <w:bookmarkStart w:id="545" w:name="_Toc305158807"/>
      <w:bookmarkStart w:id="546" w:name="_Toc142311041"/>
      <w:bookmarkStart w:id="547" w:name="_Toc150774639"/>
      <w:bookmarkStart w:id="548" w:name="_Toc264969229"/>
      <w:bookmarkStart w:id="549" w:name="_Toc164351633"/>
      <w:bookmarkStart w:id="550" w:name="_Toc164229234"/>
      <w:bookmarkStart w:id="551" w:name="_Toc265228377"/>
      <w:bookmarkStart w:id="552" w:name="_Toc151193709"/>
      <w:bookmarkStart w:id="553" w:name="_Toc164608808"/>
      <w:bookmarkStart w:id="554" w:name="_Toc195842904"/>
      <w:bookmarkStart w:id="555" w:name="_Toc151193781"/>
      <w:bookmarkStart w:id="556" w:name="_Toc127151740"/>
      <w:bookmarkStart w:id="557" w:name="_Toc151190166"/>
      <w:r>
        <w:rPr>
          <w:color w:val="auto"/>
          <w:sz w:val="24"/>
          <w:highlight w:val="none"/>
        </w:rPr>
        <w:t>开标</w:t>
      </w:r>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p>
    <w:p w14:paraId="74D355BA">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采购人或采购代理机构将按招标文件的规定，在投标截止时间的同一时间和招标文件预先确定的地点组织开标。</w:t>
      </w:r>
    </w:p>
    <w:p w14:paraId="2EB6A0DC">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本项目开标</w:t>
      </w:r>
      <w:r>
        <w:rPr>
          <w:rFonts w:ascii="宋体" w:hAnsi="宋体"/>
          <w:color w:val="auto"/>
          <w:sz w:val="24"/>
          <w:highlight w:val="none"/>
        </w:rPr>
        <w:t>采用不见面招投标模式</w:t>
      </w:r>
      <w:r>
        <w:rPr>
          <w:rFonts w:hint="eastAsia" w:ascii="宋体" w:hAnsi="宋体"/>
          <w:color w:val="auto"/>
          <w:sz w:val="24"/>
          <w:highlight w:val="none"/>
        </w:rPr>
        <w:t>，</w:t>
      </w:r>
      <w:r>
        <w:rPr>
          <w:color w:val="auto"/>
          <w:sz w:val="24"/>
          <w:highlight w:val="none"/>
        </w:rPr>
        <w:t>使用</w:t>
      </w:r>
      <w:r>
        <w:rPr>
          <w:rFonts w:hint="eastAsia"/>
          <w:color w:val="auto"/>
          <w:sz w:val="24"/>
          <w:highlight w:val="none"/>
          <w:lang w:eastAsia="zh-CN"/>
        </w:rPr>
        <w:t>“苏采云”政府采购一体化平台</w:t>
      </w:r>
      <w:r>
        <w:rPr>
          <w:rFonts w:hint="eastAsia"/>
          <w:color w:val="auto"/>
          <w:sz w:val="24"/>
          <w:highlight w:val="none"/>
        </w:rPr>
        <w:t>在线进行开标</w:t>
      </w:r>
      <w:r>
        <w:rPr>
          <w:color w:val="auto"/>
          <w:sz w:val="24"/>
          <w:highlight w:val="none"/>
        </w:rPr>
        <w:t>。投标人应在规定的时间内对投标文件进行解密，因非系统原因导致的解密失败，视为</w:t>
      </w:r>
      <w:r>
        <w:rPr>
          <w:b/>
          <w:color w:val="auto"/>
          <w:sz w:val="24"/>
          <w:highlight w:val="none"/>
        </w:rPr>
        <w:t>投标无效</w:t>
      </w:r>
      <w:r>
        <w:rPr>
          <w:color w:val="auto"/>
          <w:sz w:val="24"/>
          <w:highlight w:val="none"/>
        </w:rPr>
        <w:t>。</w:t>
      </w:r>
    </w:p>
    <w:p w14:paraId="33E46AD8">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开标过程将使用</w:t>
      </w:r>
      <w:r>
        <w:rPr>
          <w:rFonts w:hint="eastAsia"/>
          <w:color w:val="auto"/>
          <w:sz w:val="24"/>
          <w:highlight w:val="none"/>
          <w:lang w:eastAsia="zh-CN"/>
        </w:rPr>
        <w:t>“苏采云”政府采购一体化平台</w:t>
      </w:r>
      <w:r>
        <w:rPr>
          <w:rFonts w:hint="eastAsia"/>
          <w:color w:val="auto"/>
          <w:sz w:val="24"/>
          <w:highlight w:val="none"/>
        </w:rPr>
        <w:t>公</w:t>
      </w:r>
      <w:r>
        <w:rPr>
          <w:color w:val="auto"/>
          <w:sz w:val="24"/>
          <w:highlight w:val="none"/>
        </w:rPr>
        <w:t>布投标人名称、投标价格和招标文件规定的需要宣布的其他内容并进行记录，并由参加开标的各投标人代表</w:t>
      </w:r>
      <w:r>
        <w:rPr>
          <w:rFonts w:hint="eastAsia"/>
          <w:color w:val="auto"/>
          <w:sz w:val="24"/>
          <w:highlight w:val="none"/>
        </w:rPr>
        <w:t>在规定时间内</w:t>
      </w:r>
      <w:r>
        <w:rPr>
          <w:color w:val="auto"/>
          <w:sz w:val="24"/>
          <w:highlight w:val="none"/>
        </w:rPr>
        <w:t>确认</w:t>
      </w:r>
      <w:bookmarkStart w:id="558" w:name="_Toc520356165"/>
      <w:r>
        <w:rPr>
          <w:rFonts w:hint="eastAsia"/>
          <w:color w:val="auto"/>
          <w:sz w:val="24"/>
          <w:highlight w:val="none"/>
        </w:rPr>
        <w:t>。投标人超过规定时间未确认但是未提出疑义的，系统将视同已确认</w:t>
      </w:r>
      <w:r>
        <w:rPr>
          <w:color w:val="auto"/>
          <w:sz w:val="24"/>
          <w:highlight w:val="none"/>
        </w:rPr>
        <w:t>。</w:t>
      </w:r>
    </w:p>
    <w:p w14:paraId="331696A6">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投标人代表对开标过程和开标记录有疑义，以及认为采购人、采购代理机构相关工作人员有需要回避的情形的，应当场</w:t>
      </w:r>
      <w:r>
        <w:rPr>
          <w:rFonts w:hint="eastAsia"/>
          <w:color w:val="auto"/>
          <w:sz w:val="24"/>
          <w:highlight w:val="none"/>
        </w:rPr>
        <w:t>通过业务系统</w:t>
      </w:r>
      <w:r>
        <w:rPr>
          <w:color w:val="auto"/>
          <w:sz w:val="24"/>
          <w:highlight w:val="none"/>
        </w:rPr>
        <w:t>提出询问或者回避申请。采购人、采购代理机构对投标人代表提出的询问或者回避申请将及时处理。</w:t>
      </w:r>
    </w:p>
    <w:p w14:paraId="744027DE">
      <w:pPr>
        <w:numPr>
          <w:ilvl w:val="1"/>
          <w:numId w:val="8"/>
        </w:numPr>
        <w:tabs>
          <w:tab w:val="left" w:pos="1080"/>
          <w:tab w:val="left" w:pos="2014"/>
        </w:tabs>
        <w:spacing w:line="360" w:lineRule="auto"/>
        <w:ind w:left="1077" w:hanging="720"/>
        <w:rPr>
          <w:rFonts w:hint="eastAsia"/>
          <w:color w:val="auto"/>
          <w:sz w:val="24"/>
          <w:highlight w:val="none"/>
        </w:rPr>
      </w:pPr>
      <w:r>
        <w:rPr>
          <w:color w:val="auto"/>
          <w:sz w:val="24"/>
          <w:highlight w:val="none"/>
        </w:rPr>
        <w:t>投标人不足3家的，不予开标。</w:t>
      </w:r>
    </w:p>
    <w:p w14:paraId="5252823E">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投标人须在开标前使用“验证CA”功能验证本地计算机的控件环境是否正常，并且在开标</w:t>
      </w:r>
      <w:r>
        <w:rPr>
          <w:rFonts w:hint="eastAsia"/>
          <w:color w:val="auto"/>
          <w:sz w:val="24"/>
          <w:highlight w:val="none"/>
        </w:rPr>
        <w:t>评审</w:t>
      </w:r>
      <w:r>
        <w:rPr>
          <w:color w:val="auto"/>
          <w:sz w:val="24"/>
          <w:highlight w:val="none"/>
        </w:rPr>
        <w:t>过程中不可随意更换</w:t>
      </w:r>
      <w:r>
        <w:rPr>
          <w:rFonts w:hint="eastAsia"/>
          <w:color w:val="auto"/>
          <w:sz w:val="24"/>
          <w:highlight w:val="none"/>
        </w:rPr>
        <w:t>计算机</w:t>
      </w:r>
      <w:r>
        <w:rPr>
          <w:color w:val="auto"/>
          <w:sz w:val="24"/>
          <w:highlight w:val="none"/>
        </w:rPr>
        <w:t>，必须使用验证成功的计算机进行操作，否则造成相应后果由投标</w:t>
      </w:r>
      <w:r>
        <w:rPr>
          <w:rFonts w:hint="eastAsia"/>
          <w:color w:val="auto"/>
          <w:sz w:val="24"/>
          <w:highlight w:val="none"/>
        </w:rPr>
        <w:t>人</w:t>
      </w:r>
      <w:r>
        <w:rPr>
          <w:color w:val="auto"/>
          <w:sz w:val="24"/>
          <w:highlight w:val="none"/>
        </w:rPr>
        <w:t>自行承担。本地计算机</w:t>
      </w:r>
      <w:r>
        <w:rPr>
          <w:rFonts w:hint="eastAsia"/>
          <w:color w:val="auto"/>
          <w:sz w:val="24"/>
          <w:highlight w:val="none"/>
        </w:rPr>
        <w:t>要求安装摄像头、麦克风和音箱，保持网络通畅。</w:t>
      </w:r>
    </w:p>
    <w:p w14:paraId="0FDC892D">
      <w:pPr>
        <w:numPr>
          <w:ilvl w:val="1"/>
          <w:numId w:val="8"/>
        </w:numPr>
        <w:tabs>
          <w:tab w:val="left" w:pos="1080"/>
          <w:tab w:val="left" w:pos="2014"/>
        </w:tabs>
        <w:spacing w:line="360" w:lineRule="auto"/>
        <w:ind w:left="1077" w:hanging="720"/>
        <w:rPr>
          <w:rFonts w:hint="eastAsia"/>
          <w:color w:val="auto"/>
          <w:sz w:val="24"/>
          <w:highlight w:val="none"/>
        </w:rPr>
      </w:pPr>
      <w:r>
        <w:rPr>
          <w:rFonts w:hint="eastAsia"/>
          <w:color w:val="auto"/>
          <w:sz w:val="24"/>
          <w:highlight w:val="none"/>
        </w:rPr>
        <w:t>因本项目</w:t>
      </w:r>
      <w:r>
        <w:rPr>
          <w:color w:val="auto"/>
          <w:sz w:val="24"/>
          <w:highlight w:val="none"/>
        </w:rPr>
        <w:t>采用不见面交易的</w:t>
      </w:r>
      <w:r>
        <w:rPr>
          <w:rFonts w:hint="eastAsia"/>
          <w:color w:val="auto"/>
          <w:sz w:val="24"/>
          <w:highlight w:val="none"/>
        </w:rPr>
        <w:t>方式</w:t>
      </w:r>
      <w:r>
        <w:rPr>
          <w:color w:val="auto"/>
          <w:sz w:val="24"/>
          <w:highlight w:val="none"/>
        </w:rPr>
        <w:t>，在</w:t>
      </w:r>
      <w:r>
        <w:rPr>
          <w:rFonts w:hint="eastAsia"/>
          <w:color w:val="auto"/>
          <w:sz w:val="24"/>
          <w:highlight w:val="none"/>
        </w:rPr>
        <w:t>开标、评审</w:t>
      </w:r>
      <w:r>
        <w:rPr>
          <w:color w:val="auto"/>
          <w:sz w:val="24"/>
          <w:highlight w:val="none"/>
        </w:rPr>
        <w:t>过程中，</w:t>
      </w:r>
      <w:r>
        <w:rPr>
          <w:rFonts w:hint="eastAsia"/>
          <w:color w:val="auto"/>
          <w:sz w:val="24"/>
          <w:highlight w:val="none"/>
          <w:lang w:eastAsia="zh-CN"/>
        </w:rPr>
        <w:t>投标人</w:t>
      </w:r>
      <w:r>
        <w:rPr>
          <w:color w:val="auto"/>
          <w:sz w:val="24"/>
          <w:highlight w:val="none"/>
        </w:rPr>
        <w:t>需</w:t>
      </w:r>
      <w:r>
        <w:rPr>
          <w:rFonts w:hint="eastAsia"/>
          <w:color w:val="auto"/>
          <w:sz w:val="24"/>
          <w:highlight w:val="none"/>
        </w:rPr>
        <w:t>要</w:t>
      </w:r>
      <w:r>
        <w:rPr>
          <w:color w:val="auto"/>
          <w:sz w:val="24"/>
          <w:highlight w:val="none"/>
        </w:rPr>
        <w:t>保持操作计算机前有相关责任人</w:t>
      </w:r>
      <w:r>
        <w:rPr>
          <w:rFonts w:hint="eastAsia"/>
          <w:color w:val="auto"/>
          <w:sz w:val="24"/>
          <w:highlight w:val="none"/>
        </w:rPr>
        <w:t>值守，及时对于系统或者评委会发出的指令和要求进行响应操作。如果因为无人值守造成不能及时回应系统或者评委会指令和要求从而导致影响开标、评审结果的，责任由投标人承担</w:t>
      </w:r>
      <w:r>
        <w:rPr>
          <w:color w:val="auto"/>
          <w:sz w:val="24"/>
          <w:highlight w:val="none"/>
        </w:rPr>
        <w:t>。</w:t>
      </w:r>
    </w:p>
    <w:p w14:paraId="53FFE6BC">
      <w:pPr>
        <w:numPr>
          <w:ilvl w:val="1"/>
          <w:numId w:val="8"/>
        </w:numPr>
        <w:tabs>
          <w:tab w:val="left" w:pos="1080"/>
          <w:tab w:val="left" w:pos="2014"/>
        </w:tabs>
        <w:spacing w:line="360" w:lineRule="auto"/>
        <w:ind w:left="1077" w:hanging="720"/>
        <w:rPr>
          <w:color w:val="auto"/>
          <w:sz w:val="24"/>
          <w:highlight w:val="none"/>
        </w:rPr>
      </w:pPr>
      <w:r>
        <w:rPr>
          <w:rFonts w:hint="eastAsia"/>
          <w:color w:val="auto"/>
          <w:sz w:val="24"/>
          <w:highlight w:val="none"/>
        </w:rPr>
        <w:t>如果在</w:t>
      </w:r>
      <w:r>
        <w:rPr>
          <w:color w:val="auto"/>
          <w:sz w:val="24"/>
          <w:highlight w:val="none"/>
        </w:rPr>
        <w:t>采购</w:t>
      </w:r>
      <w:r>
        <w:rPr>
          <w:rFonts w:hint="eastAsia"/>
          <w:color w:val="auto"/>
          <w:sz w:val="24"/>
          <w:highlight w:val="none"/>
        </w:rPr>
        <w:t>活动</w:t>
      </w:r>
      <w:r>
        <w:rPr>
          <w:color w:val="auto"/>
          <w:sz w:val="24"/>
          <w:highlight w:val="none"/>
        </w:rPr>
        <w:t>过程中出现以下情形，导致</w:t>
      </w:r>
      <w:r>
        <w:rPr>
          <w:rFonts w:hint="eastAsia"/>
          <w:color w:val="auto"/>
          <w:sz w:val="24"/>
          <w:highlight w:val="none"/>
          <w:lang w:eastAsia="zh-CN"/>
        </w:rPr>
        <w:t>“苏采云”政府采购一体化平台</w:t>
      </w:r>
      <w:r>
        <w:rPr>
          <w:rFonts w:hint="eastAsia"/>
          <w:color w:val="auto"/>
          <w:sz w:val="24"/>
          <w:highlight w:val="none"/>
        </w:rPr>
        <w:t>系统</w:t>
      </w:r>
      <w:r>
        <w:rPr>
          <w:color w:val="auto"/>
          <w:sz w:val="24"/>
          <w:highlight w:val="none"/>
        </w:rPr>
        <w:t>无法正常运行，或者无法保证</w:t>
      </w:r>
      <w:r>
        <w:rPr>
          <w:rFonts w:hint="eastAsia"/>
          <w:color w:val="auto"/>
          <w:sz w:val="24"/>
          <w:highlight w:val="none"/>
        </w:rPr>
        <w:t>本项目采购活动</w:t>
      </w:r>
      <w:r>
        <w:rPr>
          <w:color w:val="auto"/>
          <w:sz w:val="24"/>
          <w:highlight w:val="none"/>
        </w:rPr>
        <w:t>的公平、公正和安全时，</w:t>
      </w:r>
      <w:r>
        <w:rPr>
          <w:rFonts w:hint="eastAsia"/>
          <w:color w:val="auto"/>
          <w:sz w:val="24"/>
          <w:highlight w:val="none"/>
        </w:rPr>
        <w:t>代理机构</w:t>
      </w:r>
      <w:r>
        <w:rPr>
          <w:color w:val="auto"/>
          <w:sz w:val="24"/>
          <w:highlight w:val="none"/>
        </w:rPr>
        <w:t>可</w:t>
      </w:r>
      <w:r>
        <w:rPr>
          <w:rFonts w:hint="eastAsia"/>
          <w:color w:val="auto"/>
          <w:sz w:val="24"/>
          <w:highlight w:val="none"/>
        </w:rPr>
        <w:t>以延缓或者暂停采购活动，情况严重的可以终止采购</w:t>
      </w:r>
      <w:r>
        <w:rPr>
          <w:color w:val="auto"/>
          <w:sz w:val="24"/>
          <w:highlight w:val="none"/>
        </w:rPr>
        <w:t>活动：</w:t>
      </w:r>
      <w:r>
        <w:rPr>
          <w:color w:val="auto"/>
          <w:sz w:val="24"/>
          <w:highlight w:val="none"/>
        </w:rPr>
        <w:br w:type="textWrapping" w:clear="all"/>
      </w:r>
      <w:r>
        <w:rPr>
          <w:rFonts w:hint="eastAsia"/>
          <w:color w:val="auto"/>
          <w:sz w:val="24"/>
          <w:highlight w:val="none"/>
        </w:rPr>
        <w:t xml:space="preserve"> 1)</w:t>
      </w:r>
      <w:r>
        <w:rPr>
          <w:color w:val="auto"/>
          <w:sz w:val="24"/>
          <w:highlight w:val="none"/>
        </w:rPr>
        <w:t>平台</w:t>
      </w:r>
      <w:r>
        <w:rPr>
          <w:rFonts w:hint="eastAsia"/>
          <w:color w:val="auto"/>
          <w:sz w:val="24"/>
          <w:highlight w:val="none"/>
        </w:rPr>
        <w:t>系统</w:t>
      </w:r>
      <w:r>
        <w:rPr>
          <w:color w:val="auto"/>
          <w:sz w:val="24"/>
          <w:highlight w:val="none"/>
        </w:rPr>
        <w:t>发生故障而无法登录访问的；</w:t>
      </w:r>
    </w:p>
    <w:p w14:paraId="3297B7F4">
      <w:pPr>
        <w:tabs>
          <w:tab w:val="left" w:pos="1080"/>
          <w:tab w:val="left" w:pos="1589"/>
          <w:tab w:val="left" w:pos="2014"/>
        </w:tabs>
        <w:spacing w:line="360" w:lineRule="auto"/>
        <w:ind w:left="357" w:firstLine="840"/>
        <w:rPr>
          <w:color w:val="auto"/>
          <w:sz w:val="24"/>
          <w:highlight w:val="none"/>
        </w:rPr>
      </w:pPr>
      <w:r>
        <w:rPr>
          <w:rFonts w:hint="eastAsia"/>
          <w:color w:val="auto"/>
          <w:sz w:val="24"/>
          <w:highlight w:val="none"/>
        </w:rPr>
        <w:t>2)</w:t>
      </w:r>
      <w:r>
        <w:rPr>
          <w:color w:val="auto"/>
          <w:sz w:val="24"/>
          <w:highlight w:val="none"/>
        </w:rPr>
        <w:t>平台</w:t>
      </w:r>
      <w:r>
        <w:rPr>
          <w:rFonts w:hint="eastAsia"/>
          <w:color w:val="auto"/>
          <w:sz w:val="24"/>
          <w:highlight w:val="none"/>
        </w:rPr>
        <w:t>系统</w:t>
      </w:r>
      <w:r>
        <w:rPr>
          <w:color w:val="auto"/>
          <w:sz w:val="24"/>
          <w:highlight w:val="none"/>
        </w:rPr>
        <w:t>应用或数据库出现错误，不能进行正常操作的；</w:t>
      </w:r>
    </w:p>
    <w:p w14:paraId="195F445C">
      <w:pPr>
        <w:tabs>
          <w:tab w:val="left" w:pos="1080"/>
          <w:tab w:val="left" w:pos="1589"/>
          <w:tab w:val="left" w:pos="2014"/>
        </w:tabs>
        <w:spacing w:line="360" w:lineRule="auto"/>
        <w:ind w:left="357" w:firstLine="840"/>
        <w:rPr>
          <w:color w:val="auto"/>
          <w:sz w:val="24"/>
          <w:highlight w:val="none"/>
        </w:rPr>
      </w:pPr>
      <w:r>
        <w:rPr>
          <w:rFonts w:hint="eastAsia"/>
          <w:color w:val="auto"/>
          <w:sz w:val="24"/>
          <w:highlight w:val="none"/>
        </w:rPr>
        <w:t>3)</w:t>
      </w:r>
      <w:r>
        <w:rPr>
          <w:color w:val="auto"/>
          <w:sz w:val="24"/>
          <w:highlight w:val="none"/>
        </w:rPr>
        <w:t>平台</w:t>
      </w:r>
      <w:r>
        <w:rPr>
          <w:rFonts w:hint="eastAsia"/>
          <w:color w:val="auto"/>
          <w:sz w:val="24"/>
          <w:highlight w:val="none"/>
        </w:rPr>
        <w:t>系统</w:t>
      </w:r>
      <w:r>
        <w:rPr>
          <w:color w:val="auto"/>
          <w:sz w:val="24"/>
          <w:highlight w:val="none"/>
        </w:rPr>
        <w:t>发现严重安全漏洞，有潜在泄密危险的；</w:t>
      </w:r>
    </w:p>
    <w:p w14:paraId="70246C48">
      <w:pPr>
        <w:tabs>
          <w:tab w:val="left" w:pos="1080"/>
          <w:tab w:val="left" w:pos="1589"/>
          <w:tab w:val="left" w:pos="2014"/>
        </w:tabs>
        <w:spacing w:line="360" w:lineRule="auto"/>
        <w:ind w:left="357" w:firstLine="840"/>
        <w:rPr>
          <w:color w:val="auto"/>
          <w:sz w:val="24"/>
          <w:highlight w:val="none"/>
        </w:rPr>
      </w:pPr>
      <w:r>
        <w:rPr>
          <w:rFonts w:hint="eastAsia"/>
          <w:color w:val="auto"/>
          <w:sz w:val="24"/>
          <w:highlight w:val="none"/>
        </w:rPr>
        <w:t>4)</w:t>
      </w:r>
      <w:r>
        <w:rPr>
          <w:color w:val="auto"/>
          <w:sz w:val="24"/>
          <w:highlight w:val="none"/>
        </w:rPr>
        <w:t>病毒发作导致平台</w:t>
      </w:r>
      <w:r>
        <w:rPr>
          <w:rFonts w:hint="eastAsia"/>
          <w:color w:val="auto"/>
          <w:sz w:val="24"/>
          <w:highlight w:val="none"/>
        </w:rPr>
        <w:t>系统</w:t>
      </w:r>
      <w:r>
        <w:rPr>
          <w:color w:val="auto"/>
          <w:sz w:val="24"/>
          <w:highlight w:val="none"/>
        </w:rPr>
        <w:t>不能进行正常操作的；</w:t>
      </w:r>
    </w:p>
    <w:p w14:paraId="7937E58A">
      <w:pPr>
        <w:tabs>
          <w:tab w:val="left" w:pos="1080"/>
          <w:tab w:val="left" w:pos="1589"/>
          <w:tab w:val="left" w:pos="2014"/>
        </w:tabs>
        <w:spacing w:line="360" w:lineRule="auto"/>
        <w:ind w:left="357" w:firstLine="840"/>
        <w:rPr>
          <w:rFonts w:hint="eastAsia"/>
          <w:color w:val="auto"/>
          <w:sz w:val="24"/>
          <w:highlight w:val="none"/>
        </w:rPr>
      </w:pPr>
      <w:r>
        <w:rPr>
          <w:rFonts w:hint="eastAsia"/>
          <w:color w:val="auto"/>
          <w:sz w:val="24"/>
          <w:highlight w:val="none"/>
        </w:rPr>
        <w:t>5)</w:t>
      </w:r>
      <w:r>
        <w:rPr>
          <w:color w:val="auto"/>
          <w:sz w:val="24"/>
          <w:highlight w:val="none"/>
        </w:rPr>
        <w:t>其他无法保证</w:t>
      </w:r>
      <w:r>
        <w:rPr>
          <w:rFonts w:hint="eastAsia"/>
          <w:color w:val="auto"/>
          <w:sz w:val="24"/>
          <w:highlight w:val="none"/>
        </w:rPr>
        <w:t>本次采购活动</w:t>
      </w:r>
      <w:r>
        <w:rPr>
          <w:color w:val="auto"/>
          <w:sz w:val="24"/>
          <w:highlight w:val="none"/>
        </w:rPr>
        <w:t>的公平、公正和安全的情况。</w:t>
      </w:r>
    </w:p>
    <w:p w14:paraId="2F1134B4">
      <w:pPr>
        <w:tabs>
          <w:tab w:val="left" w:pos="1080"/>
          <w:tab w:val="left" w:pos="1589"/>
          <w:tab w:val="left" w:pos="2014"/>
        </w:tabs>
        <w:spacing w:line="360" w:lineRule="auto"/>
        <w:ind w:left="1134"/>
        <w:rPr>
          <w:color w:val="auto"/>
          <w:sz w:val="24"/>
          <w:highlight w:val="none"/>
        </w:rPr>
      </w:pPr>
      <w:r>
        <w:rPr>
          <w:color w:val="auto"/>
          <w:sz w:val="24"/>
          <w:highlight w:val="none"/>
        </w:rPr>
        <w:t>出现</w:t>
      </w:r>
      <w:r>
        <w:rPr>
          <w:rFonts w:hint="eastAsia"/>
          <w:color w:val="auto"/>
          <w:sz w:val="24"/>
          <w:highlight w:val="none"/>
        </w:rPr>
        <w:t>上述</w:t>
      </w:r>
      <w:r>
        <w:rPr>
          <w:color w:val="auto"/>
          <w:sz w:val="24"/>
          <w:highlight w:val="none"/>
        </w:rPr>
        <w:t>情形，不影响采购</w:t>
      </w:r>
      <w:r>
        <w:rPr>
          <w:rFonts w:hint="eastAsia"/>
          <w:color w:val="auto"/>
          <w:sz w:val="24"/>
          <w:highlight w:val="none"/>
        </w:rPr>
        <w:t>活动</w:t>
      </w:r>
      <w:r>
        <w:rPr>
          <w:color w:val="auto"/>
          <w:sz w:val="24"/>
          <w:highlight w:val="none"/>
        </w:rPr>
        <w:t>公平、公正性的，</w:t>
      </w:r>
      <w:r>
        <w:rPr>
          <w:rFonts w:hint="eastAsia"/>
          <w:color w:val="auto"/>
          <w:sz w:val="24"/>
          <w:highlight w:val="none"/>
        </w:rPr>
        <w:t>代理机构</w:t>
      </w:r>
      <w:r>
        <w:rPr>
          <w:color w:val="auto"/>
          <w:sz w:val="24"/>
          <w:highlight w:val="none"/>
        </w:rPr>
        <w:t>可以待上述情形消除后继续组织</w:t>
      </w:r>
      <w:r>
        <w:rPr>
          <w:rFonts w:hint="eastAsia"/>
          <w:color w:val="auto"/>
          <w:sz w:val="24"/>
          <w:highlight w:val="none"/>
        </w:rPr>
        <w:t>不见面</w:t>
      </w:r>
      <w:r>
        <w:rPr>
          <w:color w:val="auto"/>
          <w:sz w:val="24"/>
          <w:highlight w:val="none"/>
        </w:rPr>
        <w:t>交易</w:t>
      </w:r>
      <w:r>
        <w:rPr>
          <w:rFonts w:hint="eastAsia"/>
          <w:color w:val="auto"/>
          <w:sz w:val="24"/>
          <w:highlight w:val="none"/>
        </w:rPr>
        <w:t>采购</w:t>
      </w:r>
      <w:r>
        <w:rPr>
          <w:color w:val="auto"/>
          <w:sz w:val="24"/>
          <w:highlight w:val="none"/>
        </w:rPr>
        <w:t>活动，也可以决定某些环节以纸质形式进行；影响或可能影响采购</w:t>
      </w:r>
      <w:r>
        <w:rPr>
          <w:rFonts w:hint="eastAsia"/>
          <w:color w:val="auto"/>
          <w:sz w:val="24"/>
          <w:highlight w:val="none"/>
        </w:rPr>
        <w:t>活动</w:t>
      </w:r>
      <w:r>
        <w:rPr>
          <w:color w:val="auto"/>
          <w:sz w:val="24"/>
          <w:highlight w:val="none"/>
        </w:rPr>
        <w:t>公平、公正性的，应当</w:t>
      </w:r>
      <w:r>
        <w:rPr>
          <w:rFonts w:hint="eastAsia"/>
          <w:color w:val="auto"/>
          <w:sz w:val="24"/>
          <w:highlight w:val="none"/>
        </w:rPr>
        <w:t>终止本次项目，</w:t>
      </w:r>
      <w:r>
        <w:rPr>
          <w:color w:val="auto"/>
          <w:sz w:val="24"/>
          <w:highlight w:val="none"/>
        </w:rPr>
        <w:t>重新</w:t>
      </w:r>
      <w:r>
        <w:rPr>
          <w:rFonts w:hint="eastAsia"/>
          <w:color w:val="auto"/>
          <w:sz w:val="24"/>
          <w:highlight w:val="none"/>
        </w:rPr>
        <w:t>组织</w:t>
      </w:r>
      <w:r>
        <w:rPr>
          <w:color w:val="auto"/>
          <w:sz w:val="24"/>
          <w:highlight w:val="none"/>
        </w:rPr>
        <w:t>采购。</w:t>
      </w:r>
    </w:p>
    <w:p w14:paraId="5BED063A">
      <w:pPr>
        <w:numPr>
          <w:ilvl w:val="0"/>
          <w:numId w:val="8"/>
        </w:numPr>
        <w:tabs>
          <w:tab w:val="left" w:pos="360"/>
        </w:tabs>
        <w:spacing w:line="360" w:lineRule="auto"/>
        <w:ind w:left="357" w:hanging="357"/>
        <w:outlineLvl w:val="1"/>
        <w:rPr>
          <w:color w:val="auto"/>
          <w:sz w:val="24"/>
          <w:highlight w:val="none"/>
        </w:rPr>
      </w:pPr>
      <w:r>
        <w:rPr>
          <w:color w:val="auto"/>
          <w:sz w:val="24"/>
          <w:highlight w:val="none"/>
        </w:rPr>
        <w:t>资格审查</w:t>
      </w:r>
    </w:p>
    <w:p w14:paraId="05EAAF79">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见第三章《资格审查》。</w:t>
      </w:r>
    </w:p>
    <w:bookmarkEnd w:id="558"/>
    <w:p w14:paraId="0BE38EE7">
      <w:pPr>
        <w:numPr>
          <w:ilvl w:val="0"/>
          <w:numId w:val="8"/>
        </w:numPr>
        <w:tabs>
          <w:tab w:val="left" w:pos="360"/>
        </w:tabs>
        <w:spacing w:line="360" w:lineRule="auto"/>
        <w:ind w:left="357" w:hanging="357"/>
        <w:outlineLvl w:val="1"/>
        <w:rPr>
          <w:color w:val="auto"/>
          <w:sz w:val="24"/>
          <w:highlight w:val="none"/>
        </w:rPr>
      </w:pPr>
      <w:bookmarkStart w:id="559" w:name="_Toc151193782"/>
      <w:bookmarkStart w:id="560" w:name="_Toc226337236"/>
      <w:bookmarkStart w:id="561" w:name="_Toc164229381"/>
      <w:bookmarkStart w:id="562" w:name="_Toc305158808"/>
      <w:bookmarkStart w:id="563" w:name="_Toc151193710"/>
      <w:bookmarkStart w:id="564" w:name="_Toc150509291"/>
      <w:bookmarkStart w:id="565" w:name="_Toc127151741"/>
      <w:bookmarkStart w:id="566" w:name="_Toc142311042"/>
      <w:bookmarkStart w:id="567" w:name="_Toc265228378"/>
      <w:bookmarkStart w:id="568" w:name="_Toc150480778"/>
      <w:bookmarkStart w:id="569" w:name="_Toc164229235"/>
      <w:bookmarkStart w:id="570" w:name="_Toc150774745"/>
      <w:bookmarkStart w:id="571" w:name="_Toc151193854"/>
      <w:bookmarkStart w:id="572" w:name="_Toc151190167"/>
      <w:bookmarkStart w:id="573" w:name="_Toc127161454"/>
      <w:bookmarkStart w:id="574" w:name="_Toc151193638"/>
      <w:bookmarkStart w:id="575" w:name="_Toc195842905"/>
      <w:bookmarkStart w:id="576" w:name="_Toc226965813"/>
      <w:bookmarkStart w:id="577" w:name="_Toc164351634"/>
      <w:bookmarkStart w:id="578" w:name="_Toc164608809"/>
      <w:bookmarkStart w:id="579" w:name="_Toc264969230"/>
      <w:bookmarkStart w:id="580" w:name="_Toc127151540"/>
      <w:bookmarkStart w:id="581" w:name="_Toc151193928"/>
      <w:bookmarkStart w:id="582" w:name="_Toc149720833"/>
      <w:bookmarkStart w:id="583" w:name="_Toc150774640"/>
      <w:bookmarkStart w:id="584" w:name="_Toc305158882"/>
      <w:bookmarkStart w:id="585" w:name="_Toc164608654"/>
      <w:bookmarkStart w:id="586" w:name="_Toc226965730"/>
      <w:bookmarkStart w:id="587" w:name="_Toc226309784"/>
      <w:r>
        <w:rPr>
          <w:color w:val="auto"/>
          <w:sz w:val="24"/>
          <w:highlight w:val="none"/>
        </w:rPr>
        <w:t>评标委员会</w:t>
      </w:r>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p>
    <w:p w14:paraId="62479AE7">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评标委员会根据政府采购有关规定和本次招标采购项目的特点进行组建，并负责具体评标事务，独立履行职责。</w:t>
      </w:r>
      <w:bookmarkStart w:id="588" w:name="_Toc520356166"/>
    </w:p>
    <w:p w14:paraId="0B392E01">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评审专家须符合</w:t>
      </w:r>
      <w:r>
        <w:rPr>
          <w:rFonts w:hint="eastAsia"/>
          <w:color w:val="auto"/>
          <w:sz w:val="24"/>
          <w:highlight w:val="none"/>
        </w:rPr>
        <w:t>相关</w:t>
      </w:r>
      <w:r>
        <w:rPr>
          <w:color w:val="auto"/>
          <w:sz w:val="24"/>
          <w:highlight w:val="none"/>
        </w:rPr>
        <w:t>规定。依法自行选定评审专家的，采购人和采购代理机构将查询有关信用记录，对具有行贿、受贿、欺诈等不良信用记录的人员，拒绝其参与政府采购活动。</w:t>
      </w:r>
      <w:bookmarkEnd w:id="588"/>
    </w:p>
    <w:p w14:paraId="476A7B0D">
      <w:pPr>
        <w:numPr>
          <w:ilvl w:val="0"/>
          <w:numId w:val="8"/>
        </w:numPr>
        <w:tabs>
          <w:tab w:val="left" w:pos="360"/>
        </w:tabs>
        <w:spacing w:line="360" w:lineRule="auto"/>
        <w:ind w:left="357" w:hanging="357"/>
        <w:outlineLvl w:val="1"/>
        <w:rPr>
          <w:color w:val="auto"/>
          <w:sz w:val="24"/>
          <w:highlight w:val="none"/>
        </w:rPr>
      </w:pPr>
      <w:r>
        <w:rPr>
          <w:color w:val="auto"/>
          <w:sz w:val="24"/>
          <w:highlight w:val="none"/>
        </w:rPr>
        <w:t>评标程序、评标方法和评标标准</w:t>
      </w:r>
    </w:p>
    <w:p w14:paraId="5F00A234">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见第四章《评标程序、评标方法和评标标准》。</w:t>
      </w:r>
    </w:p>
    <w:p w14:paraId="6525B985">
      <w:pPr>
        <w:keepNext w:val="0"/>
        <w:keepLines w:val="0"/>
        <w:pageBreakBefore w:val="0"/>
        <w:widowControl w:val="0"/>
        <w:spacing w:line="360" w:lineRule="auto"/>
        <w:jc w:val="center"/>
        <w:outlineLvl w:val="9"/>
        <w:rPr>
          <w:rFonts w:hint="eastAsia" w:ascii="宋体" w:hAnsi="宋体" w:eastAsia="宋体" w:cs="Times New Roman"/>
          <w:b/>
          <w:bCs/>
          <w:color w:val="auto"/>
          <w:sz w:val="28"/>
          <w:szCs w:val="28"/>
          <w:highlight w:val="none"/>
          <w:lang w:val="en-US" w:eastAsia="zh-CN"/>
        </w:rPr>
      </w:pPr>
      <w:bookmarkStart w:id="589" w:name="_Toc305158887"/>
      <w:bookmarkStart w:id="590" w:name="_Toc151190172"/>
      <w:bookmarkStart w:id="591" w:name="_Toc226337241"/>
      <w:bookmarkStart w:id="592" w:name="_Toc150774645"/>
      <w:bookmarkStart w:id="593" w:name="_Toc226965735"/>
      <w:bookmarkStart w:id="594" w:name="_Toc305158813"/>
      <w:bookmarkStart w:id="595" w:name="_Toc150509296"/>
      <w:bookmarkStart w:id="596" w:name="_Toc151193933"/>
      <w:bookmarkStart w:id="597" w:name="_Toc151193643"/>
      <w:bookmarkStart w:id="598" w:name="_Toc264969235"/>
      <w:bookmarkStart w:id="599" w:name="_Toc127151545"/>
      <w:bookmarkStart w:id="600" w:name="_Toc265228383"/>
      <w:bookmarkStart w:id="601" w:name="_Toc142311047"/>
      <w:bookmarkStart w:id="602" w:name="_Toc151193859"/>
      <w:bookmarkStart w:id="603" w:name="_Toc151193715"/>
      <w:bookmarkStart w:id="604" w:name="_Toc226965818"/>
      <w:bookmarkStart w:id="605" w:name="_Toc226309789"/>
      <w:bookmarkStart w:id="606" w:name="_Toc150480783"/>
      <w:bookmarkStart w:id="607" w:name="_Toc150774750"/>
      <w:bookmarkStart w:id="608" w:name="_Toc151193787"/>
      <w:bookmarkStart w:id="609" w:name="_Toc195842910"/>
      <w:r>
        <w:rPr>
          <w:rFonts w:hint="eastAsia" w:ascii="宋体" w:hAnsi="宋体" w:eastAsia="宋体" w:cs="Times New Roman"/>
          <w:b/>
          <w:bCs/>
          <w:color w:val="auto"/>
          <w:sz w:val="28"/>
          <w:szCs w:val="28"/>
          <w:highlight w:val="none"/>
          <w:lang w:val="en-US" w:eastAsia="zh-CN"/>
        </w:rPr>
        <w:t xml:space="preserve">六   </w:t>
      </w:r>
      <w:bookmarkEnd w:id="415"/>
      <w:r>
        <w:rPr>
          <w:rFonts w:hint="eastAsia" w:ascii="宋体" w:hAnsi="宋体" w:eastAsia="宋体" w:cs="Times New Roman"/>
          <w:b/>
          <w:bCs/>
          <w:color w:val="auto"/>
          <w:sz w:val="28"/>
          <w:szCs w:val="28"/>
          <w:highlight w:val="none"/>
          <w:lang w:val="en-US" w:eastAsia="zh-CN"/>
        </w:rPr>
        <w:t>确定中标</w:t>
      </w:r>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Start w:id="610" w:name="_Toc264969237"/>
      <w:bookmarkStart w:id="611" w:name="_Toc305158889"/>
      <w:bookmarkStart w:id="612" w:name="_Toc150509298"/>
      <w:bookmarkStart w:id="613" w:name="_Toc226965820"/>
      <w:bookmarkStart w:id="614" w:name="_Toc127151547"/>
      <w:bookmarkStart w:id="615" w:name="_Toc226337243"/>
      <w:bookmarkStart w:id="616" w:name="_Toc164608816"/>
      <w:bookmarkStart w:id="617" w:name="_Toc305158815"/>
      <w:bookmarkStart w:id="618" w:name="_Toc127161461"/>
      <w:bookmarkStart w:id="619" w:name="_Toc151193717"/>
      <w:bookmarkStart w:id="620" w:name="_Toc149720840"/>
      <w:bookmarkStart w:id="621" w:name="_Toc226965737"/>
      <w:bookmarkStart w:id="622" w:name="_Toc164229388"/>
      <w:bookmarkStart w:id="623" w:name="_Toc151193935"/>
      <w:bookmarkStart w:id="624" w:name="_Toc195842912"/>
      <w:bookmarkStart w:id="625" w:name="_Toc151193861"/>
      <w:bookmarkStart w:id="626" w:name="_Toc226309791"/>
      <w:bookmarkStart w:id="627" w:name="_Toc142311049"/>
      <w:bookmarkStart w:id="628" w:name="_Toc127151748"/>
      <w:bookmarkStart w:id="629" w:name="_Toc151190174"/>
      <w:bookmarkStart w:id="630" w:name="_Toc150480785"/>
      <w:bookmarkStart w:id="631" w:name="_Toc150774752"/>
      <w:bookmarkStart w:id="632" w:name="_Toc150774647"/>
      <w:bookmarkStart w:id="633" w:name="_Toc164608661"/>
      <w:bookmarkStart w:id="634" w:name="_Toc151193645"/>
      <w:bookmarkStart w:id="635" w:name="_Toc164351641"/>
      <w:bookmarkStart w:id="636" w:name="_Toc164229242"/>
      <w:bookmarkStart w:id="637" w:name="_Toc151193789"/>
      <w:bookmarkStart w:id="638" w:name="_Toc265228385"/>
    </w:p>
    <w:p w14:paraId="432A7C39">
      <w:pPr>
        <w:keepNext w:val="0"/>
        <w:keepLines w:val="0"/>
        <w:pageBreakBefore w:val="0"/>
        <w:widowControl w:val="0"/>
        <w:numPr>
          <w:ilvl w:val="0"/>
          <w:numId w:val="8"/>
        </w:numPr>
        <w:tabs>
          <w:tab w:val="left" w:pos="360"/>
        </w:tabs>
        <w:spacing w:line="360" w:lineRule="auto"/>
        <w:ind w:left="357" w:hanging="357"/>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确定</w:t>
      </w:r>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r>
        <w:rPr>
          <w:rFonts w:hint="eastAsia" w:ascii="宋体" w:hAnsi="宋体" w:eastAsia="宋体" w:cs="宋体"/>
          <w:color w:val="auto"/>
          <w:sz w:val="24"/>
          <w:szCs w:val="24"/>
          <w:highlight w:val="none"/>
          <w:lang w:eastAsia="zh-CN"/>
        </w:rPr>
        <w:t>中标供应商</w:t>
      </w:r>
    </w:p>
    <w:p w14:paraId="63835F13">
      <w:pPr>
        <w:keepNext w:val="0"/>
        <w:keepLines w:val="0"/>
        <w:pageBreakBefore w:val="0"/>
        <w:widowControl w:val="0"/>
        <w:numPr>
          <w:ilvl w:val="1"/>
          <w:numId w:val="8"/>
        </w:numPr>
        <w:tabs>
          <w:tab w:val="left" w:pos="1080"/>
          <w:tab w:val="left" w:pos="2014"/>
        </w:tabs>
        <w:spacing w:line="360" w:lineRule="auto"/>
        <w:ind w:left="1077"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采购人将在评标报告确定的中标候选人名单中按顺序确定</w:t>
      </w:r>
      <w:r>
        <w:rPr>
          <w:rFonts w:hint="eastAsia" w:ascii="宋体" w:hAnsi="宋体" w:eastAsia="宋体" w:cs="宋体"/>
          <w:color w:val="auto"/>
          <w:sz w:val="24"/>
          <w:szCs w:val="24"/>
          <w:highlight w:val="none"/>
          <w:lang w:eastAsia="zh-CN"/>
        </w:rPr>
        <w:t>中标供应商</w:t>
      </w:r>
      <w:r>
        <w:rPr>
          <w:rFonts w:hint="eastAsia" w:ascii="宋体" w:hAnsi="宋体" w:eastAsia="宋体" w:cs="宋体"/>
          <w:color w:val="auto"/>
          <w:sz w:val="24"/>
          <w:szCs w:val="24"/>
          <w:highlight w:val="none"/>
        </w:rPr>
        <w:t>，中标候选人并列的，由采购人依法确定。</w:t>
      </w:r>
    </w:p>
    <w:p w14:paraId="3DE2D0EF">
      <w:pPr>
        <w:keepNext w:val="0"/>
        <w:keepLines w:val="0"/>
        <w:pageBreakBefore w:val="0"/>
        <w:widowControl w:val="0"/>
        <w:numPr>
          <w:ilvl w:val="0"/>
          <w:numId w:val="8"/>
        </w:numPr>
        <w:tabs>
          <w:tab w:val="left" w:pos="360"/>
        </w:tabs>
        <w:spacing w:line="360" w:lineRule="auto"/>
        <w:ind w:left="357" w:hanging="357"/>
        <w:outlineLvl w:val="9"/>
        <w:rPr>
          <w:rFonts w:hint="eastAsia" w:ascii="宋体" w:hAnsi="宋体" w:eastAsia="宋体" w:cs="宋体"/>
          <w:color w:val="auto"/>
          <w:sz w:val="24"/>
          <w:szCs w:val="24"/>
          <w:highlight w:val="none"/>
        </w:rPr>
      </w:pPr>
      <w:bookmarkStart w:id="639" w:name="_Toc305158891"/>
      <w:bookmarkStart w:id="640" w:name="_Toc305158817"/>
      <w:bookmarkStart w:id="641" w:name="_Toc151193937"/>
      <w:bookmarkStart w:id="642" w:name="_Toc150774649"/>
      <w:bookmarkStart w:id="643" w:name="_Toc265228387"/>
      <w:bookmarkStart w:id="644" w:name="_Toc151193647"/>
      <w:bookmarkStart w:id="645" w:name="_Toc226337245"/>
      <w:bookmarkStart w:id="646" w:name="_Toc164229390"/>
      <w:bookmarkStart w:id="647" w:name="_Toc142311051"/>
      <w:bookmarkStart w:id="648" w:name="_Toc226965822"/>
      <w:bookmarkStart w:id="649" w:name="_Toc150509300"/>
      <w:bookmarkStart w:id="650" w:name="_Toc226965739"/>
      <w:bookmarkStart w:id="651" w:name="_Toc127161463"/>
      <w:bookmarkStart w:id="652" w:name="_Toc150480787"/>
      <w:bookmarkStart w:id="653" w:name="_Toc195842914"/>
      <w:bookmarkStart w:id="654" w:name="_Toc151193863"/>
      <w:bookmarkStart w:id="655" w:name="_Toc150774754"/>
      <w:bookmarkStart w:id="656" w:name="_Toc264969239"/>
      <w:bookmarkStart w:id="657" w:name="_Toc164351643"/>
      <w:bookmarkStart w:id="658" w:name="_Toc127151549"/>
      <w:bookmarkStart w:id="659" w:name="_Toc164608818"/>
      <w:bookmarkStart w:id="660" w:name="_Toc226309793"/>
      <w:bookmarkStart w:id="661" w:name="_Toc164608663"/>
      <w:bookmarkStart w:id="662" w:name="_Toc151193791"/>
      <w:bookmarkStart w:id="663" w:name="_Toc151190176"/>
      <w:bookmarkStart w:id="664" w:name="_Toc164229244"/>
      <w:bookmarkStart w:id="665" w:name="_Toc127151750"/>
      <w:bookmarkStart w:id="666" w:name="_Toc151193719"/>
      <w:bookmarkStart w:id="667" w:name="_Toc149720842"/>
      <w:bookmarkStart w:id="668" w:name="_Ref467307090"/>
      <w:bookmarkStart w:id="669" w:name="_Toc520356176"/>
      <w:bookmarkStart w:id="670" w:name="_Ref467306425"/>
      <w:r>
        <w:rPr>
          <w:rFonts w:hint="eastAsia" w:ascii="宋体" w:hAnsi="宋体" w:eastAsia="宋体" w:cs="宋体"/>
          <w:color w:val="auto"/>
          <w:sz w:val="24"/>
          <w:szCs w:val="24"/>
          <w:highlight w:val="none"/>
        </w:rPr>
        <w:t>中标公告与中标通知书</w:t>
      </w:r>
      <w:bookmarkEnd w:id="639"/>
      <w:bookmarkEnd w:id="640"/>
    </w:p>
    <w:p w14:paraId="3EE945E2">
      <w:pPr>
        <w:keepNext w:val="0"/>
        <w:keepLines w:val="0"/>
        <w:pageBreakBefore w:val="0"/>
        <w:widowControl w:val="0"/>
        <w:numPr>
          <w:ilvl w:val="1"/>
          <w:numId w:val="8"/>
        </w:numPr>
        <w:tabs>
          <w:tab w:val="left" w:pos="1080"/>
          <w:tab w:val="left" w:pos="2014"/>
        </w:tabs>
        <w:spacing w:line="360" w:lineRule="auto"/>
        <w:ind w:left="1077"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采购人或采购代理机构自</w:t>
      </w:r>
      <w:r>
        <w:rPr>
          <w:rFonts w:hint="eastAsia" w:ascii="宋体" w:hAnsi="宋体" w:eastAsia="宋体" w:cs="宋体"/>
          <w:color w:val="auto"/>
          <w:sz w:val="24"/>
          <w:szCs w:val="24"/>
          <w:highlight w:val="none"/>
          <w:lang w:eastAsia="zh-CN"/>
        </w:rPr>
        <w:t>中标供应商</w:t>
      </w:r>
      <w:r>
        <w:rPr>
          <w:rFonts w:hint="eastAsia" w:ascii="宋体" w:hAnsi="宋体" w:eastAsia="宋体" w:cs="宋体"/>
          <w:color w:val="auto"/>
          <w:sz w:val="24"/>
          <w:szCs w:val="24"/>
          <w:highlight w:val="none"/>
        </w:rPr>
        <w:t>确定之日起2个工作日内，在</w:t>
      </w:r>
      <w:r>
        <w:rPr>
          <w:rFonts w:hint="eastAsia" w:ascii="宋体" w:hAnsi="宋体" w:eastAsia="宋体" w:cs="宋体"/>
          <w:color w:val="auto"/>
          <w:sz w:val="24"/>
          <w:szCs w:val="24"/>
          <w:highlight w:val="none"/>
          <w:lang w:val="en-US" w:eastAsia="zh-CN"/>
        </w:rPr>
        <w:t>江苏政府采购网、</w:t>
      </w:r>
      <w:r>
        <w:rPr>
          <w:rFonts w:hint="eastAsia" w:ascii="宋体" w:hAnsi="宋体" w:eastAsia="宋体" w:cs="宋体"/>
          <w:color w:val="auto"/>
          <w:sz w:val="24"/>
          <w:szCs w:val="24"/>
          <w:highlight w:val="none"/>
        </w:rPr>
        <w:t>常州市政府采购网和</w:t>
      </w:r>
      <w:r>
        <w:rPr>
          <w:rFonts w:hint="eastAsia" w:ascii="宋体" w:hAnsi="宋体" w:cs="宋体"/>
          <w:color w:val="auto"/>
          <w:sz w:val="24"/>
          <w:szCs w:val="24"/>
          <w:highlight w:val="none"/>
          <w:lang w:eastAsia="zh-CN"/>
        </w:rPr>
        <w:t>江苏常信招标代理有限公司</w:t>
      </w:r>
      <w:r>
        <w:rPr>
          <w:rFonts w:hint="eastAsia" w:ascii="宋体" w:hAnsi="宋体" w:eastAsia="宋体" w:cs="宋体"/>
          <w:color w:val="auto"/>
          <w:sz w:val="24"/>
          <w:szCs w:val="24"/>
          <w:highlight w:val="none"/>
        </w:rPr>
        <w:t>网公告中标结果，同时向</w:t>
      </w:r>
      <w:r>
        <w:rPr>
          <w:rFonts w:hint="eastAsia" w:ascii="宋体" w:hAnsi="宋体" w:eastAsia="宋体" w:cs="宋体"/>
          <w:color w:val="auto"/>
          <w:sz w:val="24"/>
          <w:szCs w:val="24"/>
          <w:highlight w:val="none"/>
          <w:lang w:eastAsia="zh-CN"/>
        </w:rPr>
        <w:t>中标供应商</w:t>
      </w:r>
      <w:r>
        <w:rPr>
          <w:rFonts w:hint="eastAsia" w:ascii="宋体" w:hAnsi="宋体" w:eastAsia="宋体" w:cs="宋体"/>
          <w:color w:val="auto"/>
          <w:sz w:val="24"/>
          <w:szCs w:val="24"/>
          <w:highlight w:val="none"/>
        </w:rPr>
        <w:t>发出中标通知书，中标公告期限为1个工作日。</w:t>
      </w:r>
    </w:p>
    <w:p w14:paraId="1530F153">
      <w:pPr>
        <w:keepNext w:val="0"/>
        <w:keepLines w:val="0"/>
        <w:pageBreakBefore w:val="0"/>
        <w:widowControl w:val="0"/>
        <w:numPr>
          <w:ilvl w:val="1"/>
          <w:numId w:val="8"/>
        </w:numPr>
        <w:tabs>
          <w:tab w:val="left" w:pos="1080"/>
          <w:tab w:val="left" w:pos="2014"/>
        </w:tabs>
        <w:spacing w:line="360" w:lineRule="auto"/>
        <w:ind w:left="1077"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中标通知书对采购人和中标供应商均具有法律效力。中标通知书发出后，采购人改变中标结果的，或者中标供应商放弃中标项目的，应当依法承担法律责任。</w:t>
      </w:r>
    </w:p>
    <w:p w14:paraId="35AFA5CF">
      <w:pPr>
        <w:keepNext w:val="0"/>
        <w:keepLines w:val="0"/>
        <w:pageBreakBefore w:val="0"/>
        <w:widowControl w:val="0"/>
        <w:numPr>
          <w:ilvl w:val="0"/>
          <w:numId w:val="8"/>
        </w:numPr>
        <w:tabs>
          <w:tab w:val="left" w:pos="360"/>
        </w:tabs>
        <w:spacing w:line="360" w:lineRule="auto"/>
        <w:ind w:left="357" w:hanging="357"/>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废标</w:t>
      </w:r>
    </w:p>
    <w:p w14:paraId="2F7A8A6E">
      <w:pPr>
        <w:keepNext w:val="0"/>
        <w:keepLines w:val="0"/>
        <w:pageBreakBefore w:val="0"/>
        <w:widowControl w:val="0"/>
        <w:numPr>
          <w:ilvl w:val="1"/>
          <w:numId w:val="8"/>
        </w:numPr>
        <w:tabs>
          <w:tab w:val="left" w:pos="1080"/>
          <w:tab w:val="left" w:pos="2014"/>
        </w:tabs>
        <w:spacing w:line="360" w:lineRule="auto"/>
        <w:ind w:left="1077"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在招标采购中，出现下列情形之一的，应予废标：</w:t>
      </w:r>
    </w:p>
    <w:p w14:paraId="50E2EBD8">
      <w:pPr>
        <w:keepNext w:val="0"/>
        <w:keepLines w:val="0"/>
        <w:pageBreakBefore w:val="0"/>
        <w:widowControl w:val="0"/>
        <w:numPr>
          <w:ilvl w:val="2"/>
          <w:numId w:val="8"/>
        </w:num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符合专业条件的</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供应商或者对招标文件作实质响应的</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供应商不足三家的；</w:t>
      </w:r>
    </w:p>
    <w:p w14:paraId="261D1CD4">
      <w:pPr>
        <w:keepNext w:val="0"/>
        <w:keepLines w:val="0"/>
        <w:pageBreakBefore w:val="0"/>
        <w:widowControl w:val="0"/>
        <w:numPr>
          <w:ilvl w:val="2"/>
          <w:numId w:val="8"/>
        </w:num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出现影响采购公正的违法、违规行为的；</w:t>
      </w:r>
    </w:p>
    <w:p w14:paraId="65E52F59">
      <w:pPr>
        <w:keepNext w:val="0"/>
        <w:keepLines w:val="0"/>
        <w:pageBreakBefore w:val="0"/>
        <w:widowControl w:val="0"/>
        <w:numPr>
          <w:ilvl w:val="2"/>
          <w:numId w:val="8"/>
        </w:num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投标人的报价均超过了采购预算，采购人不能支付的；</w:t>
      </w:r>
    </w:p>
    <w:p w14:paraId="3B87A938">
      <w:pPr>
        <w:numPr>
          <w:ilvl w:val="2"/>
          <w:numId w:val="8"/>
        </w:numPr>
        <w:spacing w:line="360" w:lineRule="auto"/>
        <w:rPr>
          <w:color w:val="auto"/>
          <w:sz w:val="24"/>
          <w:highlight w:val="none"/>
        </w:rPr>
      </w:pPr>
      <w:r>
        <w:rPr>
          <w:rFonts w:hint="eastAsia" w:ascii="宋体" w:hAnsi="宋体" w:eastAsia="宋体" w:cs="宋体"/>
          <w:color w:val="auto"/>
          <w:sz w:val="24"/>
          <w:szCs w:val="24"/>
          <w:highlight w:val="none"/>
        </w:rPr>
        <w:t>因重大变故，采购任务取消的。</w:t>
      </w:r>
    </w:p>
    <w:p w14:paraId="0345E76D">
      <w:pPr>
        <w:numPr>
          <w:ilvl w:val="2"/>
          <w:numId w:val="8"/>
        </w:numPr>
        <w:spacing w:line="360" w:lineRule="auto"/>
        <w:rPr>
          <w:rFonts w:hint="eastAsia" w:ascii="宋体" w:hAnsi="宋体" w:eastAsia="宋体" w:cs="宋体"/>
          <w:color w:val="auto"/>
          <w:sz w:val="24"/>
          <w:szCs w:val="24"/>
          <w:highlight w:val="none"/>
        </w:rPr>
      </w:pPr>
      <w:r>
        <w:rPr>
          <w:rFonts w:hint="eastAsia" w:ascii="宋体" w:hAnsi="宋体"/>
          <w:color w:val="auto"/>
          <w:spacing w:val="2"/>
          <w:sz w:val="24"/>
          <w:highlight w:val="none"/>
        </w:rPr>
        <w:t>平台系统</w:t>
      </w:r>
      <w:r>
        <w:rPr>
          <w:rFonts w:ascii="宋体" w:hAnsi="宋体"/>
          <w:color w:val="auto"/>
          <w:sz w:val="24"/>
          <w:highlight w:val="none"/>
        </w:rPr>
        <w:t>出现</w:t>
      </w:r>
      <w:r>
        <w:rPr>
          <w:rFonts w:hint="eastAsia" w:ascii="宋体" w:hAnsi="宋体"/>
          <w:color w:val="auto"/>
          <w:sz w:val="24"/>
          <w:highlight w:val="none"/>
        </w:rPr>
        <w:t>序号18.8的所述</w:t>
      </w:r>
      <w:r>
        <w:rPr>
          <w:rFonts w:ascii="宋体" w:hAnsi="宋体"/>
          <w:color w:val="auto"/>
          <w:sz w:val="24"/>
          <w:highlight w:val="none"/>
        </w:rPr>
        <w:t>情形，</w:t>
      </w:r>
      <w:r>
        <w:rPr>
          <w:rFonts w:hint="eastAsia" w:ascii="宋体" w:hAnsi="宋体"/>
          <w:color w:val="auto"/>
          <w:sz w:val="24"/>
          <w:highlight w:val="none"/>
        </w:rPr>
        <w:t>情况严重且</w:t>
      </w:r>
      <w:r>
        <w:rPr>
          <w:rFonts w:ascii="宋体" w:hAnsi="宋体"/>
          <w:color w:val="auto"/>
          <w:sz w:val="24"/>
          <w:highlight w:val="none"/>
        </w:rPr>
        <w:t>影响采购</w:t>
      </w:r>
      <w:r>
        <w:rPr>
          <w:rFonts w:hint="eastAsia" w:ascii="宋体" w:hAnsi="宋体"/>
          <w:color w:val="auto"/>
          <w:sz w:val="24"/>
          <w:highlight w:val="none"/>
        </w:rPr>
        <w:t>活动</w:t>
      </w:r>
      <w:r>
        <w:rPr>
          <w:rFonts w:ascii="宋体" w:hAnsi="宋体"/>
          <w:color w:val="auto"/>
          <w:sz w:val="24"/>
          <w:highlight w:val="none"/>
        </w:rPr>
        <w:t>公平、公正性的</w:t>
      </w:r>
      <w:r>
        <w:rPr>
          <w:rFonts w:hint="eastAsia" w:ascii="宋体" w:hAnsi="宋体"/>
          <w:color w:val="auto"/>
          <w:sz w:val="24"/>
          <w:highlight w:val="none"/>
        </w:rPr>
        <w:t>。</w:t>
      </w:r>
    </w:p>
    <w:p w14:paraId="33AC836D">
      <w:pPr>
        <w:keepNext w:val="0"/>
        <w:keepLines w:val="0"/>
        <w:pageBreakBefore w:val="0"/>
        <w:widowControl w:val="0"/>
        <w:numPr>
          <w:ilvl w:val="1"/>
          <w:numId w:val="8"/>
        </w:numPr>
        <w:tabs>
          <w:tab w:val="left" w:pos="1080"/>
          <w:tab w:val="left" w:pos="2014"/>
        </w:tabs>
        <w:spacing w:line="360" w:lineRule="auto"/>
        <w:ind w:left="1077"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废标后，采购人将废标理由通知所有投标人。</w:t>
      </w:r>
    </w:p>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p w14:paraId="46C6BF9B">
      <w:pPr>
        <w:keepNext w:val="0"/>
        <w:keepLines w:val="0"/>
        <w:pageBreakBefore w:val="0"/>
        <w:widowControl w:val="0"/>
        <w:numPr>
          <w:ilvl w:val="0"/>
          <w:numId w:val="8"/>
        </w:numPr>
        <w:tabs>
          <w:tab w:val="left" w:pos="360"/>
        </w:tabs>
        <w:spacing w:line="360" w:lineRule="auto"/>
        <w:ind w:left="357" w:hanging="357"/>
        <w:outlineLvl w:val="9"/>
        <w:rPr>
          <w:rFonts w:hint="eastAsia" w:ascii="宋体" w:hAnsi="宋体" w:eastAsia="宋体" w:cs="宋体"/>
          <w:color w:val="auto"/>
          <w:sz w:val="24"/>
          <w:szCs w:val="24"/>
          <w:highlight w:val="none"/>
        </w:rPr>
      </w:pPr>
      <w:bookmarkStart w:id="671" w:name="_Ref467306978"/>
      <w:bookmarkStart w:id="672" w:name="_Toc226965823"/>
      <w:bookmarkStart w:id="673" w:name="_Toc149720843"/>
      <w:bookmarkStart w:id="674" w:name="_Toc150480788"/>
      <w:bookmarkStart w:id="675" w:name="_Toc164229245"/>
      <w:bookmarkStart w:id="676" w:name="_Toc151190177"/>
      <w:bookmarkStart w:id="677" w:name="_Toc265228388"/>
      <w:bookmarkStart w:id="678" w:name="_Toc150774650"/>
      <w:bookmarkStart w:id="679" w:name="_Ref467306377"/>
      <w:bookmarkStart w:id="680" w:name="_Toc150509301"/>
      <w:bookmarkStart w:id="681" w:name="_Toc151193648"/>
      <w:bookmarkStart w:id="682" w:name="_Toc226965740"/>
      <w:bookmarkStart w:id="683" w:name="_Toc150774755"/>
      <w:bookmarkStart w:id="684" w:name="_Toc164351644"/>
      <w:bookmarkStart w:id="685" w:name="_Toc164608819"/>
      <w:bookmarkStart w:id="686" w:name="_Toc151193720"/>
      <w:bookmarkStart w:id="687" w:name="_Ref467307204"/>
      <w:bookmarkStart w:id="688" w:name="_Toc226309794"/>
      <w:bookmarkStart w:id="689" w:name="_Toc142311052"/>
      <w:bookmarkStart w:id="690" w:name="_Toc226337246"/>
      <w:bookmarkStart w:id="691" w:name="_Toc520356175"/>
      <w:bookmarkStart w:id="692" w:name="_Toc127151550"/>
      <w:bookmarkStart w:id="693" w:name="_Toc127161464"/>
      <w:bookmarkStart w:id="694" w:name="_Toc151193938"/>
      <w:bookmarkStart w:id="695" w:name="_Ref467307062"/>
      <w:bookmarkStart w:id="696" w:name="_Toc264969240"/>
      <w:bookmarkStart w:id="697" w:name="_Toc305158892"/>
      <w:bookmarkStart w:id="698" w:name="_Toc164229391"/>
      <w:bookmarkStart w:id="699" w:name="_Toc164608664"/>
      <w:bookmarkStart w:id="700" w:name="_Toc151193864"/>
      <w:bookmarkStart w:id="701" w:name="_Toc195842915"/>
      <w:bookmarkStart w:id="702" w:name="_Toc151193792"/>
      <w:bookmarkStart w:id="703" w:name="_Toc305158818"/>
      <w:bookmarkStart w:id="704" w:name="_Toc127151751"/>
      <w:r>
        <w:rPr>
          <w:rFonts w:hint="eastAsia" w:ascii="宋体" w:hAnsi="宋体" w:eastAsia="宋体" w:cs="宋体"/>
          <w:color w:val="auto"/>
          <w:sz w:val="24"/>
          <w:szCs w:val="24"/>
          <w:highlight w:val="none"/>
        </w:rPr>
        <w:t>签订合同</w:t>
      </w:r>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p>
    <w:p w14:paraId="0E44988B">
      <w:pPr>
        <w:keepNext w:val="0"/>
        <w:keepLines w:val="0"/>
        <w:pageBreakBefore w:val="0"/>
        <w:widowControl w:val="0"/>
        <w:numPr>
          <w:ilvl w:val="1"/>
          <w:numId w:val="8"/>
        </w:numPr>
        <w:tabs>
          <w:tab w:val="left" w:pos="1080"/>
          <w:tab w:val="left" w:pos="2014"/>
        </w:tabs>
        <w:spacing w:line="360" w:lineRule="auto"/>
        <w:ind w:left="1077"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中标供应商</w:t>
      </w:r>
      <w:r>
        <w:rPr>
          <w:rFonts w:hint="eastAsia" w:ascii="宋体" w:hAnsi="宋体" w:eastAsia="宋体" w:cs="宋体"/>
          <w:color w:val="auto"/>
          <w:sz w:val="24"/>
          <w:szCs w:val="24"/>
          <w:highlight w:val="none"/>
        </w:rPr>
        <w:t>、采购人应当自中标通知书发出之日起30日内，按照招标文件和</w:t>
      </w:r>
      <w:r>
        <w:rPr>
          <w:rFonts w:hint="eastAsia" w:ascii="宋体" w:hAnsi="宋体" w:eastAsia="宋体" w:cs="宋体"/>
          <w:color w:val="auto"/>
          <w:sz w:val="24"/>
          <w:szCs w:val="24"/>
          <w:highlight w:val="none"/>
          <w:lang w:eastAsia="zh-CN"/>
        </w:rPr>
        <w:t>中标供应商</w:t>
      </w:r>
      <w:r>
        <w:rPr>
          <w:rFonts w:hint="eastAsia" w:ascii="宋体" w:hAnsi="宋体" w:eastAsia="宋体" w:cs="宋体"/>
          <w:color w:val="auto"/>
          <w:sz w:val="24"/>
          <w:szCs w:val="24"/>
          <w:highlight w:val="none"/>
        </w:rPr>
        <w:t>投标文件的规定签订书面合同。所签订的合同不得对招标文件确定的事项和</w:t>
      </w:r>
      <w:r>
        <w:rPr>
          <w:rFonts w:hint="eastAsia" w:ascii="宋体" w:hAnsi="宋体" w:eastAsia="宋体" w:cs="宋体"/>
          <w:color w:val="auto"/>
          <w:sz w:val="24"/>
          <w:szCs w:val="24"/>
          <w:highlight w:val="none"/>
          <w:lang w:eastAsia="zh-CN"/>
        </w:rPr>
        <w:t>中标供应商</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投标文件作实质性修改。</w:t>
      </w:r>
    </w:p>
    <w:p w14:paraId="03A3822F">
      <w:pPr>
        <w:keepNext w:val="0"/>
        <w:keepLines w:val="0"/>
        <w:pageBreakBefore w:val="0"/>
        <w:widowControl w:val="0"/>
        <w:numPr>
          <w:ilvl w:val="1"/>
          <w:numId w:val="8"/>
        </w:numPr>
        <w:tabs>
          <w:tab w:val="left" w:pos="1080"/>
          <w:tab w:val="left" w:pos="2014"/>
        </w:tabs>
        <w:spacing w:line="360" w:lineRule="auto"/>
        <w:ind w:left="1077"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中标供应商</w:t>
      </w:r>
      <w:r>
        <w:rPr>
          <w:rFonts w:hint="eastAsia" w:ascii="宋体" w:hAnsi="宋体" w:eastAsia="宋体" w:cs="宋体"/>
          <w:color w:val="auto"/>
          <w:sz w:val="24"/>
          <w:szCs w:val="24"/>
          <w:highlight w:val="none"/>
        </w:rPr>
        <w:t>拒绝与采购人签订合同的，采购人可以按照评标报告推荐的中标候选人名单排序，确定下一候选人为</w:t>
      </w:r>
      <w:r>
        <w:rPr>
          <w:rFonts w:hint="eastAsia" w:ascii="宋体" w:hAnsi="宋体" w:eastAsia="宋体" w:cs="宋体"/>
          <w:color w:val="auto"/>
          <w:sz w:val="24"/>
          <w:szCs w:val="24"/>
          <w:highlight w:val="none"/>
          <w:lang w:eastAsia="zh-CN"/>
        </w:rPr>
        <w:t>中标供应商</w:t>
      </w:r>
      <w:r>
        <w:rPr>
          <w:rFonts w:hint="eastAsia" w:ascii="宋体" w:hAnsi="宋体" w:eastAsia="宋体" w:cs="宋体"/>
          <w:color w:val="auto"/>
          <w:sz w:val="24"/>
          <w:szCs w:val="24"/>
          <w:highlight w:val="none"/>
        </w:rPr>
        <w:t>，也可以重新开展政府采购活动。</w:t>
      </w:r>
    </w:p>
    <w:p w14:paraId="7480598A">
      <w:pPr>
        <w:keepNext w:val="0"/>
        <w:keepLines w:val="0"/>
        <w:pageBreakBefore w:val="0"/>
        <w:widowControl w:val="0"/>
        <w:numPr>
          <w:ilvl w:val="1"/>
          <w:numId w:val="8"/>
        </w:numPr>
        <w:tabs>
          <w:tab w:val="left" w:pos="1080"/>
          <w:tab w:val="left" w:pos="2014"/>
        </w:tabs>
        <w:spacing w:line="360" w:lineRule="auto"/>
        <w:ind w:left="1077"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联合体中标的，联合体各方应当共同与采购人签订合同，就中标项目向采购人承担连带责任。</w:t>
      </w:r>
    </w:p>
    <w:p w14:paraId="7632D121">
      <w:pPr>
        <w:keepNext w:val="0"/>
        <w:keepLines w:val="0"/>
        <w:pageBreakBefore w:val="0"/>
        <w:widowControl w:val="0"/>
        <w:numPr>
          <w:ilvl w:val="1"/>
          <w:numId w:val="8"/>
        </w:numPr>
        <w:tabs>
          <w:tab w:val="left" w:pos="1080"/>
          <w:tab w:val="left" w:pos="2014"/>
        </w:tabs>
        <w:spacing w:line="360" w:lineRule="auto"/>
        <w:ind w:left="1077"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政府采购合同不能转包。</w:t>
      </w:r>
    </w:p>
    <w:p w14:paraId="5F4E2E17">
      <w:pPr>
        <w:keepNext w:val="0"/>
        <w:keepLines w:val="0"/>
        <w:pageBreakBefore w:val="0"/>
        <w:widowControl w:val="0"/>
        <w:numPr>
          <w:ilvl w:val="1"/>
          <w:numId w:val="8"/>
        </w:numPr>
        <w:tabs>
          <w:tab w:val="left" w:pos="1080"/>
          <w:tab w:val="left" w:pos="2014"/>
        </w:tabs>
        <w:spacing w:line="360" w:lineRule="auto"/>
        <w:ind w:left="1077"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本项目的非主体、非关键性工作是否允许分包，见《投标人须知资料表》。</w:t>
      </w:r>
    </w:p>
    <w:bookmarkEnd w:id="668"/>
    <w:bookmarkEnd w:id="669"/>
    <w:bookmarkEnd w:id="670"/>
    <w:p w14:paraId="5BD9DE61">
      <w:pPr>
        <w:keepNext w:val="0"/>
        <w:keepLines w:val="0"/>
        <w:pageBreakBefore w:val="0"/>
        <w:widowControl w:val="0"/>
        <w:numPr>
          <w:ilvl w:val="0"/>
          <w:numId w:val="8"/>
        </w:numPr>
        <w:tabs>
          <w:tab w:val="left" w:pos="360"/>
        </w:tabs>
        <w:spacing w:line="360" w:lineRule="auto"/>
        <w:ind w:left="357" w:hanging="357"/>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询问与质疑</w:t>
      </w:r>
    </w:p>
    <w:p w14:paraId="52AE0EBF">
      <w:pPr>
        <w:keepNext w:val="0"/>
        <w:keepLines w:val="0"/>
        <w:pageBreakBefore w:val="0"/>
        <w:widowControl w:val="0"/>
        <w:numPr>
          <w:ilvl w:val="1"/>
          <w:numId w:val="8"/>
        </w:numPr>
        <w:tabs>
          <w:tab w:val="left" w:pos="1080"/>
          <w:tab w:val="left" w:pos="2014"/>
        </w:tabs>
        <w:spacing w:line="360" w:lineRule="auto"/>
        <w:ind w:left="1077"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询问</w:t>
      </w:r>
    </w:p>
    <w:p w14:paraId="21135AFE">
      <w:pPr>
        <w:keepNext w:val="0"/>
        <w:keepLines w:val="0"/>
        <w:pageBreakBefore w:val="0"/>
        <w:widowControl w:val="0"/>
        <w:numPr>
          <w:ilvl w:val="2"/>
          <w:numId w:val="8"/>
        </w:num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投标人对政府采购活动事项有疑问的，可依法提出询问，并按《投标人须知资料表》载明的形式送达采购人或采购代理机构。</w:t>
      </w:r>
    </w:p>
    <w:p w14:paraId="439A9E2F">
      <w:pPr>
        <w:keepNext w:val="0"/>
        <w:keepLines w:val="0"/>
        <w:pageBreakBefore w:val="0"/>
        <w:widowControl w:val="0"/>
        <w:numPr>
          <w:ilvl w:val="2"/>
          <w:numId w:val="8"/>
        </w:num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采购人或采购代理机构对</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供应商依法提出的询问，在3个工作日内作出答复，但答复的内容不得涉及商业秘密。</w:t>
      </w:r>
    </w:p>
    <w:p w14:paraId="02AB531C">
      <w:pPr>
        <w:keepNext w:val="0"/>
        <w:keepLines w:val="0"/>
        <w:pageBreakBefore w:val="0"/>
        <w:widowControl w:val="0"/>
        <w:numPr>
          <w:ilvl w:val="1"/>
          <w:numId w:val="8"/>
        </w:numPr>
        <w:tabs>
          <w:tab w:val="left" w:pos="1080"/>
          <w:tab w:val="left" w:pos="2014"/>
        </w:tabs>
        <w:spacing w:line="360" w:lineRule="auto"/>
        <w:ind w:left="1077"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w:t>
      </w:r>
    </w:p>
    <w:p w14:paraId="0EF42C6F">
      <w:pPr>
        <w:keepNext w:val="0"/>
        <w:keepLines w:val="0"/>
        <w:pageBreakBefore w:val="0"/>
        <w:widowControl w:val="0"/>
        <w:numPr>
          <w:ilvl w:val="2"/>
          <w:numId w:val="8"/>
        </w:num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64FE27C2">
      <w:pPr>
        <w:keepNext w:val="0"/>
        <w:keepLines w:val="0"/>
        <w:pageBreakBefore w:val="0"/>
        <w:widowControl w:val="0"/>
        <w:numPr>
          <w:ilvl w:val="2"/>
          <w:numId w:val="8"/>
        </w:num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招标文件中采购需求以及相关部分（第四章、第五章以及投标人资格要求）由采购人负责制定和管理，对该部分内容有询问或者质疑的，投标人应当向采购人书面提出，由采购人负责接收和回复。</w:t>
      </w:r>
    </w:p>
    <w:p w14:paraId="41FCE5F8">
      <w:pPr>
        <w:keepNext w:val="0"/>
        <w:keepLines w:val="0"/>
        <w:pageBreakBefore w:val="0"/>
        <w:widowControl w:val="0"/>
        <w:numPr>
          <w:ilvl w:val="2"/>
          <w:numId w:val="8"/>
        </w:num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质疑函须使用财政部制定的范本文件。（下载网址：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"http://gks.mof.gov.cn/ztztz/zhengfucaigouguanli/201802/t20180201_2804589.htm" </w:instrText>
      </w:r>
      <w:r>
        <w:rPr>
          <w:rFonts w:hint="eastAsia" w:ascii="宋体" w:hAnsi="宋体" w:eastAsia="宋体" w:cs="宋体"/>
          <w:color w:val="auto"/>
          <w:sz w:val="24"/>
          <w:szCs w:val="24"/>
          <w:highlight w:val="none"/>
        </w:rPr>
        <w:fldChar w:fldCharType="separate"/>
      </w:r>
      <w:r>
        <w:rPr>
          <w:rStyle w:val="265"/>
          <w:rFonts w:hint="eastAsia" w:ascii="宋体" w:hAnsi="宋体" w:eastAsia="宋体" w:cs="宋体"/>
          <w:color w:val="auto"/>
          <w:sz w:val="24"/>
          <w:szCs w:val="24"/>
          <w:highlight w:val="none"/>
        </w:rPr>
        <w:t>http://gk</w:t>
      </w:r>
      <w:bookmarkStart w:id="705" w:name="_Hlt100654014"/>
      <w:r>
        <w:rPr>
          <w:rStyle w:val="265"/>
          <w:rFonts w:hint="eastAsia" w:ascii="宋体" w:hAnsi="宋体" w:eastAsia="宋体" w:cs="宋体"/>
          <w:color w:val="auto"/>
          <w:sz w:val="24"/>
          <w:szCs w:val="24"/>
          <w:highlight w:val="none"/>
        </w:rPr>
        <w:t>s</w:t>
      </w:r>
      <w:bookmarkEnd w:id="705"/>
      <w:r>
        <w:rPr>
          <w:rStyle w:val="265"/>
          <w:rFonts w:hint="eastAsia" w:ascii="宋体" w:hAnsi="宋体" w:eastAsia="宋体" w:cs="宋体"/>
          <w:color w:val="auto"/>
          <w:sz w:val="24"/>
          <w:szCs w:val="24"/>
          <w:highlight w:val="none"/>
        </w:rPr>
        <w:t>.m</w:t>
      </w:r>
      <w:bookmarkStart w:id="706" w:name="_Hlt100653993"/>
      <w:bookmarkStart w:id="707" w:name="_Hlt100653994"/>
      <w:r>
        <w:rPr>
          <w:rStyle w:val="265"/>
          <w:rFonts w:hint="eastAsia" w:ascii="宋体" w:hAnsi="宋体" w:eastAsia="宋体" w:cs="宋体"/>
          <w:color w:val="auto"/>
          <w:sz w:val="24"/>
          <w:szCs w:val="24"/>
          <w:highlight w:val="none"/>
        </w:rPr>
        <w:t>o</w:t>
      </w:r>
      <w:bookmarkEnd w:id="706"/>
      <w:bookmarkEnd w:id="707"/>
      <w:r>
        <w:rPr>
          <w:rStyle w:val="265"/>
          <w:rFonts w:hint="eastAsia" w:ascii="宋体" w:hAnsi="宋体" w:eastAsia="宋体" w:cs="宋体"/>
          <w:color w:val="auto"/>
          <w:sz w:val="24"/>
          <w:szCs w:val="24"/>
          <w:highlight w:val="none"/>
        </w:rPr>
        <w:t>f.gov.cn/ztztz/zhengfucaigouguanli/201802/t20180201_2804589.htm</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w:t>
      </w:r>
    </w:p>
    <w:p w14:paraId="69BACE07">
      <w:pPr>
        <w:keepNext w:val="0"/>
        <w:keepLines w:val="0"/>
        <w:pageBreakBefore w:val="0"/>
        <w:widowControl w:val="0"/>
        <w:numPr>
          <w:ilvl w:val="2"/>
          <w:numId w:val="8"/>
        </w:num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投标人为自然人的，应当由本人签字；投标人为法人或者其他组织的，应当由法定代表人、主要负责人，或者其授权代表签字或者加盖公章，并加盖公章。</w:t>
      </w:r>
    </w:p>
    <w:p w14:paraId="610297E3">
      <w:pPr>
        <w:keepNext w:val="0"/>
        <w:keepLines w:val="0"/>
        <w:pageBreakBefore w:val="0"/>
        <w:widowControl w:val="0"/>
        <w:numPr>
          <w:ilvl w:val="2"/>
          <w:numId w:val="8"/>
        </w:num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投标人应在法定质疑期内一次性提出针对同一采购程序环节的质疑，法定质疑期内针对同一采购程序环节再次提出的质疑，采购人、采购代理机构有权不予答复。</w:t>
      </w:r>
    </w:p>
    <w:p w14:paraId="5BC01C6E">
      <w:pPr>
        <w:keepNext w:val="0"/>
        <w:keepLines w:val="0"/>
        <w:pageBreakBefore w:val="0"/>
        <w:widowControl w:val="0"/>
        <w:numPr>
          <w:ilvl w:val="1"/>
          <w:numId w:val="8"/>
        </w:numPr>
        <w:tabs>
          <w:tab w:val="left" w:pos="1080"/>
          <w:tab w:val="left" w:pos="2014"/>
        </w:tabs>
        <w:spacing w:line="360" w:lineRule="auto"/>
        <w:ind w:left="1077"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接收询问和质疑的联系部门、联系电话和通讯地址见《投标人须知资料表》。</w:t>
      </w:r>
    </w:p>
    <w:p w14:paraId="62C1D19A">
      <w:pPr>
        <w:keepNext w:val="0"/>
        <w:keepLines w:val="0"/>
        <w:pageBreakBefore w:val="0"/>
        <w:widowControl w:val="0"/>
        <w:numPr>
          <w:ilvl w:val="0"/>
          <w:numId w:val="8"/>
        </w:numPr>
        <w:tabs>
          <w:tab w:val="left" w:pos="360"/>
        </w:tabs>
        <w:spacing w:line="360" w:lineRule="auto"/>
        <w:ind w:left="357" w:hanging="357"/>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代理费</w:t>
      </w:r>
    </w:p>
    <w:p w14:paraId="147AF87E">
      <w:pPr>
        <w:keepNext w:val="0"/>
        <w:keepLines w:val="0"/>
        <w:pageBreakBefore w:val="0"/>
        <w:widowControl w:val="0"/>
        <w:numPr>
          <w:ilvl w:val="1"/>
          <w:numId w:val="8"/>
        </w:numPr>
        <w:tabs>
          <w:tab w:val="left" w:pos="1080"/>
          <w:tab w:val="left" w:pos="2014"/>
        </w:tabs>
        <w:spacing w:line="360" w:lineRule="auto"/>
        <w:ind w:left="1077" w:hanging="720"/>
        <w:outlineLvl w:val="9"/>
        <w:rPr>
          <w:rFonts w:hint="eastAsia" w:ascii="宋体" w:hAnsi="宋体" w:eastAsia="宋体" w:cs="宋体"/>
          <w:color w:val="auto"/>
          <w:sz w:val="24"/>
          <w:szCs w:val="24"/>
          <w:highlight w:val="none"/>
        </w:rPr>
        <w:sectPr>
          <w:pgSz w:w="11906" w:h="16838"/>
          <w:pgMar w:top="1440" w:right="1800" w:bottom="1440" w:left="1800" w:header="851" w:footer="992" w:gutter="0"/>
          <w:pgNumType w:fmt="decimal"/>
          <w:cols w:space="1701" w:num="1"/>
          <w:docGrid w:linePitch="360" w:charSpace="0"/>
        </w:sectPr>
      </w:pPr>
      <w:r>
        <w:rPr>
          <w:rFonts w:hint="eastAsia" w:ascii="宋体" w:hAnsi="宋体" w:eastAsia="宋体" w:cs="宋体"/>
          <w:color w:val="auto"/>
          <w:sz w:val="24"/>
          <w:szCs w:val="24"/>
          <w:highlight w:val="none"/>
        </w:rPr>
        <w:t>收费对象、收费标准及缴纳时间见《投标人须知资料表》。由</w:t>
      </w:r>
      <w:r>
        <w:rPr>
          <w:rFonts w:hint="eastAsia" w:ascii="宋体" w:hAnsi="宋体" w:eastAsia="宋体" w:cs="宋体"/>
          <w:color w:val="auto"/>
          <w:sz w:val="24"/>
          <w:szCs w:val="24"/>
          <w:highlight w:val="none"/>
          <w:lang w:eastAsia="zh-CN"/>
        </w:rPr>
        <w:t>中标供应商</w:t>
      </w:r>
      <w:r>
        <w:rPr>
          <w:rFonts w:hint="eastAsia" w:ascii="宋体" w:hAnsi="宋体" w:eastAsia="宋体" w:cs="宋体"/>
          <w:color w:val="auto"/>
          <w:sz w:val="24"/>
          <w:szCs w:val="24"/>
          <w:highlight w:val="none"/>
        </w:rPr>
        <w:t>支付的，</w:t>
      </w:r>
      <w:r>
        <w:rPr>
          <w:rFonts w:hint="eastAsia" w:ascii="宋体" w:hAnsi="宋体" w:eastAsia="宋体" w:cs="宋体"/>
          <w:color w:val="auto"/>
          <w:sz w:val="24"/>
          <w:szCs w:val="24"/>
          <w:highlight w:val="none"/>
          <w:lang w:eastAsia="zh-CN"/>
        </w:rPr>
        <w:t>中标供应商</w:t>
      </w:r>
      <w:r>
        <w:rPr>
          <w:rFonts w:hint="eastAsia" w:ascii="宋体" w:hAnsi="宋体" w:eastAsia="宋体" w:cs="宋体"/>
          <w:color w:val="auto"/>
          <w:sz w:val="24"/>
          <w:szCs w:val="24"/>
          <w:highlight w:val="none"/>
        </w:rPr>
        <w:t>须一次性向采购代理机构缴纳代理费，投标报价应包含代理费用。</w:t>
      </w:r>
    </w:p>
    <w:p w14:paraId="26ADE49F">
      <w:pPr>
        <w:spacing w:line="360" w:lineRule="auto"/>
        <w:jc w:val="center"/>
        <w:outlineLvl w:val="0"/>
        <w:rPr>
          <w:b/>
          <w:color w:val="auto"/>
          <w:sz w:val="36"/>
          <w:szCs w:val="36"/>
          <w:highlight w:val="none"/>
        </w:rPr>
      </w:pPr>
      <w:bookmarkStart w:id="708" w:name="_Toc226965827"/>
      <w:bookmarkStart w:id="709" w:name="_Toc264969244"/>
      <w:bookmarkStart w:id="710" w:name="_Toc353825544"/>
      <w:bookmarkStart w:id="711" w:name="_Toc142311056"/>
      <w:bookmarkStart w:id="712" w:name="_Toc265228392"/>
      <w:bookmarkStart w:id="713" w:name="_Toc226337250"/>
      <w:bookmarkStart w:id="714" w:name="_Toc150480792"/>
      <w:bookmarkStart w:id="715" w:name="_Toc353873934"/>
      <w:bookmarkStart w:id="716" w:name="_Toc305158896"/>
      <w:bookmarkStart w:id="717" w:name="_Toc353873664"/>
      <w:bookmarkStart w:id="718" w:name="_Toc150774759"/>
      <w:bookmarkStart w:id="719" w:name="_Toc305158822"/>
      <w:bookmarkStart w:id="720" w:name="_Toc127151554"/>
      <w:bookmarkStart w:id="721" w:name="_Toc4607"/>
      <w:bookmarkStart w:id="722" w:name="_Toc99301421"/>
      <w:r>
        <w:rPr>
          <w:b/>
          <w:color w:val="auto"/>
          <w:sz w:val="36"/>
          <w:szCs w:val="36"/>
          <w:highlight w:val="none"/>
        </w:rPr>
        <w:t xml:space="preserve">第三章   </w:t>
      </w:r>
      <w:bookmarkEnd w:id="708"/>
      <w:bookmarkEnd w:id="709"/>
      <w:bookmarkEnd w:id="710"/>
      <w:bookmarkEnd w:id="711"/>
      <w:bookmarkEnd w:id="712"/>
      <w:bookmarkEnd w:id="713"/>
      <w:bookmarkEnd w:id="714"/>
      <w:bookmarkEnd w:id="715"/>
      <w:bookmarkEnd w:id="716"/>
      <w:bookmarkEnd w:id="717"/>
      <w:bookmarkEnd w:id="718"/>
      <w:bookmarkEnd w:id="719"/>
      <w:bookmarkEnd w:id="720"/>
      <w:r>
        <w:rPr>
          <w:b/>
          <w:color w:val="auto"/>
          <w:sz w:val="36"/>
          <w:szCs w:val="36"/>
          <w:highlight w:val="none"/>
        </w:rPr>
        <w:t>资格审查</w:t>
      </w:r>
      <w:bookmarkEnd w:id="721"/>
      <w:bookmarkEnd w:id="722"/>
      <w:bookmarkStart w:id="723" w:name="_Toc487900382"/>
    </w:p>
    <w:p w14:paraId="34439925">
      <w:pPr>
        <w:keepNext w:val="0"/>
        <w:keepLines w:val="0"/>
        <w:pageBreakBefore w:val="0"/>
        <w:widowControl w:val="0"/>
        <w:spacing w:line="360" w:lineRule="auto"/>
        <w:jc w:val="center"/>
        <w:outlineLvl w:val="9"/>
        <w:rPr>
          <w:rFonts w:hint="eastAsia" w:ascii="宋体" w:hAnsi="宋体" w:eastAsia="宋体" w:cs="Times New Roman"/>
          <w:b/>
          <w:bCs/>
          <w:color w:val="auto"/>
          <w:sz w:val="28"/>
          <w:szCs w:val="28"/>
          <w:highlight w:val="none"/>
          <w:lang w:val="en-US" w:eastAsia="zh-CN"/>
        </w:rPr>
      </w:pPr>
      <w:bookmarkStart w:id="724" w:name="_Toc99301422"/>
      <w:r>
        <w:rPr>
          <w:rFonts w:hint="eastAsia" w:ascii="宋体" w:hAnsi="宋体" w:eastAsia="宋体" w:cs="Times New Roman"/>
          <w:b/>
          <w:bCs/>
          <w:color w:val="auto"/>
          <w:sz w:val="28"/>
          <w:szCs w:val="28"/>
          <w:highlight w:val="none"/>
          <w:lang w:val="en-US" w:eastAsia="zh-CN"/>
        </w:rPr>
        <w:t>一、资格审查程序</w:t>
      </w:r>
      <w:bookmarkEnd w:id="724"/>
    </w:p>
    <w:p w14:paraId="56DFCE22">
      <w:pPr>
        <w:keepNext w:val="0"/>
        <w:keepLines w:val="0"/>
        <w:pageBreakBefore w:val="0"/>
        <w:widowControl w:val="0"/>
        <w:numPr>
          <w:ilvl w:val="0"/>
          <w:numId w:val="11"/>
        </w:numPr>
        <w:tabs>
          <w:tab w:val="left" w:pos="426"/>
          <w:tab w:val="left" w:pos="851"/>
        </w:tabs>
        <w:spacing w:line="360" w:lineRule="auto"/>
        <w:ind w:left="425" w:hanging="425"/>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开标结束后，采购人将根据《资格审查要求》中的规定，对投标人进行资格审查，并形成资格审查结果。</w:t>
      </w:r>
    </w:p>
    <w:p w14:paraId="06053137">
      <w:pPr>
        <w:keepNext w:val="0"/>
        <w:keepLines w:val="0"/>
        <w:pageBreakBefore w:val="0"/>
        <w:widowControl w:val="0"/>
        <w:numPr>
          <w:ilvl w:val="0"/>
          <w:numId w:val="11"/>
        </w:numPr>
        <w:tabs>
          <w:tab w:val="left" w:pos="426"/>
          <w:tab w:val="left" w:pos="851"/>
        </w:tabs>
        <w:spacing w:line="360" w:lineRule="auto"/>
        <w:ind w:left="425" w:hanging="425"/>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《资格审查要求》中对格式有要求的，除招标文件另有规定外，均为“实质性格式”文件。</w:t>
      </w:r>
    </w:p>
    <w:p w14:paraId="6FB1721F">
      <w:pPr>
        <w:keepNext w:val="0"/>
        <w:keepLines w:val="0"/>
        <w:pageBreakBefore w:val="0"/>
        <w:widowControl w:val="0"/>
        <w:numPr>
          <w:ilvl w:val="0"/>
          <w:numId w:val="11"/>
        </w:numPr>
        <w:tabs>
          <w:tab w:val="left" w:pos="426"/>
          <w:tab w:val="left" w:pos="851"/>
        </w:tabs>
        <w:spacing w:line="360" w:lineRule="auto"/>
        <w:ind w:left="425" w:hanging="425"/>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投标人《资格证明文件》有任何一项不符合《资格审查要求》的，资格审查不合格，其</w:t>
      </w:r>
      <w:r>
        <w:rPr>
          <w:rFonts w:hint="eastAsia" w:ascii="宋体" w:hAnsi="宋体" w:eastAsia="宋体" w:cs="宋体"/>
          <w:b/>
          <w:color w:val="auto"/>
          <w:sz w:val="24"/>
          <w:highlight w:val="none"/>
        </w:rPr>
        <w:t>投标无效</w:t>
      </w:r>
      <w:r>
        <w:rPr>
          <w:rFonts w:hint="eastAsia" w:ascii="宋体" w:hAnsi="宋体" w:eastAsia="宋体" w:cs="宋体"/>
          <w:color w:val="auto"/>
          <w:sz w:val="24"/>
          <w:highlight w:val="none"/>
        </w:rPr>
        <w:t>。</w:t>
      </w:r>
    </w:p>
    <w:p w14:paraId="2A37188D">
      <w:pPr>
        <w:keepNext w:val="0"/>
        <w:keepLines w:val="0"/>
        <w:pageBreakBefore w:val="0"/>
        <w:widowControl w:val="0"/>
        <w:numPr>
          <w:ilvl w:val="0"/>
          <w:numId w:val="11"/>
        </w:numPr>
        <w:tabs>
          <w:tab w:val="left" w:pos="426"/>
          <w:tab w:val="left" w:pos="851"/>
        </w:tabs>
        <w:spacing w:line="360" w:lineRule="auto"/>
        <w:ind w:left="425" w:hanging="425"/>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资格审查合格的投标人不足3家的，不进行评标。</w:t>
      </w:r>
    </w:p>
    <w:p w14:paraId="1817D331">
      <w:pPr>
        <w:keepNext w:val="0"/>
        <w:keepLines w:val="0"/>
        <w:pageBreakBefore w:val="0"/>
        <w:widowControl w:val="0"/>
        <w:spacing w:line="360" w:lineRule="auto"/>
        <w:jc w:val="center"/>
        <w:outlineLvl w:val="9"/>
        <w:rPr>
          <w:rFonts w:hint="eastAsia" w:ascii="宋体" w:hAnsi="宋体" w:eastAsia="宋体" w:cs="Times New Roman"/>
          <w:b/>
          <w:bCs/>
          <w:color w:val="auto"/>
          <w:sz w:val="28"/>
          <w:szCs w:val="28"/>
          <w:highlight w:val="none"/>
          <w:lang w:val="en-US" w:eastAsia="zh-CN"/>
        </w:rPr>
      </w:pPr>
      <w:r>
        <w:rPr>
          <w:rFonts w:hint="eastAsia" w:ascii="宋体" w:hAnsi="宋体" w:eastAsia="宋体" w:cs="Times New Roman"/>
          <w:b/>
          <w:bCs/>
          <w:color w:val="auto"/>
          <w:sz w:val="28"/>
          <w:szCs w:val="28"/>
          <w:highlight w:val="none"/>
          <w:lang w:val="en-US" w:eastAsia="zh-CN"/>
        </w:rPr>
        <w:t>二、资格审查要求</w:t>
      </w:r>
    </w:p>
    <w:tbl>
      <w:tblPr>
        <w:tblStyle w:val="3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6"/>
        <w:gridCol w:w="1982"/>
        <w:gridCol w:w="4822"/>
        <w:gridCol w:w="1638"/>
      </w:tblGrid>
      <w:tr w14:paraId="2FF30E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846" w:type="dxa"/>
            <w:noWrap w:val="0"/>
            <w:vAlign w:val="center"/>
          </w:tcPr>
          <w:p w14:paraId="7542FA0E">
            <w:pPr>
              <w:tabs>
                <w:tab w:val="left" w:pos="1080"/>
              </w:tabs>
              <w:jc w:val="center"/>
              <w:outlineLvl w:val="9"/>
              <w:rPr>
                <w:b/>
                <w:color w:val="auto"/>
                <w:sz w:val="24"/>
                <w:highlight w:val="none"/>
              </w:rPr>
            </w:pPr>
            <w:bookmarkStart w:id="725" w:name="_Hlt487972895"/>
            <w:bookmarkEnd w:id="725"/>
            <w:r>
              <w:rPr>
                <w:b/>
                <w:color w:val="auto"/>
                <w:sz w:val="24"/>
                <w:highlight w:val="none"/>
              </w:rPr>
              <w:t>序号</w:t>
            </w:r>
          </w:p>
        </w:tc>
        <w:tc>
          <w:tcPr>
            <w:tcW w:w="1982" w:type="dxa"/>
            <w:noWrap w:val="0"/>
            <w:vAlign w:val="center"/>
          </w:tcPr>
          <w:p w14:paraId="3E18F961">
            <w:pPr>
              <w:tabs>
                <w:tab w:val="left" w:pos="1080"/>
              </w:tabs>
              <w:jc w:val="center"/>
              <w:outlineLvl w:val="9"/>
              <w:rPr>
                <w:b/>
                <w:color w:val="auto"/>
                <w:sz w:val="24"/>
                <w:highlight w:val="none"/>
              </w:rPr>
            </w:pPr>
            <w:r>
              <w:rPr>
                <w:b/>
                <w:color w:val="auto"/>
                <w:sz w:val="24"/>
                <w:highlight w:val="none"/>
              </w:rPr>
              <w:t>审查因素</w:t>
            </w:r>
          </w:p>
        </w:tc>
        <w:tc>
          <w:tcPr>
            <w:tcW w:w="4822" w:type="dxa"/>
            <w:noWrap w:val="0"/>
            <w:vAlign w:val="center"/>
          </w:tcPr>
          <w:p w14:paraId="5F1AB793">
            <w:pPr>
              <w:tabs>
                <w:tab w:val="left" w:pos="1080"/>
              </w:tabs>
              <w:jc w:val="center"/>
              <w:outlineLvl w:val="9"/>
              <w:rPr>
                <w:b/>
                <w:color w:val="auto"/>
                <w:sz w:val="24"/>
                <w:highlight w:val="none"/>
              </w:rPr>
            </w:pPr>
            <w:r>
              <w:rPr>
                <w:b/>
                <w:color w:val="auto"/>
                <w:sz w:val="24"/>
                <w:highlight w:val="none"/>
              </w:rPr>
              <w:t>审查内容</w:t>
            </w:r>
          </w:p>
        </w:tc>
        <w:tc>
          <w:tcPr>
            <w:tcW w:w="1638" w:type="dxa"/>
            <w:noWrap w:val="0"/>
            <w:vAlign w:val="center"/>
          </w:tcPr>
          <w:p w14:paraId="04709D23">
            <w:pPr>
              <w:tabs>
                <w:tab w:val="left" w:pos="1080"/>
              </w:tabs>
              <w:jc w:val="center"/>
              <w:outlineLvl w:val="9"/>
              <w:rPr>
                <w:b/>
                <w:color w:val="auto"/>
                <w:sz w:val="24"/>
                <w:highlight w:val="none"/>
              </w:rPr>
            </w:pPr>
            <w:r>
              <w:rPr>
                <w:b/>
                <w:color w:val="auto"/>
                <w:sz w:val="24"/>
                <w:highlight w:val="none"/>
              </w:rPr>
              <w:t>格式要求</w:t>
            </w:r>
          </w:p>
        </w:tc>
      </w:tr>
      <w:tr w14:paraId="399FCE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24FB5383">
            <w:pPr>
              <w:tabs>
                <w:tab w:val="left" w:pos="1080"/>
              </w:tabs>
              <w:jc w:val="center"/>
              <w:outlineLvl w:val="9"/>
              <w:rPr>
                <w:color w:val="auto"/>
                <w:sz w:val="24"/>
                <w:highlight w:val="none"/>
              </w:rPr>
            </w:pPr>
            <w:r>
              <w:rPr>
                <w:color w:val="auto"/>
                <w:sz w:val="24"/>
                <w:highlight w:val="none"/>
              </w:rPr>
              <w:t>1</w:t>
            </w:r>
          </w:p>
        </w:tc>
        <w:tc>
          <w:tcPr>
            <w:tcW w:w="1982" w:type="dxa"/>
            <w:noWrap w:val="0"/>
            <w:vAlign w:val="center"/>
          </w:tcPr>
          <w:p w14:paraId="381151D3">
            <w:pPr>
              <w:tabs>
                <w:tab w:val="left" w:pos="1080"/>
              </w:tabs>
              <w:outlineLvl w:val="9"/>
              <w:rPr>
                <w:color w:val="auto"/>
                <w:sz w:val="24"/>
                <w:highlight w:val="none"/>
              </w:rPr>
            </w:pPr>
            <w:r>
              <w:rPr>
                <w:color w:val="auto"/>
                <w:sz w:val="24"/>
                <w:highlight w:val="none"/>
              </w:rPr>
              <w:t>满足《中华人民共和国政府采购法》第二十二条规定及法律法规的其他规定</w:t>
            </w:r>
          </w:p>
        </w:tc>
        <w:tc>
          <w:tcPr>
            <w:tcW w:w="4822" w:type="dxa"/>
            <w:noWrap w:val="0"/>
            <w:vAlign w:val="center"/>
          </w:tcPr>
          <w:p w14:paraId="0EAF0035">
            <w:pPr>
              <w:tabs>
                <w:tab w:val="left" w:pos="1080"/>
              </w:tabs>
              <w:outlineLvl w:val="9"/>
              <w:rPr>
                <w:color w:val="auto"/>
                <w:sz w:val="24"/>
                <w:highlight w:val="none"/>
              </w:rPr>
            </w:pPr>
            <w:r>
              <w:rPr>
                <w:color w:val="auto"/>
                <w:sz w:val="24"/>
                <w:highlight w:val="none"/>
              </w:rPr>
              <w:t>具体规定见第一章《投标邀请》</w:t>
            </w:r>
          </w:p>
        </w:tc>
        <w:tc>
          <w:tcPr>
            <w:tcW w:w="1638" w:type="dxa"/>
            <w:noWrap w:val="0"/>
            <w:vAlign w:val="center"/>
          </w:tcPr>
          <w:p w14:paraId="783B7029">
            <w:pPr>
              <w:tabs>
                <w:tab w:val="left" w:pos="1080"/>
              </w:tabs>
              <w:outlineLvl w:val="9"/>
              <w:rPr>
                <w:color w:val="auto"/>
                <w:sz w:val="24"/>
                <w:highlight w:val="none"/>
              </w:rPr>
            </w:pPr>
          </w:p>
        </w:tc>
      </w:tr>
      <w:tr w14:paraId="46FDFF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70305009">
            <w:pPr>
              <w:tabs>
                <w:tab w:val="left" w:pos="1080"/>
              </w:tabs>
              <w:jc w:val="center"/>
              <w:outlineLvl w:val="9"/>
              <w:rPr>
                <w:color w:val="auto"/>
                <w:sz w:val="24"/>
                <w:highlight w:val="none"/>
              </w:rPr>
            </w:pPr>
            <w:r>
              <w:rPr>
                <w:color w:val="auto"/>
                <w:sz w:val="24"/>
                <w:highlight w:val="none"/>
              </w:rPr>
              <w:t>1</w:t>
            </w:r>
            <w:r>
              <w:rPr>
                <w:rFonts w:hint="eastAsia"/>
                <w:color w:val="auto"/>
                <w:sz w:val="24"/>
                <w:highlight w:val="none"/>
              </w:rPr>
              <w:t>-1</w:t>
            </w:r>
          </w:p>
        </w:tc>
        <w:tc>
          <w:tcPr>
            <w:tcW w:w="1982" w:type="dxa"/>
            <w:noWrap w:val="0"/>
            <w:vAlign w:val="center"/>
          </w:tcPr>
          <w:p w14:paraId="18D669C7">
            <w:pPr>
              <w:tabs>
                <w:tab w:val="left" w:pos="1080"/>
              </w:tabs>
              <w:outlineLvl w:val="9"/>
              <w:rPr>
                <w:color w:val="auto"/>
                <w:sz w:val="24"/>
                <w:highlight w:val="none"/>
              </w:rPr>
            </w:pPr>
            <w:r>
              <w:rPr>
                <w:rFonts w:hint="eastAsia"/>
                <w:color w:val="auto"/>
                <w:sz w:val="24"/>
                <w:highlight w:val="none"/>
              </w:rPr>
              <w:t>投标人资格声明函</w:t>
            </w:r>
          </w:p>
        </w:tc>
        <w:tc>
          <w:tcPr>
            <w:tcW w:w="4822" w:type="dxa"/>
            <w:noWrap w:val="0"/>
            <w:vAlign w:val="center"/>
          </w:tcPr>
          <w:p w14:paraId="6B1FACDB">
            <w:pPr>
              <w:tabs>
                <w:tab w:val="left" w:pos="1080"/>
              </w:tabs>
              <w:outlineLvl w:val="9"/>
              <w:rPr>
                <w:color w:val="auto"/>
                <w:sz w:val="24"/>
                <w:highlight w:val="none"/>
              </w:rPr>
            </w:pPr>
            <w:r>
              <w:rPr>
                <w:color w:val="auto"/>
                <w:sz w:val="24"/>
                <w:highlight w:val="none"/>
              </w:rPr>
              <w:t>提供了符合招标文件要求的《</w:t>
            </w:r>
            <w:r>
              <w:rPr>
                <w:rFonts w:hint="eastAsia"/>
                <w:color w:val="auto"/>
                <w:sz w:val="24"/>
                <w:highlight w:val="none"/>
              </w:rPr>
              <w:t>投标人资格声明函</w:t>
            </w:r>
            <w:r>
              <w:rPr>
                <w:color w:val="auto"/>
                <w:sz w:val="24"/>
                <w:highlight w:val="none"/>
              </w:rPr>
              <w:t>》。</w:t>
            </w:r>
          </w:p>
        </w:tc>
        <w:tc>
          <w:tcPr>
            <w:tcW w:w="1638" w:type="dxa"/>
            <w:noWrap w:val="0"/>
            <w:vAlign w:val="center"/>
          </w:tcPr>
          <w:p w14:paraId="4E7359EC">
            <w:pPr>
              <w:tabs>
                <w:tab w:val="left" w:pos="1080"/>
              </w:tabs>
              <w:outlineLvl w:val="9"/>
              <w:rPr>
                <w:color w:val="auto"/>
                <w:sz w:val="24"/>
                <w:highlight w:val="none"/>
              </w:rPr>
            </w:pPr>
            <w:r>
              <w:rPr>
                <w:color w:val="auto"/>
                <w:sz w:val="24"/>
                <w:highlight w:val="none"/>
              </w:rPr>
              <w:t>格式见《投标文件格式》</w:t>
            </w:r>
          </w:p>
        </w:tc>
      </w:tr>
      <w:tr w14:paraId="5A9946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28B03BF7">
            <w:pPr>
              <w:tabs>
                <w:tab w:val="left" w:pos="1080"/>
              </w:tabs>
              <w:jc w:val="center"/>
              <w:outlineLvl w:val="9"/>
              <w:rPr>
                <w:color w:val="auto"/>
                <w:sz w:val="24"/>
                <w:highlight w:val="none"/>
              </w:rPr>
            </w:pPr>
            <w:r>
              <w:rPr>
                <w:rFonts w:hint="eastAsia"/>
                <w:color w:val="auto"/>
                <w:sz w:val="24"/>
                <w:highlight w:val="none"/>
              </w:rPr>
              <w:t>1-2</w:t>
            </w:r>
          </w:p>
        </w:tc>
        <w:tc>
          <w:tcPr>
            <w:tcW w:w="1982" w:type="dxa"/>
            <w:noWrap w:val="0"/>
            <w:vAlign w:val="center"/>
          </w:tcPr>
          <w:p w14:paraId="7E86442A">
            <w:pPr>
              <w:tabs>
                <w:tab w:val="left" w:pos="1080"/>
              </w:tabs>
              <w:outlineLvl w:val="9"/>
              <w:rPr>
                <w:color w:val="auto"/>
                <w:sz w:val="24"/>
                <w:highlight w:val="none"/>
              </w:rPr>
            </w:pPr>
            <w:r>
              <w:rPr>
                <w:color w:val="auto"/>
                <w:sz w:val="24"/>
                <w:highlight w:val="none"/>
              </w:rPr>
              <w:t>投标人信用记录</w:t>
            </w:r>
          </w:p>
        </w:tc>
        <w:tc>
          <w:tcPr>
            <w:tcW w:w="4822" w:type="dxa"/>
            <w:noWrap w:val="0"/>
            <w:vAlign w:val="center"/>
          </w:tcPr>
          <w:p w14:paraId="10F97434">
            <w:pPr>
              <w:tabs>
                <w:tab w:val="left" w:pos="1080"/>
              </w:tabs>
              <w:outlineLvl w:val="9"/>
              <w:rPr>
                <w:color w:val="auto"/>
                <w:sz w:val="24"/>
                <w:highlight w:val="none"/>
              </w:rPr>
            </w:pPr>
            <w:r>
              <w:rPr>
                <w:color w:val="auto"/>
                <w:sz w:val="24"/>
                <w:highlight w:val="none"/>
              </w:rPr>
              <w:t>查询渠道：信用中国网站和中国政府采购网（</w:t>
            </w:r>
            <w:r>
              <w:rPr>
                <w:color w:val="auto"/>
                <w:highlight w:val="none"/>
              </w:rPr>
              <w:t>www.creditchina.gov.cn</w:t>
            </w:r>
            <w:r>
              <w:rPr>
                <w:color w:val="auto"/>
                <w:sz w:val="24"/>
                <w:highlight w:val="none"/>
              </w:rPr>
              <w:t>、</w:t>
            </w:r>
            <w:r>
              <w:rPr>
                <w:color w:val="auto"/>
                <w:highlight w:val="none"/>
              </w:rPr>
              <w:t>www.ccgp.gov.cn</w:t>
            </w:r>
            <w:r>
              <w:rPr>
                <w:color w:val="auto"/>
                <w:sz w:val="24"/>
                <w:highlight w:val="none"/>
              </w:rPr>
              <w:t>）；</w:t>
            </w:r>
          </w:p>
          <w:p w14:paraId="11A15A34">
            <w:pPr>
              <w:tabs>
                <w:tab w:val="left" w:pos="900"/>
                <w:tab w:val="left" w:pos="1980"/>
              </w:tabs>
              <w:outlineLvl w:val="9"/>
              <w:rPr>
                <w:color w:val="auto"/>
                <w:sz w:val="24"/>
                <w:highlight w:val="none"/>
              </w:rPr>
            </w:pPr>
            <w:r>
              <w:rPr>
                <w:color w:val="auto"/>
                <w:sz w:val="24"/>
                <w:highlight w:val="none"/>
              </w:rPr>
              <w:t>截止时点：投标截止时间以后、</w:t>
            </w:r>
            <w:r>
              <w:rPr>
                <w:rFonts w:hint="eastAsia"/>
                <w:color w:val="auto"/>
                <w:sz w:val="24"/>
                <w:highlight w:val="none"/>
              </w:rPr>
              <w:t>资格审查阶段采购人或</w:t>
            </w:r>
            <w:r>
              <w:rPr>
                <w:color w:val="auto"/>
                <w:sz w:val="24"/>
                <w:highlight w:val="none"/>
              </w:rPr>
              <w:t>采购代理机构的实际查询时间；</w:t>
            </w:r>
          </w:p>
          <w:p w14:paraId="65DD0497">
            <w:pPr>
              <w:tabs>
                <w:tab w:val="left" w:pos="900"/>
                <w:tab w:val="left" w:pos="1980"/>
              </w:tabs>
              <w:outlineLvl w:val="9"/>
              <w:rPr>
                <w:color w:val="auto"/>
                <w:sz w:val="24"/>
                <w:highlight w:val="none"/>
              </w:rPr>
            </w:pPr>
            <w:r>
              <w:rPr>
                <w:color w:val="auto"/>
                <w:sz w:val="24"/>
                <w:highlight w:val="none"/>
              </w:rPr>
              <w:t>信用信息查询记录和证据留存具体方式：查询结果网页打印页作为查询记录和证据，与其他采购文件一并保存；</w:t>
            </w:r>
          </w:p>
          <w:p w14:paraId="3D5D0F85">
            <w:pPr>
              <w:tabs>
                <w:tab w:val="left" w:pos="1080"/>
              </w:tabs>
              <w:outlineLvl w:val="9"/>
              <w:rPr>
                <w:color w:val="auto"/>
                <w:sz w:val="24"/>
                <w:highlight w:val="none"/>
              </w:rPr>
            </w:pPr>
            <w:r>
              <w:rPr>
                <w:color w:val="auto"/>
                <w:sz w:val="24"/>
                <w:highlight w:val="none"/>
              </w:rPr>
              <w:t>信用信息的使用原则：经认定的被列入失信被执行人、重大税收违法案件当事人名单、政府采购严重违法失信行为记录名单的投标人，其</w:t>
            </w:r>
            <w:r>
              <w:rPr>
                <w:b/>
                <w:color w:val="auto"/>
                <w:sz w:val="24"/>
                <w:highlight w:val="none"/>
              </w:rPr>
              <w:t>投标无效</w:t>
            </w:r>
            <w:r>
              <w:rPr>
                <w:color w:val="auto"/>
                <w:sz w:val="24"/>
                <w:highlight w:val="none"/>
              </w:rPr>
              <w:t>。</w:t>
            </w:r>
          </w:p>
        </w:tc>
        <w:tc>
          <w:tcPr>
            <w:tcW w:w="1638" w:type="dxa"/>
            <w:noWrap w:val="0"/>
            <w:vAlign w:val="center"/>
          </w:tcPr>
          <w:p w14:paraId="1D8EA6D1">
            <w:pPr>
              <w:tabs>
                <w:tab w:val="left" w:pos="1080"/>
              </w:tabs>
              <w:outlineLvl w:val="9"/>
              <w:rPr>
                <w:color w:val="auto"/>
                <w:sz w:val="24"/>
                <w:highlight w:val="none"/>
              </w:rPr>
            </w:pPr>
            <w:r>
              <w:rPr>
                <w:rFonts w:hint="eastAsia"/>
                <w:color w:val="auto"/>
                <w:sz w:val="24"/>
                <w:highlight w:val="none"/>
              </w:rPr>
              <w:t>无须投标人提供，由采购人查询。</w:t>
            </w:r>
          </w:p>
        </w:tc>
      </w:tr>
      <w:tr w14:paraId="091A8D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55697D7F">
            <w:pPr>
              <w:tabs>
                <w:tab w:val="left" w:pos="1080"/>
              </w:tabs>
              <w:jc w:val="center"/>
              <w:outlineLvl w:val="9"/>
              <w:rPr>
                <w:color w:val="auto"/>
                <w:sz w:val="24"/>
                <w:highlight w:val="none"/>
              </w:rPr>
            </w:pPr>
            <w:r>
              <w:rPr>
                <w:color w:val="auto"/>
                <w:sz w:val="24"/>
                <w:highlight w:val="none"/>
              </w:rPr>
              <w:t>2</w:t>
            </w:r>
          </w:p>
        </w:tc>
        <w:tc>
          <w:tcPr>
            <w:tcW w:w="1982" w:type="dxa"/>
            <w:noWrap w:val="0"/>
            <w:vAlign w:val="center"/>
          </w:tcPr>
          <w:p w14:paraId="5709EE95">
            <w:pPr>
              <w:tabs>
                <w:tab w:val="left" w:pos="1080"/>
              </w:tabs>
              <w:outlineLvl w:val="9"/>
              <w:rPr>
                <w:color w:val="auto"/>
                <w:sz w:val="24"/>
                <w:highlight w:val="none"/>
              </w:rPr>
            </w:pPr>
            <w:r>
              <w:rPr>
                <w:color w:val="auto"/>
                <w:sz w:val="24"/>
                <w:highlight w:val="none"/>
              </w:rPr>
              <w:t>落实政府采购政策需满足的资格要求</w:t>
            </w:r>
          </w:p>
        </w:tc>
        <w:tc>
          <w:tcPr>
            <w:tcW w:w="4822" w:type="dxa"/>
            <w:noWrap w:val="0"/>
            <w:vAlign w:val="center"/>
          </w:tcPr>
          <w:p w14:paraId="3360FBE7">
            <w:pPr>
              <w:tabs>
                <w:tab w:val="left" w:pos="1080"/>
              </w:tabs>
              <w:outlineLvl w:val="9"/>
              <w:rPr>
                <w:color w:val="auto"/>
                <w:sz w:val="24"/>
                <w:highlight w:val="none"/>
              </w:rPr>
            </w:pPr>
            <w:r>
              <w:rPr>
                <w:color w:val="auto"/>
                <w:sz w:val="24"/>
                <w:highlight w:val="none"/>
              </w:rPr>
              <w:t>具体要求见第一章《投标邀请》</w:t>
            </w:r>
          </w:p>
        </w:tc>
        <w:tc>
          <w:tcPr>
            <w:tcW w:w="1638" w:type="dxa"/>
            <w:noWrap w:val="0"/>
            <w:vAlign w:val="center"/>
          </w:tcPr>
          <w:p w14:paraId="11CE5059">
            <w:pPr>
              <w:tabs>
                <w:tab w:val="left" w:pos="1080"/>
              </w:tabs>
              <w:outlineLvl w:val="9"/>
              <w:rPr>
                <w:color w:val="auto"/>
                <w:sz w:val="24"/>
                <w:highlight w:val="none"/>
              </w:rPr>
            </w:pPr>
          </w:p>
        </w:tc>
      </w:tr>
      <w:tr w14:paraId="03468D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29898636">
            <w:pPr>
              <w:tabs>
                <w:tab w:val="left" w:pos="1080"/>
              </w:tabs>
              <w:jc w:val="center"/>
              <w:outlineLvl w:val="9"/>
              <w:rPr>
                <w:color w:val="auto"/>
                <w:sz w:val="24"/>
                <w:highlight w:val="none"/>
              </w:rPr>
            </w:pPr>
            <w:r>
              <w:rPr>
                <w:color w:val="auto"/>
                <w:sz w:val="24"/>
                <w:highlight w:val="none"/>
              </w:rPr>
              <w:t>2-1</w:t>
            </w:r>
          </w:p>
        </w:tc>
        <w:tc>
          <w:tcPr>
            <w:tcW w:w="1982" w:type="dxa"/>
            <w:noWrap w:val="0"/>
            <w:vAlign w:val="center"/>
          </w:tcPr>
          <w:p w14:paraId="2CD72181">
            <w:pPr>
              <w:tabs>
                <w:tab w:val="left" w:pos="1080"/>
              </w:tabs>
              <w:outlineLvl w:val="9"/>
              <w:rPr>
                <w:color w:val="auto"/>
                <w:sz w:val="24"/>
                <w:highlight w:val="none"/>
              </w:rPr>
            </w:pPr>
            <w:r>
              <w:rPr>
                <w:color w:val="auto"/>
                <w:sz w:val="24"/>
                <w:highlight w:val="none"/>
              </w:rPr>
              <w:t>中小企业声明函</w:t>
            </w:r>
          </w:p>
        </w:tc>
        <w:tc>
          <w:tcPr>
            <w:tcW w:w="4822" w:type="dxa"/>
            <w:noWrap w:val="0"/>
            <w:vAlign w:val="center"/>
          </w:tcPr>
          <w:p w14:paraId="547D6030">
            <w:pPr>
              <w:tabs>
                <w:tab w:val="left" w:pos="1080"/>
              </w:tabs>
              <w:outlineLvl w:val="9"/>
              <w:rPr>
                <w:color w:val="auto"/>
                <w:sz w:val="24"/>
                <w:highlight w:val="none"/>
              </w:rPr>
            </w:pPr>
            <w:r>
              <w:rPr>
                <w:rFonts w:hint="eastAsia"/>
                <w:color w:val="auto"/>
                <w:sz w:val="24"/>
                <w:highlight w:val="none"/>
              </w:rPr>
              <w:t>投标人单独投标的，应提供中小企业声明函；如为监狱企业或</w:t>
            </w:r>
            <w:r>
              <w:rPr>
                <w:color w:val="auto"/>
                <w:sz w:val="24"/>
                <w:highlight w:val="none"/>
              </w:rPr>
              <w:t>残疾人福利性单位</w:t>
            </w:r>
            <w:r>
              <w:rPr>
                <w:rFonts w:hint="eastAsia"/>
                <w:color w:val="auto"/>
                <w:sz w:val="24"/>
                <w:highlight w:val="none"/>
              </w:rPr>
              <w:t>，不必提供中小企业声明函，但须按注1或注2要求提供证明材料。</w:t>
            </w:r>
          </w:p>
          <w:p w14:paraId="7C272DDF">
            <w:pPr>
              <w:tabs>
                <w:tab w:val="left" w:pos="1080"/>
              </w:tabs>
              <w:outlineLvl w:val="9"/>
              <w:rPr>
                <w:color w:val="auto"/>
                <w:sz w:val="24"/>
                <w:highlight w:val="none"/>
              </w:rPr>
            </w:pPr>
            <w:r>
              <w:rPr>
                <w:rFonts w:hint="eastAsia"/>
                <w:color w:val="auto"/>
                <w:sz w:val="24"/>
                <w:highlight w:val="none"/>
              </w:rPr>
              <w:t>注1：</w:t>
            </w:r>
            <w:r>
              <w:rPr>
                <w:color w:val="auto"/>
                <w:sz w:val="24"/>
                <w:highlight w:val="none"/>
              </w:rPr>
              <w:t>监狱企业须提供由省级以上监狱管理局（常州市含教育矫治局）、戒毒管理局（含新疆生产建设兵团）出具的属于监狱企业的证明文件。</w:t>
            </w:r>
          </w:p>
          <w:p w14:paraId="3F2DAA20">
            <w:pPr>
              <w:tabs>
                <w:tab w:val="left" w:pos="1080"/>
              </w:tabs>
              <w:outlineLvl w:val="9"/>
              <w:rPr>
                <w:color w:val="auto"/>
                <w:sz w:val="24"/>
                <w:highlight w:val="none"/>
              </w:rPr>
            </w:pPr>
            <w:r>
              <w:rPr>
                <w:rFonts w:hint="eastAsia"/>
                <w:color w:val="auto"/>
                <w:sz w:val="24"/>
                <w:highlight w:val="none"/>
              </w:rPr>
              <w:t>注2：</w:t>
            </w:r>
            <w:r>
              <w:rPr>
                <w:color w:val="auto"/>
                <w:sz w:val="24"/>
                <w:highlight w:val="none"/>
              </w:rPr>
              <w:t>残疾人福利性单位须按招标文件要求提供《残疾人福利性单位声明函》。</w:t>
            </w:r>
          </w:p>
        </w:tc>
        <w:tc>
          <w:tcPr>
            <w:tcW w:w="1638" w:type="dxa"/>
            <w:noWrap w:val="0"/>
            <w:vAlign w:val="center"/>
          </w:tcPr>
          <w:p w14:paraId="46AD933B">
            <w:pPr>
              <w:tabs>
                <w:tab w:val="left" w:pos="1080"/>
              </w:tabs>
              <w:outlineLvl w:val="9"/>
              <w:rPr>
                <w:color w:val="auto"/>
                <w:sz w:val="24"/>
                <w:highlight w:val="none"/>
              </w:rPr>
            </w:pPr>
            <w:r>
              <w:rPr>
                <w:color w:val="auto"/>
                <w:sz w:val="24"/>
                <w:highlight w:val="none"/>
              </w:rPr>
              <w:t>格式见《投标文件格式》</w:t>
            </w:r>
          </w:p>
        </w:tc>
      </w:tr>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23"/>
    </w:tbl>
    <w:p w14:paraId="7BD256EC">
      <w:pPr>
        <w:widowControl/>
        <w:jc w:val="center"/>
        <w:outlineLvl w:val="9"/>
        <w:rPr>
          <w:color w:val="auto"/>
          <w:sz w:val="24"/>
          <w:highlight w:val="none"/>
        </w:rPr>
        <w:sectPr>
          <w:pgSz w:w="11906" w:h="16838"/>
          <w:pgMar w:top="1440" w:right="1800" w:bottom="1440" w:left="1800" w:header="851" w:footer="992" w:gutter="0"/>
          <w:pgNumType w:fmt="decimal"/>
          <w:cols w:space="1701" w:num="1"/>
          <w:docGrid w:linePitch="360" w:charSpace="0"/>
        </w:sectPr>
      </w:pPr>
      <w:bookmarkStart w:id="726" w:name="_Toc127161490"/>
      <w:bookmarkStart w:id="727" w:name="_Toc127151779"/>
      <w:bookmarkStart w:id="728" w:name="_Toc226965858"/>
      <w:bookmarkStart w:id="729" w:name="_Toc353873940"/>
      <w:bookmarkStart w:id="730" w:name="_Toc353825550"/>
    </w:p>
    <w:p w14:paraId="4198B45C">
      <w:pPr>
        <w:widowControl/>
        <w:jc w:val="center"/>
        <w:outlineLvl w:val="0"/>
        <w:rPr>
          <w:b/>
          <w:color w:val="auto"/>
          <w:sz w:val="36"/>
          <w:szCs w:val="36"/>
          <w:highlight w:val="none"/>
        </w:rPr>
      </w:pPr>
      <w:bookmarkStart w:id="731" w:name="_Toc99301423"/>
      <w:bookmarkStart w:id="732" w:name="_Toc8940"/>
      <w:r>
        <w:rPr>
          <w:b/>
          <w:color w:val="auto"/>
          <w:sz w:val="36"/>
          <w:szCs w:val="36"/>
          <w:highlight w:val="none"/>
        </w:rPr>
        <w:t xml:space="preserve">第四章   </w:t>
      </w:r>
      <w:bookmarkEnd w:id="726"/>
      <w:bookmarkEnd w:id="727"/>
      <w:bookmarkEnd w:id="728"/>
      <w:bookmarkEnd w:id="729"/>
      <w:bookmarkEnd w:id="730"/>
      <w:bookmarkStart w:id="733" w:name="_Hlt164229061"/>
      <w:bookmarkEnd w:id="733"/>
      <w:r>
        <w:rPr>
          <w:b/>
          <w:color w:val="auto"/>
          <w:sz w:val="36"/>
          <w:szCs w:val="36"/>
          <w:highlight w:val="none"/>
        </w:rPr>
        <w:t>评标程序、评标方法和评标标准</w:t>
      </w:r>
      <w:bookmarkEnd w:id="731"/>
      <w:bookmarkEnd w:id="732"/>
    </w:p>
    <w:p w14:paraId="1D8D94BF">
      <w:pPr>
        <w:tabs>
          <w:tab w:val="left" w:pos="360"/>
          <w:tab w:val="left" w:pos="900"/>
        </w:tabs>
        <w:spacing w:line="360" w:lineRule="auto"/>
        <w:jc w:val="center"/>
        <w:outlineLvl w:val="9"/>
        <w:rPr>
          <w:b/>
          <w:color w:val="auto"/>
          <w:highlight w:val="none"/>
        </w:rPr>
      </w:pPr>
      <w:r>
        <w:rPr>
          <w:b/>
          <w:color w:val="auto"/>
          <w:sz w:val="24"/>
          <w:highlight w:val="none"/>
        </w:rPr>
        <w:t>一、评标</w:t>
      </w:r>
      <w:r>
        <w:rPr>
          <w:rFonts w:hint="eastAsia"/>
          <w:b/>
          <w:color w:val="auto"/>
          <w:sz w:val="24"/>
          <w:highlight w:val="none"/>
        </w:rPr>
        <w:t>程序</w:t>
      </w:r>
    </w:p>
    <w:p w14:paraId="0AF890B9">
      <w:pPr>
        <w:numPr>
          <w:ilvl w:val="0"/>
          <w:numId w:val="12"/>
        </w:numPr>
        <w:tabs>
          <w:tab w:val="left" w:pos="360"/>
        </w:tabs>
        <w:spacing w:line="360" w:lineRule="auto"/>
        <w:outlineLvl w:val="9"/>
        <w:rPr>
          <w:color w:val="auto"/>
          <w:sz w:val="24"/>
          <w:highlight w:val="none"/>
        </w:rPr>
      </w:pPr>
      <w:bookmarkStart w:id="734" w:name="_Toc264969231"/>
      <w:bookmarkStart w:id="735" w:name="_Toc150774641"/>
      <w:bookmarkStart w:id="736" w:name="_Toc127151541"/>
      <w:bookmarkStart w:id="737" w:name="_Toc149720834"/>
      <w:bookmarkStart w:id="738" w:name="_Toc150509292"/>
      <w:bookmarkStart w:id="739" w:name="_Toc226965814"/>
      <w:bookmarkStart w:id="740" w:name="_Toc226965731"/>
      <w:bookmarkStart w:id="741" w:name="_Toc164229236"/>
      <w:bookmarkStart w:id="742" w:name="_Toc265228379"/>
      <w:bookmarkStart w:id="743" w:name="_Toc151193711"/>
      <w:bookmarkStart w:id="744" w:name="_Toc195842906"/>
      <w:bookmarkStart w:id="745" w:name="_Toc142311043"/>
      <w:bookmarkStart w:id="746" w:name="_Toc226337237"/>
      <w:bookmarkStart w:id="747" w:name="_Toc164351635"/>
      <w:bookmarkStart w:id="748" w:name="_Toc150480779"/>
      <w:bookmarkStart w:id="749" w:name="_Toc151193783"/>
      <w:bookmarkStart w:id="750" w:name="_Toc305158883"/>
      <w:bookmarkStart w:id="751" w:name="_Toc164608810"/>
      <w:bookmarkStart w:id="752" w:name="_Toc305158809"/>
      <w:bookmarkStart w:id="753" w:name="_Toc150774746"/>
      <w:bookmarkStart w:id="754" w:name="_Toc164229382"/>
      <w:bookmarkStart w:id="755" w:name="_Toc151193639"/>
      <w:bookmarkStart w:id="756" w:name="_Toc151193929"/>
      <w:bookmarkStart w:id="757" w:name="_Toc127151742"/>
      <w:bookmarkStart w:id="758" w:name="_Toc127161455"/>
      <w:bookmarkStart w:id="759" w:name="_Toc151190168"/>
      <w:bookmarkStart w:id="760" w:name="_Toc226309785"/>
      <w:bookmarkStart w:id="761" w:name="_Toc151193855"/>
      <w:bookmarkStart w:id="762" w:name="_Toc164608655"/>
      <w:bookmarkStart w:id="763" w:name="_Toc353873941"/>
      <w:bookmarkStart w:id="764" w:name="_Toc353825551"/>
      <w:bookmarkStart w:id="765" w:name="_Toc353825545"/>
      <w:bookmarkStart w:id="766" w:name="_Toc226965828"/>
      <w:bookmarkStart w:id="767" w:name="_Toc195842920"/>
      <w:bookmarkStart w:id="768" w:name="_Toc264969245"/>
      <w:bookmarkStart w:id="769" w:name="_Toc353873935"/>
      <w:bookmarkStart w:id="770" w:name="_Toc265228393"/>
      <w:bookmarkStart w:id="771" w:name="_Toc353873665"/>
      <w:bookmarkStart w:id="772" w:name="_Toc226337251"/>
      <w:bookmarkStart w:id="773" w:name="_Toc142311057"/>
      <w:bookmarkStart w:id="774" w:name="_Toc127151555"/>
      <w:bookmarkStart w:id="775" w:name="_Toc305158823"/>
      <w:bookmarkStart w:id="776" w:name="_Toc150480793"/>
      <w:bookmarkStart w:id="777" w:name="_Toc305158897"/>
      <w:bookmarkStart w:id="778" w:name="_Toc150774760"/>
      <w:r>
        <w:rPr>
          <w:color w:val="auto"/>
          <w:sz w:val="24"/>
          <w:highlight w:val="none"/>
        </w:rPr>
        <w:t>投标文件的符合性审查</w:t>
      </w:r>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p>
    <w:p w14:paraId="434F0744">
      <w:pPr>
        <w:numPr>
          <w:ilvl w:val="1"/>
          <w:numId w:val="12"/>
        </w:numPr>
        <w:tabs>
          <w:tab w:val="left" w:pos="1080"/>
        </w:tabs>
        <w:spacing w:line="360" w:lineRule="auto"/>
        <w:ind w:left="1077" w:hanging="720"/>
        <w:outlineLvl w:val="9"/>
        <w:rPr>
          <w:color w:val="auto"/>
          <w:sz w:val="24"/>
          <w:highlight w:val="none"/>
        </w:rPr>
      </w:pPr>
      <w:r>
        <w:rPr>
          <w:color w:val="auto"/>
          <w:sz w:val="24"/>
          <w:highlight w:val="none"/>
        </w:rPr>
        <w:t>评标委员会对资格审查合格的投标人的投标文件进行符合性审查，以确定其是否满足招标文件的实质性要求。</w:t>
      </w:r>
      <w:bookmarkStart w:id="779" w:name="_Toc520356167"/>
    </w:p>
    <w:p w14:paraId="70F104AE">
      <w:pPr>
        <w:numPr>
          <w:ilvl w:val="1"/>
          <w:numId w:val="12"/>
        </w:numPr>
        <w:tabs>
          <w:tab w:val="left" w:pos="1080"/>
        </w:tabs>
        <w:spacing w:line="360" w:lineRule="auto"/>
        <w:ind w:left="1077" w:hanging="720"/>
        <w:outlineLvl w:val="9"/>
        <w:rPr>
          <w:color w:val="auto"/>
          <w:sz w:val="24"/>
          <w:highlight w:val="none"/>
        </w:rPr>
      </w:pPr>
      <w:r>
        <w:rPr>
          <w:color w:val="auto"/>
          <w:sz w:val="24"/>
          <w:highlight w:val="none"/>
        </w:rPr>
        <w:t>评标委员会根据《符合性审查</w:t>
      </w:r>
      <w:r>
        <w:rPr>
          <w:rFonts w:hint="eastAsia"/>
          <w:color w:val="auto"/>
          <w:sz w:val="24"/>
          <w:highlight w:val="none"/>
        </w:rPr>
        <w:t>要求</w:t>
      </w:r>
      <w:r>
        <w:rPr>
          <w:color w:val="auto"/>
          <w:sz w:val="24"/>
          <w:highlight w:val="none"/>
        </w:rPr>
        <w:t>》中规定的审查因素和审查内容，对投标人的投标文件是否实质上响应招标文件进行符合性审查，并形成符合性审查评审结果。</w:t>
      </w:r>
      <w:r>
        <w:rPr>
          <w:rFonts w:hint="eastAsia"/>
          <w:color w:val="auto"/>
          <w:sz w:val="24"/>
          <w:highlight w:val="none"/>
        </w:rPr>
        <w:t>投标人《商务技术文件》有任何一项不符合</w:t>
      </w:r>
      <w:r>
        <w:rPr>
          <w:color w:val="auto"/>
          <w:sz w:val="24"/>
          <w:highlight w:val="none"/>
        </w:rPr>
        <w:t>《符合性审查</w:t>
      </w:r>
      <w:r>
        <w:rPr>
          <w:rFonts w:hint="eastAsia"/>
          <w:color w:val="auto"/>
          <w:sz w:val="24"/>
          <w:highlight w:val="none"/>
        </w:rPr>
        <w:t>要求</w:t>
      </w:r>
      <w:r>
        <w:rPr>
          <w:color w:val="auto"/>
          <w:sz w:val="24"/>
          <w:highlight w:val="none"/>
        </w:rPr>
        <w:t>》</w:t>
      </w:r>
      <w:bookmarkEnd w:id="779"/>
      <w:r>
        <w:rPr>
          <w:rFonts w:hint="eastAsia"/>
          <w:color w:val="auto"/>
          <w:sz w:val="24"/>
          <w:highlight w:val="none"/>
        </w:rPr>
        <w:t>要求的，</w:t>
      </w:r>
      <w:r>
        <w:rPr>
          <w:rFonts w:hint="eastAsia"/>
          <w:b/>
          <w:color w:val="auto"/>
          <w:sz w:val="24"/>
          <w:highlight w:val="none"/>
        </w:rPr>
        <w:t>投标无效</w:t>
      </w:r>
      <w:r>
        <w:rPr>
          <w:rFonts w:hint="eastAsia"/>
          <w:color w:val="auto"/>
          <w:sz w:val="24"/>
          <w:highlight w:val="none"/>
        </w:rPr>
        <w:t>。</w:t>
      </w:r>
    </w:p>
    <w:p w14:paraId="67E90B49">
      <w:pPr>
        <w:tabs>
          <w:tab w:val="left" w:pos="900"/>
          <w:tab w:val="left" w:pos="1080"/>
          <w:tab w:val="left" w:pos="1589"/>
        </w:tabs>
        <w:spacing w:line="360" w:lineRule="auto"/>
        <w:ind w:hanging="357"/>
        <w:jc w:val="center"/>
        <w:outlineLvl w:val="9"/>
        <w:rPr>
          <w:b/>
          <w:color w:val="auto"/>
          <w:sz w:val="24"/>
          <w:highlight w:val="none"/>
        </w:rPr>
      </w:pPr>
      <w:r>
        <w:rPr>
          <w:b/>
          <w:color w:val="auto"/>
          <w:sz w:val="24"/>
          <w:highlight w:val="none"/>
        </w:rPr>
        <w:t>符合性审查</w:t>
      </w:r>
      <w:r>
        <w:rPr>
          <w:rFonts w:hint="eastAsia"/>
          <w:b/>
          <w:color w:val="auto"/>
          <w:sz w:val="24"/>
          <w:highlight w:val="none"/>
        </w:rPr>
        <w:t>要求</w:t>
      </w:r>
    </w:p>
    <w:tbl>
      <w:tblPr>
        <w:tblStyle w:val="33"/>
        <w:tblW w:w="92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0"/>
        <w:gridCol w:w="1813"/>
        <w:gridCol w:w="6725"/>
      </w:tblGrid>
      <w:tr w14:paraId="63E55F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750" w:type="dxa"/>
            <w:noWrap w:val="0"/>
            <w:vAlign w:val="center"/>
          </w:tcPr>
          <w:p w14:paraId="4EE7E473">
            <w:pPr>
              <w:widowControl/>
              <w:jc w:val="center"/>
              <w:outlineLvl w:val="9"/>
              <w:rPr>
                <w:b/>
                <w:color w:val="auto"/>
                <w:sz w:val="24"/>
                <w:highlight w:val="none"/>
              </w:rPr>
            </w:pPr>
            <w:r>
              <w:rPr>
                <w:b/>
                <w:color w:val="auto"/>
                <w:sz w:val="24"/>
                <w:highlight w:val="none"/>
              </w:rPr>
              <w:t>序号</w:t>
            </w:r>
          </w:p>
        </w:tc>
        <w:tc>
          <w:tcPr>
            <w:tcW w:w="1813" w:type="dxa"/>
            <w:noWrap w:val="0"/>
            <w:vAlign w:val="center"/>
          </w:tcPr>
          <w:p w14:paraId="460CE896">
            <w:pPr>
              <w:widowControl/>
              <w:jc w:val="center"/>
              <w:outlineLvl w:val="9"/>
              <w:rPr>
                <w:b/>
                <w:color w:val="auto"/>
                <w:sz w:val="24"/>
                <w:highlight w:val="none"/>
              </w:rPr>
            </w:pPr>
            <w:r>
              <w:rPr>
                <w:b/>
                <w:color w:val="auto"/>
                <w:sz w:val="24"/>
                <w:highlight w:val="none"/>
              </w:rPr>
              <w:t>审查因素</w:t>
            </w:r>
          </w:p>
        </w:tc>
        <w:tc>
          <w:tcPr>
            <w:tcW w:w="6725" w:type="dxa"/>
            <w:noWrap w:val="0"/>
            <w:vAlign w:val="center"/>
          </w:tcPr>
          <w:p w14:paraId="39CDEF69">
            <w:pPr>
              <w:widowControl/>
              <w:jc w:val="center"/>
              <w:outlineLvl w:val="9"/>
              <w:rPr>
                <w:b/>
                <w:color w:val="auto"/>
                <w:sz w:val="24"/>
                <w:highlight w:val="none"/>
              </w:rPr>
            </w:pPr>
            <w:r>
              <w:rPr>
                <w:b/>
                <w:color w:val="auto"/>
                <w:sz w:val="24"/>
                <w:highlight w:val="none"/>
              </w:rPr>
              <w:t>审查内容</w:t>
            </w:r>
          </w:p>
        </w:tc>
      </w:tr>
      <w:tr w14:paraId="397231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0" w:type="dxa"/>
            <w:noWrap w:val="0"/>
            <w:vAlign w:val="center"/>
          </w:tcPr>
          <w:p w14:paraId="65BB13CE">
            <w:pPr>
              <w:widowControl/>
              <w:jc w:val="center"/>
              <w:outlineLvl w:val="9"/>
              <w:rPr>
                <w:color w:val="auto"/>
                <w:sz w:val="24"/>
                <w:highlight w:val="none"/>
              </w:rPr>
            </w:pPr>
            <w:r>
              <w:rPr>
                <w:color w:val="auto"/>
                <w:sz w:val="24"/>
                <w:highlight w:val="none"/>
              </w:rPr>
              <w:t>1</w:t>
            </w:r>
          </w:p>
        </w:tc>
        <w:tc>
          <w:tcPr>
            <w:tcW w:w="1813" w:type="dxa"/>
            <w:noWrap w:val="0"/>
            <w:vAlign w:val="center"/>
          </w:tcPr>
          <w:p w14:paraId="166466D8">
            <w:pPr>
              <w:widowControl/>
              <w:jc w:val="left"/>
              <w:outlineLvl w:val="9"/>
              <w:rPr>
                <w:color w:val="auto"/>
                <w:sz w:val="24"/>
                <w:highlight w:val="none"/>
              </w:rPr>
            </w:pPr>
            <w:r>
              <w:rPr>
                <w:rFonts w:hint="eastAsia"/>
                <w:color w:val="auto"/>
                <w:sz w:val="24"/>
                <w:highlight w:val="none"/>
              </w:rPr>
              <w:t>投标函、法定代表人资格证明书和政府采购供应商信用承诺书</w:t>
            </w:r>
          </w:p>
        </w:tc>
        <w:tc>
          <w:tcPr>
            <w:tcW w:w="6725" w:type="dxa"/>
            <w:noWrap w:val="0"/>
            <w:vAlign w:val="center"/>
          </w:tcPr>
          <w:p w14:paraId="7924CE66">
            <w:pPr>
              <w:widowControl/>
              <w:jc w:val="left"/>
              <w:outlineLvl w:val="9"/>
              <w:rPr>
                <w:color w:val="auto"/>
                <w:sz w:val="24"/>
                <w:highlight w:val="none"/>
              </w:rPr>
            </w:pPr>
            <w:r>
              <w:rPr>
                <w:color w:val="auto"/>
                <w:sz w:val="24"/>
                <w:highlight w:val="none"/>
              </w:rPr>
              <w:t>按招标文件要求提供</w:t>
            </w:r>
            <w:r>
              <w:rPr>
                <w:rFonts w:hint="eastAsia"/>
                <w:color w:val="auto"/>
                <w:sz w:val="24"/>
                <w:highlight w:val="none"/>
              </w:rPr>
              <w:t>投标函、法定代表人资格证明书和政府采购供应商信用承诺书</w:t>
            </w:r>
            <w:r>
              <w:rPr>
                <w:color w:val="auto"/>
                <w:sz w:val="24"/>
                <w:highlight w:val="none"/>
              </w:rPr>
              <w:t>；</w:t>
            </w:r>
          </w:p>
        </w:tc>
      </w:tr>
      <w:tr w14:paraId="630682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0" w:type="dxa"/>
            <w:noWrap w:val="0"/>
            <w:vAlign w:val="center"/>
          </w:tcPr>
          <w:p w14:paraId="4935B018">
            <w:pPr>
              <w:widowControl/>
              <w:jc w:val="center"/>
              <w:outlineLvl w:val="9"/>
              <w:rPr>
                <w:color w:val="auto"/>
                <w:sz w:val="24"/>
                <w:highlight w:val="none"/>
              </w:rPr>
            </w:pPr>
            <w:r>
              <w:rPr>
                <w:color w:val="auto"/>
                <w:sz w:val="24"/>
                <w:highlight w:val="none"/>
              </w:rPr>
              <w:t>2</w:t>
            </w:r>
          </w:p>
        </w:tc>
        <w:tc>
          <w:tcPr>
            <w:tcW w:w="1813" w:type="dxa"/>
            <w:noWrap w:val="0"/>
            <w:vAlign w:val="center"/>
          </w:tcPr>
          <w:p w14:paraId="7C38A4D7">
            <w:pPr>
              <w:widowControl/>
              <w:jc w:val="left"/>
              <w:outlineLvl w:val="9"/>
              <w:rPr>
                <w:color w:val="auto"/>
                <w:sz w:val="24"/>
                <w:highlight w:val="none"/>
              </w:rPr>
            </w:pPr>
            <w:r>
              <w:rPr>
                <w:color w:val="auto"/>
                <w:sz w:val="24"/>
                <w:highlight w:val="none"/>
              </w:rPr>
              <w:t>投标完整性</w:t>
            </w:r>
          </w:p>
        </w:tc>
        <w:tc>
          <w:tcPr>
            <w:tcW w:w="6725" w:type="dxa"/>
            <w:noWrap w:val="0"/>
            <w:vAlign w:val="center"/>
          </w:tcPr>
          <w:p w14:paraId="7D20A07A">
            <w:pPr>
              <w:widowControl/>
              <w:jc w:val="left"/>
              <w:outlineLvl w:val="9"/>
              <w:rPr>
                <w:color w:val="auto"/>
                <w:sz w:val="24"/>
                <w:highlight w:val="none"/>
              </w:rPr>
            </w:pPr>
            <w:r>
              <w:rPr>
                <w:rFonts w:hint="eastAsia"/>
                <w:color w:val="auto"/>
                <w:sz w:val="24"/>
                <w:highlight w:val="none"/>
              </w:rPr>
              <w:t>未</w:t>
            </w:r>
            <w:r>
              <w:rPr>
                <w:color w:val="auto"/>
                <w:sz w:val="24"/>
                <w:highlight w:val="none"/>
              </w:rPr>
              <w:t>将一个采购</w:t>
            </w:r>
            <w:r>
              <w:rPr>
                <w:rFonts w:hint="eastAsia"/>
                <w:color w:val="auto"/>
                <w:sz w:val="24"/>
                <w:highlight w:val="none"/>
                <w:lang w:val="en-US" w:eastAsia="zh-CN"/>
              </w:rPr>
              <w:t>项目</w:t>
            </w:r>
            <w:r>
              <w:rPr>
                <w:color w:val="auto"/>
                <w:sz w:val="24"/>
                <w:highlight w:val="none"/>
              </w:rPr>
              <w:t>中的内容拆开投标；</w:t>
            </w:r>
          </w:p>
        </w:tc>
      </w:tr>
      <w:tr w14:paraId="0DAEA0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0" w:type="dxa"/>
            <w:noWrap w:val="0"/>
            <w:vAlign w:val="center"/>
          </w:tcPr>
          <w:p w14:paraId="6B90E6B5">
            <w:pPr>
              <w:widowControl/>
              <w:jc w:val="center"/>
              <w:outlineLvl w:val="9"/>
              <w:rPr>
                <w:color w:val="auto"/>
                <w:sz w:val="24"/>
                <w:highlight w:val="none"/>
              </w:rPr>
            </w:pPr>
            <w:r>
              <w:rPr>
                <w:color w:val="auto"/>
                <w:sz w:val="24"/>
                <w:highlight w:val="none"/>
              </w:rPr>
              <w:t>3</w:t>
            </w:r>
          </w:p>
        </w:tc>
        <w:tc>
          <w:tcPr>
            <w:tcW w:w="1813" w:type="dxa"/>
            <w:noWrap w:val="0"/>
            <w:vAlign w:val="center"/>
          </w:tcPr>
          <w:p w14:paraId="6F34971E">
            <w:pPr>
              <w:widowControl/>
              <w:jc w:val="left"/>
              <w:outlineLvl w:val="9"/>
              <w:rPr>
                <w:color w:val="auto"/>
                <w:sz w:val="24"/>
                <w:highlight w:val="none"/>
              </w:rPr>
            </w:pPr>
            <w:r>
              <w:rPr>
                <w:color w:val="auto"/>
                <w:sz w:val="24"/>
                <w:highlight w:val="none"/>
              </w:rPr>
              <w:t>投标报价</w:t>
            </w:r>
          </w:p>
        </w:tc>
        <w:tc>
          <w:tcPr>
            <w:tcW w:w="6725" w:type="dxa"/>
            <w:noWrap w:val="0"/>
            <w:vAlign w:val="center"/>
          </w:tcPr>
          <w:p w14:paraId="7B4027C5">
            <w:pPr>
              <w:widowControl/>
              <w:jc w:val="left"/>
              <w:outlineLvl w:val="9"/>
              <w:rPr>
                <w:color w:val="auto"/>
                <w:sz w:val="24"/>
                <w:highlight w:val="none"/>
              </w:rPr>
            </w:pPr>
            <w:r>
              <w:rPr>
                <w:color w:val="auto"/>
                <w:sz w:val="24"/>
                <w:highlight w:val="none"/>
              </w:rPr>
              <w:t>投标报价</w:t>
            </w:r>
            <w:r>
              <w:rPr>
                <w:rFonts w:hint="eastAsia"/>
                <w:color w:val="auto"/>
                <w:sz w:val="24"/>
                <w:highlight w:val="none"/>
              </w:rPr>
              <w:t>未</w:t>
            </w:r>
            <w:r>
              <w:rPr>
                <w:color w:val="auto"/>
                <w:sz w:val="24"/>
                <w:highlight w:val="none"/>
              </w:rPr>
              <w:t>超过招标文件中规定的项目预算金额或者项目最高限价；</w:t>
            </w:r>
          </w:p>
        </w:tc>
      </w:tr>
      <w:tr w14:paraId="6F4297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0" w:type="dxa"/>
            <w:noWrap w:val="0"/>
            <w:vAlign w:val="center"/>
          </w:tcPr>
          <w:p w14:paraId="16CF3110">
            <w:pPr>
              <w:widowControl/>
              <w:jc w:val="center"/>
              <w:outlineLvl w:val="9"/>
              <w:rPr>
                <w:color w:val="auto"/>
                <w:sz w:val="24"/>
                <w:highlight w:val="none"/>
              </w:rPr>
            </w:pPr>
            <w:r>
              <w:rPr>
                <w:color w:val="auto"/>
                <w:sz w:val="24"/>
                <w:highlight w:val="none"/>
              </w:rPr>
              <w:t>4</w:t>
            </w:r>
          </w:p>
        </w:tc>
        <w:tc>
          <w:tcPr>
            <w:tcW w:w="1813" w:type="dxa"/>
            <w:noWrap w:val="0"/>
            <w:vAlign w:val="center"/>
          </w:tcPr>
          <w:p w14:paraId="4A382783">
            <w:pPr>
              <w:widowControl/>
              <w:jc w:val="left"/>
              <w:outlineLvl w:val="9"/>
              <w:rPr>
                <w:color w:val="auto"/>
                <w:sz w:val="24"/>
                <w:highlight w:val="none"/>
              </w:rPr>
            </w:pPr>
            <w:r>
              <w:rPr>
                <w:color w:val="auto"/>
                <w:sz w:val="24"/>
                <w:highlight w:val="none"/>
              </w:rPr>
              <w:t>报价唯一性</w:t>
            </w:r>
          </w:p>
        </w:tc>
        <w:tc>
          <w:tcPr>
            <w:tcW w:w="6725" w:type="dxa"/>
            <w:noWrap w:val="0"/>
            <w:vAlign w:val="center"/>
          </w:tcPr>
          <w:p w14:paraId="2C9035BA">
            <w:pPr>
              <w:widowControl/>
              <w:jc w:val="left"/>
              <w:outlineLvl w:val="9"/>
              <w:rPr>
                <w:color w:val="auto"/>
                <w:sz w:val="24"/>
                <w:highlight w:val="none"/>
              </w:rPr>
            </w:pPr>
            <w:r>
              <w:rPr>
                <w:color w:val="auto"/>
                <w:sz w:val="24"/>
                <w:highlight w:val="none"/>
              </w:rPr>
              <w:t>投标文件</w:t>
            </w:r>
            <w:r>
              <w:rPr>
                <w:rFonts w:hint="eastAsia"/>
                <w:color w:val="auto"/>
                <w:sz w:val="24"/>
                <w:highlight w:val="none"/>
              </w:rPr>
              <w:t>未出现可选择性或可调整的报价（招标文件另有规定的除外）</w:t>
            </w:r>
            <w:r>
              <w:rPr>
                <w:color w:val="auto"/>
                <w:sz w:val="24"/>
                <w:highlight w:val="none"/>
              </w:rPr>
              <w:t>；</w:t>
            </w:r>
          </w:p>
        </w:tc>
      </w:tr>
      <w:tr w14:paraId="545D7D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0" w:type="dxa"/>
            <w:noWrap w:val="0"/>
            <w:vAlign w:val="center"/>
          </w:tcPr>
          <w:p w14:paraId="46A1B19E">
            <w:pPr>
              <w:widowControl/>
              <w:jc w:val="center"/>
              <w:outlineLvl w:val="9"/>
              <w:rPr>
                <w:color w:val="auto"/>
                <w:sz w:val="24"/>
                <w:highlight w:val="none"/>
              </w:rPr>
            </w:pPr>
            <w:r>
              <w:rPr>
                <w:color w:val="auto"/>
                <w:sz w:val="24"/>
                <w:highlight w:val="none"/>
              </w:rPr>
              <w:t>5</w:t>
            </w:r>
          </w:p>
        </w:tc>
        <w:tc>
          <w:tcPr>
            <w:tcW w:w="1813" w:type="dxa"/>
            <w:noWrap w:val="0"/>
            <w:vAlign w:val="center"/>
          </w:tcPr>
          <w:p w14:paraId="00ACE824">
            <w:pPr>
              <w:widowControl/>
              <w:jc w:val="left"/>
              <w:outlineLvl w:val="9"/>
              <w:rPr>
                <w:color w:val="auto"/>
                <w:sz w:val="24"/>
                <w:highlight w:val="none"/>
              </w:rPr>
            </w:pPr>
            <w:r>
              <w:rPr>
                <w:color w:val="auto"/>
                <w:sz w:val="24"/>
                <w:highlight w:val="none"/>
              </w:rPr>
              <w:t>投标有效期</w:t>
            </w:r>
          </w:p>
        </w:tc>
        <w:tc>
          <w:tcPr>
            <w:tcW w:w="6725" w:type="dxa"/>
            <w:noWrap w:val="0"/>
            <w:vAlign w:val="center"/>
          </w:tcPr>
          <w:p w14:paraId="5C7BEC3E">
            <w:pPr>
              <w:widowControl/>
              <w:jc w:val="left"/>
              <w:outlineLvl w:val="9"/>
              <w:rPr>
                <w:color w:val="auto"/>
                <w:sz w:val="24"/>
                <w:highlight w:val="none"/>
              </w:rPr>
            </w:pPr>
            <w:r>
              <w:rPr>
                <w:color w:val="auto"/>
                <w:sz w:val="24"/>
                <w:highlight w:val="none"/>
              </w:rPr>
              <w:t>投标文件中承诺的投标有效期</w:t>
            </w:r>
            <w:r>
              <w:rPr>
                <w:rFonts w:hint="eastAsia"/>
                <w:color w:val="auto"/>
                <w:sz w:val="24"/>
                <w:highlight w:val="none"/>
              </w:rPr>
              <w:t>满足</w:t>
            </w:r>
            <w:r>
              <w:rPr>
                <w:color w:val="auto"/>
                <w:sz w:val="24"/>
                <w:highlight w:val="none"/>
              </w:rPr>
              <w:t>招标文件中载明的投标有效期的；</w:t>
            </w:r>
          </w:p>
        </w:tc>
      </w:tr>
      <w:tr w14:paraId="021741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0" w:type="dxa"/>
            <w:noWrap w:val="0"/>
            <w:vAlign w:val="center"/>
          </w:tcPr>
          <w:p w14:paraId="6486B427">
            <w:pPr>
              <w:widowControl/>
              <w:jc w:val="center"/>
              <w:outlineLvl w:val="9"/>
              <w:rPr>
                <w:color w:val="auto"/>
                <w:sz w:val="24"/>
                <w:highlight w:val="none"/>
              </w:rPr>
            </w:pPr>
            <w:r>
              <w:rPr>
                <w:color w:val="auto"/>
                <w:sz w:val="24"/>
                <w:highlight w:val="none"/>
              </w:rPr>
              <w:t>6</w:t>
            </w:r>
          </w:p>
        </w:tc>
        <w:tc>
          <w:tcPr>
            <w:tcW w:w="1813" w:type="dxa"/>
            <w:noWrap w:val="0"/>
            <w:vAlign w:val="center"/>
          </w:tcPr>
          <w:p w14:paraId="4E07E9CA">
            <w:pPr>
              <w:widowControl/>
              <w:jc w:val="left"/>
              <w:outlineLvl w:val="9"/>
              <w:rPr>
                <w:color w:val="auto"/>
                <w:sz w:val="24"/>
                <w:highlight w:val="none"/>
              </w:rPr>
            </w:pPr>
            <w:r>
              <w:rPr>
                <w:color w:val="auto"/>
                <w:sz w:val="24"/>
                <w:highlight w:val="none"/>
              </w:rPr>
              <w:t>签署、加盖公章</w:t>
            </w:r>
          </w:p>
        </w:tc>
        <w:tc>
          <w:tcPr>
            <w:tcW w:w="6725" w:type="dxa"/>
            <w:noWrap w:val="0"/>
            <w:vAlign w:val="center"/>
          </w:tcPr>
          <w:p w14:paraId="1D359745">
            <w:pPr>
              <w:widowControl/>
              <w:jc w:val="left"/>
              <w:outlineLvl w:val="9"/>
              <w:rPr>
                <w:color w:val="auto"/>
                <w:sz w:val="24"/>
                <w:highlight w:val="none"/>
              </w:rPr>
            </w:pPr>
            <w:r>
              <w:rPr>
                <w:color w:val="auto"/>
                <w:sz w:val="24"/>
                <w:highlight w:val="none"/>
              </w:rPr>
              <w:t>按照招标文件要求签署、加盖公章的；</w:t>
            </w:r>
          </w:p>
        </w:tc>
      </w:tr>
      <w:tr w14:paraId="5EF81C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0" w:type="dxa"/>
            <w:noWrap w:val="0"/>
            <w:vAlign w:val="center"/>
          </w:tcPr>
          <w:p w14:paraId="3507B756">
            <w:pPr>
              <w:widowControl/>
              <w:jc w:val="center"/>
              <w:outlineLvl w:val="9"/>
              <w:rPr>
                <w:color w:val="auto"/>
                <w:sz w:val="24"/>
                <w:highlight w:val="none"/>
              </w:rPr>
            </w:pPr>
            <w:r>
              <w:rPr>
                <w:rFonts w:hint="eastAsia"/>
                <w:color w:val="auto"/>
                <w:sz w:val="24"/>
                <w:highlight w:val="none"/>
              </w:rPr>
              <w:t>7</w:t>
            </w:r>
          </w:p>
        </w:tc>
        <w:tc>
          <w:tcPr>
            <w:tcW w:w="1813" w:type="dxa"/>
            <w:noWrap w:val="0"/>
            <w:vAlign w:val="center"/>
          </w:tcPr>
          <w:p w14:paraId="64A09C9E">
            <w:pPr>
              <w:widowControl/>
              <w:jc w:val="left"/>
              <w:outlineLvl w:val="9"/>
              <w:rPr>
                <w:color w:val="auto"/>
                <w:sz w:val="24"/>
                <w:highlight w:val="none"/>
              </w:rPr>
            </w:pPr>
            <w:r>
              <w:rPr>
                <w:rFonts w:hint="eastAsia"/>
                <w:color w:val="auto"/>
                <w:sz w:val="24"/>
                <w:highlight w:val="none"/>
              </w:rPr>
              <w:t>实质性格式</w:t>
            </w:r>
          </w:p>
        </w:tc>
        <w:tc>
          <w:tcPr>
            <w:tcW w:w="6725" w:type="dxa"/>
            <w:noWrap w:val="0"/>
            <w:vAlign w:val="center"/>
          </w:tcPr>
          <w:p w14:paraId="384CBF0D">
            <w:pPr>
              <w:widowControl/>
              <w:jc w:val="left"/>
              <w:outlineLvl w:val="9"/>
              <w:rPr>
                <w:color w:val="auto"/>
                <w:sz w:val="24"/>
                <w:highlight w:val="none"/>
              </w:rPr>
            </w:pPr>
            <w:r>
              <w:rPr>
                <w:rFonts w:hint="eastAsia"/>
                <w:color w:val="auto"/>
                <w:sz w:val="24"/>
                <w:highlight w:val="none"/>
              </w:rPr>
              <w:t>标记为</w:t>
            </w:r>
            <w:r>
              <w:rPr>
                <w:color w:val="auto"/>
                <w:sz w:val="24"/>
                <w:highlight w:val="none"/>
              </w:rPr>
              <w:t>“实质性格式”的</w:t>
            </w:r>
            <w:r>
              <w:rPr>
                <w:rFonts w:hint="eastAsia"/>
                <w:color w:val="auto"/>
                <w:sz w:val="24"/>
                <w:highlight w:val="none"/>
              </w:rPr>
              <w:t>文件均按</w:t>
            </w:r>
            <w:r>
              <w:rPr>
                <w:color w:val="auto"/>
                <w:sz w:val="24"/>
                <w:highlight w:val="none"/>
              </w:rPr>
              <w:t>招标文件</w:t>
            </w:r>
            <w:r>
              <w:rPr>
                <w:rFonts w:hint="eastAsia"/>
                <w:color w:val="auto"/>
                <w:sz w:val="24"/>
                <w:highlight w:val="none"/>
              </w:rPr>
              <w:t>要求提供；</w:t>
            </w:r>
          </w:p>
        </w:tc>
      </w:tr>
      <w:tr w14:paraId="171FF5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0" w:type="dxa"/>
            <w:noWrap w:val="0"/>
            <w:vAlign w:val="center"/>
          </w:tcPr>
          <w:p w14:paraId="4266C80D">
            <w:pPr>
              <w:widowControl/>
              <w:jc w:val="center"/>
              <w:outlineLvl w:val="9"/>
              <w:rPr>
                <w:rFonts w:hint="eastAsia" w:eastAsia="宋体"/>
                <w:color w:val="auto"/>
                <w:sz w:val="24"/>
                <w:highlight w:val="none"/>
                <w:lang w:eastAsia="zh-CN"/>
              </w:rPr>
            </w:pPr>
            <w:r>
              <w:rPr>
                <w:rFonts w:hint="eastAsia"/>
                <w:color w:val="auto"/>
                <w:sz w:val="24"/>
                <w:highlight w:val="none"/>
                <w:lang w:val="en-US" w:eastAsia="zh-CN"/>
              </w:rPr>
              <w:t>8</w:t>
            </w:r>
          </w:p>
        </w:tc>
        <w:tc>
          <w:tcPr>
            <w:tcW w:w="1813" w:type="dxa"/>
            <w:noWrap w:val="0"/>
            <w:vAlign w:val="center"/>
          </w:tcPr>
          <w:p w14:paraId="04EEC4ED">
            <w:pPr>
              <w:widowControl/>
              <w:jc w:val="left"/>
              <w:outlineLvl w:val="9"/>
              <w:rPr>
                <w:color w:val="auto"/>
                <w:sz w:val="24"/>
                <w:highlight w:val="none"/>
              </w:rPr>
            </w:pPr>
            <w:r>
              <w:rPr>
                <w:color w:val="auto"/>
                <w:sz w:val="24"/>
                <w:highlight w:val="none"/>
              </w:rPr>
              <w:t>报价的修正</w:t>
            </w:r>
          </w:p>
        </w:tc>
        <w:tc>
          <w:tcPr>
            <w:tcW w:w="6725" w:type="dxa"/>
            <w:noWrap w:val="0"/>
            <w:vAlign w:val="center"/>
          </w:tcPr>
          <w:p w14:paraId="036E502C">
            <w:pPr>
              <w:widowControl/>
              <w:jc w:val="left"/>
              <w:outlineLvl w:val="9"/>
              <w:rPr>
                <w:color w:val="auto"/>
                <w:sz w:val="24"/>
                <w:highlight w:val="none"/>
              </w:rPr>
            </w:pPr>
            <w:r>
              <w:rPr>
                <w:color w:val="auto"/>
                <w:sz w:val="24"/>
                <w:highlight w:val="none"/>
              </w:rPr>
              <w:t>投标文件报价出现前后不一致</w:t>
            </w:r>
            <w:r>
              <w:rPr>
                <w:rFonts w:hint="eastAsia"/>
                <w:color w:val="auto"/>
                <w:sz w:val="24"/>
                <w:highlight w:val="none"/>
              </w:rPr>
              <w:t>时</w:t>
            </w:r>
            <w:r>
              <w:rPr>
                <w:color w:val="auto"/>
                <w:sz w:val="24"/>
                <w:highlight w:val="none"/>
              </w:rPr>
              <w:t>，投标人对修正后的报价予</w:t>
            </w:r>
            <w:r>
              <w:rPr>
                <w:rFonts w:hint="eastAsia"/>
                <w:color w:val="auto"/>
                <w:sz w:val="24"/>
                <w:highlight w:val="none"/>
              </w:rPr>
              <w:t>以</w:t>
            </w:r>
            <w:r>
              <w:rPr>
                <w:color w:val="auto"/>
                <w:sz w:val="24"/>
                <w:highlight w:val="none"/>
              </w:rPr>
              <w:t>确认；</w:t>
            </w:r>
          </w:p>
        </w:tc>
      </w:tr>
      <w:tr w14:paraId="554094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0" w:type="dxa"/>
            <w:noWrap w:val="0"/>
            <w:vAlign w:val="center"/>
          </w:tcPr>
          <w:p w14:paraId="7FCE5C0B">
            <w:pPr>
              <w:widowControl/>
              <w:jc w:val="center"/>
              <w:outlineLvl w:val="9"/>
              <w:rPr>
                <w:rFonts w:eastAsia="宋体"/>
                <w:color w:val="auto"/>
                <w:sz w:val="24"/>
                <w:highlight w:val="none"/>
                <w:lang w:val="en-US" w:eastAsia="zh-CN"/>
              </w:rPr>
            </w:pPr>
            <w:r>
              <w:rPr>
                <w:rFonts w:hint="eastAsia"/>
                <w:color w:val="auto"/>
                <w:sz w:val="24"/>
                <w:highlight w:val="none"/>
                <w:lang w:val="en-US" w:eastAsia="zh-CN"/>
              </w:rPr>
              <w:t>9</w:t>
            </w:r>
          </w:p>
        </w:tc>
        <w:tc>
          <w:tcPr>
            <w:tcW w:w="1813" w:type="dxa"/>
            <w:noWrap w:val="0"/>
            <w:vAlign w:val="center"/>
          </w:tcPr>
          <w:p w14:paraId="61060112">
            <w:pPr>
              <w:widowControl/>
              <w:jc w:val="left"/>
              <w:outlineLvl w:val="9"/>
              <w:rPr>
                <w:color w:val="auto"/>
                <w:sz w:val="24"/>
                <w:highlight w:val="none"/>
              </w:rPr>
            </w:pPr>
            <w:r>
              <w:rPr>
                <w:color w:val="auto"/>
                <w:sz w:val="24"/>
                <w:highlight w:val="none"/>
              </w:rPr>
              <w:t>报价合理性</w:t>
            </w:r>
          </w:p>
        </w:tc>
        <w:tc>
          <w:tcPr>
            <w:tcW w:w="6725" w:type="dxa"/>
            <w:noWrap w:val="0"/>
            <w:vAlign w:val="center"/>
          </w:tcPr>
          <w:p w14:paraId="4DEF4BDB">
            <w:pPr>
              <w:widowControl/>
              <w:jc w:val="left"/>
              <w:outlineLvl w:val="9"/>
              <w:rPr>
                <w:color w:val="auto"/>
                <w:sz w:val="24"/>
                <w:highlight w:val="none"/>
              </w:rPr>
            </w:pPr>
            <w:r>
              <w:rPr>
                <w:color w:val="auto"/>
                <w:sz w:val="24"/>
                <w:highlight w:val="none"/>
              </w:rPr>
              <w:t>报价合理，或</w:t>
            </w:r>
            <w:r>
              <w:rPr>
                <w:rFonts w:hint="eastAsia"/>
                <w:color w:val="auto"/>
                <w:sz w:val="24"/>
                <w:highlight w:val="none"/>
              </w:rPr>
              <w:t>投标人的报价明显低于其他通过符合性审查投标人的报价，</w:t>
            </w:r>
            <w:r>
              <w:rPr>
                <w:color w:val="auto"/>
                <w:sz w:val="24"/>
                <w:highlight w:val="none"/>
              </w:rPr>
              <w:t>有可能影响</w:t>
            </w:r>
            <w:r>
              <w:rPr>
                <w:rFonts w:hint="eastAsia"/>
                <w:color w:val="auto"/>
                <w:sz w:val="24"/>
                <w:highlight w:val="none"/>
                <w:lang w:eastAsia="zh-CN"/>
              </w:rPr>
              <w:t>服务</w:t>
            </w:r>
            <w:r>
              <w:rPr>
                <w:color w:val="auto"/>
                <w:sz w:val="24"/>
                <w:highlight w:val="none"/>
              </w:rPr>
              <w:t>质量或者不能诚信履约的</w:t>
            </w:r>
            <w:r>
              <w:rPr>
                <w:rFonts w:hint="eastAsia"/>
                <w:color w:val="auto"/>
                <w:sz w:val="24"/>
                <w:highlight w:val="none"/>
              </w:rPr>
              <w:t>，能够应评标委员会要求在规定时间内证明其报价合理性的</w:t>
            </w:r>
            <w:r>
              <w:rPr>
                <w:color w:val="auto"/>
                <w:sz w:val="24"/>
                <w:highlight w:val="none"/>
              </w:rPr>
              <w:t>；</w:t>
            </w:r>
          </w:p>
          <w:p w14:paraId="375F95C1">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按照财库〔2026〕2号《关于推动解决政府采购异常低价问题的通知》要求：</w:t>
            </w:r>
          </w:p>
          <w:p w14:paraId="316CFB46">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（一）政府采购评审中出现下列情形之一的，评审委员会应当启动异常低价响应审查程序：</w:t>
            </w:r>
          </w:p>
          <w:p w14:paraId="3693EA84">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1.响应报价低于全部通过符合性审查供应商响应报价平均值50%的，即响应报价&lt;全部通过符合性审查供应商响应报价平均值×50%；</w:t>
            </w:r>
          </w:p>
          <w:p w14:paraId="56534822">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2.响应报价低于通过符合性审查的次低报价供应商响应报价50%的，即响应报价&lt;通过符合性审查的次低报价供应商响应报价×50%；</w:t>
            </w:r>
          </w:p>
          <w:p w14:paraId="286802CC">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3.响应报价低于采购项目最高限价45%的，即响应报价&lt;采购项目最高限价×45%；</w:t>
            </w:r>
          </w:p>
          <w:p w14:paraId="4F0399B8">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4.评审委员会基于专业判断，认为供应商报价过低，有可能影响产品质量或者不能诚信履约的其他情形。</w:t>
            </w:r>
          </w:p>
          <w:p w14:paraId="42C68C8D">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二）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p>
          <w:p w14:paraId="68561AAF">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评审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p>
          <w:p w14:paraId="6BCB956B">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71CB4341">
            <w:pPr>
              <w:pStyle w:val="16"/>
              <w:rPr>
                <w:color w:val="auto"/>
              </w:rPr>
            </w:pPr>
            <w:r>
              <w:rPr>
                <w:rFonts w:hint="eastAsia" w:ascii="宋体" w:hAnsi="宋体" w:cs="宋体"/>
                <w:color w:val="auto"/>
                <w:kern w:val="0"/>
                <w:sz w:val="24"/>
                <w:highlight w:val="none"/>
              </w:rPr>
              <w:t>异常低价响应审查的启动原因、审查意见和审查结果应当在评审报告中记录，并随供应商提供的相关书面说明及证明材料，以及评审委员会有关互联网浏览、查询历史一并归档。</w:t>
            </w:r>
          </w:p>
        </w:tc>
      </w:tr>
      <w:tr w14:paraId="1B5729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0" w:type="dxa"/>
            <w:noWrap w:val="0"/>
            <w:vAlign w:val="center"/>
          </w:tcPr>
          <w:p w14:paraId="74FDA6FD">
            <w:pPr>
              <w:widowControl/>
              <w:jc w:val="center"/>
              <w:outlineLvl w:val="9"/>
              <w:rPr>
                <w:rFonts w:eastAsia="宋体"/>
                <w:color w:val="auto"/>
                <w:sz w:val="24"/>
                <w:highlight w:val="none"/>
                <w:lang w:val="en-US" w:eastAsia="zh-CN"/>
              </w:rPr>
            </w:pPr>
            <w:r>
              <w:rPr>
                <w:rFonts w:hint="eastAsia" w:eastAsia="宋体"/>
                <w:color w:val="auto"/>
                <w:sz w:val="24"/>
                <w:highlight w:val="none"/>
                <w:lang w:val="en-US" w:eastAsia="zh-CN"/>
              </w:rPr>
              <w:t>10</w:t>
            </w:r>
          </w:p>
        </w:tc>
        <w:tc>
          <w:tcPr>
            <w:tcW w:w="1813" w:type="dxa"/>
            <w:noWrap w:val="0"/>
            <w:vAlign w:val="center"/>
          </w:tcPr>
          <w:p w14:paraId="2F87F915">
            <w:pPr>
              <w:widowControl/>
              <w:jc w:val="left"/>
              <w:outlineLvl w:val="9"/>
              <w:rPr>
                <w:color w:val="auto"/>
                <w:sz w:val="24"/>
                <w:highlight w:val="none"/>
              </w:rPr>
            </w:pPr>
            <w:r>
              <w:rPr>
                <w:color w:val="auto"/>
                <w:sz w:val="24"/>
                <w:highlight w:val="none"/>
              </w:rPr>
              <w:t>公平竞争</w:t>
            </w:r>
          </w:p>
        </w:tc>
        <w:tc>
          <w:tcPr>
            <w:tcW w:w="6725" w:type="dxa"/>
            <w:noWrap w:val="0"/>
            <w:vAlign w:val="center"/>
          </w:tcPr>
          <w:p w14:paraId="29793CDD">
            <w:pPr>
              <w:widowControl/>
              <w:jc w:val="left"/>
              <w:outlineLvl w:val="9"/>
              <w:rPr>
                <w:color w:val="auto"/>
                <w:sz w:val="24"/>
                <w:highlight w:val="none"/>
              </w:rPr>
            </w:pPr>
            <w:r>
              <w:rPr>
                <w:color w:val="auto"/>
                <w:sz w:val="24"/>
                <w:highlight w:val="none"/>
              </w:rPr>
              <w:t>投标人遵循公平竞争的原则，不存在恶意串通，妨碍其他投标人的竞争行为，不存在损害采购人或者其他投标人的合法权益情形的；</w:t>
            </w:r>
          </w:p>
        </w:tc>
      </w:tr>
      <w:tr w14:paraId="0382E3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0" w:type="dxa"/>
            <w:noWrap w:val="0"/>
            <w:vAlign w:val="center"/>
          </w:tcPr>
          <w:p w14:paraId="3B47FFE1">
            <w:pPr>
              <w:widowControl/>
              <w:jc w:val="center"/>
              <w:outlineLvl w:val="9"/>
              <w:rPr>
                <w:rFonts w:eastAsia="宋体"/>
                <w:color w:val="auto"/>
                <w:sz w:val="24"/>
                <w:highlight w:val="none"/>
                <w:lang w:val="en-US" w:eastAsia="zh-CN"/>
              </w:rPr>
            </w:pPr>
            <w:r>
              <w:rPr>
                <w:rFonts w:hint="eastAsia" w:eastAsia="宋体"/>
                <w:color w:val="auto"/>
                <w:sz w:val="24"/>
                <w:highlight w:val="none"/>
                <w:lang w:val="en-US" w:eastAsia="zh-CN"/>
              </w:rPr>
              <w:t>11</w:t>
            </w:r>
          </w:p>
        </w:tc>
        <w:tc>
          <w:tcPr>
            <w:tcW w:w="1813" w:type="dxa"/>
            <w:noWrap w:val="0"/>
            <w:vAlign w:val="center"/>
          </w:tcPr>
          <w:p w14:paraId="6CCE769D">
            <w:pPr>
              <w:widowControl/>
              <w:jc w:val="left"/>
              <w:outlineLvl w:val="9"/>
              <w:rPr>
                <w:color w:val="auto"/>
                <w:sz w:val="24"/>
                <w:highlight w:val="none"/>
              </w:rPr>
            </w:pPr>
            <w:r>
              <w:rPr>
                <w:color w:val="auto"/>
                <w:sz w:val="24"/>
                <w:highlight w:val="none"/>
              </w:rPr>
              <w:t>串通投标</w:t>
            </w:r>
          </w:p>
        </w:tc>
        <w:tc>
          <w:tcPr>
            <w:tcW w:w="6725" w:type="dxa"/>
            <w:noWrap w:val="0"/>
            <w:vAlign w:val="center"/>
          </w:tcPr>
          <w:p w14:paraId="67CA77F3">
            <w:pPr>
              <w:widowControl/>
              <w:jc w:val="left"/>
              <w:outlineLvl w:val="9"/>
              <w:rPr>
                <w:color w:val="auto"/>
                <w:sz w:val="24"/>
                <w:highlight w:val="none"/>
              </w:rPr>
            </w:pPr>
            <w:r>
              <w:rPr>
                <w:rFonts w:hint="eastAsia"/>
                <w:color w:val="auto"/>
                <w:sz w:val="24"/>
                <w:highlight w:val="none"/>
              </w:rPr>
              <w:t>不存在《政府采购货物和服务招标投标管理办法》视为投标人串通投标的情形：（一）不同投标人的投标文件由同一单位或者个人编制</w:t>
            </w:r>
            <w:r>
              <w:rPr>
                <w:rFonts w:hint="eastAsia" w:ascii="宋体" w:hAnsi="宋体"/>
                <w:color w:val="auto"/>
                <w:sz w:val="24"/>
                <w:highlight w:val="none"/>
              </w:rPr>
              <w:t>（包含使用同一MAC地址的计算机制作电子</w:t>
            </w:r>
            <w:r>
              <w:rPr>
                <w:rFonts w:hint="eastAsia" w:ascii="宋体" w:hAnsi="宋体"/>
                <w:color w:val="auto"/>
                <w:sz w:val="24"/>
                <w:highlight w:val="none"/>
                <w:lang w:eastAsia="zh-CN"/>
              </w:rPr>
              <w:t>投标</w:t>
            </w:r>
            <w:r>
              <w:rPr>
                <w:rFonts w:hint="eastAsia" w:ascii="宋体" w:hAnsi="宋体"/>
                <w:color w:val="auto"/>
                <w:sz w:val="24"/>
                <w:highlight w:val="none"/>
              </w:rPr>
              <w:t>文件的情形）</w:t>
            </w:r>
            <w:r>
              <w:rPr>
                <w:rFonts w:hint="eastAsia"/>
                <w:color w:val="auto"/>
                <w:sz w:val="24"/>
                <w:highlight w:val="none"/>
              </w:rPr>
              <w:t>；（二）不同投标人委托同一单位或者个人办理投标事宜</w:t>
            </w:r>
            <w:r>
              <w:rPr>
                <w:rFonts w:hint="eastAsia" w:ascii="宋体" w:hAnsi="宋体"/>
                <w:color w:val="auto"/>
                <w:sz w:val="24"/>
                <w:highlight w:val="none"/>
              </w:rPr>
              <w:t>（包含使用同一MAC地址的计算机提交或者解密电子</w:t>
            </w:r>
            <w:r>
              <w:rPr>
                <w:rFonts w:hint="eastAsia" w:ascii="宋体" w:hAnsi="宋体"/>
                <w:color w:val="auto"/>
                <w:sz w:val="24"/>
                <w:highlight w:val="none"/>
                <w:lang w:eastAsia="zh-CN"/>
              </w:rPr>
              <w:t>投标</w:t>
            </w:r>
            <w:r>
              <w:rPr>
                <w:rFonts w:hint="eastAsia" w:ascii="宋体" w:hAnsi="宋体"/>
                <w:color w:val="auto"/>
                <w:sz w:val="24"/>
                <w:highlight w:val="none"/>
              </w:rPr>
              <w:t>文件的情形）</w:t>
            </w:r>
            <w:r>
              <w:rPr>
                <w:rFonts w:hint="eastAsia"/>
                <w:color w:val="auto"/>
                <w:sz w:val="24"/>
                <w:highlight w:val="none"/>
              </w:rPr>
              <w:t>；（三）不同投标人的投标文件载明的项目管理成员或者联系人员为同一人；（四）不同投标人的投标文件异常一致或者投标报价呈规律性差异；</w:t>
            </w:r>
          </w:p>
        </w:tc>
      </w:tr>
      <w:tr w14:paraId="4F0452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0" w:type="dxa"/>
            <w:noWrap w:val="0"/>
            <w:vAlign w:val="center"/>
          </w:tcPr>
          <w:p w14:paraId="050BFC2F">
            <w:pPr>
              <w:widowControl/>
              <w:jc w:val="center"/>
              <w:outlineLvl w:val="9"/>
              <w:rPr>
                <w:rFonts w:eastAsia="宋体"/>
                <w:color w:val="auto"/>
                <w:sz w:val="24"/>
                <w:highlight w:val="none"/>
                <w:lang w:val="en-US" w:eastAsia="zh-CN"/>
              </w:rPr>
            </w:pPr>
            <w:r>
              <w:rPr>
                <w:rFonts w:hint="eastAsia" w:eastAsia="宋体"/>
                <w:color w:val="auto"/>
                <w:sz w:val="24"/>
                <w:highlight w:val="none"/>
                <w:lang w:val="en-US" w:eastAsia="zh-CN"/>
              </w:rPr>
              <w:t>12</w:t>
            </w:r>
          </w:p>
        </w:tc>
        <w:tc>
          <w:tcPr>
            <w:tcW w:w="1813" w:type="dxa"/>
            <w:noWrap w:val="0"/>
            <w:vAlign w:val="center"/>
          </w:tcPr>
          <w:p w14:paraId="4C8385D6">
            <w:pPr>
              <w:widowControl/>
              <w:jc w:val="left"/>
              <w:outlineLvl w:val="9"/>
              <w:rPr>
                <w:color w:val="auto"/>
                <w:sz w:val="24"/>
                <w:highlight w:val="none"/>
              </w:rPr>
            </w:pPr>
            <w:r>
              <w:rPr>
                <w:color w:val="auto"/>
                <w:sz w:val="24"/>
                <w:highlight w:val="none"/>
              </w:rPr>
              <w:t>附加条件</w:t>
            </w:r>
          </w:p>
        </w:tc>
        <w:tc>
          <w:tcPr>
            <w:tcW w:w="6725" w:type="dxa"/>
            <w:noWrap w:val="0"/>
            <w:vAlign w:val="center"/>
          </w:tcPr>
          <w:p w14:paraId="76E89155">
            <w:pPr>
              <w:widowControl/>
              <w:jc w:val="left"/>
              <w:outlineLvl w:val="9"/>
              <w:rPr>
                <w:color w:val="auto"/>
                <w:sz w:val="24"/>
                <w:highlight w:val="none"/>
              </w:rPr>
            </w:pPr>
            <w:r>
              <w:rPr>
                <w:color w:val="auto"/>
                <w:sz w:val="24"/>
                <w:highlight w:val="none"/>
              </w:rPr>
              <w:t>投标文件</w:t>
            </w:r>
            <w:r>
              <w:rPr>
                <w:rFonts w:hint="eastAsia"/>
                <w:color w:val="auto"/>
                <w:sz w:val="24"/>
                <w:highlight w:val="none"/>
              </w:rPr>
              <w:t>未</w:t>
            </w:r>
            <w:r>
              <w:rPr>
                <w:color w:val="auto"/>
                <w:sz w:val="24"/>
                <w:highlight w:val="none"/>
              </w:rPr>
              <w:t>含有采购人不能接受的附加条件的；</w:t>
            </w:r>
          </w:p>
        </w:tc>
      </w:tr>
      <w:tr w14:paraId="51F82F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0" w:type="dxa"/>
            <w:noWrap w:val="0"/>
            <w:vAlign w:val="center"/>
          </w:tcPr>
          <w:p w14:paraId="1324DE76">
            <w:pPr>
              <w:widowControl/>
              <w:jc w:val="center"/>
              <w:outlineLvl w:val="9"/>
              <w:rPr>
                <w:rFonts w:eastAsia="宋体"/>
                <w:color w:val="auto"/>
                <w:sz w:val="24"/>
                <w:highlight w:val="none"/>
                <w:lang w:val="en-US" w:eastAsia="zh-CN"/>
              </w:rPr>
            </w:pPr>
            <w:r>
              <w:rPr>
                <w:rFonts w:hint="eastAsia" w:eastAsia="宋体"/>
                <w:color w:val="auto"/>
                <w:sz w:val="24"/>
                <w:highlight w:val="none"/>
                <w:lang w:val="en-US" w:eastAsia="zh-CN"/>
              </w:rPr>
              <w:t>13</w:t>
            </w:r>
          </w:p>
        </w:tc>
        <w:tc>
          <w:tcPr>
            <w:tcW w:w="1813" w:type="dxa"/>
            <w:noWrap w:val="0"/>
            <w:vAlign w:val="center"/>
          </w:tcPr>
          <w:p w14:paraId="7003F392">
            <w:pPr>
              <w:widowControl/>
              <w:jc w:val="left"/>
              <w:outlineLvl w:val="9"/>
              <w:rPr>
                <w:color w:val="auto"/>
                <w:sz w:val="24"/>
                <w:highlight w:val="none"/>
              </w:rPr>
            </w:pPr>
            <w:r>
              <w:rPr>
                <w:color w:val="auto"/>
                <w:sz w:val="24"/>
                <w:highlight w:val="none"/>
              </w:rPr>
              <w:t>其他无效情形</w:t>
            </w:r>
          </w:p>
        </w:tc>
        <w:tc>
          <w:tcPr>
            <w:tcW w:w="6725" w:type="dxa"/>
            <w:noWrap w:val="0"/>
            <w:vAlign w:val="center"/>
          </w:tcPr>
          <w:p w14:paraId="16D0BC57">
            <w:pPr>
              <w:widowControl/>
              <w:jc w:val="left"/>
              <w:outlineLvl w:val="9"/>
              <w:rPr>
                <w:color w:val="auto"/>
                <w:sz w:val="24"/>
                <w:highlight w:val="none"/>
              </w:rPr>
            </w:pPr>
            <w:r>
              <w:rPr>
                <w:color w:val="auto"/>
                <w:sz w:val="24"/>
                <w:highlight w:val="none"/>
              </w:rPr>
              <w:t>投标人、投标文件</w:t>
            </w:r>
            <w:r>
              <w:rPr>
                <w:rFonts w:hint="eastAsia"/>
                <w:color w:val="auto"/>
                <w:sz w:val="24"/>
                <w:highlight w:val="none"/>
              </w:rPr>
              <w:t>不存在</w:t>
            </w:r>
            <w:r>
              <w:rPr>
                <w:color w:val="auto"/>
                <w:sz w:val="24"/>
                <w:highlight w:val="none"/>
              </w:rPr>
              <w:t>不符合法律、法规和招标文件规定的其他无效情形。</w:t>
            </w:r>
          </w:p>
        </w:tc>
      </w:tr>
    </w:tbl>
    <w:p w14:paraId="36E75466">
      <w:pPr>
        <w:keepNext w:val="0"/>
        <w:keepLines w:val="0"/>
        <w:pageBreakBefore w:val="0"/>
        <w:numPr>
          <w:ilvl w:val="0"/>
          <w:numId w:val="12"/>
        </w:numPr>
        <w:tabs>
          <w:tab w:val="left" w:pos="360"/>
        </w:tabs>
        <w:spacing w:line="360" w:lineRule="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投标文件有关事项的澄清或者说明</w:t>
      </w:r>
    </w:p>
    <w:p w14:paraId="2A5C5FC2">
      <w:pPr>
        <w:numPr>
          <w:ilvl w:val="1"/>
          <w:numId w:val="12"/>
        </w:numPr>
        <w:tabs>
          <w:tab w:val="left" w:pos="1080"/>
        </w:tabs>
        <w:spacing w:line="360" w:lineRule="auto"/>
        <w:ind w:left="1077" w:hanging="720"/>
        <w:rPr>
          <w:color w:val="auto"/>
          <w:sz w:val="24"/>
          <w:highlight w:val="none"/>
        </w:rPr>
      </w:pPr>
      <w:r>
        <w:rPr>
          <w:color w:val="auto"/>
          <w:sz w:val="24"/>
          <w:highlight w:val="none"/>
        </w:rPr>
        <w:t>评标过程中，评标委员会将</w:t>
      </w:r>
      <w:r>
        <w:rPr>
          <w:rFonts w:hint="eastAsia"/>
          <w:color w:val="auto"/>
          <w:sz w:val="24"/>
          <w:highlight w:val="none"/>
        </w:rPr>
        <w:t>通过</w:t>
      </w:r>
      <w:r>
        <w:rPr>
          <w:rFonts w:hint="eastAsia"/>
          <w:color w:val="auto"/>
          <w:sz w:val="24"/>
          <w:highlight w:val="none"/>
          <w:lang w:eastAsia="zh-CN"/>
        </w:rPr>
        <w:t>“苏采云”政府采购一体化平台</w:t>
      </w:r>
      <w:r>
        <w:rPr>
          <w:rFonts w:hint="eastAsia"/>
          <w:color w:val="auto"/>
          <w:sz w:val="24"/>
          <w:highlight w:val="none"/>
        </w:rPr>
        <w:t>系统</w:t>
      </w:r>
      <w:r>
        <w:rPr>
          <w:color w:val="auto"/>
          <w:sz w:val="24"/>
          <w:highlight w:val="none"/>
        </w:rPr>
        <w:t>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auto"/>
          <w:sz w:val="24"/>
          <w:highlight w:val="none"/>
        </w:rPr>
        <w:t>电子</w:t>
      </w:r>
      <w:r>
        <w:rPr>
          <w:color w:val="auto"/>
          <w:sz w:val="24"/>
          <w:highlight w:val="none"/>
        </w:rPr>
        <w:t>公章。投标人的澄清、说明或者补正不得超出投标文件的范围或者改变投标文件的实质性内容。澄清文件将作为投标文件内容的一部分。</w:t>
      </w:r>
    </w:p>
    <w:p w14:paraId="50A58870">
      <w:pPr>
        <w:keepNext w:val="0"/>
        <w:keepLines w:val="0"/>
        <w:pageBreakBefore w:val="0"/>
        <w:numPr>
          <w:ilvl w:val="1"/>
          <w:numId w:val="12"/>
        </w:numPr>
        <w:tabs>
          <w:tab w:val="left" w:pos="1080"/>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eastAsia="宋体" w:cs="宋体"/>
          <w:b/>
          <w:color w:val="auto"/>
          <w:sz w:val="24"/>
          <w:highlight w:val="none"/>
        </w:rPr>
        <w:t>无效投标处理</w:t>
      </w:r>
      <w:r>
        <w:rPr>
          <w:rFonts w:hint="eastAsia" w:ascii="宋体" w:hAnsi="宋体" w:eastAsia="宋体" w:cs="宋体"/>
          <w:color w:val="auto"/>
          <w:sz w:val="24"/>
          <w:highlight w:val="none"/>
        </w:rPr>
        <w:t>。</w:t>
      </w:r>
    </w:p>
    <w:p w14:paraId="0E321753">
      <w:pPr>
        <w:keepNext w:val="0"/>
        <w:keepLines w:val="0"/>
        <w:pageBreakBefore w:val="0"/>
        <w:numPr>
          <w:ilvl w:val="1"/>
          <w:numId w:val="12"/>
        </w:numPr>
        <w:tabs>
          <w:tab w:val="left" w:pos="1080"/>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投标报价须包含招标文件全部内容，如分项报价表有缺漏视为已含在其他各项报价中，将不对投标总价进行调整。评标委员会有权要求投标人在规定的时间内对此进行书面确认，投标人不确认的，视为将一个采购</w:t>
      </w:r>
      <w:r>
        <w:rPr>
          <w:rFonts w:hint="eastAsia" w:ascii="宋体" w:hAnsi="宋体" w:eastAsia="宋体" w:cs="宋体"/>
          <w:color w:val="auto"/>
          <w:sz w:val="24"/>
          <w:highlight w:val="none"/>
          <w:lang w:val="en-US" w:eastAsia="zh-CN"/>
        </w:rPr>
        <w:t>项目</w:t>
      </w:r>
      <w:r>
        <w:rPr>
          <w:rFonts w:hint="eastAsia" w:ascii="宋体" w:hAnsi="宋体" w:eastAsia="宋体" w:cs="宋体"/>
          <w:color w:val="auto"/>
          <w:sz w:val="24"/>
          <w:highlight w:val="none"/>
        </w:rPr>
        <w:t>中的内容拆开投标，其</w:t>
      </w:r>
      <w:r>
        <w:rPr>
          <w:rFonts w:hint="eastAsia" w:ascii="宋体" w:hAnsi="宋体" w:eastAsia="宋体" w:cs="宋体"/>
          <w:b/>
          <w:color w:val="auto"/>
          <w:sz w:val="24"/>
          <w:highlight w:val="none"/>
        </w:rPr>
        <w:t>投标无效</w:t>
      </w:r>
      <w:r>
        <w:rPr>
          <w:rFonts w:hint="eastAsia" w:ascii="宋体" w:hAnsi="宋体" w:eastAsia="宋体" w:cs="宋体"/>
          <w:color w:val="auto"/>
          <w:sz w:val="24"/>
          <w:highlight w:val="none"/>
        </w:rPr>
        <w:t>。</w:t>
      </w:r>
    </w:p>
    <w:p w14:paraId="4D0E6D07">
      <w:pPr>
        <w:keepNext w:val="0"/>
        <w:keepLines w:val="0"/>
        <w:pageBreakBefore w:val="0"/>
        <w:numPr>
          <w:ilvl w:val="1"/>
          <w:numId w:val="12"/>
        </w:numPr>
        <w:tabs>
          <w:tab w:val="left" w:pos="1080"/>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投标文件报价出现前后不一致的，按照下列规定修正：</w:t>
      </w:r>
    </w:p>
    <w:p w14:paraId="0703B49A">
      <w:pPr>
        <w:keepNext w:val="0"/>
        <w:keepLines w:val="0"/>
        <w:pageBreakBefore w:val="0"/>
        <w:numPr>
          <w:ilvl w:val="2"/>
          <w:numId w:val="12"/>
        </w:numPr>
        <w:tabs>
          <w:tab w:val="left" w:pos="1080"/>
          <w:tab w:val="left" w:pos="1589"/>
          <w:tab w:val="left" w:pos="2035"/>
          <w:tab w:val="left" w:pos="2114"/>
        </w:tabs>
        <w:spacing w:line="360" w:lineRule="auto"/>
        <w:ind w:left="2035"/>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招标文件对于报价修正是否另有规定：</w:t>
      </w:r>
    </w:p>
    <w:p w14:paraId="6B323B6E">
      <w:pPr>
        <w:keepNext w:val="0"/>
        <w:keepLines w:val="0"/>
        <w:pageBreakBefore w:val="0"/>
        <w:tabs>
          <w:tab w:val="left" w:pos="1080"/>
          <w:tab w:val="left" w:pos="1589"/>
          <w:tab w:val="left" w:pos="2035"/>
          <w:tab w:val="left" w:pos="2114"/>
        </w:tabs>
        <w:spacing w:line="360" w:lineRule="auto"/>
        <w:ind w:left="2035"/>
        <w:outlineLvl w:val="9"/>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□有，具体规定为：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highlight w:val="none"/>
        </w:rPr>
        <w:t>；</w:t>
      </w:r>
    </w:p>
    <w:p w14:paraId="052C6A99">
      <w:pPr>
        <w:keepNext w:val="0"/>
        <w:keepLines w:val="0"/>
        <w:pageBreakBefore w:val="0"/>
        <w:tabs>
          <w:tab w:val="left" w:pos="1080"/>
          <w:tab w:val="left" w:pos="1589"/>
          <w:tab w:val="left" w:pos="2035"/>
          <w:tab w:val="left" w:pos="2114"/>
        </w:tabs>
        <w:spacing w:line="360" w:lineRule="auto"/>
        <w:ind w:left="2035"/>
        <w:outlineLvl w:val="9"/>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highlight w:val="none"/>
        </w:rPr>
        <w:t>无，按下述2.4.2-2.4.7项规定修正。</w:t>
      </w:r>
    </w:p>
    <w:p w14:paraId="1ADA265A">
      <w:pPr>
        <w:keepNext w:val="0"/>
        <w:keepLines w:val="0"/>
        <w:pageBreakBefore w:val="0"/>
        <w:numPr>
          <w:ilvl w:val="2"/>
          <w:numId w:val="12"/>
        </w:numPr>
        <w:tabs>
          <w:tab w:val="left" w:pos="2035"/>
          <w:tab w:val="left" w:pos="2114"/>
          <w:tab w:val="left" w:pos="2977"/>
        </w:tabs>
        <w:spacing w:line="360" w:lineRule="auto"/>
        <w:ind w:left="2035"/>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单独递交的开标一览表（报价表）与投标文件中开标一览表（报价表）内容不一致的，以单独递交的开标一览表（报价表）为准；</w:t>
      </w:r>
    </w:p>
    <w:p w14:paraId="27B7F43E">
      <w:pPr>
        <w:keepNext w:val="0"/>
        <w:keepLines w:val="0"/>
        <w:pageBreakBefore w:val="0"/>
        <w:numPr>
          <w:ilvl w:val="2"/>
          <w:numId w:val="12"/>
        </w:numPr>
        <w:tabs>
          <w:tab w:val="left" w:pos="2035"/>
          <w:tab w:val="left" w:pos="2114"/>
          <w:tab w:val="left" w:pos="2977"/>
        </w:tabs>
        <w:spacing w:line="360" w:lineRule="auto"/>
        <w:ind w:left="2035"/>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投标文件中开标一览表（报价表）内容与投标文件中相应内容不一致的，以开标一览表（报价表）为准；</w:t>
      </w:r>
    </w:p>
    <w:p w14:paraId="7203E43E">
      <w:pPr>
        <w:keepNext w:val="0"/>
        <w:keepLines w:val="0"/>
        <w:pageBreakBefore w:val="0"/>
        <w:numPr>
          <w:ilvl w:val="2"/>
          <w:numId w:val="12"/>
        </w:numPr>
        <w:tabs>
          <w:tab w:val="left" w:pos="2035"/>
          <w:tab w:val="left" w:pos="2114"/>
          <w:tab w:val="left" w:pos="2977"/>
        </w:tabs>
        <w:spacing w:line="360" w:lineRule="auto"/>
        <w:ind w:left="2035"/>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大写金额和小写金额不一致的，以大写金额为准；</w:t>
      </w:r>
    </w:p>
    <w:p w14:paraId="4ADE5694">
      <w:pPr>
        <w:keepNext w:val="0"/>
        <w:keepLines w:val="0"/>
        <w:pageBreakBefore w:val="0"/>
        <w:numPr>
          <w:ilvl w:val="2"/>
          <w:numId w:val="12"/>
        </w:numPr>
        <w:tabs>
          <w:tab w:val="left" w:pos="2035"/>
          <w:tab w:val="left" w:pos="2114"/>
          <w:tab w:val="left" w:pos="2977"/>
        </w:tabs>
        <w:spacing w:line="360" w:lineRule="auto"/>
        <w:ind w:left="2035"/>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单价金额小数点或者百分比有明显错位的，以开标一览表的总价为准，并修改单价；</w:t>
      </w:r>
    </w:p>
    <w:p w14:paraId="7821C313">
      <w:pPr>
        <w:keepNext w:val="0"/>
        <w:keepLines w:val="0"/>
        <w:pageBreakBefore w:val="0"/>
        <w:numPr>
          <w:ilvl w:val="2"/>
          <w:numId w:val="12"/>
        </w:numPr>
        <w:tabs>
          <w:tab w:val="left" w:pos="2035"/>
          <w:tab w:val="left" w:pos="2114"/>
          <w:tab w:val="left" w:pos="2977"/>
        </w:tabs>
        <w:spacing w:line="360" w:lineRule="auto"/>
        <w:ind w:left="2035"/>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总价金额与按单价汇总金额不一致的，以单价金额计算结果为准。</w:t>
      </w:r>
    </w:p>
    <w:p w14:paraId="0D99CA99">
      <w:pPr>
        <w:keepNext w:val="0"/>
        <w:keepLines w:val="0"/>
        <w:pageBreakBefore w:val="0"/>
        <w:numPr>
          <w:ilvl w:val="2"/>
          <w:numId w:val="12"/>
        </w:numPr>
        <w:tabs>
          <w:tab w:val="left" w:pos="1080"/>
          <w:tab w:val="left" w:pos="1589"/>
          <w:tab w:val="left" w:pos="2035"/>
          <w:tab w:val="left" w:pos="2114"/>
        </w:tabs>
        <w:spacing w:line="360" w:lineRule="auto"/>
        <w:ind w:left="2035"/>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同时出现两种以上不一致的，按照前款规定的顺序修正。修正后的报价经投标人书面确认后产生约束力，投标人不确认的，其</w:t>
      </w:r>
      <w:r>
        <w:rPr>
          <w:rFonts w:hint="eastAsia" w:ascii="宋体" w:hAnsi="宋体" w:eastAsia="宋体" w:cs="宋体"/>
          <w:b/>
          <w:color w:val="auto"/>
          <w:sz w:val="24"/>
          <w:highlight w:val="none"/>
        </w:rPr>
        <w:t>投标无效</w:t>
      </w:r>
      <w:r>
        <w:rPr>
          <w:rFonts w:hint="eastAsia" w:ascii="宋体" w:hAnsi="宋体" w:eastAsia="宋体" w:cs="宋体"/>
          <w:color w:val="auto"/>
          <w:sz w:val="24"/>
          <w:highlight w:val="none"/>
        </w:rPr>
        <w:t>。</w:t>
      </w:r>
    </w:p>
    <w:p w14:paraId="5AB74E3E">
      <w:pPr>
        <w:keepNext w:val="0"/>
        <w:keepLines w:val="0"/>
        <w:pageBreakBefore w:val="0"/>
        <w:numPr>
          <w:ilvl w:val="1"/>
          <w:numId w:val="12"/>
        </w:numPr>
        <w:tabs>
          <w:tab w:val="left" w:pos="1080"/>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落实政府采购政策的价格调整：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highlight w:val="none"/>
        </w:rPr>
        <w:t>。</w:t>
      </w:r>
    </w:p>
    <w:p w14:paraId="315C2707">
      <w:pPr>
        <w:keepNext w:val="0"/>
        <w:keepLines w:val="0"/>
        <w:pageBreakBefore w:val="0"/>
        <w:numPr>
          <w:ilvl w:val="0"/>
          <w:numId w:val="12"/>
        </w:numPr>
        <w:tabs>
          <w:tab w:val="left" w:pos="360"/>
        </w:tabs>
        <w:spacing w:line="360" w:lineRule="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投标文件的比较和评价</w:t>
      </w:r>
      <w:bookmarkEnd w:id="763"/>
      <w:bookmarkEnd w:id="764"/>
    </w:p>
    <w:p w14:paraId="37B3C904">
      <w:pPr>
        <w:keepNext w:val="0"/>
        <w:keepLines w:val="0"/>
        <w:pageBreakBefore w:val="0"/>
        <w:numPr>
          <w:ilvl w:val="1"/>
          <w:numId w:val="12"/>
        </w:numPr>
        <w:tabs>
          <w:tab w:val="left" w:pos="1080"/>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评标委员会将按照招标文件中规定的评标方法和标准，对符合性审查合格的投标文件进行商务和技术评估，综合比较与评价；未通过符合性审查的投标文件不得进入比较与评价。</w:t>
      </w:r>
    </w:p>
    <w:p w14:paraId="5194FAF7">
      <w:pPr>
        <w:keepNext w:val="0"/>
        <w:keepLines w:val="0"/>
        <w:pageBreakBefore w:val="0"/>
        <w:numPr>
          <w:ilvl w:val="1"/>
          <w:numId w:val="12"/>
        </w:numPr>
        <w:tabs>
          <w:tab w:val="left" w:pos="1080"/>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评标方法和评标标准</w:t>
      </w:r>
    </w:p>
    <w:p w14:paraId="0347A847">
      <w:pPr>
        <w:keepNext w:val="0"/>
        <w:keepLines w:val="0"/>
        <w:pageBreakBefore w:val="0"/>
        <w:numPr>
          <w:ilvl w:val="2"/>
          <w:numId w:val="12"/>
        </w:numPr>
        <w:tabs>
          <w:tab w:val="left" w:pos="1080"/>
          <w:tab w:val="left" w:pos="1589"/>
          <w:tab w:val="left" w:pos="2035"/>
        </w:tabs>
        <w:spacing w:line="360" w:lineRule="auto"/>
        <w:ind w:left="2035"/>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本项目采用的评标方法为：</w:t>
      </w:r>
    </w:p>
    <w:p w14:paraId="34B20DD1">
      <w:pPr>
        <w:keepNext w:val="0"/>
        <w:keepLines w:val="0"/>
        <w:pageBreakBefore w:val="0"/>
        <w:tabs>
          <w:tab w:val="left" w:pos="900"/>
          <w:tab w:val="left" w:pos="1589"/>
          <w:tab w:val="left" w:pos="1701"/>
        </w:tabs>
        <w:spacing w:line="360" w:lineRule="auto"/>
        <w:ind w:left="1985"/>
        <w:outlineLvl w:val="9"/>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highlight w:val="none"/>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12F84012">
      <w:pPr>
        <w:keepNext w:val="0"/>
        <w:keepLines w:val="0"/>
        <w:pageBreakBefore w:val="0"/>
        <w:tabs>
          <w:tab w:val="left" w:pos="900"/>
          <w:tab w:val="left" w:pos="1589"/>
          <w:tab w:val="left" w:pos="1701"/>
        </w:tabs>
        <w:spacing w:line="360" w:lineRule="auto"/>
        <w:ind w:left="1985"/>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□最低评标价法，指投标文件满足招标文件全部实质性要求，且投标报价最低的投标人为中标候选人的评标方法。</w:t>
      </w:r>
    </w:p>
    <w:p w14:paraId="07BEBD1E">
      <w:pPr>
        <w:keepNext w:val="0"/>
        <w:keepLines w:val="0"/>
        <w:pageBreakBefore w:val="0"/>
        <w:numPr>
          <w:ilvl w:val="2"/>
          <w:numId w:val="12"/>
        </w:numPr>
        <w:tabs>
          <w:tab w:val="left" w:pos="1080"/>
          <w:tab w:val="left" w:pos="1589"/>
          <w:tab w:val="left" w:pos="2035"/>
        </w:tabs>
        <w:spacing w:line="360" w:lineRule="auto"/>
        <w:ind w:left="2035"/>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cs="宋体"/>
          <w:b/>
          <w:color w:val="auto"/>
          <w:sz w:val="24"/>
          <w:highlight w:val="none"/>
        </w:rPr>
        <w:t>投标无效</w:t>
      </w:r>
      <w:r>
        <w:rPr>
          <w:rFonts w:hint="eastAsia" w:ascii="宋体" w:hAnsi="宋体" w:eastAsia="宋体" w:cs="宋体"/>
          <w:color w:val="auto"/>
          <w:sz w:val="24"/>
          <w:highlight w:val="none"/>
        </w:rPr>
        <w:t>。</w:t>
      </w:r>
    </w:p>
    <w:p w14:paraId="2071940D">
      <w:pPr>
        <w:keepNext w:val="0"/>
        <w:keepLines w:val="0"/>
        <w:pageBreakBefore w:val="0"/>
        <w:tabs>
          <w:tab w:val="left" w:pos="1080"/>
          <w:tab w:val="left" w:pos="1589"/>
          <w:tab w:val="left" w:pos="2035"/>
        </w:tabs>
        <w:spacing w:line="360" w:lineRule="auto"/>
        <w:ind w:left="2035"/>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□随机抽取</w:t>
      </w:r>
    </w:p>
    <w:p w14:paraId="467D68C5">
      <w:pPr>
        <w:keepNext w:val="0"/>
        <w:keepLines w:val="0"/>
        <w:pageBreakBefore w:val="0"/>
        <w:tabs>
          <w:tab w:val="left" w:pos="1080"/>
          <w:tab w:val="left" w:pos="1589"/>
          <w:tab w:val="left" w:pos="2035"/>
        </w:tabs>
        <w:spacing w:line="360" w:lineRule="auto"/>
        <w:ind w:left="2035"/>
        <w:outlineLvl w:val="9"/>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□其他方式，具体要求：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highlight w:val="none"/>
        </w:rPr>
        <w:t>。</w:t>
      </w:r>
    </w:p>
    <w:p w14:paraId="4769ADC5">
      <w:pPr>
        <w:keepNext w:val="0"/>
        <w:keepLines w:val="0"/>
        <w:pageBreakBefore w:val="0"/>
        <w:numPr>
          <w:ilvl w:val="2"/>
          <w:numId w:val="12"/>
        </w:numPr>
        <w:tabs>
          <w:tab w:val="left" w:pos="1080"/>
          <w:tab w:val="left" w:pos="1589"/>
          <w:tab w:val="left" w:pos="2035"/>
        </w:tabs>
        <w:spacing w:line="360" w:lineRule="auto"/>
        <w:ind w:left="2035"/>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非政府强制采购的节能产品或环境标志产品，依据品目清单和认证证书实施政府优先采购。优先采购的具体规定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highlight w:val="none"/>
        </w:rPr>
        <w:t>。</w:t>
      </w:r>
    </w:p>
    <w:p w14:paraId="55B0DA9B">
      <w:pPr>
        <w:keepNext w:val="0"/>
        <w:keepLines w:val="0"/>
        <w:pageBreakBefore w:val="0"/>
        <w:numPr>
          <w:ilvl w:val="2"/>
          <w:numId w:val="12"/>
        </w:numPr>
        <w:tabs>
          <w:tab w:val="left" w:pos="1080"/>
          <w:tab w:val="left" w:pos="1589"/>
          <w:tab w:val="left" w:pos="2035"/>
        </w:tabs>
        <w:spacing w:line="360" w:lineRule="auto"/>
        <w:ind w:left="2035"/>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关于无线局域网认证产品政府采购清单中的产品，优先采购的具体规定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highlight w:val="none"/>
        </w:rPr>
        <w:t>。</w:t>
      </w:r>
    </w:p>
    <w:p w14:paraId="4BDB73F4">
      <w:pPr>
        <w:keepNext w:val="0"/>
        <w:keepLines w:val="0"/>
        <w:pageBreakBefore w:val="0"/>
        <w:numPr>
          <w:ilvl w:val="0"/>
          <w:numId w:val="12"/>
        </w:numPr>
        <w:tabs>
          <w:tab w:val="left" w:pos="360"/>
        </w:tabs>
        <w:spacing w:line="360" w:lineRule="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确定</w:t>
      </w:r>
      <w:bookmarkStart w:id="780" w:name="_Toc151193644"/>
      <w:bookmarkStart w:id="781" w:name="_Toc226965819"/>
      <w:bookmarkStart w:id="782" w:name="_Toc151193788"/>
      <w:bookmarkStart w:id="783" w:name="_Toc195842911"/>
      <w:bookmarkStart w:id="784" w:name="_Toc151193860"/>
      <w:bookmarkStart w:id="785" w:name="_Toc149720839"/>
      <w:bookmarkStart w:id="786" w:name="_Toc226309790"/>
      <w:bookmarkStart w:id="787" w:name="_Toc305158814"/>
      <w:bookmarkStart w:id="788" w:name="_Toc164229241"/>
      <w:bookmarkStart w:id="789" w:name="_Toc150774751"/>
      <w:bookmarkStart w:id="790" w:name="_Ref467307010"/>
      <w:bookmarkStart w:id="791" w:name="_Toc151193934"/>
      <w:bookmarkStart w:id="792" w:name="_Toc164351640"/>
      <w:bookmarkStart w:id="793" w:name="_Toc150774646"/>
      <w:bookmarkStart w:id="794" w:name="_Toc150480784"/>
      <w:bookmarkStart w:id="795" w:name="_Toc520356170"/>
      <w:bookmarkStart w:id="796" w:name="_Toc226337242"/>
      <w:bookmarkStart w:id="797" w:name="_Toc164608815"/>
      <w:bookmarkStart w:id="798" w:name="_Toc226965736"/>
      <w:bookmarkStart w:id="799" w:name="_Toc151193716"/>
      <w:bookmarkStart w:id="800" w:name="_Toc264969236"/>
      <w:bookmarkStart w:id="801" w:name="_Toc265228384"/>
      <w:bookmarkStart w:id="802" w:name="_Toc151190173"/>
      <w:bookmarkStart w:id="803" w:name="_Toc305158888"/>
      <w:bookmarkStart w:id="804" w:name="_Toc127151747"/>
      <w:bookmarkStart w:id="805" w:name="_Toc164608660"/>
      <w:bookmarkStart w:id="806" w:name="_Toc127161460"/>
      <w:bookmarkStart w:id="807" w:name="_Toc127151546"/>
      <w:bookmarkStart w:id="808" w:name="_Toc164229387"/>
      <w:bookmarkStart w:id="809" w:name="_Toc142311048"/>
      <w:bookmarkStart w:id="810" w:name="_Toc150509297"/>
      <w:r>
        <w:rPr>
          <w:rFonts w:hint="eastAsia" w:ascii="宋体" w:hAnsi="宋体" w:eastAsia="宋体" w:cs="宋体"/>
          <w:color w:val="auto"/>
          <w:sz w:val="24"/>
          <w:highlight w:val="none"/>
        </w:rPr>
        <w:t>中标候选人名单</w:t>
      </w:r>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p>
    <w:p w14:paraId="5BA94802">
      <w:pPr>
        <w:keepNext w:val="0"/>
        <w:keepLines w:val="0"/>
        <w:pageBreakBefore w:val="0"/>
        <w:numPr>
          <w:ilvl w:val="1"/>
          <w:numId w:val="12"/>
        </w:numPr>
        <w:tabs>
          <w:tab w:val="left" w:pos="1080"/>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153B996A">
      <w:pPr>
        <w:keepNext w:val="0"/>
        <w:keepLines w:val="0"/>
        <w:pageBreakBefore w:val="0"/>
        <w:numPr>
          <w:ilvl w:val="1"/>
          <w:numId w:val="12"/>
        </w:numPr>
        <w:tabs>
          <w:tab w:val="left" w:pos="1080"/>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采用最低评标价法时，评标结果按本章2.4、2.5调整后的投标报价由低到高顺序排列。投标报价相同的并列。投标文件满足招标文件全部实质性要求且投标报价最低的投标人为排名第一的中标候选人。</w:t>
      </w:r>
    </w:p>
    <w:p w14:paraId="3DF43637">
      <w:pPr>
        <w:keepNext w:val="0"/>
        <w:keepLines w:val="0"/>
        <w:pageBreakBefore w:val="0"/>
        <w:numPr>
          <w:ilvl w:val="1"/>
          <w:numId w:val="12"/>
        </w:numPr>
        <w:tabs>
          <w:tab w:val="left" w:pos="1080"/>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评标委员会要对评分汇总情况进行复核，特别是对排名第一的、报价最低的、投标被认定为无效的情形进行重点复核。</w:t>
      </w:r>
    </w:p>
    <w:p w14:paraId="0F974D48">
      <w:pPr>
        <w:keepNext w:val="0"/>
        <w:keepLines w:val="0"/>
        <w:pageBreakBefore w:val="0"/>
        <w:numPr>
          <w:ilvl w:val="1"/>
          <w:numId w:val="12"/>
        </w:numPr>
        <w:tabs>
          <w:tab w:val="left" w:pos="1080"/>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评标委员会将根据各投标人的评标排序，依次推荐本项目的中标候选人，起草并签署评标报告。本项目评标委员会共推荐不少于3名中标候选人。</w:t>
      </w:r>
    </w:p>
    <w:p w14:paraId="5108EE3E">
      <w:pPr>
        <w:keepNext w:val="0"/>
        <w:keepLines w:val="0"/>
        <w:pageBreakBefore w:val="0"/>
        <w:numPr>
          <w:ilvl w:val="0"/>
          <w:numId w:val="12"/>
        </w:numPr>
        <w:tabs>
          <w:tab w:val="left" w:pos="360"/>
        </w:tabs>
        <w:spacing w:line="360" w:lineRule="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报告违法行为</w:t>
      </w:r>
    </w:p>
    <w:p w14:paraId="2C418F78">
      <w:pPr>
        <w:keepNext w:val="0"/>
        <w:keepLines w:val="0"/>
        <w:pageBreakBefore w:val="0"/>
        <w:numPr>
          <w:ilvl w:val="1"/>
          <w:numId w:val="12"/>
        </w:numPr>
        <w:tabs>
          <w:tab w:val="left" w:pos="1080"/>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评标委员会在评标过程中发现投标人有行贿、提供虚假材料或者串通等违法行为时，有向采购人、采购代理机构或者有关部门报告的职责。</w:t>
      </w:r>
    </w:p>
    <w:p w14:paraId="37EEB2F4">
      <w:pPr>
        <w:keepNext w:val="0"/>
        <w:keepLines w:val="0"/>
        <w:pageBreakBefore w:val="0"/>
        <w:widowControl/>
        <w:numPr>
          <w:ilvl w:val="0"/>
          <w:numId w:val="13"/>
        </w:numPr>
        <w:spacing w:line="360" w:lineRule="auto"/>
        <w:jc w:val="center"/>
        <w:outlineLvl w:val="9"/>
        <w:rPr>
          <w:rFonts w:hint="eastAsia" w:ascii="宋体" w:hAnsi="宋体" w:eastAsia="宋体" w:cs="Times New Roman"/>
          <w:b/>
          <w:bCs/>
          <w:color w:val="auto"/>
          <w:sz w:val="28"/>
          <w:szCs w:val="28"/>
          <w:highlight w:val="none"/>
          <w:lang w:val="en-US" w:eastAsia="zh-CN"/>
        </w:rPr>
      </w:pPr>
      <w:r>
        <w:rPr>
          <w:rFonts w:hint="eastAsia" w:ascii="宋体" w:hAnsi="宋体" w:eastAsia="宋体" w:cs="宋体"/>
          <w:b/>
          <w:color w:val="auto"/>
          <w:sz w:val="24"/>
          <w:highlight w:val="none"/>
        </w:rPr>
        <w:br w:type="page" w:clear="all"/>
      </w:r>
      <w:r>
        <w:rPr>
          <w:rFonts w:hint="eastAsia" w:ascii="宋体" w:hAnsi="宋体" w:eastAsia="宋体" w:cs="Times New Roman"/>
          <w:b/>
          <w:bCs/>
          <w:color w:val="auto"/>
          <w:sz w:val="28"/>
          <w:szCs w:val="28"/>
          <w:highlight w:val="none"/>
          <w:lang w:val="en-US" w:eastAsia="zh-CN"/>
        </w:rPr>
        <w:t>评标标准</w:t>
      </w:r>
    </w:p>
    <w:tbl>
      <w:tblPr>
        <w:tblStyle w:val="33"/>
        <w:tblW w:w="84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80" w:type="dxa"/>
          <w:left w:w="80" w:type="dxa"/>
          <w:bottom w:w="80" w:type="dxa"/>
          <w:right w:w="80" w:type="dxa"/>
        </w:tblCellMar>
      </w:tblPr>
      <w:tblGrid>
        <w:gridCol w:w="667"/>
        <w:gridCol w:w="1290"/>
        <w:gridCol w:w="5775"/>
        <w:gridCol w:w="731"/>
      </w:tblGrid>
      <w:tr w14:paraId="256772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80" w:type="dxa"/>
            <w:left w:w="80" w:type="dxa"/>
            <w:bottom w:w="80" w:type="dxa"/>
            <w:right w:w="80" w:type="dxa"/>
          </w:tblCellMar>
        </w:tblPrEx>
        <w:trPr>
          <w:trHeight w:val="283" w:hRule="atLeast"/>
          <w:jc w:val="center"/>
        </w:trPr>
        <w:tc>
          <w:tcPr>
            <w:tcW w:w="667" w:type="dxa"/>
            <w:shd w:val="clear" w:color="auto" w:fill="auto"/>
            <w:noWrap w:val="0"/>
            <w:tcMar>
              <w:top w:w="80" w:type="dxa"/>
              <w:left w:w="80" w:type="dxa"/>
              <w:bottom w:w="80" w:type="dxa"/>
              <w:right w:w="80" w:type="dxa"/>
            </w:tcMar>
            <w:vAlign w:val="center"/>
          </w:tcPr>
          <w:p w14:paraId="4E8CC694">
            <w:pPr>
              <w:widowControl/>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序号</w:t>
            </w:r>
          </w:p>
        </w:tc>
        <w:tc>
          <w:tcPr>
            <w:tcW w:w="1290" w:type="dxa"/>
            <w:shd w:val="clear" w:color="auto" w:fill="auto"/>
            <w:noWrap w:val="0"/>
            <w:tcMar>
              <w:top w:w="80" w:type="dxa"/>
              <w:left w:w="80" w:type="dxa"/>
              <w:bottom w:w="80" w:type="dxa"/>
              <w:right w:w="80" w:type="dxa"/>
            </w:tcMar>
            <w:vAlign w:val="center"/>
          </w:tcPr>
          <w:p w14:paraId="7548570C">
            <w:pPr>
              <w:widowControl/>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评分因素</w:t>
            </w:r>
          </w:p>
        </w:tc>
        <w:tc>
          <w:tcPr>
            <w:tcW w:w="5775" w:type="dxa"/>
            <w:shd w:val="clear" w:color="auto" w:fill="auto"/>
            <w:noWrap w:val="0"/>
            <w:tcMar>
              <w:top w:w="80" w:type="dxa"/>
              <w:left w:w="80" w:type="dxa"/>
              <w:bottom w:w="80" w:type="dxa"/>
              <w:right w:w="80" w:type="dxa"/>
            </w:tcMar>
            <w:vAlign w:val="center"/>
          </w:tcPr>
          <w:p w14:paraId="638AB4CF">
            <w:pPr>
              <w:widowControl/>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评分标准</w:t>
            </w:r>
          </w:p>
        </w:tc>
        <w:tc>
          <w:tcPr>
            <w:tcW w:w="731" w:type="dxa"/>
            <w:shd w:val="clear" w:color="auto" w:fill="auto"/>
            <w:noWrap w:val="0"/>
            <w:tcMar>
              <w:top w:w="80" w:type="dxa"/>
              <w:left w:w="80" w:type="dxa"/>
              <w:bottom w:w="80" w:type="dxa"/>
              <w:right w:w="80" w:type="dxa"/>
            </w:tcMar>
            <w:vAlign w:val="center"/>
          </w:tcPr>
          <w:p w14:paraId="335FF8EB">
            <w:pPr>
              <w:widowControl/>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分值</w:t>
            </w:r>
          </w:p>
        </w:tc>
      </w:tr>
      <w:tr w14:paraId="40B90D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80" w:type="dxa"/>
            <w:left w:w="80" w:type="dxa"/>
            <w:bottom w:w="80" w:type="dxa"/>
            <w:right w:w="80" w:type="dxa"/>
          </w:tblCellMar>
        </w:tblPrEx>
        <w:trPr>
          <w:trHeight w:val="283" w:hRule="atLeast"/>
          <w:jc w:val="center"/>
        </w:trPr>
        <w:tc>
          <w:tcPr>
            <w:tcW w:w="7732" w:type="dxa"/>
            <w:gridSpan w:val="3"/>
            <w:shd w:val="clear" w:color="auto" w:fill="auto"/>
            <w:noWrap w:val="0"/>
            <w:tcMar>
              <w:top w:w="80" w:type="dxa"/>
              <w:left w:w="80" w:type="dxa"/>
              <w:bottom w:w="80" w:type="dxa"/>
              <w:right w:w="80" w:type="dxa"/>
            </w:tcMar>
            <w:vAlign w:val="center"/>
          </w:tcPr>
          <w:p w14:paraId="5E30CFA1">
            <w:pPr>
              <w:pStyle w:val="3"/>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一、报价（</w:t>
            </w:r>
            <w:r>
              <w:rPr>
                <w:rFonts w:hint="eastAsia" w:ascii="宋体" w:hAnsi="宋体" w:eastAsia="宋体" w:cs="宋体"/>
                <w:b/>
                <w:color w:val="auto"/>
                <w:sz w:val="24"/>
                <w:szCs w:val="24"/>
                <w:highlight w:val="none"/>
                <w:lang w:val="en-US" w:eastAsia="zh-CN"/>
              </w:rPr>
              <w:t>25</w:t>
            </w:r>
            <w:r>
              <w:rPr>
                <w:rFonts w:hint="eastAsia" w:ascii="宋体" w:hAnsi="宋体" w:eastAsia="宋体" w:cs="宋体"/>
                <w:b/>
                <w:color w:val="auto"/>
                <w:sz w:val="24"/>
                <w:szCs w:val="24"/>
                <w:highlight w:val="none"/>
              </w:rPr>
              <w:t>分）</w:t>
            </w:r>
          </w:p>
        </w:tc>
        <w:tc>
          <w:tcPr>
            <w:tcW w:w="731" w:type="dxa"/>
            <w:shd w:val="clear" w:color="auto" w:fill="auto"/>
            <w:noWrap w:val="0"/>
            <w:tcMar>
              <w:top w:w="80" w:type="dxa"/>
              <w:left w:w="80" w:type="dxa"/>
              <w:bottom w:w="80" w:type="dxa"/>
              <w:right w:w="80" w:type="dxa"/>
            </w:tcMar>
            <w:vAlign w:val="center"/>
          </w:tcPr>
          <w:p w14:paraId="763440AB">
            <w:pPr>
              <w:pStyle w:val="3"/>
              <w:spacing w:line="360" w:lineRule="auto"/>
              <w:jc w:val="center"/>
              <w:rPr>
                <w:rFonts w:hint="eastAsia" w:ascii="宋体" w:hAnsi="宋体" w:eastAsia="宋体" w:cs="宋体"/>
                <w:b/>
                <w:bCs/>
                <w:color w:val="auto"/>
                <w:sz w:val="24"/>
                <w:szCs w:val="24"/>
                <w:highlight w:val="none"/>
              </w:rPr>
            </w:pPr>
          </w:p>
        </w:tc>
      </w:tr>
      <w:tr w14:paraId="7E853A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80" w:type="dxa"/>
            <w:left w:w="80" w:type="dxa"/>
            <w:bottom w:w="80" w:type="dxa"/>
            <w:right w:w="80" w:type="dxa"/>
          </w:tblCellMar>
        </w:tblPrEx>
        <w:trPr>
          <w:trHeight w:val="283" w:hRule="atLeast"/>
          <w:jc w:val="center"/>
        </w:trPr>
        <w:tc>
          <w:tcPr>
            <w:tcW w:w="667" w:type="dxa"/>
            <w:shd w:val="clear" w:color="auto" w:fill="auto"/>
            <w:noWrap w:val="0"/>
            <w:tcMar>
              <w:top w:w="80" w:type="dxa"/>
              <w:left w:w="80" w:type="dxa"/>
              <w:bottom w:w="80" w:type="dxa"/>
              <w:right w:w="80" w:type="dxa"/>
            </w:tcMar>
            <w:vAlign w:val="center"/>
          </w:tcPr>
          <w:p w14:paraId="3C25EE1D">
            <w:pPr>
              <w:pStyle w:val="3"/>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290" w:type="dxa"/>
            <w:shd w:val="clear" w:color="auto" w:fill="auto"/>
            <w:noWrap w:val="0"/>
            <w:tcMar>
              <w:top w:w="80" w:type="dxa"/>
              <w:left w:w="80" w:type="dxa"/>
              <w:bottom w:w="80" w:type="dxa"/>
              <w:right w:w="80" w:type="dxa"/>
            </w:tcMar>
            <w:vAlign w:val="center"/>
          </w:tcPr>
          <w:p w14:paraId="678F20A5">
            <w:pPr>
              <w:pStyle w:val="3"/>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价格</w:t>
            </w:r>
          </w:p>
        </w:tc>
        <w:tc>
          <w:tcPr>
            <w:tcW w:w="5775" w:type="dxa"/>
            <w:shd w:val="clear" w:color="auto" w:fill="auto"/>
            <w:noWrap w:val="0"/>
            <w:tcMar>
              <w:top w:w="80" w:type="dxa"/>
              <w:left w:w="80" w:type="dxa"/>
              <w:bottom w:w="80" w:type="dxa"/>
              <w:right w:w="80" w:type="dxa"/>
            </w:tcMar>
            <w:vAlign w:val="center"/>
          </w:tcPr>
          <w:p w14:paraId="5047B5B4">
            <w:pPr>
              <w:tabs>
                <w:tab w:val="left" w:pos="1200"/>
              </w:tabs>
              <w:spacing w:line="4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满足招标文件要求且报价最低的报价为评标基准价，其价格分为满分。其他投标供应商的价格分统一按照下列公式计算：价格分得分＝（评标基准价/报价）×分值。</w:t>
            </w:r>
          </w:p>
          <w:p w14:paraId="139F8B04">
            <w:pPr>
              <w:pStyle w:val="3"/>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（注：价格分计算结果保留小数点后两位，第三位四舍五入）</w:t>
            </w:r>
          </w:p>
        </w:tc>
        <w:tc>
          <w:tcPr>
            <w:tcW w:w="731" w:type="dxa"/>
            <w:shd w:val="clear" w:color="auto" w:fill="auto"/>
            <w:noWrap w:val="0"/>
            <w:tcMar>
              <w:top w:w="80" w:type="dxa"/>
              <w:left w:w="80" w:type="dxa"/>
              <w:bottom w:w="80" w:type="dxa"/>
              <w:right w:w="80" w:type="dxa"/>
            </w:tcMar>
            <w:vAlign w:val="center"/>
          </w:tcPr>
          <w:p w14:paraId="76433C7A">
            <w:pPr>
              <w:pStyle w:val="3"/>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w:t>
            </w:r>
          </w:p>
        </w:tc>
      </w:tr>
      <w:tr w14:paraId="55A634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80" w:type="dxa"/>
            <w:left w:w="80" w:type="dxa"/>
            <w:bottom w:w="80" w:type="dxa"/>
            <w:right w:w="80" w:type="dxa"/>
          </w:tblCellMar>
        </w:tblPrEx>
        <w:trPr>
          <w:trHeight w:val="283" w:hRule="atLeast"/>
          <w:jc w:val="center"/>
        </w:trPr>
        <w:tc>
          <w:tcPr>
            <w:tcW w:w="7732" w:type="dxa"/>
            <w:gridSpan w:val="3"/>
            <w:shd w:val="clear" w:color="auto" w:fill="auto"/>
            <w:noWrap w:val="0"/>
            <w:tcMar>
              <w:top w:w="80" w:type="dxa"/>
              <w:left w:w="80" w:type="dxa"/>
              <w:bottom w:w="80" w:type="dxa"/>
              <w:right w:w="80" w:type="dxa"/>
            </w:tcMar>
            <w:vAlign w:val="center"/>
          </w:tcPr>
          <w:p w14:paraId="5F7F51E9">
            <w:pPr>
              <w:pStyle w:val="3"/>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二、综合实力（</w:t>
            </w:r>
            <w:r>
              <w:rPr>
                <w:rFonts w:hint="eastAsia" w:ascii="宋体" w:hAnsi="宋体" w:eastAsia="宋体" w:cs="宋体"/>
                <w:b/>
                <w:color w:val="auto"/>
                <w:sz w:val="24"/>
                <w:szCs w:val="24"/>
                <w:highlight w:val="none"/>
                <w:lang w:val="en-US" w:eastAsia="zh-CN"/>
              </w:rPr>
              <w:t>40</w:t>
            </w:r>
            <w:r>
              <w:rPr>
                <w:rFonts w:hint="eastAsia" w:ascii="宋体" w:hAnsi="宋体" w:eastAsia="宋体" w:cs="宋体"/>
                <w:b/>
                <w:color w:val="auto"/>
                <w:sz w:val="24"/>
                <w:szCs w:val="24"/>
                <w:highlight w:val="none"/>
              </w:rPr>
              <w:t>分）</w:t>
            </w:r>
          </w:p>
        </w:tc>
        <w:tc>
          <w:tcPr>
            <w:tcW w:w="731" w:type="dxa"/>
            <w:shd w:val="clear" w:color="auto" w:fill="auto"/>
            <w:noWrap w:val="0"/>
            <w:tcMar>
              <w:top w:w="80" w:type="dxa"/>
              <w:left w:w="80" w:type="dxa"/>
              <w:bottom w:w="80" w:type="dxa"/>
              <w:right w:w="80" w:type="dxa"/>
            </w:tcMar>
            <w:vAlign w:val="center"/>
          </w:tcPr>
          <w:p w14:paraId="30E05649">
            <w:pPr>
              <w:pStyle w:val="3"/>
              <w:spacing w:line="360" w:lineRule="auto"/>
              <w:jc w:val="center"/>
              <w:rPr>
                <w:rFonts w:hint="eastAsia" w:ascii="宋体" w:hAnsi="宋体" w:eastAsia="宋体" w:cs="宋体"/>
                <w:b/>
                <w:bCs/>
                <w:color w:val="auto"/>
                <w:sz w:val="24"/>
                <w:szCs w:val="24"/>
                <w:highlight w:val="none"/>
              </w:rPr>
            </w:pPr>
          </w:p>
        </w:tc>
      </w:tr>
      <w:tr w14:paraId="09338E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80" w:type="dxa"/>
            <w:left w:w="80" w:type="dxa"/>
            <w:bottom w:w="80" w:type="dxa"/>
            <w:right w:w="80" w:type="dxa"/>
          </w:tblCellMar>
        </w:tblPrEx>
        <w:trPr>
          <w:trHeight w:val="283" w:hRule="atLeast"/>
          <w:jc w:val="center"/>
        </w:trPr>
        <w:tc>
          <w:tcPr>
            <w:tcW w:w="667" w:type="dxa"/>
            <w:shd w:val="clear" w:color="auto" w:fill="auto"/>
            <w:noWrap w:val="0"/>
            <w:tcMar>
              <w:top w:w="80" w:type="dxa"/>
              <w:left w:w="80" w:type="dxa"/>
              <w:bottom w:w="80" w:type="dxa"/>
              <w:right w:w="80" w:type="dxa"/>
            </w:tcMar>
            <w:vAlign w:val="center"/>
          </w:tcPr>
          <w:p w14:paraId="3A66E8D6">
            <w:pPr>
              <w:pStyle w:val="3"/>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p>
        </w:tc>
        <w:tc>
          <w:tcPr>
            <w:tcW w:w="1290" w:type="dxa"/>
            <w:shd w:val="clear" w:color="auto" w:fill="auto"/>
            <w:noWrap w:val="0"/>
            <w:tcMar>
              <w:top w:w="80" w:type="dxa"/>
              <w:left w:w="80" w:type="dxa"/>
              <w:bottom w:w="80" w:type="dxa"/>
              <w:right w:w="80" w:type="dxa"/>
            </w:tcMar>
            <w:vAlign w:val="center"/>
          </w:tcPr>
          <w:p w14:paraId="076A8317">
            <w:pPr>
              <w:pStyle w:val="3"/>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企业业绩</w:t>
            </w:r>
          </w:p>
        </w:tc>
        <w:tc>
          <w:tcPr>
            <w:tcW w:w="5775" w:type="dxa"/>
            <w:shd w:val="clear" w:color="auto" w:fill="auto"/>
            <w:noWrap w:val="0"/>
            <w:tcMar>
              <w:top w:w="80" w:type="dxa"/>
              <w:left w:w="80" w:type="dxa"/>
              <w:bottom w:w="80" w:type="dxa"/>
              <w:right w:w="80" w:type="dxa"/>
            </w:tcMar>
            <w:vAlign w:val="center"/>
          </w:tcPr>
          <w:p w14:paraId="6F4A2004">
            <w:pPr>
              <w:pStyle w:val="3"/>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自2023年1月1日起至投标截止日止（以合同签订时间为准），投标人承接</w:t>
            </w:r>
            <w:r>
              <w:rPr>
                <w:rFonts w:hint="eastAsia" w:ascii="宋体" w:hAnsi="宋体" w:eastAsia="宋体" w:cs="宋体"/>
                <w:bCs/>
                <w:color w:val="auto"/>
                <w:sz w:val="24"/>
                <w:szCs w:val="24"/>
                <w:highlight w:val="none"/>
                <w:lang w:val="en-US" w:eastAsia="zh-CN"/>
              </w:rPr>
              <w:t>过</w:t>
            </w:r>
            <w:r>
              <w:rPr>
                <w:rFonts w:hint="eastAsia" w:ascii="宋体" w:hAnsi="宋体" w:eastAsia="宋体" w:cs="宋体"/>
                <w:bCs/>
                <w:color w:val="auto"/>
                <w:sz w:val="24"/>
                <w:szCs w:val="24"/>
                <w:highlight w:val="none"/>
              </w:rPr>
              <w:t>工业</w:t>
            </w:r>
            <w:r>
              <w:rPr>
                <w:rFonts w:hint="eastAsia" w:ascii="宋体" w:hAnsi="宋体" w:eastAsia="宋体" w:cs="宋体"/>
                <w:bCs/>
                <w:color w:val="auto"/>
                <w:sz w:val="24"/>
                <w:szCs w:val="24"/>
                <w:highlight w:val="none"/>
                <w:lang w:eastAsia="zh-CN"/>
              </w:rPr>
              <w:t>用地</w:t>
            </w:r>
            <w:r>
              <w:rPr>
                <w:rFonts w:hint="eastAsia" w:ascii="宋体" w:hAnsi="宋体" w:eastAsia="宋体" w:cs="宋体"/>
                <w:bCs/>
                <w:color w:val="auto"/>
                <w:sz w:val="24"/>
                <w:szCs w:val="24"/>
                <w:highlight w:val="none"/>
              </w:rPr>
              <w:t>土壤污染状况调查项目，且项目报告已</w:t>
            </w:r>
            <w:r>
              <w:rPr>
                <w:rFonts w:hint="eastAsia" w:ascii="宋体" w:hAnsi="宋体" w:eastAsia="宋体" w:cs="宋体"/>
                <w:bCs/>
                <w:color w:val="auto"/>
                <w:sz w:val="24"/>
                <w:szCs w:val="24"/>
                <w:highlight w:val="none"/>
                <w:lang w:eastAsia="zh-CN"/>
              </w:rPr>
              <w:t>取得市级</w:t>
            </w:r>
            <w:r>
              <w:rPr>
                <w:rFonts w:hint="eastAsia" w:ascii="宋体" w:hAnsi="宋体" w:eastAsia="宋体" w:cs="宋体"/>
                <w:bCs/>
                <w:color w:val="auto"/>
                <w:sz w:val="24"/>
                <w:szCs w:val="24"/>
                <w:highlight w:val="none"/>
              </w:rPr>
              <w:t>生态环境主管部门备案</w:t>
            </w:r>
            <w:r>
              <w:rPr>
                <w:rFonts w:hint="eastAsia" w:ascii="宋体" w:hAnsi="宋体" w:eastAsia="宋体" w:cs="宋体"/>
                <w:bCs/>
                <w:color w:val="auto"/>
                <w:sz w:val="24"/>
                <w:szCs w:val="24"/>
                <w:highlight w:val="none"/>
                <w:lang w:eastAsia="zh-CN"/>
              </w:rPr>
              <w:t>意见</w:t>
            </w:r>
            <w:r>
              <w:rPr>
                <w:rFonts w:hint="eastAsia" w:ascii="宋体" w:hAnsi="宋体" w:eastAsia="宋体" w:cs="宋体"/>
                <w:bCs/>
                <w:color w:val="auto"/>
                <w:sz w:val="24"/>
                <w:szCs w:val="24"/>
                <w:highlight w:val="none"/>
              </w:rPr>
              <w:t>的</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每提供1个得</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分</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最高得</w:t>
            </w: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分</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投标人承接</w:t>
            </w:r>
            <w:r>
              <w:rPr>
                <w:rFonts w:hint="eastAsia" w:ascii="宋体" w:hAnsi="宋体" w:eastAsia="宋体" w:cs="宋体"/>
                <w:bCs/>
                <w:color w:val="auto"/>
                <w:sz w:val="24"/>
                <w:szCs w:val="24"/>
                <w:highlight w:val="none"/>
                <w:lang w:val="en-US" w:eastAsia="zh-CN"/>
              </w:rPr>
              <w:t>过</w:t>
            </w:r>
            <w:r>
              <w:rPr>
                <w:rFonts w:hint="eastAsia" w:ascii="宋体" w:hAnsi="宋体" w:eastAsia="宋体" w:cs="宋体"/>
                <w:bCs/>
                <w:color w:val="auto"/>
                <w:sz w:val="24"/>
                <w:szCs w:val="24"/>
                <w:highlight w:val="none"/>
              </w:rPr>
              <w:t>工业</w:t>
            </w:r>
            <w:r>
              <w:rPr>
                <w:rFonts w:hint="eastAsia" w:ascii="宋体" w:hAnsi="宋体" w:eastAsia="宋体" w:cs="宋体"/>
                <w:bCs/>
                <w:color w:val="auto"/>
                <w:sz w:val="24"/>
                <w:szCs w:val="24"/>
                <w:highlight w:val="none"/>
                <w:lang w:eastAsia="zh-CN"/>
              </w:rPr>
              <w:t>用地</w:t>
            </w:r>
            <w:r>
              <w:rPr>
                <w:rFonts w:hint="eastAsia" w:ascii="宋体" w:hAnsi="宋体" w:eastAsia="宋体" w:cs="宋体"/>
                <w:bCs/>
                <w:color w:val="auto"/>
                <w:sz w:val="24"/>
                <w:szCs w:val="24"/>
                <w:highlight w:val="none"/>
              </w:rPr>
              <w:t>土壤污染风险评估项目，且项目报告已通过</w:t>
            </w:r>
            <w:r>
              <w:rPr>
                <w:rFonts w:hint="eastAsia" w:ascii="宋体" w:hAnsi="宋体" w:eastAsia="宋体" w:cs="宋体"/>
                <w:bCs/>
                <w:color w:val="auto"/>
                <w:sz w:val="24"/>
                <w:szCs w:val="24"/>
                <w:highlight w:val="none"/>
                <w:lang w:eastAsia="zh-CN"/>
              </w:rPr>
              <w:t>省级</w:t>
            </w:r>
            <w:r>
              <w:rPr>
                <w:rFonts w:hint="eastAsia" w:ascii="宋体" w:hAnsi="宋体" w:eastAsia="宋体" w:cs="宋体"/>
                <w:bCs/>
                <w:color w:val="auto"/>
                <w:sz w:val="24"/>
                <w:szCs w:val="24"/>
                <w:highlight w:val="none"/>
              </w:rPr>
              <w:t>生态环境主管部门</w:t>
            </w:r>
            <w:r>
              <w:rPr>
                <w:rFonts w:hint="eastAsia" w:ascii="宋体" w:hAnsi="宋体" w:eastAsia="宋体" w:cs="宋体"/>
                <w:bCs/>
                <w:color w:val="auto"/>
                <w:sz w:val="24"/>
                <w:szCs w:val="24"/>
                <w:highlight w:val="none"/>
                <w:lang w:eastAsia="zh-CN"/>
              </w:rPr>
              <w:t>组织的专家评审</w:t>
            </w:r>
            <w:r>
              <w:rPr>
                <w:rFonts w:hint="eastAsia" w:ascii="宋体" w:hAnsi="宋体" w:eastAsia="宋体" w:cs="宋体"/>
                <w:bCs/>
                <w:color w:val="auto"/>
                <w:sz w:val="24"/>
                <w:szCs w:val="24"/>
                <w:highlight w:val="none"/>
              </w:rPr>
              <w:t>的</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每提供1个得</w:t>
            </w: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分</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最高得</w:t>
            </w: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分。</w:t>
            </w:r>
          </w:p>
          <w:p w14:paraId="4B120BE3">
            <w:pPr>
              <w:pStyle w:val="3"/>
              <w:spacing w:line="360" w:lineRule="auto"/>
              <w:rPr>
                <w:rFonts w:hint="eastAsia" w:ascii="宋体" w:hAnsi="宋体" w:eastAsia="宋体" w:cs="宋体"/>
                <w:color w:val="auto"/>
                <w:sz w:val="24"/>
                <w:szCs w:val="24"/>
                <w:highlight w:val="yellow"/>
              </w:rPr>
            </w:pPr>
            <w:r>
              <w:rPr>
                <w:rFonts w:hint="eastAsia" w:ascii="宋体" w:hAnsi="宋体" w:eastAsia="宋体" w:cs="宋体"/>
                <w:b/>
                <w:bCs/>
                <w:color w:val="auto"/>
                <w:sz w:val="24"/>
                <w:szCs w:val="24"/>
                <w:highlight w:val="none"/>
              </w:rPr>
              <w:t>注：需提供完整合同、备案</w:t>
            </w:r>
            <w:r>
              <w:rPr>
                <w:rFonts w:hint="eastAsia" w:ascii="宋体" w:hAnsi="宋体" w:eastAsia="宋体" w:cs="宋体"/>
                <w:b/>
                <w:bCs/>
                <w:color w:val="auto"/>
                <w:sz w:val="24"/>
                <w:szCs w:val="24"/>
                <w:highlight w:val="none"/>
                <w:lang w:eastAsia="zh-CN"/>
              </w:rPr>
              <w:t>意见或专家评审意见</w:t>
            </w:r>
            <w:r>
              <w:rPr>
                <w:rFonts w:hint="eastAsia" w:ascii="宋体" w:hAnsi="宋体" w:eastAsia="宋体" w:cs="宋体"/>
                <w:b/>
                <w:bCs/>
                <w:color w:val="auto"/>
                <w:sz w:val="24"/>
                <w:szCs w:val="24"/>
                <w:highlight w:val="none"/>
              </w:rPr>
              <w:t>证明材料方可计分。</w:t>
            </w:r>
          </w:p>
        </w:tc>
        <w:tc>
          <w:tcPr>
            <w:tcW w:w="731" w:type="dxa"/>
            <w:shd w:val="clear" w:color="auto" w:fill="auto"/>
            <w:noWrap w:val="0"/>
            <w:tcMar>
              <w:top w:w="80" w:type="dxa"/>
              <w:left w:w="80" w:type="dxa"/>
              <w:bottom w:w="80" w:type="dxa"/>
              <w:right w:w="80" w:type="dxa"/>
            </w:tcMar>
            <w:vAlign w:val="center"/>
          </w:tcPr>
          <w:p w14:paraId="1C93FAFB">
            <w:pPr>
              <w:pStyle w:val="3"/>
              <w:spacing w:line="360" w:lineRule="auto"/>
              <w:jc w:val="center"/>
              <w:rPr>
                <w:rFonts w:hint="default"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none"/>
                <w:lang w:val="en-US" w:eastAsia="zh-CN"/>
              </w:rPr>
              <w:t>11</w:t>
            </w:r>
          </w:p>
        </w:tc>
      </w:tr>
      <w:tr w14:paraId="675F55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283" w:hRule="atLeast"/>
          <w:jc w:val="center"/>
        </w:trPr>
        <w:tc>
          <w:tcPr>
            <w:tcW w:w="667" w:type="dxa"/>
            <w:shd w:val="clear" w:color="auto" w:fill="auto"/>
            <w:noWrap w:val="0"/>
            <w:tcMar>
              <w:top w:w="80" w:type="dxa"/>
              <w:left w:w="80" w:type="dxa"/>
              <w:bottom w:w="80" w:type="dxa"/>
              <w:right w:w="80" w:type="dxa"/>
            </w:tcMar>
            <w:vAlign w:val="center"/>
          </w:tcPr>
          <w:p w14:paraId="265658DE">
            <w:pPr>
              <w:pStyle w:val="3"/>
              <w:spacing w:line="360" w:lineRule="auto"/>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w:t>
            </w:r>
          </w:p>
        </w:tc>
        <w:tc>
          <w:tcPr>
            <w:tcW w:w="1290" w:type="dxa"/>
            <w:shd w:val="clear" w:color="auto" w:fill="auto"/>
            <w:noWrap w:val="0"/>
            <w:tcMar>
              <w:top w:w="80" w:type="dxa"/>
              <w:left w:w="80" w:type="dxa"/>
              <w:bottom w:w="80" w:type="dxa"/>
              <w:right w:w="80" w:type="dxa"/>
            </w:tcMar>
            <w:vAlign w:val="center"/>
          </w:tcPr>
          <w:p w14:paraId="7215E60D">
            <w:pPr>
              <w:pStyle w:val="3"/>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企业资信</w:t>
            </w:r>
          </w:p>
        </w:tc>
        <w:tc>
          <w:tcPr>
            <w:tcW w:w="5775" w:type="dxa"/>
            <w:shd w:val="clear" w:color="auto" w:fill="auto"/>
            <w:noWrap w:val="0"/>
            <w:tcMar>
              <w:top w:w="80" w:type="dxa"/>
              <w:left w:w="80" w:type="dxa"/>
              <w:bottom w:w="80" w:type="dxa"/>
              <w:right w:w="80" w:type="dxa"/>
            </w:tcMar>
            <w:vAlign w:val="center"/>
          </w:tcPr>
          <w:p w14:paraId="7F70D8E2">
            <w:pPr>
              <w:keepNext w:val="0"/>
              <w:keepLines w:val="0"/>
              <w:pageBreakBefore w:val="0"/>
              <w:widowControl w:val="0"/>
              <w:tabs>
                <w:tab w:val="left" w:pos="1200"/>
              </w:tabs>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具有有效的质量管理体系、环境管理体系、职业健康安全管理体系认证证书的，每提供一个得1分，最高得3分。</w:t>
            </w:r>
          </w:p>
          <w:p w14:paraId="3BF7CFA2">
            <w:pPr>
              <w:pStyle w:val="3"/>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注：需提供证书的扫描件。</w:t>
            </w:r>
          </w:p>
        </w:tc>
        <w:tc>
          <w:tcPr>
            <w:tcW w:w="731" w:type="dxa"/>
            <w:shd w:val="clear" w:color="auto" w:fill="auto"/>
            <w:noWrap w:val="0"/>
            <w:tcMar>
              <w:top w:w="80" w:type="dxa"/>
              <w:left w:w="80" w:type="dxa"/>
              <w:bottom w:w="80" w:type="dxa"/>
              <w:right w:w="80" w:type="dxa"/>
            </w:tcMar>
            <w:vAlign w:val="center"/>
          </w:tcPr>
          <w:p w14:paraId="1AB038F3">
            <w:pPr>
              <w:pStyle w:val="3"/>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r>
      <w:tr w14:paraId="7B0D98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283" w:hRule="atLeast"/>
          <w:jc w:val="center"/>
        </w:trPr>
        <w:tc>
          <w:tcPr>
            <w:tcW w:w="667" w:type="dxa"/>
            <w:shd w:val="clear" w:color="auto" w:fill="auto"/>
            <w:noWrap w:val="0"/>
            <w:tcMar>
              <w:top w:w="80" w:type="dxa"/>
              <w:left w:w="80" w:type="dxa"/>
              <w:bottom w:w="80" w:type="dxa"/>
              <w:right w:w="80" w:type="dxa"/>
            </w:tcMar>
            <w:vAlign w:val="center"/>
          </w:tcPr>
          <w:p w14:paraId="4814467F">
            <w:pPr>
              <w:pStyle w:val="3"/>
              <w:spacing w:line="360" w:lineRule="auto"/>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w:t>
            </w:r>
          </w:p>
        </w:tc>
        <w:tc>
          <w:tcPr>
            <w:tcW w:w="1290" w:type="dxa"/>
            <w:shd w:val="clear" w:color="auto" w:fill="auto"/>
            <w:noWrap w:val="0"/>
            <w:tcMar>
              <w:top w:w="80" w:type="dxa"/>
              <w:left w:w="80" w:type="dxa"/>
              <w:bottom w:w="80" w:type="dxa"/>
              <w:right w:w="80" w:type="dxa"/>
            </w:tcMar>
            <w:vAlign w:val="center"/>
          </w:tcPr>
          <w:p w14:paraId="677E4BB9">
            <w:pPr>
              <w:pStyle w:val="3"/>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 w:val="0"/>
                <w:bCs w:val="0"/>
                <w:color w:val="auto"/>
                <w:sz w:val="24"/>
                <w:szCs w:val="24"/>
                <w:highlight w:val="none"/>
              </w:rPr>
              <w:t>现场检测能力</w:t>
            </w:r>
          </w:p>
        </w:tc>
        <w:tc>
          <w:tcPr>
            <w:tcW w:w="5775" w:type="dxa"/>
            <w:shd w:val="clear" w:color="auto" w:fill="auto"/>
            <w:noWrap w:val="0"/>
            <w:tcMar>
              <w:top w:w="80" w:type="dxa"/>
              <w:left w:w="80" w:type="dxa"/>
              <w:bottom w:w="80" w:type="dxa"/>
              <w:right w:w="80" w:type="dxa"/>
            </w:tcMar>
            <w:vAlign w:val="center"/>
          </w:tcPr>
          <w:p w14:paraId="5D75FCD4">
            <w:pPr>
              <w:pStyle w:val="3"/>
              <w:numPr>
                <w:ilvl w:val="0"/>
                <w:numId w:val="0"/>
              </w:num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1、具备光离子化检测仪（PID），提供购机发票或租赁协议的，得</w:t>
            </w: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分。</w:t>
            </w:r>
          </w:p>
          <w:p w14:paraId="48FAF80C">
            <w:pPr>
              <w:pStyle w:val="3"/>
              <w:numPr>
                <w:ilvl w:val="0"/>
                <w:numId w:val="0"/>
              </w:num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2、具备X射线荧光光谱仪（XRF），提供购机发票或租赁协议的，得</w:t>
            </w: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分。</w:t>
            </w:r>
          </w:p>
          <w:p w14:paraId="6E1A3AE6">
            <w:pPr>
              <w:pStyle w:val="3"/>
              <w:numPr>
                <w:ilvl w:val="0"/>
                <w:numId w:val="0"/>
              </w:num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3、具备</w:t>
            </w:r>
            <w:r>
              <w:rPr>
                <w:rFonts w:hint="eastAsia" w:ascii="宋体" w:hAnsi="宋体" w:eastAsia="宋体" w:cs="宋体"/>
                <w:b w:val="0"/>
                <w:bCs w:val="0"/>
                <w:color w:val="auto"/>
                <w:sz w:val="24"/>
                <w:szCs w:val="24"/>
                <w:highlight w:val="none"/>
                <w:lang w:eastAsia="zh-CN"/>
              </w:rPr>
              <w:t>环境专用钻机</w:t>
            </w:r>
            <w:r>
              <w:rPr>
                <w:rFonts w:hint="eastAsia" w:ascii="宋体" w:hAnsi="宋体" w:eastAsia="宋体" w:cs="宋体"/>
                <w:b w:val="0"/>
                <w:bCs w:val="0"/>
                <w:color w:val="auto"/>
                <w:sz w:val="24"/>
                <w:szCs w:val="24"/>
                <w:highlight w:val="none"/>
              </w:rPr>
              <w:t>，提供自有设备证明、合作协议或租赁协议的，得</w:t>
            </w: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分。</w:t>
            </w:r>
          </w:p>
          <w:p w14:paraId="124B2170">
            <w:pPr>
              <w:pStyle w:val="3"/>
              <w:numPr>
                <w:ilvl w:val="0"/>
                <w:numId w:val="0"/>
              </w:num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4、具备无人机航拍设备，</w:t>
            </w:r>
            <w:r>
              <w:rPr>
                <w:rFonts w:hint="eastAsia" w:ascii="宋体" w:hAnsi="宋体" w:eastAsia="宋体" w:cs="宋体"/>
                <w:b w:val="0"/>
                <w:bCs w:val="0"/>
                <w:color w:val="auto"/>
                <w:sz w:val="24"/>
                <w:szCs w:val="24"/>
                <w:highlight w:val="none"/>
              </w:rPr>
              <w:t>提供自有设备证明、合作协议或租赁协议的，得</w:t>
            </w: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分。</w:t>
            </w:r>
          </w:p>
          <w:p w14:paraId="31BBC4F7">
            <w:pPr>
              <w:pStyle w:val="3"/>
              <w:numPr>
                <w:ilvl w:val="0"/>
                <w:numId w:val="0"/>
              </w:numPr>
              <w:spacing w:line="360" w:lineRule="auto"/>
              <w:ind w:left="0" w:leftChars="0" w:firstLine="0" w:firstLineChars="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注：以上设备购置、租赁均同等得分，投标人须提供发票、协议等有效佐证材料，未提供者不得分。</w:t>
            </w:r>
          </w:p>
        </w:tc>
        <w:tc>
          <w:tcPr>
            <w:tcW w:w="731" w:type="dxa"/>
            <w:shd w:val="clear" w:color="auto" w:fill="auto"/>
            <w:noWrap w:val="0"/>
            <w:tcMar>
              <w:top w:w="80" w:type="dxa"/>
              <w:left w:w="80" w:type="dxa"/>
              <w:bottom w:w="80" w:type="dxa"/>
              <w:right w:w="80" w:type="dxa"/>
            </w:tcMar>
            <w:vAlign w:val="center"/>
          </w:tcPr>
          <w:p w14:paraId="472B650D">
            <w:pPr>
              <w:pStyle w:val="3"/>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r>
      <w:tr w14:paraId="31F586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80" w:type="dxa"/>
            <w:left w:w="80" w:type="dxa"/>
            <w:bottom w:w="80" w:type="dxa"/>
            <w:right w:w="80" w:type="dxa"/>
          </w:tblCellMar>
        </w:tblPrEx>
        <w:trPr>
          <w:trHeight w:val="283" w:hRule="atLeast"/>
          <w:jc w:val="center"/>
        </w:trPr>
        <w:tc>
          <w:tcPr>
            <w:tcW w:w="667" w:type="dxa"/>
            <w:shd w:val="clear" w:color="auto" w:fill="auto"/>
            <w:noWrap w:val="0"/>
            <w:tcMar>
              <w:top w:w="80" w:type="dxa"/>
              <w:left w:w="80" w:type="dxa"/>
              <w:bottom w:w="80" w:type="dxa"/>
              <w:right w:w="80" w:type="dxa"/>
            </w:tcMar>
            <w:vAlign w:val="center"/>
          </w:tcPr>
          <w:p w14:paraId="26CFC694">
            <w:pPr>
              <w:pStyle w:val="3"/>
              <w:spacing w:line="360" w:lineRule="auto"/>
              <w:jc w:val="center"/>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w:t>
            </w:r>
          </w:p>
        </w:tc>
        <w:tc>
          <w:tcPr>
            <w:tcW w:w="1290" w:type="dxa"/>
            <w:shd w:val="clear" w:color="auto" w:fill="auto"/>
            <w:noWrap w:val="0"/>
            <w:tcMar>
              <w:top w:w="80" w:type="dxa"/>
              <w:left w:w="80" w:type="dxa"/>
              <w:bottom w:w="80" w:type="dxa"/>
              <w:right w:w="80" w:type="dxa"/>
            </w:tcMar>
            <w:vAlign w:val="center"/>
          </w:tcPr>
          <w:p w14:paraId="35EEB55C">
            <w:pPr>
              <w:pStyle w:val="3"/>
              <w:spacing w:line="360" w:lineRule="auto"/>
              <w:jc w:val="center"/>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项目负责人业绩及要求</w:t>
            </w:r>
          </w:p>
        </w:tc>
        <w:tc>
          <w:tcPr>
            <w:tcW w:w="5775" w:type="dxa"/>
            <w:shd w:val="clear" w:color="auto" w:fill="auto"/>
            <w:noWrap w:val="0"/>
            <w:tcMar>
              <w:top w:w="80" w:type="dxa"/>
              <w:left w:w="80" w:type="dxa"/>
              <w:bottom w:w="80" w:type="dxa"/>
              <w:right w:w="80" w:type="dxa"/>
            </w:tcMar>
            <w:vAlign w:val="center"/>
          </w:tcPr>
          <w:p w14:paraId="45A3D4A2">
            <w:pPr>
              <w:pStyle w:val="3"/>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1、拟派项目负责人自2023年1月1日起至投标截止日止（以合同签订时间为准），承担过</w:t>
            </w:r>
            <w:r>
              <w:rPr>
                <w:rFonts w:hint="eastAsia" w:ascii="宋体" w:hAnsi="宋体" w:eastAsia="宋体" w:cs="宋体"/>
                <w:bCs/>
                <w:color w:val="auto"/>
                <w:sz w:val="24"/>
                <w:szCs w:val="24"/>
                <w:highlight w:val="none"/>
              </w:rPr>
              <w:t>工业</w:t>
            </w:r>
            <w:r>
              <w:rPr>
                <w:rFonts w:hint="eastAsia" w:ascii="宋体" w:hAnsi="宋体" w:eastAsia="宋体" w:cs="宋体"/>
                <w:bCs/>
                <w:color w:val="auto"/>
                <w:sz w:val="24"/>
                <w:szCs w:val="24"/>
                <w:highlight w:val="none"/>
                <w:lang w:eastAsia="zh-CN"/>
              </w:rPr>
              <w:t>用地</w:t>
            </w:r>
            <w:r>
              <w:rPr>
                <w:rFonts w:hint="eastAsia" w:ascii="宋体" w:hAnsi="宋体" w:eastAsia="宋体" w:cs="宋体"/>
                <w:bCs/>
                <w:color w:val="auto"/>
                <w:sz w:val="24"/>
                <w:szCs w:val="24"/>
                <w:highlight w:val="none"/>
              </w:rPr>
              <w:t>土壤污染状况调查、土壤污染风险评估项目</w:t>
            </w:r>
            <w:r>
              <w:rPr>
                <w:rFonts w:hint="eastAsia" w:ascii="宋体" w:hAnsi="宋体" w:eastAsia="宋体" w:cs="宋体"/>
                <w:bCs/>
                <w:color w:val="auto"/>
                <w:sz w:val="24"/>
                <w:szCs w:val="24"/>
                <w:highlight w:val="none"/>
                <w:lang w:val="en-US" w:eastAsia="zh-CN"/>
              </w:rPr>
              <w:t>，且项目已通过市级或市级以上生态环境主管部门组织的专家评审或取得备案意见的，得5分。</w:t>
            </w:r>
          </w:p>
          <w:p w14:paraId="48B8B324">
            <w:pPr>
              <w:pStyle w:val="3"/>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注：需提供合同、备案意见</w:t>
            </w:r>
            <w:r>
              <w:rPr>
                <w:rFonts w:hint="eastAsia" w:ascii="宋体" w:hAnsi="宋体" w:eastAsia="宋体" w:cs="宋体"/>
                <w:b/>
                <w:bCs/>
                <w:color w:val="auto"/>
                <w:sz w:val="24"/>
                <w:szCs w:val="24"/>
                <w:highlight w:val="none"/>
                <w:lang w:eastAsia="zh-CN"/>
              </w:rPr>
              <w:t>或专家评审意见</w:t>
            </w:r>
            <w:r>
              <w:rPr>
                <w:rFonts w:hint="eastAsia" w:ascii="宋体" w:hAnsi="宋体" w:eastAsia="宋体" w:cs="宋体"/>
                <w:b/>
                <w:bCs w:val="0"/>
                <w:color w:val="auto"/>
                <w:sz w:val="24"/>
                <w:szCs w:val="24"/>
                <w:highlight w:val="none"/>
                <w:lang w:val="en-US" w:eastAsia="zh-CN"/>
              </w:rPr>
              <w:t>等证明材料，合同、报告关键页须明确体现该人员为项目组成员（合同签字页、项目组人员一览表、报告签字页等均可佐证）。</w:t>
            </w:r>
          </w:p>
          <w:p w14:paraId="7E668FF7">
            <w:pPr>
              <w:pStyle w:val="3"/>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业绩统一说明：同一份合同仅可选择计入企业业绩或项目负责人业绩其中一项，不重复累计得分，评标择优计取高分项。</w:t>
            </w:r>
          </w:p>
          <w:p w14:paraId="04DA6DE7">
            <w:pPr>
              <w:keepNext w:val="0"/>
              <w:keepLines w:val="0"/>
              <w:widowControl/>
              <w:suppressLineNumbers w:val="0"/>
              <w:spacing w:line="360" w:lineRule="auto"/>
              <w:jc w:val="left"/>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2、</w:t>
            </w:r>
            <w:r>
              <w:rPr>
                <w:rFonts w:hint="eastAsia" w:ascii="宋体" w:hAnsi="宋体" w:eastAsia="宋体" w:cs="宋体"/>
                <w:b w:val="0"/>
                <w:bCs/>
                <w:color w:val="auto"/>
                <w:sz w:val="24"/>
                <w:szCs w:val="24"/>
                <w:highlight w:val="none"/>
                <w:lang w:val="en-US" w:eastAsia="zh-CN"/>
              </w:rPr>
              <w:t>拟派项目负责人</w:t>
            </w:r>
            <w:r>
              <w:rPr>
                <w:rFonts w:hint="eastAsia" w:ascii="宋体" w:hAnsi="宋体" w:eastAsia="宋体" w:cs="宋体"/>
                <w:color w:val="auto"/>
                <w:sz w:val="24"/>
                <w:szCs w:val="24"/>
                <w:highlight w:val="none"/>
                <w:lang w:val="en-US" w:eastAsia="zh-CN"/>
              </w:rPr>
              <w:t>具有环境保护类正高级技术职称的</w:t>
            </w:r>
            <w:r>
              <w:rPr>
                <w:rFonts w:hint="eastAsia" w:ascii="宋体" w:hAnsi="宋体" w:eastAsia="宋体" w:cs="宋体"/>
                <w:b w:val="0"/>
                <w:bCs/>
                <w:color w:val="auto"/>
                <w:sz w:val="24"/>
                <w:szCs w:val="24"/>
                <w:highlight w:val="none"/>
                <w:lang w:val="en-US" w:eastAsia="zh-CN"/>
              </w:rPr>
              <w:t>得</w:t>
            </w:r>
            <w:r>
              <w:rPr>
                <w:rFonts w:hint="eastAsia" w:ascii="宋体" w:hAnsi="宋体" w:cs="宋体"/>
                <w:b w:val="0"/>
                <w:bCs/>
                <w:color w:val="auto"/>
                <w:sz w:val="24"/>
                <w:szCs w:val="24"/>
                <w:highlight w:val="none"/>
                <w:lang w:val="en-US" w:eastAsia="zh-CN"/>
              </w:rPr>
              <w:t>5</w:t>
            </w:r>
            <w:r>
              <w:rPr>
                <w:rFonts w:hint="eastAsia" w:ascii="宋体" w:hAnsi="宋体" w:eastAsia="宋体" w:cs="宋体"/>
                <w:b w:val="0"/>
                <w:bCs/>
                <w:color w:val="auto"/>
                <w:sz w:val="24"/>
                <w:szCs w:val="24"/>
                <w:highlight w:val="none"/>
                <w:lang w:val="en-US" w:eastAsia="zh-CN"/>
              </w:rPr>
              <w:t>分；</w:t>
            </w:r>
            <w:r>
              <w:rPr>
                <w:rFonts w:hint="eastAsia" w:ascii="宋体" w:hAnsi="宋体" w:eastAsia="宋体" w:cs="宋体"/>
                <w:color w:val="auto"/>
                <w:sz w:val="24"/>
                <w:szCs w:val="24"/>
                <w:highlight w:val="none"/>
                <w:lang w:val="en-US" w:eastAsia="zh-CN"/>
              </w:rPr>
              <w:t>具有环境保护类</w:t>
            </w:r>
            <w:r>
              <w:rPr>
                <w:rFonts w:hint="eastAsia" w:ascii="宋体" w:hAnsi="宋体" w:cs="宋体"/>
                <w:color w:val="auto"/>
                <w:sz w:val="24"/>
                <w:szCs w:val="24"/>
                <w:highlight w:val="none"/>
                <w:lang w:val="en-US" w:eastAsia="zh-CN"/>
              </w:rPr>
              <w:t>副</w:t>
            </w:r>
            <w:r>
              <w:rPr>
                <w:rFonts w:hint="eastAsia" w:ascii="宋体" w:hAnsi="宋体" w:eastAsia="宋体" w:cs="宋体"/>
                <w:color w:val="auto"/>
                <w:sz w:val="24"/>
                <w:szCs w:val="24"/>
                <w:highlight w:val="none"/>
                <w:lang w:val="en-US" w:eastAsia="zh-CN"/>
              </w:rPr>
              <w:t>高级技术职称的</w:t>
            </w:r>
            <w:r>
              <w:rPr>
                <w:rFonts w:hint="eastAsia" w:ascii="宋体" w:hAnsi="宋体" w:eastAsia="宋体" w:cs="宋体"/>
                <w:b w:val="0"/>
                <w:bCs/>
                <w:color w:val="auto"/>
                <w:sz w:val="24"/>
                <w:szCs w:val="24"/>
                <w:highlight w:val="none"/>
                <w:lang w:val="en-US" w:eastAsia="zh-CN"/>
              </w:rPr>
              <w:t>得</w:t>
            </w:r>
            <w:r>
              <w:rPr>
                <w:rFonts w:hint="eastAsia" w:ascii="宋体" w:hAnsi="宋体" w:cs="宋体"/>
                <w:b w:val="0"/>
                <w:bCs/>
                <w:color w:val="auto"/>
                <w:sz w:val="24"/>
                <w:szCs w:val="24"/>
                <w:highlight w:val="none"/>
                <w:lang w:val="en-US" w:eastAsia="zh-CN"/>
              </w:rPr>
              <w:t>3</w:t>
            </w:r>
            <w:r>
              <w:rPr>
                <w:rFonts w:hint="eastAsia" w:ascii="宋体" w:hAnsi="宋体" w:eastAsia="宋体" w:cs="宋体"/>
                <w:b w:val="0"/>
                <w:bCs/>
                <w:color w:val="auto"/>
                <w:sz w:val="24"/>
                <w:szCs w:val="24"/>
                <w:highlight w:val="none"/>
                <w:lang w:val="en-US" w:eastAsia="zh-CN"/>
              </w:rPr>
              <w:t>分；同一人员不重复</w:t>
            </w:r>
            <w:r>
              <w:rPr>
                <w:rFonts w:hint="eastAsia" w:ascii="宋体" w:hAnsi="宋体" w:cs="宋体"/>
                <w:b w:val="0"/>
                <w:bCs/>
                <w:color w:val="auto"/>
                <w:sz w:val="24"/>
                <w:szCs w:val="24"/>
                <w:highlight w:val="none"/>
                <w:lang w:val="en-US" w:eastAsia="zh-CN"/>
              </w:rPr>
              <w:t>得</w:t>
            </w:r>
            <w:r>
              <w:rPr>
                <w:rFonts w:hint="eastAsia" w:ascii="宋体" w:hAnsi="宋体" w:eastAsia="宋体" w:cs="宋体"/>
                <w:b w:val="0"/>
                <w:bCs/>
                <w:color w:val="auto"/>
                <w:sz w:val="24"/>
                <w:szCs w:val="24"/>
                <w:highlight w:val="none"/>
                <w:lang w:val="en-US" w:eastAsia="zh-CN"/>
              </w:rPr>
              <w:t>分，按最高职称档次计取。</w:t>
            </w:r>
          </w:p>
          <w:p w14:paraId="26F04BC2">
            <w:pPr>
              <w:pStyle w:val="3"/>
              <w:numPr>
                <w:ilvl w:val="0"/>
                <w:numId w:val="0"/>
              </w:numPr>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注：</w:t>
            </w:r>
            <w:r>
              <w:rPr>
                <w:rFonts w:hint="eastAsia" w:ascii="宋体" w:hAnsi="宋体" w:eastAsia="宋体" w:cs="宋体"/>
                <w:b/>
                <w:bCs/>
                <w:color w:val="auto"/>
                <w:sz w:val="24"/>
                <w:szCs w:val="24"/>
                <w:highlight w:val="none"/>
                <w:lang w:val="en-US"/>
              </w:rPr>
              <w:t>提供证书及</w:t>
            </w:r>
            <w:r>
              <w:rPr>
                <w:rFonts w:hint="eastAsia" w:ascii="宋体" w:hAnsi="宋体" w:eastAsia="宋体" w:cs="宋体"/>
                <w:b/>
                <w:bCs/>
                <w:color w:val="auto"/>
                <w:sz w:val="24"/>
                <w:szCs w:val="24"/>
                <w:highlight w:val="none"/>
                <w:lang w:val="en-US" w:eastAsia="zh-CN"/>
              </w:rPr>
              <w:t>投标</w:t>
            </w:r>
            <w:r>
              <w:rPr>
                <w:rFonts w:hint="eastAsia" w:ascii="宋体" w:hAnsi="宋体" w:eastAsia="宋体" w:cs="宋体"/>
                <w:b/>
                <w:bCs/>
                <w:color w:val="auto"/>
                <w:sz w:val="24"/>
                <w:szCs w:val="24"/>
                <w:highlight w:val="none"/>
                <w:lang w:val="en-US"/>
              </w:rPr>
              <w:t>截止日前半年内任意两个月供应商为项目负责人缴纳的社保</w:t>
            </w:r>
            <w:r>
              <w:rPr>
                <w:rFonts w:hint="eastAsia" w:ascii="宋体" w:hAnsi="宋体" w:eastAsia="宋体" w:cs="宋体"/>
                <w:b/>
                <w:bCs/>
                <w:color w:val="auto"/>
                <w:sz w:val="24"/>
                <w:szCs w:val="24"/>
                <w:highlight w:val="none"/>
                <w:lang w:val="en-US" w:eastAsia="zh-CN"/>
              </w:rPr>
              <w:t>证明</w:t>
            </w:r>
            <w:r>
              <w:rPr>
                <w:rFonts w:hint="eastAsia" w:ascii="宋体" w:hAnsi="宋体" w:eastAsia="宋体" w:cs="宋体"/>
                <w:b/>
                <w:bCs/>
                <w:color w:val="auto"/>
                <w:sz w:val="24"/>
                <w:szCs w:val="24"/>
                <w:highlight w:val="none"/>
                <w:lang w:val="en-US"/>
              </w:rPr>
              <w:t>作为证明材料，</w:t>
            </w:r>
            <w:r>
              <w:rPr>
                <w:rFonts w:hint="eastAsia" w:ascii="宋体" w:hAnsi="宋体" w:eastAsia="宋体" w:cs="宋体"/>
                <w:b/>
                <w:bCs/>
                <w:color w:val="auto"/>
                <w:sz w:val="24"/>
                <w:szCs w:val="24"/>
                <w:highlight w:val="none"/>
                <w:lang w:val="en-US" w:eastAsia="zh-CN"/>
              </w:rPr>
              <w:t>投标文件</w:t>
            </w:r>
            <w:r>
              <w:rPr>
                <w:rFonts w:hint="eastAsia" w:ascii="宋体" w:hAnsi="宋体" w:eastAsia="宋体" w:cs="宋体"/>
                <w:b/>
                <w:bCs/>
                <w:color w:val="auto"/>
                <w:sz w:val="24"/>
                <w:szCs w:val="24"/>
                <w:highlight w:val="none"/>
                <w:lang w:val="en-US"/>
              </w:rPr>
              <w:t>中提供相应证明材料的原件或复印件,扫描形成的电子文档，并加盖</w:t>
            </w:r>
            <w:r>
              <w:rPr>
                <w:rFonts w:hint="eastAsia" w:ascii="宋体" w:hAnsi="宋体" w:eastAsia="宋体" w:cs="宋体"/>
                <w:b/>
                <w:bCs/>
                <w:color w:val="auto"/>
                <w:sz w:val="24"/>
                <w:szCs w:val="24"/>
                <w:highlight w:val="none"/>
                <w:lang w:val="en-US" w:eastAsia="zh-CN"/>
              </w:rPr>
              <w:t>投标</w:t>
            </w:r>
            <w:r>
              <w:rPr>
                <w:rFonts w:hint="eastAsia" w:ascii="宋体" w:hAnsi="宋体" w:eastAsia="宋体" w:cs="宋体"/>
                <w:b/>
                <w:bCs/>
                <w:color w:val="auto"/>
                <w:sz w:val="24"/>
                <w:szCs w:val="24"/>
                <w:highlight w:val="none"/>
                <w:lang w:val="en-US"/>
              </w:rPr>
              <w:t>供应商公章，否则不得分。</w:t>
            </w:r>
          </w:p>
        </w:tc>
        <w:tc>
          <w:tcPr>
            <w:tcW w:w="731" w:type="dxa"/>
            <w:shd w:val="clear" w:color="auto" w:fill="auto"/>
            <w:noWrap w:val="0"/>
            <w:tcMar>
              <w:top w:w="80" w:type="dxa"/>
              <w:left w:w="80" w:type="dxa"/>
              <w:bottom w:w="80" w:type="dxa"/>
              <w:right w:w="80" w:type="dxa"/>
            </w:tcMar>
            <w:vAlign w:val="center"/>
          </w:tcPr>
          <w:p w14:paraId="34D4643B">
            <w:pPr>
              <w:pStyle w:val="3"/>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w:t>
            </w:r>
          </w:p>
        </w:tc>
      </w:tr>
      <w:tr w14:paraId="4BDE66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80" w:type="dxa"/>
            <w:left w:w="80" w:type="dxa"/>
            <w:bottom w:w="80" w:type="dxa"/>
            <w:right w:w="80" w:type="dxa"/>
          </w:tblCellMar>
        </w:tblPrEx>
        <w:trPr>
          <w:trHeight w:val="283" w:hRule="atLeast"/>
          <w:jc w:val="center"/>
        </w:trPr>
        <w:tc>
          <w:tcPr>
            <w:tcW w:w="667" w:type="dxa"/>
            <w:shd w:val="clear" w:color="auto" w:fill="auto"/>
            <w:noWrap w:val="0"/>
            <w:tcMar>
              <w:top w:w="80" w:type="dxa"/>
              <w:left w:w="80" w:type="dxa"/>
              <w:bottom w:w="80" w:type="dxa"/>
              <w:right w:w="80" w:type="dxa"/>
            </w:tcMar>
            <w:vAlign w:val="center"/>
          </w:tcPr>
          <w:p w14:paraId="1FA0C0D0">
            <w:pPr>
              <w:pStyle w:val="3"/>
              <w:spacing w:line="360" w:lineRule="auto"/>
              <w:jc w:val="center"/>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5</w:t>
            </w:r>
          </w:p>
        </w:tc>
        <w:tc>
          <w:tcPr>
            <w:tcW w:w="1290" w:type="dxa"/>
            <w:shd w:val="clear" w:color="auto" w:fill="auto"/>
            <w:noWrap w:val="0"/>
            <w:tcMar>
              <w:top w:w="80" w:type="dxa"/>
              <w:left w:w="80" w:type="dxa"/>
              <w:bottom w:w="80" w:type="dxa"/>
              <w:right w:w="80" w:type="dxa"/>
            </w:tcMar>
            <w:vAlign w:val="center"/>
          </w:tcPr>
          <w:p w14:paraId="6DA9CA87">
            <w:pPr>
              <w:pStyle w:val="3"/>
              <w:spacing w:line="360" w:lineRule="auto"/>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团队人员配置</w:t>
            </w:r>
          </w:p>
        </w:tc>
        <w:tc>
          <w:tcPr>
            <w:tcW w:w="5775" w:type="dxa"/>
            <w:shd w:val="clear" w:color="auto" w:fill="auto"/>
            <w:noWrap w:val="0"/>
            <w:tcMar>
              <w:top w:w="80" w:type="dxa"/>
              <w:left w:w="80" w:type="dxa"/>
              <w:bottom w:w="80" w:type="dxa"/>
              <w:right w:w="80" w:type="dxa"/>
            </w:tcMar>
            <w:vAlign w:val="center"/>
          </w:tcPr>
          <w:p w14:paraId="7D210EA4">
            <w:pPr>
              <w:pStyle w:val="3"/>
              <w:spacing w:line="360" w:lineRule="auto"/>
              <w:rPr>
                <w:rFonts w:hint="eastAsia" w:ascii="宋体" w:hAnsi="宋体" w:eastAsia="宋体" w:cs="宋体"/>
                <w:b/>
                <w:bCs/>
                <w:color w:val="auto"/>
                <w:sz w:val="24"/>
                <w:szCs w:val="24"/>
                <w:highlight w:val="none"/>
                <w:lang w:val="en-US"/>
              </w:rPr>
            </w:pPr>
            <w:r>
              <w:rPr>
                <w:rFonts w:hint="eastAsia" w:ascii="宋体" w:hAnsi="宋体" w:eastAsia="宋体" w:cs="宋体"/>
                <w:b w:val="0"/>
                <w:bCs w:val="0"/>
                <w:color w:val="auto"/>
                <w:sz w:val="24"/>
                <w:szCs w:val="24"/>
                <w:highlight w:val="none"/>
                <w:lang w:val="en-US"/>
              </w:rPr>
              <w:t>拟派项目团队（除项目负责人外）人员</w:t>
            </w:r>
            <w:r>
              <w:rPr>
                <w:rFonts w:hint="eastAsia" w:ascii="宋体" w:hAnsi="宋体" w:eastAsia="宋体" w:cs="宋体"/>
                <w:color w:val="auto"/>
                <w:sz w:val="24"/>
                <w:szCs w:val="24"/>
                <w:highlight w:val="none"/>
                <w:lang w:val="en-US"/>
              </w:rPr>
              <w:t>具有环境</w:t>
            </w:r>
            <w:r>
              <w:rPr>
                <w:rFonts w:hint="eastAsia" w:ascii="宋体" w:hAnsi="宋体" w:eastAsia="宋体" w:cs="宋体"/>
                <w:color w:val="auto"/>
                <w:sz w:val="24"/>
                <w:szCs w:val="24"/>
                <w:highlight w:val="none"/>
                <w:lang w:val="en-US" w:eastAsia="zh-CN"/>
              </w:rPr>
              <w:t>保护类副</w:t>
            </w:r>
            <w:r>
              <w:rPr>
                <w:rFonts w:hint="eastAsia" w:ascii="宋体" w:hAnsi="宋体" w:eastAsia="宋体" w:cs="宋体"/>
                <w:color w:val="auto"/>
                <w:sz w:val="24"/>
                <w:szCs w:val="24"/>
                <w:highlight w:val="none"/>
                <w:lang w:val="en-US"/>
              </w:rPr>
              <w:t>高级</w:t>
            </w:r>
            <w:r>
              <w:rPr>
                <w:rFonts w:hint="eastAsia" w:ascii="宋体" w:hAnsi="宋体" w:eastAsia="宋体" w:cs="宋体"/>
                <w:color w:val="auto"/>
                <w:sz w:val="24"/>
                <w:szCs w:val="24"/>
                <w:highlight w:val="none"/>
                <w:lang w:val="en-US" w:eastAsia="zh-CN"/>
              </w:rPr>
              <w:t>及以上</w:t>
            </w:r>
            <w:r>
              <w:rPr>
                <w:rFonts w:hint="eastAsia" w:ascii="宋体" w:hAnsi="宋体" w:eastAsia="宋体" w:cs="宋体"/>
                <w:color w:val="auto"/>
                <w:sz w:val="24"/>
                <w:szCs w:val="24"/>
                <w:highlight w:val="none"/>
                <w:lang w:val="en-US"/>
              </w:rPr>
              <w:t>技术职称的，有1人得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en-US"/>
              </w:rPr>
              <w:t>分</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en-US"/>
              </w:rPr>
              <w:t>最高得</w:t>
            </w: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lang w:val="en-US"/>
              </w:rPr>
              <w:t>分</w:t>
            </w:r>
            <w:r>
              <w:rPr>
                <w:rFonts w:hint="eastAsia" w:ascii="宋体" w:hAnsi="宋体" w:eastAsia="宋体" w:cs="宋体"/>
                <w:color w:val="auto"/>
                <w:sz w:val="24"/>
                <w:szCs w:val="24"/>
                <w:highlight w:val="none"/>
                <w:lang w:val="en-US" w:eastAsia="zh-CN"/>
              </w:rPr>
              <w:t>。</w:t>
            </w:r>
          </w:p>
          <w:p w14:paraId="4DE65742">
            <w:pPr>
              <w:pStyle w:val="3"/>
              <w:spacing w:line="360" w:lineRule="auto"/>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eastAsia="zh-CN"/>
              </w:rPr>
              <w:t>注：同一人员不重复得分。响应文件中</w:t>
            </w:r>
            <w:r>
              <w:rPr>
                <w:rFonts w:hint="eastAsia" w:ascii="宋体" w:hAnsi="宋体" w:eastAsia="宋体" w:cs="宋体"/>
                <w:b/>
                <w:bCs/>
                <w:color w:val="auto"/>
                <w:sz w:val="24"/>
                <w:szCs w:val="24"/>
                <w:highlight w:val="none"/>
                <w:lang w:val="en-US"/>
              </w:rPr>
              <w:t>提供</w:t>
            </w:r>
            <w:r>
              <w:rPr>
                <w:rFonts w:hint="eastAsia" w:ascii="宋体" w:hAnsi="宋体" w:eastAsia="宋体" w:cs="宋体"/>
                <w:b/>
                <w:bCs/>
                <w:color w:val="auto"/>
                <w:sz w:val="24"/>
                <w:szCs w:val="24"/>
                <w:highlight w:val="none"/>
                <w:lang w:val="en-US" w:eastAsia="zh-CN"/>
              </w:rPr>
              <w:t>相关</w:t>
            </w:r>
            <w:r>
              <w:rPr>
                <w:rFonts w:hint="eastAsia" w:ascii="宋体" w:hAnsi="宋体" w:eastAsia="宋体" w:cs="宋体"/>
                <w:b/>
                <w:bCs/>
                <w:color w:val="auto"/>
                <w:sz w:val="24"/>
                <w:szCs w:val="24"/>
                <w:highlight w:val="none"/>
                <w:lang w:val="en-US"/>
              </w:rPr>
              <w:t>证书及</w:t>
            </w:r>
            <w:r>
              <w:rPr>
                <w:rFonts w:hint="eastAsia" w:ascii="宋体" w:hAnsi="宋体" w:eastAsia="宋体" w:cs="宋体"/>
                <w:b/>
                <w:bCs/>
                <w:color w:val="auto"/>
                <w:sz w:val="24"/>
                <w:szCs w:val="24"/>
                <w:highlight w:val="none"/>
                <w:lang w:val="en-US" w:eastAsia="zh-CN"/>
              </w:rPr>
              <w:t>投标</w:t>
            </w:r>
            <w:r>
              <w:rPr>
                <w:rFonts w:hint="eastAsia" w:ascii="宋体" w:hAnsi="宋体" w:eastAsia="宋体" w:cs="宋体"/>
                <w:b/>
                <w:bCs/>
                <w:color w:val="auto"/>
                <w:sz w:val="24"/>
                <w:szCs w:val="24"/>
                <w:highlight w:val="none"/>
                <w:lang w:val="en-US"/>
              </w:rPr>
              <w:t>截止日前半年内任意两个月供应商为上述人员缴纳的社保证明材料，</w:t>
            </w:r>
            <w:r>
              <w:rPr>
                <w:rFonts w:hint="eastAsia" w:ascii="宋体" w:hAnsi="宋体" w:eastAsia="宋体" w:cs="宋体"/>
                <w:b/>
                <w:bCs/>
                <w:color w:val="auto"/>
                <w:sz w:val="24"/>
                <w:szCs w:val="24"/>
                <w:highlight w:val="none"/>
                <w:lang w:val="en-US" w:eastAsia="zh-CN"/>
              </w:rPr>
              <w:t>响应文件</w:t>
            </w:r>
            <w:r>
              <w:rPr>
                <w:rFonts w:hint="eastAsia" w:ascii="宋体" w:hAnsi="宋体" w:eastAsia="宋体" w:cs="宋体"/>
                <w:b/>
                <w:bCs/>
                <w:color w:val="auto"/>
                <w:sz w:val="24"/>
                <w:szCs w:val="24"/>
                <w:highlight w:val="none"/>
                <w:lang w:val="en-US"/>
              </w:rPr>
              <w:t>中提供相应证明材料的原件或复印件,扫描形成的电子文档，并加盖</w:t>
            </w:r>
            <w:r>
              <w:rPr>
                <w:rFonts w:hint="eastAsia" w:ascii="宋体" w:hAnsi="宋体" w:eastAsia="宋体" w:cs="宋体"/>
                <w:b/>
                <w:bCs/>
                <w:color w:val="auto"/>
                <w:sz w:val="24"/>
                <w:szCs w:val="24"/>
                <w:highlight w:val="none"/>
                <w:lang w:val="en-US" w:eastAsia="zh-CN"/>
              </w:rPr>
              <w:t>投标</w:t>
            </w:r>
            <w:r>
              <w:rPr>
                <w:rFonts w:hint="eastAsia" w:ascii="宋体" w:hAnsi="宋体" w:eastAsia="宋体" w:cs="宋体"/>
                <w:b/>
                <w:bCs/>
                <w:color w:val="auto"/>
                <w:sz w:val="24"/>
                <w:szCs w:val="24"/>
                <w:highlight w:val="none"/>
                <w:lang w:val="en-US"/>
              </w:rPr>
              <w:t>供应商公章，否则不得分</w:t>
            </w:r>
            <w:r>
              <w:rPr>
                <w:rFonts w:hint="eastAsia" w:ascii="宋体" w:hAnsi="宋体" w:eastAsia="宋体" w:cs="宋体"/>
                <w:b/>
                <w:bCs w:val="0"/>
                <w:color w:val="auto"/>
                <w:sz w:val="24"/>
                <w:szCs w:val="24"/>
                <w:highlight w:val="none"/>
                <w:lang w:val="en-US" w:eastAsia="zh-CN"/>
              </w:rPr>
              <w:t>。</w:t>
            </w:r>
          </w:p>
        </w:tc>
        <w:tc>
          <w:tcPr>
            <w:tcW w:w="731" w:type="dxa"/>
            <w:shd w:val="clear" w:color="auto" w:fill="auto"/>
            <w:noWrap w:val="0"/>
            <w:tcMar>
              <w:top w:w="80" w:type="dxa"/>
              <w:left w:w="80" w:type="dxa"/>
              <w:bottom w:w="80" w:type="dxa"/>
              <w:right w:w="80" w:type="dxa"/>
            </w:tcMar>
            <w:vAlign w:val="center"/>
          </w:tcPr>
          <w:p w14:paraId="711AAB56">
            <w:pPr>
              <w:pStyle w:val="3"/>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w:t>
            </w:r>
          </w:p>
        </w:tc>
      </w:tr>
      <w:tr w14:paraId="341470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80" w:type="dxa"/>
            <w:left w:w="80" w:type="dxa"/>
            <w:bottom w:w="80" w:type="dxa"/>
            <w:right w:w="80" w:type="dxa"/>
          </w:tblCellMar>
        </w:tblPrEx>
        <w:trPr>
          <w:trHeight w:val="283" w:hRule="atLeast"/>
          <w:jc w:val="center"/>
        </w:trPr>
        <w:tc>
          <w:tcPr>
            <w:tcW w:w="7732" w:type="dxa"/>
            <w:gridSpan w:val="3"/>
            <w:shd w:val="clear" w:color="auto" w:fill="auto"/>
            <w:noWrap w:val="0"/>
            <w:tcMar>
              <w:top w:w="80" w:type="dxa"/>
              <w:left w:w="80" w:type="dxa"/>
              <w:bottom w:w="80" w:type="dxa"/>
              <w:right w:w="80" w:type="dxa"/>
            </w:tcMar>
            <w:vAlign w:val="center"/>
          </w:tcPr>
          <w:p w14:paraId="01CD087F">
            <w:pPr>
              <w:pStyle w:val="3"/>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三、技术部分（</w:t>
            </w:r>
            <w:r>
              <w:rPr>
                <w:rFonts w:hint="eastAsia" w:ascii="宋体" w:hAnsi="宋体" w:eastAsia="宋体" w:cs="宋体"/>
                <w:b/>
                <w:color w:val="auto"/>
                <w:sz w:val="24"/>
                <w:szCs w:val="24"/>
                <w:highlight w:val="none"/>
                <w:lang w:val="en-US" w:eastAsia="zh-CN"/>
              </w:rPr>
              <w:t>35</w:t>
            </w:r>
            <w:r>
              <w:rPr>
                <w:rFonts w:hint="eastAsia" w:ascii="宋体" w:hAnsi="宋体" w:eastAsia="宋体" w:cs="宋体"/>
                <w:b/>
                <w:color w:val="auto"/>
                <w:sz w:val="24"/>
                <w:szCs w:val="24"/>
                <w:highlight w:val="none"/>
              </w:rPr>
              <w:t>分）</w:t>
            </w:r>
          </w:p>
        </w:tc>
        <w:tc>
          <w:tcPr>
            <w:tcW w:w="731" w:type="dxa"/>
            <w:shd w:val="clear" w:color="auto" w:fill="auto"/>
            <w:noWrap w:val="0"/>
            <w:tcMar>
              <w:top w:w="80" w:type="dxa"/>
              <w:left w:w="80" w:type="dxa"/>
              <w:bottom w:w="80" w:type="dxa"/>
              <w:right w:w="80" w:type="dxa"/>
            </w:tcMar>
            <w:vAlign w:val="center"/>
          </w:tcPr>
          <w:p w14:paraId="57341987">
            <w:pPr>
              <w:pStyle w:val="3"/>
              <w:spacing w:line="360" w:lineRule="auto"/>
              <w:jc w:val="center"/>
              <w:rPr>
                <w:rFonts w:hint="eastAsia" w:ascii="宋体" w:hAnsi="宋体" w:eastAsia="宋体" w:cs="宋体"/>
                <w:b/>
                <w:bCs/>
                <w:color w:val="auto"/>
                <w:sz w:val="24"/>
                <w:szCs w:val="24"/>
                <w:highlight w:val="none"/>
              </w:rPr>
            </w:pPr>
          </w:p>
        </w:tc>
      </w:tr>
      <w:tr w14:paraId="602A80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283" w:hRule="atLeast"/>
          <w:jc w:val="center"/>
        </w:trPr>
        <w:tc>
          <w:tcPr>
            <w:tcW w:w="667" w:type="dxa"/>
            <w:shd w:val="clear" w:color="auto" w:fill="auto"/>
            <w:noWrap w:val="0"/>
            <w:tcMar>
              <w:top w:w="80" w:type="dxa"/>
              <w:left w:w="80" w:type="dxa"/>
              <w:bottom w:w="80" w:type="dxa"/>
              <w:right w:w="80" w:type="dxa"/>
            </w:tcMar>
            <w:vAlign w:val="center"/>
          </w:tcPr>
          <w:p w14:paraId="6B84542E">
            <w:pPr>
              <w:pStyle w:val="3"/>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p>
        </w:tc>
        <w:tc>
          <w:tcPr>
            <w:tcW w:w="1290" w:type="dxa"/>
            <w:shd w:val="clear" w:color="auto" w:fill="auto"/>
            <w:noWrap w:val="0"/>
            <w:tcMar>
              <w:top w:w="80" w:type="dxa"/>
              <w:left w:w="80" w:type="dxa"/>
              <w:bottom w:w="80" w:type="dxa"/>
              <w:right w:w="80" w:type="dxa"/>
            </w:tcMar>
            <w:vAlign w:val="center"/>
          </w:tcPr>
          <w:p w14:paraId="207D0E90">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场地</w:t>
            </w:r>
            <w:r>
              <w:rPr>
                <w:rFonts w:hint="eastAsia" w:ascii="宋体" w:hAnsi="宋体" w:cs="宋体"/>
                <w:color w:val="auto"/>
                <w:sz w:val="24"/>
                <w:szCs w:val="24"/>
                <w:highlight w:val="none"/>
                <w:lang w:val="en-US" w:eastAsia="zh-CN"/>
              </w:rPr>
              <w:t>补充</w:t>
            </w:r>
            <w:r>
              <w:rPr>
                <w:rFonts w:hint="eastAsia" w:ascii="宋体" w:hAnsi="宋体" w:eastAsia="宋体" w:cs="宋体"/>
                <w:color w:val="auto"/>
                <w:sz w:val="24"/>
                <w:szCs w:val="24"/>
                <w:highlight w:val="none"/>
                <w:lang w:val="en-US" w:eastAsia="zh-CN"/>
              </w:rPr>
              <w:t>调查方案</w:t>
            </w:r>
          </w:p>
        </w:tc>
        <w:tc>
          <w:tcPr>
            <w:tcW w:w="5775" w:type="dxa"/>
            <w:shd w:val="clear" w:color="auto" w:fill="auto"/>
            <w:noWrap w:val="0"/>
            <w:tcMar>
              <w:top w:w="80" w:type="dxa"/>
              <w:left w:w="80" w:type="dxa"/>
              <w:bottom w:w="80" w:type="dxa"/>
              <w:right w:w="80" w:type="dxa"/>
            </w:tcMar>
            <w:vAlign w:val="center"/>
          </w:tcPr>
          <w:p w14:paraId="5A9E294B">
            <w:pPr>
              <w:pStyle w:val="216"/>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评标委员会根据投标供应商拟制的场地调查方案进行综合评审，方案完整，覆盖HJ25.2布点</w:t>
            </w:r>
            <w:r>
              <w:rPr>
                <w:rFonts w:hint="eastAsia" w:ascii="宋体" w:hAnsi="宋体" w:cs="宋体"/>
                <w:color w:val="auto"/>
                <w:sz w:val="24"/>
                <w:szCs w:val="24"/>
                <w:highlight w:val="none"/>
                <w:lang w:val="en-US" w:eastAsia="zh-CN"/>
              </w:rPr>
              <w:t>原则</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多层</w:t>
            </w:r>
            <w:r>
              <w:rPr>
                <w:rFonts w:hint="eastAsia" w:ascii="宋体" w:hAnsi="宋体" w:eastAsia="宋体" w:cs="宋体"/>
                <w:color w:val="auto"/>
                <w:sz w:val="24"/>
                <w:szCs w:val="24"/>
                <w:highlight w:val="none"/>
                <w:lang w:val="en-US" w:eastAsia="zh-CN"/>
              </w:rPr>
              <w:t>含水层水文地质勘察、钻孔与监测井布设全部要求，结合本地化工地块历史污染情况设置网格加密、红线外追踪点位，能完全满足项目实施要求，得</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分。</w:t>
            </w:r>
          </w:p>
          <w:p w14:paraId="3F462864">
            <w:pPr>
              <w:pStyle w:val="216"/>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方案较具体，能基本满足项目实施要求，得</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分。</w:t>
            </w:r>
          </w:p>
          <w:p w14:paraId="2C165830">
            <w:pPr>
              <w:pStyle w:val="216"/>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方案能部分满足项目实施要求，得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w:t>
            </w:r>
          </w:p>
          <w:p w14:paraId="442CF69D">
            <w:pPr>
              <w:pStyle w:val="216"/>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方案内容较简单，对项目实施要求响应一般，得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分。未提供本项不得分。</w:t>
            </w:r>
          </w:p>
        </w:tc>
        <w:tc>
          <w:tcPr>
            <w:tcW w:w="731" w:type="dxa"/>
            <w:shd w:val="clear" w:color="auto" w:fill="auto"/>
            <w:noWrap w:val="0"/>
            <w:tcMar>
              <w:top w:w="80" w:type="dxa"/>
              <w:left w:w="80" w:type="dxa"/>
              <w:bottom w:w="80" w:type="dxa"/>
              <w:right w:w="80" w:type="dxa"/>
            </w:tcMar>
            <w:vAlign w:val="center"/>
          </w:tcPr>
          <w:p w14:paraId="4A7481BE">
            <w:pPr>
              <w:pStyle w:val="3"/>
              <w:spacing w:line="360" w:lineRule="auto"/>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7</w:t>
            </w:r>
          </w:p>
        </w:tc>
      </w:tr>
      <w:tr w14:paraId="44898E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80" w:type="dxa"/>
            <w:left w:w="80" w:type="dxa"/>
            <w:bottom w:w="80" w:type="dxa"/>
            <w:right w:w="80" w:type="dxa"/>
          </w:tblCellMar>
        </w:tblPrEx>
        <w:trPr>
          <w:trHeight w:val="283" w:hRule="atLeast"/>
          <w:jc w:val="center"/>
        </w:trPr>
        <w:tc>
          <w:tcPr>
            <w:tcW w:w="667" w:type="dxa"/>
            <w:shd w:val="clear" w:color="auto" w:fill="auto"/>
            <w:noWrap w:val="0"/>
            <w:vAlign w:val="center"/>
          </w:tcPr>
          <w:p w14:paraId="5A8BD3AD">
            <w:pPr>
              <w:pStyle w:val="3"/>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p>
        </w:tc>
        <w:tc>
          <w:tcPr>
            <w:tcW w:w="1290" w:type="dxa"/>
            <w:shd w:val="clear" w:color="auto" w:fill="auto"/>
            <w:noWrap w:val="0"/>
            <w:vAlign w:val="center"/>
          </w:tcPr>
          <w:p w14:paraId="0524ED10">
            <w:pP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zh-CN" w:eastAsia="zh-CN"/>
              </w:rPr>
              <w:t>质量保证方案</w:t>
            </w:r>
          </w:p>
        </w:tc>
        <w:tc>
          <w:tcPr>
            <w:tcW w:w="5775" w:type="dxa"/>
            <w:shd w:val="clear" w:color="auto" w:fill="auto"/>
            <w:noWrap w:val="0"/>
            <w:vAlign w:val="center"/>
          </w:tcPr>
          <w:p w14:paraId="396E50F4">
            <w:pPr>
              <w:pStyle w:val="216"/>
              <w:spacing w:line="360" w:lineRule="auto"/>
              <w:rPr>
                <w:rFonts w:hint="eastAsia"/>
                <w:color w:val="auto"/>
                <w:highlight w:val="none"/>
              </w:rPr>
            </w:pPr>
            <w:r>
              <w:rPr>
                <w:rFonts w:hint="eastAsia" w:ascii="宋体" w:hAnsi="宋体" w:eastAsia="宋体" w:cs="宋体"/>
                <w:color w:val="auto"/>
                <w:sz w:val="24"/>
                <w:szCs w:val="24"/>
                <w:highlight w:val="none"/>
                <w:lang w:val="en-US" w:eastAsia="zh-CN"/>
              </w:rPr>
              <w:t>评标委员会根据投标供应商拟制的质量</w:t>
            </w:r>
            <w:r>
              <w:rPr>
                <w:rFonts w:hint="eastAsia" w:ascii="宋体" w:hAnsi="宋体" w:eastAsia="宋体" w:cs="宋体"/>
                <w:color w:val="auto"/>
                <w:sz w:val="24"/>
                <w:szCs w:val="24"/>
                <w:highlight w:val="none"/>
                <w:lang w:val="zh-CN" w:eastAsia="zh-CN"/>
              </w:rPr>
              <w:t>保证</w:t>
            </w:r>
            <w:r>
              <w:rPr>
                <w:rFonts w:hint="eastAsia" w:ascii="宋体" w:hAnsi="宋体" w:eastAsia="宋体" w:cs="宋体"/>
                <w:color w:val="auto"/>
                <w:sz w:val="24"/>
                <w:szCs w:val="24"/>
                <w:highlight w:val="none"/>
                <w:lang w:val="en-US" w:eastAsia="zh-CN"/>
              </w:rPr>
              <w:t>方案进行综合评审，方案完整，包含现场采样全套质控、实验室检测质控、内部三级审核制度，针对化工复合污染样品制定专属质量管控措施，能完全满足项目实施要求，得</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分。方案较具体，能基本满足项目实施要求，得</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分。方案能部分满足项目实施要求，得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分。方案内容较简单，对项目实施要求响应一般，得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分。未提供本项不得分。</w:t>
            </w:r>
          </w:p>
        </w:tc>
        <w:tc>
          <w:tcPr>
            <w:tcW w:w="731" w:type="dxa"/>
            <w:shd w:val="clear" w:color="auto" w:fill="auto"/>
            <w:noWrap w:val="0"/>
            <w:vAlign w:val="center"/>
          </w:tcPr>
          <w:p w14:paraId="45517D6F">
            <w:pPr>
              <w:pStyle w:val="3"/>
              <w:spacing w:line="360" w:lineRule="auto"/>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u w:val="none"/>
                <w:lang w:val="en-US" w:eastAsia="zh-CN" w:bidi="ar-SA"/>
              </w:rPr>
              <w:t>7</w:t>
            </w:r>
          </w:p>
        </w:tc>
      </w:tr>
      <w:tr w14:paraId="2DDB9D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80" w:type="dxa"/>
            <w:left w:w="80" w:type="dxa"/>
            <w:bottom w:w="80" w:type="dxa"/>
            <w:right w:w="80" w:type="dxa"/>
          </w:tblCellMar>
        </w:tblPrEx>
        <w:trPr>
          <w:trHeight w:val="283" w:hRule="atLeast"/>
          <w:jc w:val="center"/>
        </w:trPr>
        <w:tc>
          <w:tcPr>
            <w:tcW w:w="667" w:type="dxa"/>
            <w:shd w:val="clear" w:color="auto" w:fill="auto"/>
            <w:noWrap w:val="0"/>
            <w:vAlign w:val="center"/>
          </w:tcPr>
          <w:p w14:paraId="1A6459DD">
            <w:pPr>
              <w:pStyle w:val="3"/>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w:t>
            </w:r>
          </w:p>
        </w:tc>
        <w:tc>
          <w:tcPr>
            <w:tcW w:w="1290" w:type="dxa"/>
            <w:shd w:val="clear" w:color="auto" w:fill="auto"/>
            <w:noWrap w:val="0"/>
            <w:vAlign w:val="center"/>
          </w:tcPr>
          <w:p w14:paraId="37FAC65B">
            <w:pPr>
              <w:keepNext w:val="0"/>
              <w:keepLines w:val="0"/>
              <w:pageBreakBefore w:val="0"/>
              <w:widowControl w:val="0"/>
              <w:spacing w:line="360" w:lineRule="auto"/>
              <w:outlineLvl w:val="9"/>
              <w:rPr>
                <w:rFonts w:hint="default" w:ascii="宋体" w:hAnsi="宋体" w:eastAsia="宋体" w:cs="宋体"/>
                <w:bCs/>
                <w:color w:val="auto"/>
                <w:sz w:val="24"/>
                <w:szCs w:val="24"/>
                <w:highlight w:val="none"/>
                <w:lang w:val="en-US"/>
              </w:rPr>
            </w:pPr>
            <w:r>
              <w:rPr>
                <w:rFonts w:hint="eastAsia" w:ascii="宋体" w:hAnsi="宋体" w:eastAsia="宋体" w:cs="宋体"/>
                <w:color w:val="auto"/>
                <w:sz w:val="24"/>
                <w:szCs w:val="24"/>
                <w:highlight w:val="none"/>
                <w:lang w:val="en-US" w:eastAsia="zh-CN"/>
              </w:rPr>
              <w:t>重点、难点及</w:t>
            </w:r>
            <w:r>
              <w:rPr>
                <w:rFonts w:hint="eastAsia" w:ascii="宋体" w:hAnsi="宋体" w:cs="宋体"/>
                <w:color w:val="auto"/>
                <w:sz w:val="24"/>
                <w:szCs w:val="24"/>
                <w:highlight w:val="none"/>
                <w:lang w:val="en-US" w:eastAsia="zh-CN"/>
              </w:rPr>
              <w:t>进度计划</w:t>
            </w:r>
          </w:p>
        </w:tc>
        <w:tc>
          <w:tcPr>
            <w:tcW w:w="5775" w:type="dxa"/>
            <w:shd w:val="clear" w:color="auto" w:fill="auto"/>
            <w:noWrap w:val="0"/>
            <w:vAlign w:val="center"/>
          </w:tcPr>
          <w:p w14:paraId="1BD20206">
            <w:pPr>
              <w:pStyle w:val="21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评标委员会根据投标供应商针对本项目拟定的重点、难点及进度计划进行综合评审，方案完整，针对化工地块复杂污染、跨红线扩散制定专项方案，编制细化120天全周期横道图并配套工期延误应急保障措施，能完全满足项目实施要求，得7分。方案较具体，能基本满足项目实施要求，得</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分。方案能部分满足项目实施要求，得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分。方案内容较简单，对项目实施要求响应一般，得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分。未提供本项不得分。</w:t>
            </w:r>
          </w:p>
        </w:tc>
        <w:tc>
          <w:tcPr>
            <w:tcW w:w="731" w:type="dxa"/>
            <w:shd w:val="clear" w:color="auto" w:fill="auto"/>
            <w:noWrap w:val="0"/>
            <w:vAlign w:val="center"/>
          </w:tcPr>
          <w:p w14:paraId="02F57325">
            <w:pPr>
              <w:pStyle w:val="3"/>
              <w:spacing w:line="360" w:lineRule="auto"/>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u w:val="none"/>
                <w:lang w:val="en-US" w:eastAsia="zh-CN" w:bidi="ar-SA"/>
              </w:rPr>
              <w:t>7</w:t>
            </w:r>
          </w:p>
        </w:tc>
      </w:tr>
      <w:tr w14:paraId="1ECAA2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80" w:type="dxa"/>
            <w:left w:w="80" w:type="dxa"/>
            <w:bottom w:w="80" w:type="dxa"/>
            <w:right w:w="80" w:type="dxa"/>
          </w:tblCellMar>
        </w:tblPrEx>
        <w:trPr>
          <w:trHeight w:val="283" w:hRule="atLeast"/>
          <w:jc w:val="center"/>
        </w:trPr>
        <w:tc>
          <w:tcPr>
            <w:tcW w:w="667" w:type="dxa"/>
            <w:shd w:val="clear" w:color="auto" w:fill="auto"/>
            <w:noWrap w:val="0"/>
            <w:vAlign w:val="center"/>
          </w:tcPr>
          <w:p w14:paraId="0A3712B6">
            <w:pPr>
              <w:pStyle w:val="3"/>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w:t>
            </w:r>
          </w:p>
        </w:tc>
        <w:tc>
          <w:tcPr>
            <w:tcW w:w="1290" w:type="dxa"/>
            <w:shd w:val="clear" w:color="auto" w:fill="auto"/>
            <w:noWrap w:val="0"/>
            <w:vAlign w:val="center"/>
          </w:tcPr>
          <w:p w14:paraId="2925031C">
            <w:pPr>
              <w:keepNext w:val="0"/>
              <w:keepLines w:val="0"/>
              <w:pageBreakBefore w:val="0"/>
              <w:widowControl w:val="0"/>
              <w:spacing w:line="360" w:lineRule="auto"/>
              <w:outlineLvl w:val="9"/>
              <w:rPr>
                <w:rFonts w:hint="eastAsia" w:ascii="宋体" w:hAnsi="宋体" w:eastAsia="宋体" w:cs="宋体"/>
                <w:bCs/>
                <w:color w:val="auto"/>
                <w:sz w:val="24"/>
                <w:szCs w:val="24"/>
                <w:highlight w:val="none"/>
              </w:rPr>
            </w:pPr>
            <w:r>
              <w:rPr>
                <w:rFonts w:hint="eastAsia" w:ascii="宋体" w:hAnsi="宋体" w:cs="宋体"/>
                <w:color w:val="auto"/>
                <w:sz w:val="24"/>
                <w:szCs w:val="24"/>
                <w:highlight w:val="none"/>
                <w:lang w:val="en-US" w:eastAsia="zh-CN"/>
              </w:rPr>
              <w:t>污染迁移</w:t>
            </w:r>
            <w:r>
              <w:rPr>
                <w:rFonts w:hint="eastAsia" w:ascii="宋体" w:hAnsi="宋体" w:eastAsia="宋体" w:cs="宋体"/>
                <w:color w:val="auto"/>
                <w:sz w:val="24"/>
                <w:szCs w:val="24"/>
                <w:highlight w:val="none"/>
                <w:lang w:val="en-US" w:eastAsia="zh-CN"/>
              </w:rPr>
              <w:t>扩散风险评估方案</w:t>
            </w:r>
          </w:p>
        </w:tc>
        <w:tc>
          <w:tcPr>
            <w:tcW w:w="5775" w:type="dxa"/>
            <w:shd w:val="clear" w:color="auto" w:fill="auto"/>
            <w:noWrap w:val="0"/>
            <w:vAlign w:val="center"/>
          </w:tcPr>
          <w:p w14:paraId="294C18A4">
            <w:pPr>
              <w:pStyle w:val="216"/>
              <w:spacing w:line="360" w:lineRule="auto"/>
              <w:rPr>
                <w:rFonts w:hint="eastAsia"/>
                <w:color w:val="auto"/>
                <w:highlight w:val="none"/>
              </w:rPr>
            </w:pPr>
            <w:r>
              <w:rPr>
                <w:rFonts w:hint="eastAsia" w:ascii="宋体" w:hAnsi="宋体" w:eastAsia="宋体" w:cs="宋体"/>
                <w:color w:val="auto"/>
                <w:sz w:val="24"/>
                <w:szCs w:val="24"/>
                <w:highlight w:val="none"/>
                <w:lang w:val="en-US" w:eastAsia="zh-CN"/>
              </w:rPr>
              <w:t>评标委员会根据投标供应商拟制的</w:t>
            </w:r>
            <w:r>
              <w:rPr>
                <w:rFonts w:hint="eastAsia" w:ascii="宋体" w:hAnsi="宋体" w:cs="宋体"/>
                <w:color w:val="auto"/>
                <w:sz w:val="24"/>
                <w:szCs w:val="24"/>
                <w:highlight w:val="none"/>
                <w:lang w:val="en-US" w:eastAsia="zh-CN"/>
              </w:rPr>
              <w:t>污染迁移</w:t>
            </w:r>
            <w:r>
              <w:rPr>
                <w:rFonts w:hint="eastAsia" w:ascii="宋体" w:hAnsi="宋体" w:eastAsia="宋体" w:cs="宋体"/>
                <w:color w:val="auto"/>
                <w:sz w:val="24"/>
                <w:szCs w:val="24"/>
                <w:highlight w:val="none"/>
                <w:lang w:val="en-US" w:eastAsia="zh-CN"/>
              </w:rPr>
              <w:t>扩散风险评估方案进行综合评审，方案</w:t>
            </w:r>
            <w:r>
              <w:rPr>
                <w:rFonts w:hint="eastAsia" w:ascii="宋体" w:hAnsi="宋体" w:eastAsia="宋体" w:cs="宋体"/>
                <w:color w:val="auto"/>
                <w:sz w:val="24"/>
                <w:szCs w:val="24"/>
                <w:highlight w:val="none"/>
              </w:rPr>
              <w:t>完整，</w:t>
            </w:r>
            <w:r>
              <w:rPr>
                <w:rFonts w:hint="eastAsia" w:ascii="宋体" w:hAnsi="宋体" w:eastAsia="宋体" w:cs="宋体"/>
                <w:color w:val="auto"/>
                <w:sz w:val="24"/>
                <w:szCs w:val="24"/>
                <w:highlight w:val="none"/>
                <w:lang w:val="en-US" w:eastAsia="zh-CN"/>
              </w:rPr>
              <w:t>结合地块污染特征选取适配</w:t>
            </w:r>
            <w:r>
              <w:rPr>
                <w:rFonts w:hint="eastAsia" w:ascii="宋体" w:hAnsi="宋体" w:cs="宋体"/>
                <w:color w:val="auto"/>
                <w:sz w:val="24"/>
                <w:szCs w:val="24"/>
                <w:highlight w:val="none"/>
                <w:lang w:val="en-US" w:eastAsia="zh-CN"/>
              </w:rPr>
              <w:t>模型</w:t>
            </w:r>
            <w:r>
              <w:rPr>
                <w:rFonts w:hint="eastAsia" w:ascii="宋体" w:hAnsi="宋体" w:eastAsia="宋体" w:cs="宋体"/>
                <w:color w:val="auto"/>
                <w:sz w:val="24"/>
                <w:szCs w:val="24"/>
                <w:highlight w:val="none"/>
                <w:lang w:val="en-US" w:eastAsia="zh-CN"/>
              </w:rPr>
              <w:t>参数</w:t>
            </w:r>
            <w:r>
              <w:rPr>
                <w:rFonts w:hint="eastAsia" w:ascii="宋体" w:hAnsi="宋体" w:cs="宋体"/>
                <w:color w:val="auto"/>
                <w:sz w:val="24"/>
                <w:szCs w:val="24"/>
                <w:highlight w:val="none"/>
                <w:lang w:val="en-US" w:eastAsia="zh-CN"/>
              </w:rPr>
              <w:t>，科学</w:t>
            </w:r>
            <w:r>
              <w:rPr>
                <w:rFonts w:hint="eastAsia" w:ascii="宋体" w:hAnsi="宋体" w:eastAsia="宋体" w:cs="宋体"/>
                <w:color w:val="auto"/>
                <w:sz w:val="24"/>
                <w:szCs w:val="24"/>
                <w:highlight w:val="none"/>
                <w:lang w:val="en-US" w:eastAsia="zh-CN"/>
              </w:rPr>
              <w:t>合理设计模拟场景，确定模拟预测评估工作重点和定量分析方法</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利用校验可靠的模型开展地下水污染趋势预测（含入江风险评估专章，需预测不同时间尺度，至少包含10年、20年、30年），进而评估污染</w:t>
            </w:r>
            <w:r>
              <w:rPr>
                <w:rFonts w:hint="eastAsia" w:ascii="宋体" w:hAnsi="宋体" w:cs="宋体"/>
                <w:color w:val="auto"/>
                <w:sz w:val="24"/>
                <w:szCs w:val="24"/>
                <w:highlight w:val="none"/>
                <w:lang w:val="en-US" w:eastAsia="zh-CN"/>
              </w:rPr>
              <w:t>迁移</w:t>
            </w:r>
            <w:r>
              <w:rPr>
                <w:rFonts w:hint="eastAsia" w:ascii="宋体" w:hAnsi="宋体" w:eastAsia="宋体" w:cs="宋体"/>
                <w:color w:val="auto"/>
                <w:sz w:val="24"/>
                <w:szCs w:val="24"/>
                <w:highlight w:val="none"/>
                <w:lang w:val="en-US" w:eastAsia="zh-CN"/>
              </w:rPr>
              <w:t>扩散的速率和范围、污染受体的受影响程度</w:t>
            </w:r>
            <w:r>
              <w:rPr>
                <w:rFonts w:hint="eastAsia" w:ascii="宋体" w:hAnsi="宋体" w:cs="宋体"/>
                <w:color w:val="auto"/>
                <w:sz w:val="24"/>
                <w:szCs w:val="24"/>
                <w:highlight w:val="none"/>
                <w:lang w:val="en-US" w:eastAsia="zh-CN"/>
              </w:rPr>
              <w:t>，同时包括</w:t>
            </w:r>
            <w:r>
              <w:rPr>
                <w:rFonts w:hint="eastAsia" w:ascii="宋体" w:hAnsi="宋体" w:eastAsia="宋体" w:cs="宋体"/>
                <w:color w:val="auto"/>
                <w:sz w:val="24"/>
                <w:szCs w:val="24"/>
                <w:highlight w:val="none"/>
                <w:lang w:val="en-US" w:eastAsia="zh-CN"/>
              </w:rPr>
              <w:t>不确定性分析、模型完善计划等</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能</w:t>
            </w:r>
            <w:r>
              <w:rPr>
                <w:rFonts w:hint="eastAsia" w:ascii="宋体" w:hAnsi="宋体" w:eastAsia="宋体" w:cs="宋体"/>
                <w:color w:val="auto"/>
                <w:sz w:val="24"/>
                <w:szCs w:val="24"/>
                <w:highlight w:val="none"/>
              </w:rPr>
              <w:t>完全满足项目实施要求，得</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。方案</w:t>
            </w:r>
            <w:r>
              <w:rPr>
                <w:rFonts w:hint="eastAsia" w:ascii="宋体" w:hAnsi="宋体" w:eastAsia="宋体" w:cs="宋体"/>
                <w:color w:val="auto"/>
                <w:sz w:val="24"/>
                <w:szCs w:val="24"/>
                <w:highlight w:val="none"/>
              </w:rPr>
              <w:t>较具体，能基本满足项目实施要求，得</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方案</w:t>
            </w:r>
            <w:r>
              <w:rPr>
                <w:rFonts w:hint="eastAsia" w:ascii="宋体" w:hAnsi="宋体" w:eastAsia="宋体" w:cs="宋体"/>
                <w:color w:val="auto"/>
                <w:sz w:val="24"/>
                <w:szCs w:val="24"/>
                <w:highlight w:val="none"/>
              </w:rPr>
              <w:t>能</w:t>
            </w:r>
            <w:r>
              <w:rPr>
                <w:rFonts w:hint="eastAsia" w:ascii="宋体" w:hAnsi="宋体" w:eastAsia="宋体" w:cs="宋体"/>
                <w:color w:val="auto"/>
                <w:sz w:val="24"/>
                <w:szCs w:val="24"/>
                <w:highlight w:val="none"/>
                <w:lang w:val="en-US" w:eastAsia="zh-CN"/>
              </w:rPr>
              <w:t>部分</w:t>
            </w:r>
            <w:r>
              <w:rPr>
                <w:rFonts w:hint="eastAsia" w:ascii="宋体" w:hAnsi="宋体" w:eastAsia="宋体" w:cs="宋体"/>
                <w:color w:val="auto"/>
                <w:sz w:val="24"/>
                <w:szCs w:val="24"/>
                <w:highlight w:val="none"/>
              </w:rPr>
              <w:t>满足项目实施要求，得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方案</w:t>
            </w:r>
            <w:r>
              <w:rPr>
                <w:rFonts w:hint="eastAsia" w:ascii="宋体" w:hAnsi="宋体" w:eastAsia="宋体" w:cs="宋体"/>
                <w:color w:val="auto"/>
                <w:sz w:val="24"/>
                <w:szCs w:val="24"/>
                <w:highlight w:val="none"/>
              </w:rPr>
              <w:t>内容较简单，对项目实施要求响应一般，得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未提供本项不得分。</w:t>
            </w:r>
          </w:p>
        </w:tc>
        <w:tc>
          <w:tcPr>
            <w:tcW w:w="731" w:type="dxa"/>
            <w:shd w:val="clear" w:color="auto" w:fill="auto"/>
            <w:noWrap w:val="0"/>
            <w:vAlign w:val="center"/>
          </w:tcPr>
          <w:p w14:paraId="4673BA51">
            <w:pPr>
              <w:pStyle w:val="3"/>
              <w:spacing w:line="360" w:lineRule="auto"/>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u w:val="none"/>
                <w:lang w:val="en-US" w:eastAsia="zh-CN" w:bidi="ar-SA"/>
              </w:rPr>
              <w:t>7</w:t>
            </w:r>
          </w:p>
        </w:tc>
      </w:tr>
      <w:tr w14:paraId="36FC11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80" w:type="dxa"/>
            <w:left w:w="80" w:type="dxa"/>
            <w:bottom w:w="80" w:type="dxa"/>
            <w:right w:w="80" w:type="dxa"/>
          </w:tblCellMar>
        </w:tblPrEx>
        <w:trPr>
          <w:trHeight w:val="90" w:hRule="atLeast"/>
          <w:jc w:val="center"/>
        </w:trPr>
        <w:tc>
          <w:tcPr>
            <w:tcW w:w="667" w:type="dxa"/>
            <w:shd w:val="clear" w:color="auto" w:fill="auto"/>
            <w:noWrap w:val="0"/>
            <w:vAlign w:val="center"/>
          </w:tcPr>
          <w:p w14:paraId="432FECB9">
            <w:pPr>
              <w:pStyle w:val="3"/>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w:t>
            </w:r>
          </w:p>
        </w:tc>
        <w:tc>
          <w:tcPr>
            <w:tcW w:w="1290" w:type="dxa"/>
            <w:shd w:val="clear" w:color="auto" w:fill="auto"/>
            <w:noWrap w:val="0"/>
            <w:vAlign w:val="center"/>
          </w:tcPr>
          <w:p w14:paraId="718A2D22">
            <w:pPr>
              <w:keepNext w:val="0"/>
              <w:keepLines w:val="0"/>
              <w:pageBreakBefore w:val="0"/>
              <w:widowControl w:val="0"/>
              <w:spacing w:line="360" w:lineRule="auto"/>
              <w:outlineLvl w:val="9"/>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后续服务与验收</w:t>
            </w:r>
          </w:p>
        </w:tc>
        <w:tc>
          <w:tcPr>
            <w:tcW w:w="5775" w:type="dxa"/>
            <w:shd w:val="clear" w:color="auto" w:fill="auto"/>
            <w:noWrap w:val="0"/>
            <w:vAlign w:val="center"/>
          </w:tcPr>
          <w:p w14:paraId="4E1CE157">
            <w:pPr>
              <w:pStyle w:val="216"/>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评标委员会根据投标供应商拟制的后续服务与验收进行综合评审，方案</w:t>
            </w:r>
            <w:r>
              <w:rPr>
                <w:rFonts w:hint="eastAsia" w:ascii="宋体" w:hAnsi="宋体" w:eastAsia="宋体" w:cs="宋体"/>
                <w:color w:val="auto"/>
                <w:sz w:val="24"/>
                <w:szCs w:val="24"/>
                <w:highlight w:val="none"/>
              </w:rPr>
              <w:t>完整，</w:t>
            </w:r>
            <w:r>
              <w:rPr>
                <w:rFonts w:hint="eastAsia" w:ascii="宋体" w:hAnsi="宋体" w:eastAsia="宋体" w:cs="宋体"/>
                <w:color w:val="auto"/>
                <w:sz w:val="24"/>
                <w:szCs w:val="24"/>
                <w:highlight w:val="none"/>
                <w:lang w:val="en-US" w:eastAsia="zh-CN"/>
              </w:rPr>
              <w:t>配备本地常驻技术人员全程配合省级评审备案，承诺</w:t>
            </w:r>
            <w:r>
              <w:rPr>
                <w:rFonts w:hint="eastAsia" w:ascii="宋体" w:hAnsi="宋体" w:cs="宋体"/>
                <w:color w:val="auto"/>
                <w:sz w:val="24"/>
                <w:szCs w:val="24"/>
                <w:highlight w:val="none"/>
                <w:lang w:val="en-US" w:eastAsia="zh-CN"/>
              </w:rPr>
              <w:t>5个工作日</w:t>
            </w:r>
            <w:r>
              <w:rPr>
                <w:rFonts w:hint="eastAsia" w:ascii="宋体" w:hAnsi="宋体" w:eastAsia="宋体" w:cs="宋体"/>
                <w:color w:val="auto"/>
                <w:sz w:val="24"/>
                <w:szCs w:val="24"/>
                <w:highlight w:val="none"/>
                <w:lang w:val="en-US" w:eastAsia="zh-CN"/>
              </w:rPr>
              <w:t>内完成专家意见修改，提供全套成果数字化归档及长期技术服务，</w:t>
            </w:r>
            <w:r>
              <w:rPr>
                <w:rFonts w:hint="eastAsia" w:ascii="宋体" w:hAnsi="宋体" w:eastAsia="宋体" w:cs="宋体"/>
                <w:color w:val="auto"/>
                <w:sz w:val="24"/>
                <w:szCs w:val="24"/>
                <w:highlight w:val="none"/>
              </w:rPr>
              <w:t>能完全满足项目实施要求，得</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。方案</w:t>
            </w:r>
            <w:r>
              <w:rPr>
                <w:rFonts w:hint="eastAsia" w:ascii="宋体" w:hAnsi="宋体" w:eastAsia="宋体" w:cs="宋体"/>
                <w:color w:val="auto"/>
                <w:sz w:val="24"/>
                <w:szCs w:val="24"/>
                <w:highlight w:val="none"/>
              </w:rPr>
              <w:t>较具体，能基本满足项目实施要求，得</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方案</w:t>
            </w:r>
            <w:r>
              <w:rPr>
                <w:rFonts w:hint="eastAsia" w:ascii="宋体" w:hAnsi="宋体" w:eastAsia="宋体" w:cs="宋体"/>
                <w:color w:val="auto"/>
                <w:sz w:val="24"/>
                <w:szCs w:val="24"/>
                <w:highlight w:val="none"/>
              </w:rPr>
              <w:t>能</w:t>
            </w:r>
            <w:r>
              <w:rPr>
                <w:rFonts w:hint="eastAsia" w:ascii="宋体" w:hAnsi="宋体" w:eastAsia="宋体" w:cs="宋体"/>
                <w:color w:val="auto"/>
                <w:sz w:val="24"/>
                <w:szCs w:val="24"/>
                <w:highlight w:val="none"/>
                <w:lang w:val="en-US" w:eastAsia="zh-CN"/>
              </w:rPr>
              <w:t>部分</w:t>
            </w:r>
            <w:r>
              <w:rPr>
                <w:rFonts w:hint="eastAsia" w:ascii="宋体" w:hAnsi="宋体" w:eastAsia="宋体" w:cs="宋体"/>
                <w:color w:val="auto"/>
                <w:sz w:val="24"/>
                <w:szCs w:val="24"/>
                <w:highlight w:val="none"/>
              </w:rPr>
              <w:t>满足项目实施要求，得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方案</w:t>
            </w:r>
            <w:r>
              <w:rPr>
                <w:rFonts w:hint="eastAsia" w:ascii="宋体" w:hAnsi="宋体" w:eastAsia="宋体" w:cs="宋体"/>
                <w:color w:val="auto"/>
                <w:sz w:val="24"/>
                <w:szCs w:val="24"/>
                <w:highlight w:val="none"/>
              </w:rPr>
              <w:t>内容较简单，对项目实施要求响应一般，得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未提供本项不得分。</w:t>
            </w:r>
          </w:p>
        </w:tc>
        <w:tc>
          <w:tcPr>
            <w:tcW w:w="731" w:type="dxa"/>
            <w:shd w:val="clear" w:color="auto" w:fill="auto"/>
            <w:noWrap w:val="0"/>
            <w:vAlign w:val="center"/>
          </w:tcPr>
          <w:p w14:paraId="36215945">
            <w:pPr>
              <w:pStyle w:val="3"/>
              <w:spacing w:line="360" w:lineRule="auto"/>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u w:val="none"/>
                <w:lang w:val="en-US" w:eastAsia="zh-CN" w:bidi="ar-SA"/>
              </w:rPr>
              <w:t>7</w:t>
            </w:r>
          </w:p>
        </w:tc>
      </w:tr>
    </w:tbl>
    <w:p w14:paraId="108B0FFD">
      <w:pPr>
        <w:keepNext w:val="0"/>
        <w:keepLines w:val="0"/>
        <w:pageBreakBefore w:val="0"/>
        <w:widowControl w:val="0"/>
        <w:spacing w:line="360" w:lineRule="auto"/>
        <w:ind w:firstLine="480"/>
        <w:contextualSpacing/>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注：1.评分细则中要求提供的证明文件及资料等在</w:t>
      </w:r>
      <w:r>
        <w:rPr>
          <w:rFonts w:hint="eastAsia" w:ascii="宋体" w:hAnsi="宋体" w:eastAsia="宋体" w:cs="宋体"/>
          <w:bCs/>
          <w:color w:val="auto"/>
          <w:sz w:val="24"/>
          <w:szCs w:val="24"/>
          <w:highlight w:val="none"/>
          <w:lang w:val="en-US" w:eastAsia="zh-CN"/>
        </w:rPr>
        <w:t>投标</w:t>
      </w:r>
      <w:r>
        <w:rPr>
          <w:rFonts w:hint="eastAsia" w:ascii="宋体" w:hAnsi="宋体" w:eastAsia="宋体" w:cs="宋体"/>
          <w:bCs/>
          <w:color w:val="auto"/>
          <w:sz w:val="24"/>
          <w:szCs w:val="24"/>
          <w:highlight w:val="none"/>
        </w:rPr>
        <w:t>文件中提供并加盖公章，否则不得分。</w:t>
      </w:r>
    </w:p>
    <w:p w14:paraId="1D185618">
      <w:pPr>
        <w:keepNext w:val="0"/>
        <w:keepLines w:val="0"/>
        <w:pageBreakBefore w:val="0"/>
        <w:widowControl w:val="0"/>
        <w:numPr>
          <w:ilvl w:val="0"/>
          <w:numId w:val="14"/>
        </w:numPr>
        <w:spacing w:line="360" w:lineRule="auto"/>
        <w:ind w:firstLine="480"/>
        <w:contextualSpacing/>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评审时，未能按以上要求提供相应证明的，不作为评审依据，不得分。</w:t>
      </w:r>
    </w:p>
    <w:p w14:paraId="22BD08D9">
      <w:pPr>
        <w:pStyle w:val="39"/>
        <w:keepNext w:val="0"/>
        <w:keepLines w:val="0"/>
        <w:pageBreakBefore w:val="0"/>
        <w:widowControl w:val="0"/>
        <w:kinsoku/>
        <w:wordWrap/>
        <w:overflowPunct/>
        <w:topLinePunct w:val="0"/>
        <w:autoSpaceDE/>
        <w:autoSpaceDN/>
        <w:bidi w:val="0"/>
        <w:adjustRightInd/>
        <w:snapToGrid/>
        <w:spacing w:before="0" w:line="360" w:lineRule="auto"/>
        <w:ind w:left="0" w:firstLine="480" w:firstLineChars="200"/>
        <w:textAlignment w:val="auto"/>
        <w:rPr>
          <w:rFonts w:hint="default"/>
          <w:color w:val="auto"/>
          <w:lang w:val="en-US" w:eastAsia="zh-CN"/>
        </w:rPr>
      </w:pPr>
    </w:p>
    <w:p w14:paraId="3658EE6E">
      <w:pPr>
        <w:pStyle w:val="257"/>
        <w:keepNext w:val="0"/>
        <w:keepLines w:val="0"/>
        <w:pageBreakBefore w:val="0"/>
        <w:widowControl w:val="0"/>
        <w:kinsoku/>
        <w:wordWrap/>
        <w:overflowPunct/>
        <w:topLinePunct w:val="0"/>
        <w:autoSpaceDE/>
        <w:autoSpaceDN/>
        <w:bidi w:val="0"/>
        <w:adjustRightInd/>
        <w:snapToGrid/>
        <w:spacing w:after="0" w:line="360" w:lineRule="auto"/>
        <w:ind w:left="0" w:firstLine="480" w:firstLineChars="200"/>
        <w:textAlignment w:val="auto"/>
        <w:outlineLvl w:val="9"/>
        <w:rPr>
          <w:rFonts w:hint="eastAsia"/>
          <w:color w:val="auto"/>
          <w:highlight w:val="none"/>
          <w:lang w:val="en-US" w:eastAsia="zh-CN"/>
        </w:rPr>
        <w:sectPr>
          <w:pgSz w:w="11906" w:h="16838"/>
          <w:pgMar w:top="1440" w:right="1800" w:bottom="1440" w:left="1800" w:header="851" w:footer="992" w:gutter="0"/>
          <w:pgNumType w:fmt="decimal"/>
          <w:cols w:space="1701" w:num="1"/>
          <w:docGrid w:linePitch="360" w:charSpace="0"/>
        </w:sectPr>
      </w:pPr>
    </w:p>
    <w:p w14:paraId="2BCE2688">
      <w:pPr>
        <w:spacing w:line="360" w:lineRule="auto"/>
        <w:jc w:val="center"/>
        <w:outlineLvl w:val="0"/>
        <w:rPr>
          <w:b/>
          <w:color w:val="auto"/>
          <w:sz w:val="36"/>
          <w:szCs w:val="36"/>
          <w:highlight w:val="none"/>
        </w:rPr>
      </w:pPr>
      <w:bookmarkStart w:id="811" w:name="_Toc29962"/>
      <w:bookmarkStart w:id="812" w:name="_Toc99301424"/>
      <w:r>
        <w:rPr>
          <w:b/>
          <w:color w:val="auto"/>
          <w:sz w:val="36"/>
          <w:szCs w:val="36"/>
          <w:highlight w:val="none"/>
        </w:rPr>
        <w:t>第五章   采购需求</w:t>
      </w:r>
      <w:bookmarkEnd w:id="811"/>
      <w:bookmarkEnd w:id="812"/>
    </w:p>
    <w:p w14:paraId="79FE8866">
      <w:pPr>
        <w:pStyle w:val="448"/>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jc w:val="left"/>
        <w:textAlignment w:val="auto"/>
        <w:rPr>
          <w:rFonts w:hint="eastAsia" w:asciiTheme="minorEastAsia" w:hAnsiTheme="minorEastAsia"/>
          <w:b/>
          <w:bCs/>
          <w:color w:val="auto"/>
          <w:sz w:val="24"/>
          <w:szCs w:val="24"/>
          <w:highlight w:val="none"/>
        </w:rPr>
      </w:pPr>
    </w:p>
    <w:p w14:paraId="7EFCF0A1">
      <w:pPr>
        <w:pStyle w:val="448"/>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jc w:val="left"/>
        <w:textAlignment w:val="auto"/>
        <w:rPr>
          <w:rFonts w:hint="eastAsia" w:asciiTheme="minorEastAsia" w:hAnsiTheme="minorEastAsia"/>
          <w:color w:val="auto"/>
          <w:sz w:val="24"/>
          <w:szCs w:val="24"/>
          <w:highlight w:val="none"/>
        </w:rPr>
      </w:pPr>
      <w:r>
        <w:rPr>
          <w:rFonts w:hint="eastAsia" w:asciiTheme="minorEastAsia" w:hAnsiTheme="minorEastAsia"/>
          <w:b/>
          <w:bCs/>
          <w:color w:val="auto"/>
          <w:sz w:val="24"/>
          <w:szCs w:val="24"/>
          <w:highlight w:val="none"/>
        </w:rPr>
        <w:t>一、项目概况</w:t>
      </w:r>
    </w:p>
    <w:p w14:paraId="5A29747B">
      <w:pPr>
        <w:pStyle w:val="448"/>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1.项目名称：</w:t>
      </w:r>
      <w:r>
        <w:rPr>
          <w:rFonts w:hint="eastAsia" w:asciiTheme="minorEastAsia" w:hAnsiTheme="minorEastAsia"/>
          <w:color w:val="auto"/>
          <w:sz w:val="24"/>
          <w:szCs w:val="24"/>
          <w:highlight w:val="none"/>
          <w:lang w:val="en-US" w:eastAsia="zh-CN"/>
        </w:rPr>
        <w:t>深化常州市春港化工有限公司原厂址地块土壤污染风险评估项目</w:t>
      </w:r>
    </w:p>
    <w:p w14:paraId="0BCF46D5">
      <w:pPr>
        <w:pStyle w:val="448"/>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default" w:eastAsia="宋体" w:asciiTheme="minorEastAsia" w:hAnsiTheme="minorEastAsia"/>
          <w:color w:val="auto"/>
          <w:sz w:val="24"/>
          <w:szCs w:val="24"/>
          <w:highlight w:val="none"/>
          <w:lang w:val="en-US" w:eastAsia="zh-CN"/>
        </w:rPr>
      </w:pPr>
      <w:r>
        <w:rPr>
          <w:rFonts w:hint="eastAsia" w:asciiTheme="minorEastAsia" w:hAnsiTheme="minorEastAsia"/>
          <w:color w:val="auto"/>
          <w:sz w:val="24"/>
          <w:szCs w:val="24"/>
          <w:highlight w:val="none"/>
        </w:rPr>
        <w:t>2.项目地点：</w:t>
      </w:r>
      <w:r>
        <w:rPr>
          <w:rFonts w:hint="eastAsia" w:asciiTheme="minorEastAsia" w:hAnsiTheme="minorEastAsia"/>
          <w:color w:val="auto"/>
          <w:sz w:val="24"/>
          <w:szCs w:val="24"/>
          <w:highlight w:val="none"/>
          <w:lang w:val="en-US" w:eastAsia="zh-CN"/>
        </w:rPr>
        <w:t>常州市新北区</w:t>
      </w:r>
    </w:p>
    <w:p w14:paraId="2F8F1820">
      <w:pPr>
        <w:pStyle w:val="448"/>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eastAsia="宋体"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rPr>
        <w:t>3.项目预算：人民币</w:t>
      </w:r>
      <w:r>
        <w:rPr>
          <w:rFonts w:hint="eastAsia" w:ascii="宋体" w:hAnsi="宋体" w:eastAsia="宋体" w:cs="宋体"/>
          <w:color w:val="auto"/>
          <w:sz w:val="24"/>
          <w:szCs w:val="24"/>
          <w:highlight w:val="none"/>
          <w:u w:val="none"/>
          <w:lang w:val="en-US" w:eastAsia="zh-CN"/>
        </w:rPr>
        <w:t>1</w:t>
      </w:r>
      <w:r>
        <w:rPr>
          <w:rFonts w:hint="eastAsia" w:ascii="宋体" w:hAnsi="宋体" w:cs="宋体"/>
          <w:color w:val="auto"/>
          <w:sz w:val="24"/>
          <w:szCs w:val="24"/>
          <w:highlight w:val="none"/>
          <w:u w:val="none"/>
          <w:lang w:val="en-US" w:eastAsia="zh-CN"/>
        </w:rPr>
        <w:t>22</w:t>
      </w:r>
      <w:r>
        <w:rPr>
          <w:rFonts w:hint="eastAsia" w:ascii="宋体" w:hAnsi="宋体" w:eastAsia="宋体" w:cs="宋体"/>
          <w:color w:val="auto"/>
          <w:sz w:val="24"/>
          <w:szCs w:val="24"/>
          <w:highlight w:val="none"/>
        </w:rPr>
        <w:t>万元</w:t>
      </w:r>
    </w:p>
    <w:p w14:paraId="765FC87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lang w:eastAsia="zh-CN"/>
        </w:rPr>
      </w:pPr>
      <w:r>
        <w:rPr>
          <w:rFonts w:hint="eastAsia" w:ascii="宋体" w:hAnsi="宋体" w:cs="宋体"/>
          <w:b/>
          <w:bCs/>
          <w:color w:val="auto"/>
          <w:sz w:val="24"/>
          <w:szCs w:val="24"/>
          <w:lang w:val="en-US" w:eastAsia="zh-CN"/>
        </w:rPr>
        <w:t>二</w:t>
      </w:r>
      <w:r>
        <w:rPr>
          <w:rFonts w:hint="eastAsia" w:ascii="宋体" w:hAnsi="宋体" w:eastAsia="宋体" w:cs="宋体"/>
          <w:b/>
          <w:bCs/>
          <w:color w:val="auto"/>
          <w:sz w:val="24"/>
          <w:szCs w:val="24"/>
        </w:rPr>
        <w:t>、采购</w:t>
      </w:r>
      <w:r>
        <w:rPr>
          <w:rFonts w:hint="eastAsia" w:ascii="宋体" w:hAnsi="宋体" w:cs="宋体"/>
          <w:b/>
          <w:bCs/>
          <w:color w:val="auto"/>
          <w:sz w:val="24"/>
          <w:szCs w:val="24"/>
          <w:lang w:val="en-US" w:eastAsia="zh-CN"/>
        </w:rPr>
        <w:t>标的</w:t>
      </w:r>
    </w:p>
    <w:p w14:paraId="4D9F182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根据《长江沿线1公里化工腾退地块土壤污染专项治理行动方案》、现行法律法规及技术规范等文件要求，</w:t>
      </w:r>
      <w:r>
        <w:rPr>
          <w:rFonts w:hint="eastAsia" w:ascii="宋体" w:hAnsi="宋体" w:eastAsia="宋体" w:cs="宋体"/>
          <w:color w:val="auto"/>
          <w:sz w:val="24"/>
          <w:szCs w:val="24"/>
          <w:lang w:val="en-US" w:eastAsia="zh-CN"/>
        </w:rPr>
        <w:t>开展</w:t>
      </w:r>
      <w:r>
        <w:rPr>
          <w:rFonts w:hint="eastAsia" w:ascii="宋体" w:hAnsi="宋体" w:eastAsia="宋体" w:cs="宋体"/>
          <w:color w:val="auto"/>
          <w:sz w:val="24"/>
          <w:szCs w:val="24"/>
        </w:rPr>
        <w:t>深化常州市春港化工有限公司原厂址地块</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占地面积约73333m</w:t>
      </w:r>
      <w:r>
        <w:rPr>
          <w:rFonts w:hint="eastAsia" w:ascii="宋体" w:hAnsi="宋体" w:eastAsia="宋体" w:cs="宋体"/>
          <w:color w:val="auto"/>
          <w:sz w:val="24"/>
          <w:szCs w:val="24"/>
          <w:vertAlign w:val="superscript"/>
          <w:lang w:val="en-US" w:eastAsia="zh-CN"/>
        </w:rPr>
        <w:t>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土壤污染风险评估</w:t>
      </w:r>
      <w:r>
        <w:rPr>
          <w:rFonts w:hint="eastAsia" w:ascii="宋体" w:hAnsi="宋体" w:eastAsia="宋体" w:cs="宋体"/>
          <w:color w:val="auto"/>
          <w:sz w:val="24"/>
          <w:szCs w:val="24"/>
          <w:lang w:val="en-US" w:eastAsia="zh-CN"/>
        </w:rPr>
        <w:t>工作</w:t>
      </w:r>
      <w:r>
        <w:rPr>
          <w:rFonts w:hint="eastAsia" w:ascii="宋体" w:hAnsi="宋体" w:eastAsia="宋体" w:cs="宋体"/>
          <w:color w:val="auto"/>
          <w:sz w:val="24"/>
          <w:szCs w:val="24"/>
        </w:rPr>
        <w:t>。</w:t>
      </w:r>
    </w:p>
    <w:p w14:paraId="07E8523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cs="宋体"/>
          <w:b/>
          <w:bCs/>
          <w:color w:val="auto"/>
          <w:sz w:val="24"/>
          <w:szCs w:val="24"/>
          <w:lang w:val="en-US" w:eastAsia="zh-CN"/>
        </w:rPr>
        <w:t>三</w:t>
      </w:r>
      <w:r>
        <w:rPr>
          <w:rFonts w:hint="eastAsia" w:ascii="宋体" w:hAnsi="宋体" w:eastAsia="宋体" w:cs="宋体"/>
          <w:b/>
          <w:bCs/>
          <w:color w:val="auto"/>
          <w:sz w:val="24"/>
          <w:szCs w:val="24"/>
        </w:rPr>
        <w:t>、</w:t>
      </w:r>
      <w:r>
        <w:rPr>
          <w:rFonts w:hint="eastAsia" w:ascii="宋体" w:hAnsi="宋体" w:eastAsia="宋体" w:cs="宋体"/>
          <w:b/>
          <w:bCs/>
          <w:color w:val="auto"/>
          <w:sz w:val="24"/>
          <w:szCs w:val="24"/>
          <w:highlight w:val="none"/>
          <w:lang w:val="en-US" w:eastAsia="zh-CN"/>
        </w:rPr>
        <w:t>商务要求</w:t>
      </w:r>
    </w:p>
    <w:p w14:paraId="766F1A2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（一）服务期限</w:t>
      </w:r>
    </w:p>
    <w:p w14:paraId="608FC6E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自签订合同之日起120个日历天内，完成项目地块土壤污染风险评估报告编制（含</w:t>
      </w:r>
      <w:r>
        <w:rPr>
          <w:rFonts w:hint="eastAsia" w:ascii="宋体" w:hAnsi="宋体" w:cs="宋体"/>
          <w:color w:val="auto"/>
          <w:sz w:val="24"/>
          <w:szCs w:val="24"/>
          <w:highlight w:val="none"/>
          <w:lang w:val="en-US" w:eastAsia="zh-CN"/>
        </w:rPr>
        <w:t>入江</w:t>
      </w:r>
      <w:r>
        <w:rPr>
          <w:rFonts w:hint="eastAsia" w:ascii="宋体" w:hAnsi="宋体" w:eastAsia="宋体" w:cs="宋体"/>
          <w:color w:val="auto"/>
          <w:sz w:val="24"/>
          <w:szCs w:val="24"/>
          <w:highlight w:val="none"/>
          <w:lang w:val="en-US" w:eastAsia="zh-CN"/>
        </w:rPr>
        <w:t>风险评估</w:t>
      </w:r>
      <w:r>
        <w:rPr>
          <w:rFonts w:hint="eastAsia" w:ascii="宋体" w:hAnsi="宋体" w:cs="宋体"/>
          <w:color w:val="auto"/>
          <w:sz w:val="24"/>
          <w:szCs w:val="24"/>
          <w:highlight w:val="none"/>
          <w:lang w:val="en-US" w:eastAsia="zh-CN"/>
        </w:rPr>
        <w:t>专章</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eastAsia="zh-CN"/>
        </w:rPr>
        <w:t>经甲方确认后</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提交</w:t>
      </w:r>
      <w:r>
        <w:rPr>
          <w:rFonts w:hint="eastAsia" w:ascii="宋体" w:hAnsi="宋体" w:eastAsia="宋体" w:cs="宋体"/>
          <w:color w:val="auto"/>
          <w:sz w:val="24"/>
          <w:szCs w:val="24"/>
          <w:highlight w:val="none"/>
          <w:lang w:val="en-US" w:eastAsia="zh-CN"/>
        </w:rPr>
        <w:t>并通过生态环境主管部门组织的专家评审。</w:t>
      </w:r>
    </w:p>
    <w:p w14:paraId="4784B38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（二）验收标准</w:t>
      </w:r>
    </w:p>
    <w:p w14:paraId="1F4B2E6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风险评估报告</w:t>
      </w:r>
      <w:r>
        <w:rPr>
          <w:rFonts w:hint="eastAsia" w:ascii="宋体" w:hAnsi="宋体" w:eastAsia="宋体" w:cs="宋体"/>
          <w:color w:val="auto"/>
          <w:sz w:val="24"/>
          <w:szCs w:val="24"/>
          <w:highlight w:val="none"/>
          <w:lang w:eastAsia="zh-CN"/>
        </w:rPr>
        <w:t>（含</w:t>
      </w:r>
      <w:r>
        <w:rPr>
          <w:rFonts w:hint="eastAsia" w:ascii="宋体" w:hAnsi="宋体" w:cs="宋体"/>
          <w:color w:val="auto"/>
          <w:sz w:val="24"/>
          <w:szCs w:val="24"/>
          <w:highlight w:val="none"/>
          <w:lang w:eastAsia="zh-CN"/>
        </w:rPr>
        <w:t>入江</w:t>
      </w:r>
      <w:r>
        <w:rPr>
          <w:rFonts w:hint="eastAsia" w:ascii="宋体" w:hAnsi="宋体" w:eastAsia="宋体" w:cs="宋体"/>
          <w:color w:val="auto"/>
          <w:sz w:val="24"/>
          <w:szCs w:val="24"/>
          <w:highlight w:val="none"/>
          <w:lang w:eastAsia="zh-CN"/>
        </w:rPr>
        <w:t>风险评估</w:t>
      </w:r>
      <w:r>
        <w:rPr>
          <w:rFonts w:hint="eastAsia" w:ascii="宋体" w:hAnsi="宋体" w:cs="宋体"/>
          <w:color w:val="auto"/>
          <w:sz w:val="24"/>
          <w:szCs w:val="24"/>
          <w:highlight w:val="none"/>
          <w:lang w:eastAsia="zh-CN"/>
        </w:rPr>
        <w:t>专章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通过</w:t>
      </w:r>
      <w:r>
        <w:rPr>
          <w:rFonts w:hint="eastAsia" w:ascii="宋体" w:hAnsi="宋体" w:eastAsia="宋体" w:cs="宋体"/>
          <w:color w:val="auto"/>
          <w:sz w:val="24"/>
          <w:szCs w:val="24"/>
          <w:highlight w:val="none"/>
          <w:lang w:val="en-US" w:eastAsia="zh-CN"/>
        </w:rPr>
        <w:t>生态环境主管部门组织的专家评审</w:t>
      </w:r>
      <w:r>
        <w:rPr>
          <w:rFonts w:hint="eastAsia" w:ascii="宋体" w:hAnsi="宋体" w:eastAsia="宋体" w:cs="宋体"/>
          <w:color w:val="auto"/>
          <w:sz w:val="24"/>
          <w:szCs w:val="24"/>
          <w:highlight w:val="none"/>
        </w:rPr>
        <w:t>。</w:t>
      </w:r>
    </w:p>
    <w:p w14:paraId="2240C09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（三）付款方式</w:t>
      </w:r>
    </w:p>
    <w:p w14:paraId="1D1C91D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中标供应商完成项目地块的土壤污染</w:t>
      </w:r>
      <w:r>
        <w:rPr>
          <w:rFonts w:hint="eastAsia" w:ascii="宋体" w:hAnsi="宋体" w:eastAsia="宋体" w:cs="宋体"/>
          <w:color w:val="auto"/>
          <w:sz w:val="24"/>
          <w:szCs w:val="24"/>
          <w:highlight w:val="none"/>
          <w:lang w:val="en-US" w:eastAsia="zh-CN"/>
        </w:rPr>
        <w:t>风险评估报告</w:t>
      </w:r>
      <w:r>
        <w:rPr>
          <w:rFonts w:hint="eastAsia" w:ascii="宋体" w:hAnsi="宋体" w:eastAsia="宋体" w:cs="宋体"/>
          <w:color w:val="auto"/>
          <w:sz w:val="24"/>
          <w:szCs w:val="24"/>
          <w:highlight w:val="none"/>
          <w:lang w:eastAsia="zh-CN"/>
        </w:rPr>
        <w:t>（含</w:t>
      </w:r>
      <w:r>
        <w:rPr>
          <w:rFonts w:hint="eastAsia" w:ascii="宋体" w:hAnsi="宋体" w:cs="宋体"/>
          <w:color w:val="auto"/>
          <w:sz w:val="24"/>
          <w:szCs w:val="24"/>
          <w:highlight w:val="none"/>
          <w:lang w:eastAsia="zh-CN"/>
        </w:rPr>
        <w:t>入江</w:t>
      </w:r>
      <w:r>
        <w:rPr>
          <w:rFonts w:hint="eastAsia" w:ascii="宋体" w:hAnsi="宋体" w:eastAsia="宋体" w:cs="宋体"/>
          <w:color w:val="auto"/>
          <w:sz w:val="24"/>
          <w:szCs w:val="24"/>
          <w:highlight w:val="none"/>
          <w:lang w:eastAsia="zh-CN"/>
        </w:rPr>
        <w:t>风险评估</w:t>
      </w:r>
      <w:r>
        <w:rPr>
          <w:rFonts w:hint="eastAsia" w:ascii="宋体" w:hAnsi="宋体" w:cs="宋体"/>
          <w:color w:val="auto"/>
          <w:sz w:val="24"/>
          <w:szCs w:val="24"/>
          <w:highlight w:val="none"/>
          <w:lang w:eastAsia="zh-CN"/>
        </w:rPr>
        <w:t>专章</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eastAsia="zh-CN"/>
        </w:rPr>
        <w:t>经甲方确认后</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eastAsia="zh-CN"/>
        </w:rPr>
        <w:t>提交</w:t>
      </w:r>
      <w:r>
        <w:rPr>
          <w:rFonts w:hint="eastAsia" w:ascii="宋体" w:hAnsi="宋体" w:eastAsia="宋体" w:cs="宋体"/>
          <w:color w:val="auto"/>
          <w:sz w:val="24"/>
          <w:szCs w:val="24"/>
          <w:highlight w:val="none"/>
          <w:lang w:val="en-US" w:eastAsia="zh-CN"/>
        </w:rPr>
        <w:t>并</w:t>
      </w:r>
      <w:r>
        <w:rPr>
          <w:rFonts w:hint="eastAsia" w:ascii="宋体" w:hAnsi="宋体" w:eastAsia="宋体" w:cs="宋体"/>
          <w:color w:val="auto"/>
          <w:sz w:val="24"/>
          <w:szCs w:val="24"/>
          <w:highlight w:val="none"/>
        </w:rPr>
        <w:t>通过生态环境主管部门组织的专家评审</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经甲方确认</w:t>
      </w:r>
      <w:r>
        <w:rPr>
          <w:rFonts w:hint="eastAsia" w:ascii="宋体" w:hAnsi="宋体" w:eastAsia="宋体" w:cs="宋体"/>
          <w:color w:val="auto"/>
          <w:sz w:val="24"/>
          <w:szCs w:val="24"/>
          <w:highlight w:val="none"/>
        </w:rPr>
        <w:t>后30天内支付合同总额的90%；剩余款项在通过专家评审后6个月内结清。</w:t>
      </w:r>
    </w:p>
    <w:p w14:paraId="4878FC2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三、服务内容</w:t>
      </w:r>
    </w:p>
    <w:p w14:paraId="1FFC218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本项目工作内容包括深化常州市春港化工有限公司原厂址地块土壤污染风险评估</w:t>
      </w:r>
      <w:r>
        <w:rPr>
          <w:rFonts w:hint="eastAsia" w:ascii="宋体" w:hAnsi="宋体" w:eastAsia="宋体" w:cs="宋体"/>
          <w:color w:val="auto"/>
          <w:sz w:val="24"/>
          <w:szCs w:val="24"/>
          <w:lang w:val="en-US" w:eastAsia="zh-CN"/>
        </w:rPr>
        <w:t>工作</w:t>
      </w:r>
      <w:r>
        <w:rPr>
          <w:rFonts w:hint="eastAsia" w:ascii="宋体" w:hAnsi="宋体" w:eastAsia="宋体" w:cs="宋体"/>
          <w:color w:val="auto"/>
          <w:sz w:val="24"/>
          <w:szCs w:val="24"/>
        </w:rPr>
        <w:t>及所需各项工作，包含地块水文地质调查、</w:t>
      </w:r>
      <w:r>
        <w:rPr>
          <w:rFonts w:hint="eastAsia" w:ascii="宋体" w:hAnsi="宋体" w:eastAsia="宋体" w:cs="宋体"/>
          <w:color w:val="auto"/>
          <w:sz w:val="24"/>
          <w:szCs w:val="24"/>
          <w:lang w:val="en-US" w:eastAsia="zh-CN"/>
        </w:rPr>
        <w:t>补充调查方案编制、</w:t>
      </w:r>
      <w:r>
        <w:rPr>
          <w:rFonts w:hint="eastAsia" w:ascii="宋体" w:hAnsi="宋体" w:eastAsia="宋体" w:cs="宋体"/>
          <w:color w:val="auto"/>
          <w:sz w:val="24"/>
          <w:szCs w:val="24"/>
        </w:rPr>
        <w:t>土壤钻孔和地下水监测井建设、土壤和地下水样品采集、土壤和地下水样品（含平行样）检测分析、</w:t>
      </w:r>
      <w:r>
        <w:rPr>
          <w:rFonts w:hint="eastAsia" w:ascii="宋体" w:hAnsi="宋体" w:eastAsia="宋体" w:cs="宋体"/>
          <w:color w:val="auto"/>
          <w:sz w:val="24"/>
          <w:szCs w:val="24"/>
          <w:lang w:val="en-US" w:eastAsia="zh-CN"/>
        </w:rPr>
        <w:t>补充</w:t>
      </w:r>
      <w:r>
        <w:rPr>
          <w:rFonts w:hint="eastAsia" w:ascii="宋体" w:hAnsi="宋体" w:eastAsia="宋体" w:cs="宋体"/>
          <w:color w:val="auto"/>
          <w:sz w:val="24"/>
          <w:szCs w:val="24"/>
        </w:rPr>
        <w:t>调查报告编制、</w:t>
      </w:r>
      <w:r>
        <w:rPr>
          <w:rFonts w:hint="eastAsia" w:ascii="宋体" w:hAnsi="宋体" w:eastAsia="宋体" w:cs="宋体"/>
          <w:color w:val="auto"/>
          <w:sz w:val="24"/>
          <w:szCs w:val="24"/>
          <w:highlight w:val="none"/>
          <w:lang w:val="en-US" w:eastAsia="zh-CN"/>
        </w:rPr>
        <w:t>风险评估报告编制（含</w:t>
      </w:r>
      <w:r>
        <w:rPr>
          <w:rFonts w:hint="eastAsia" w:ascii="宋体" w:hAnsi="宋体" w:cs="宋体"/>
          <w:color w:val="auto"/>
          <w:sz w:val="24"/>
          <w:szCs w:val="24"/>
          <w:highlight w:val="none"/>
          <w:lang w:val="en-US" w:eastAsia="zh-CN"/>
        </w:rPr>
        <w:t>入江</w:t>
      </w:r>
      <w:r>
        <w:rPr>
          <w:rFonts w:hint="eastAsia" w:ascii="宋体" w:hAnsi="宋体" w:eastAsia="宋体" w:cs="宋体"/>
          <w:color w:val="auto"/>
          <w:sz w:val="24"/>
          <w:szCs w:val="24"/>
          <w:highlight w:val="none"/>
          <w:lang w:val="en-US" w:eastAsia="zh-CN"/>
        </w:rPr>
        <w:t>风险评估</w:t>
      </w:r>
      <w:r>
        <w:rPr>
          <w:rFonts w:hint="eastAsia" w:ascii="宋体" w:hAnsi="宋体" w:cs="宋体"/>
          <w:color w:val="auto"/>
          <w:sz w:val="24"/>
          <w:szCs w:val="24"/>
          <w:highlight w:val="none"/>
          <w:lang w:val="en-US" w:eastAsia="zh-CN"/>
        </w:rPr>
        <w:t>专章</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lang w:val="en-US" w:eastAsia="zh-CN"/>
        </w:rPr>
        <w:t>，参加主管部门组织的</w:t>
      </w:r>
      <w:r>
        <w:rPr>
          <w:rFonts w:hint="eastAsia" w:ascii="宋体" w:hAnsi="宋体" w:eastAsia="宋体" w:cs="宋体"/>
          <w:color w:val="auto"/>
          <w:sz w:val="24"/>
          <w:szCs w:val="24"/>
        </w:rPr>
        <w:t>专家评审等工作。</w:t>
      </w:r>
    </w:p>
    <w:p w14:paraId="269FAC0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成果包括下列内容：</w:t>
      </w:r>
    </w:p>
    <w:p w14:paraId="2EB5624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bookmarkStart w:id="813" w:name="OLE_LINK2"/>
      <w:r>
        <w:rPr>
          <w:rFonts w:hint="eastAsia" w:ascii="宋体" w:hAnsi="宋体" w:eastAsia="宋体" w:cs="宋体"/>
          <w:color w:val="auto"/>
          <w:sz w:val="24"/>
          <w:szCs w:val="24"/>
        </w:rPr>
        <w:t>项目地块的水文地质勘察报告</w:t>
      </w:r>
      <w:bookmarkEnd w:id="813"/>
      <w:r>
        <w:rPr>
          <w:rFonts w:hint="eastAsia" w:ascii="宋体" w:hAnsi="宋体" w:eastAsia="宋体" w:cs="宋体"/>
          <w:color w:val="auto"/>
          <w:sz w:val="24"/>
          <w:szCs w:val="24"/>
        </w:rPr>
        <w:t>；</w:t>
      </w:r>
    </w:p>
    <w:p w14:paraId="204329C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2.项目地块土壤污染状况补充调查方案以及通过专家评审的意见书；</w:t>
      </w:r>
    </w:p>
    <w:p w14:paraId="5696B2C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3.项目地块的土壤和地下水检测报告（盖CMA章）；</w:t>
      </w:r>
    </w:p>
    <w:p w14:paraId="6E544A6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w:t>
      </w:r>
      <w:bookmarkStart w:id="814" w:name="_Hlk192607923"/>
      <w:r>
        <w:rPr>
          <w:rFonts w:hint="eastAsia" w:ascii="宋体" w:hAnsi="宋体" w:eastAsia="宋体" w:cs="宋体"/>
          <w:color w:val="auto"/>
          <w:sz w:val="24"/>
          <w:szCs w:val="24"/>
        </w:rPr>
        <w:t>项目地块土壤污染状况补充调查报告以及通过</w:t>
      </w:r>
      <w:r>
        <w:rPr>
          <w:rFonts w:hint="eastAsia" w:ascii="宋体" w:hAnsi="宋体" w:eastAsia="宋体" w:cs="宋体"/>
          <w:color w:val="auto"/>
          <w:sz w:val="24"/>
          <w:szCs w:val="24"/>
          <w:lang w:val="en-US" w:eastAsia="zh-CN"/>
        </w:rPr>
        <w:t>主管部门组织的</w:t>
      </w:r>
      <w:r>
        <w:rPr>
          <w:rFonts w:hint="eastAsia" w:ascii="宋体" w:hAnsi="宋体" w:eastAsia="宋体" w:cs="宋体"/>
          <w:color w:val="auto"/>
          <w:sz w:val="24"/>
          <w:szCs w:val="24"/>
        </w:rPr>
        <w:t>专家评审的意见书</w:t>
      </w:r>
      <w:bookmarkEnd w:id="814"/>
      <w:r>
        <w:rPr>
          <w:rFonts w:hint="eastAsia" w:ascii="宋体" w:hAnsi="宋体" w:eastAsia="宋体" w:cs="宋体"/>
          <w:color w:val="auto"/>
          <w:sz w:val="24"/>
          <w:szCs w:val="24"/>
        </w:rPr>
        <w:t>；</w:t>
      </w:r>
    </w:p>
    <w:p w14:paraId="28D9D97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5.项目地块土壤污染</w:t>
      </w:r>
      <w:r>
        <w:rPr>
          <w:rFonts w:hint="eastAsia" w:ascii="宋体" w:hAnsi="宋体" w:eastAsia="宋体" w:cs="宋体"/>
          <w:color w:val="auto"/>
          <w:sz w:val="24"/>
          <w:szCs w:val="24"/>
          <w:lang w:val="en-US" w:eastAsia="zh-CN"/>
        </w:rPr>
        <w:t>风险评估</w:t>
      </w:r>
      <w:r>
        <w:rPr>
          <w:rFonts w:hint="eastAsia" w:ascii="宋体" w:hAnsi="宋体" w:eastAsia="宋体" w:cs="宋体"/>
          <w:color w:val="auto"/>
          <w:sz w:val="24"/>
          <w:szCs w:val="24"/>
        </w:rPr>
        <w:t>报告以及通过</w:t>
      </w:r>
      <w:r>
        <w:rPr>
          <w:rFonts w:hint="eastAsia" w:ascii="宋体" w:hAnsi="宋体" w:eastAsia="宋体" w:cs="宋体"/>
          <w:color w:val="auto"/>
          <w:sz w:val="24"/>
          <w:szCs w:val="24"/>
          <w:lang w:val="en-US" w:eastAsia="zh-CN"/>
        </w:rPr>
        <w:t>主管部门组织的</w:t>
      </w:r>
      <w:r>
        <w:rPr>
          <w:rFonts w:hint="eastAsia" w:ascii="宋体" w:hAnsi="宋体" w:eastAsia="宋体" w:cs="宋体"/>
          <w:color w:val="auto"/>
          <w:sz w:val="24"/>
          <w:szCs w:val="24"/>
        </w:rPr>
        <w:t>专家评审的意见书。</w:t>
      </w:r>
    </w:p>
    <w:p w14:paraId="6D57EA2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四、服务要求</w:t>
      </w:r>
    </w:p>
    <w:p w14:paraId="2C056CA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1.本项目需满足《长江沿线1公里化工腾退地块土壤污染专项治理行动方案》</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《建设用地土壤污染状况初步调查监督检查工作指南（试行）》、《建设用地土壤污染状况调查质量控制技术规定（试行）》</w:t>
      </w:r>
      <w:r>
        <w:rPr>
          <w:rFonts w:hint="eastAsia" w:ascii="宋体" w:hAnsi="宋体" w:cs="宋体"/>
          <w:color w:val="auto"/>
          <w:sz w:val="24"/>
          <w:szCs w:val="24"/>
          <w:lang w:eastAsia="zh-CN"/>
        </w:rPr>
        <w:t>、《江苏省建设用地士壤污染状况调查、风险评估、风险管控及修复效果评估报告评审工作指南》（</w:t>
      </w:r>
      <w:r>
        <w:rPr>
          <w:rFonts w:hint="eastAsia" w:ascii="宋体" w:hAnsi="宋体" w:cs="宋体"/>
          <w:color w:val="auto"/>
          <w:sz w:val="24"/>
          <w:szCs w:val="24"/>
          <w:lang w:val="en-US" w:eastAsia="zh-CN"/>
        </w:rPr>
        <w:t>苏环便函[2022]1085号</w:t>
      </w:r>
      <w:r>
        <w:rPr>
          <w:rFonts w:hint="eastAsia" w:ascii="宋体" w:hAnsi="宋体" w:cs="宋体"/>
          <w:color w:val="auto"/>
          <w:sz w:val="24"/>
          <w:szCs w:val="24"/>
          <w:lang w:eastAsia="zh-CN"/>
        </w:rPr>
        <w:t>）</w:t>
      </w:r>
      <w:r>
        <w:rPr>
          <w:rFonts w:hint="eastAsia" w:ascii="宋体" w:hAnsi="宋体" w:eastAsia="宋体" w:cs="宋体"/>
          <w:color w:val="auto"/>
          <w:sz w:val="24"/>
          <w:szCs w:val="24"/>
        </w:rPr>
        <w:t>等现行技术导则、指南、技术规定的要求</w:t>
      </w:r>
      <w:r>
        <w:rPr>
          <w:rFonts w:hint="eastAsia" w:ascii="宋体" w:hAnsi="宋体" w:eastAsia="宋体" w:cs="宋体"/>
          <w:color w:val="auto"/>
          <w:sz w:val="24"/>
          <w:szCs w:val="24"/>
          <w:lang w:eastAsia="zh-CN"/>
        </w:rPr>
        <w:t>。</w:t>
      </w:r>
    </w:p>
    <w:p w14:paraId="6CB9539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补充调查</w:t>
      </w:r>
      <w:r>
        <w:rPr>
          <w:rFonts w:hint="eastAsia" w:ascii="宋体" w:hAnsi="宋体" w:eastAsia="宋体" w:cs="宋体"/>
          <w:color w:val="auto"/>
          <w:sz w:val="24"/>
          <w:szCs w:val="24"/>
        </w:rPr>
        <w:t>需充分考虑地块前情历史</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包括但不限于地块及周边地块的土壤污染状况调查、覆绿工程等</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，保障</w:t>
      </w:r>
      <w:r>
        <w:rPr>
          <w:rFonts w:hint="eastAsia" w:ascii="宋体" w:hAnsi="宋体" w:eastAsia="宋体" w:cs="宋体"/>
          <w:color w:val="auto"/>
          <w:sz w:val="24"/>
          <w:szCs w:val="24"/>
          <w:lang w:val="en-US" w:eastAsia="zh-CN"/>
        </w:rPr>
        <w:t>补充调查</w:t>
      </w:r>
      <w:r>
        <w:rPr>
          <w:rFonts w:hint="eastAsia" w:ascii="宋体" w:hAnsi="宋体" w:eastAsia="宋体" w:cs="宋体"/>
          <w:color w:val="auto"/>
          <w:sz w:val="24"/>
          <w:szCs w:val="24"/>
        </w:rPr>
        <w:t>结果可为后续开展</w:t>
      </w:r>
      <w:r>
        <w:rPr>
          <w:rFonts w:hint="eastAsia" w:ascii="宋体" w:hAnsi="宋体" w:eastAsia="宋体" w:cs="宋体"/>
          <w:color w:val="auto"/>
          <w:sz w:val="24"/>
          <w:szCs w:val="24"/>
          <w:lang w:val="en-US" w:eastAsia="zh-CN"/>
        </w:rPr>
        <w:t>风险评估及其他工作</w:t>
      </w:r>
      <w:r>
        <w:rPr>
          <w:rFonts w:hint="eastAsia" w:ascii="宋体" w:hAnsi="宋体" w:eastAsia="宋体" w:cs="宋体"/>
          <w:color w:val="auto"/>
          <w:sz w:val="24"/>
          <w:szCs w:val="24"/>
        </w:rPr>
        <w:t>提供足够支撑</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补充</w:t>
      </w:r>
      <w:r>
        <w:rPr>
          <w:rFonts w:hint="eastAsia" w:ascii="宋体" w:hAnsi="宋体" w:eastAsia="宋体" w:cs="宋体"/>
          <w:color w:val="auto"/>
          <w:sz w:val="24"/>
          <w:szCs w:val="24"/>
        </w:rPr>
        <w:t>调查应保证在</w:t>
      </w:r>
      <w:r>
        <w:rPr>
          <w:rFonts w:hint="eastAsia" w:ascii="宋体" w:hAnsi="宋体" w:eastAsia="宋体" w:cs="宋体"/>
          <w:color w:val="auto"/>
          <w:sz w:val="24"/>
          <w:szCs w:val="24"/>
          <w:lang w:val="en-US" w:eastAsia="zh-CN"/>
        </w:rPr>
        <w:t>重点区域土壤采样网格不宜大于</w:t>
      </w:r>
      <w:r>
        <w:rPr>
          <w:rFonts w:hint="eastAsia" w:ascii="宋体" w:hAnsi="宋体" w:eastAsia="宋体" w:cs="宋体"/>
          <w:color w:val="auto"/>
          <w:sz w:val="24"/>
          <w:szCs w:val="24"/>
        </w:rPr>
        <w:t>20m×20m；如发现土壤或地下水污染边界临近或超出地块红线的，调查范围应自污染边界向外延伸至查清污染范围，且红线外调查点位不少于3个</w:t>
      </w:r>
      <w:r>
        <w:rPr>
          <w:rFonts w:hint="eastAsia" w:ascii="宋体" w:hAnsi="宋体" w:eastAsia="宋体" w:cs="宋体"/>
          <w:color w:val="auto"/>
          <w:sz w:val="24"/>
          <w:szCs w:val="24"/>
          <w:lang w:eastAsia="zh-CN"/>
        </w:rPr>
        <w:t>。</w:t>
      </w:r>
    </w:p>
    <w:p w14:paraId="67338B2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风评报告应对污染物迁移扩散入江风险进行专章评估，预测不同时间尺度下（至少包含10年、20年、30年）污染物的迁移扩散范围、浓度变化及入江风险分析</w:t>
      </w:r>
      <w:r>
        <w:rPr>
          <w:rFonts w:hint="eastAsia" w:ascii="宋体" w:hAnsi="宋体" w:cs="宋体"/>
          <w:color w:val="auto"/>
          <w:sz w:val="24"/>
          <w:szCs w:val="24"/>
          <w:highlight w:val="none"/>
          <w:lang w:val="en-US" w:eastAsia="zh-CN"/>
        </w:rPr>
        <w:t>；重点研判地块管控、用地限制等综合手段实现风险可接受的技术可行性；充分开展参数敏感性分析、不确定性分析，为地块安全利用提供技术支撑。</w:t>
      </w:r>
    </w:p>
    <w:p w14:paraId="6681C8A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4.</w:t>
      </w:r>
      <w:r>
        <w:rPr>
          <w:rFonts w:hint="eastAsia" w:ascii="宋体" w:hAnsi="宋体" w:eastAsia="宋体" w:cs="宋体"/>
          <w:color w:val="auto"/>
          <w:sz w:val="24"/>
          <w:szCs w:val="24"/>
        </w:rPr>
        <w:t>地块的水文地质勘察工作的目标含水层至少包含潜水层及微承压含水层，</w:t>
      </w:r>
      <w:r>
        <w:rPr>
          <w:rFonts w:hint="eastAsia" w:ascii="宋体" w:hAnsi="宋体" w:eastAsia="宋体" w:cs="宋体"/>
          <w:color w:val="auto"/>
          <w:sz w:val="24"/>
          <w:szCs w:val="24"/>
          <w:lang w:val="en-US" w:eastAsia="zh-CN"/>
        </w:rPr>
        <w:t>满足</w:t>
      </w:r>
      <w:r>
        <w:rPr>
          <w:rFonts w:hint="eastAsia" w:ascii="宋体" w:hAnsi="宋体" w:eastAsia="宋体" w:cs="宋体"/>
          <w:color w:val="auto"/>
          <w:sz w:val="24"/>
          <w:szCs w:val="24"/>
        </w:rPr>
        <w:t>补充调查</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风险评估（含扩散风险评估分析）工作需求</w:t>
      </w:r>
      <w:r>
        <w:rPr>
          <w:rFonts w:hint="eastAsia" w:ascii="宋体" w:hAnsi="宋体" w:eastAsia="宋体" w:cs="宋体"/>
          <w:color w:val="auto"/>
          <w:sz w:val="24"/>
          <w:szCs w:val="24"/>
        </w:rPr>
        <w:t>。</w:t>
      </w:r>
    </w:p>
    <w:p w14:paraId="4FF81B2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5</w:t>
      </w:r>
      <w:r>
        <w:rPr>
          <w:rFonts w:hint="eastAsia" w:ascii="宋体" w:hAnsi="宋体" w:eastAsia="宋体" w:cs="宋体"/>
          <w:color w:val="auto"/>
          <w:sz w:val="24"/>
          <w:szCs w:val="24"/>
        </w:rPr>
        <w:t>.本次调查样品分析方法原则上优先选择GB36600-2018、GB/T 14848-2017推荐的分析方法，对于GB36600和GB/T 14848中未给出推荐方法的，可选用检验检测机构资质认定范围内的国际标准、区域标准、团体标准及行业标准方法。所选用土壤和地下水样品分析方法的检出限应当分别低于GB36600第一类用地筛选值要求和GB/T 14848地下水质量指标Ⅲ类限值要求，或相关评价标准限值要求。</w:t>
      </w:r>
    </w:p>
    <w:p w14:paraId="5369919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lang w:val="en-US" w:eastAsia="zh-CN"/>
        </w:rPr>
        <w:t>6</w:t>
      </w:r>
      <w:r>
        <w:rPr>
          <w:rFonts w:hint="eastAsia" w:ascii="宋体" w:hAnsi="宋体" w:eastAsia="宋体" w:cs="宋体"/>
          <w:color w:val="auto"/>
          <w:sz w:val="24"/>
          <w:szCs w:val="24"/>
        </w:rPr>
        <w:t>.本次土壤污染状况补充调查报告</w:t>
      </w:r>
      <w:r>
        <w:rPr>
          <w:rFonts w:hint="eastAsia" w:ascii="宋体" w:hAnsi="宋体" w:eastAsia="宋体" w:cs="宋体"/>
          <w:color w:val="auto"/>
          <w:sz w:val="24"/>
          <w:szCs w:val="24"/>
          <w:lang w:val="en-US" w:eastAsia="zh-CN"/>
        </w:rPr>
        <w:t>及风险评估报告</w:t>
      </w:r>
      <w:r>
        <w:rPr>
          <w:rFonts w:hint="eastAsia" w:ascii="宋体" w:hAnsi="宋体" w:eastAsia="宋体" w:cs="宋体"/>
          <w:color w:val="auto"/>
          <w:sz w:val="24"/>
          <w:szCs w:val="24"/>
        </w:rPr>
        <w:t>须通过</w:t>
      </w:r>
      <w:r>
        <w:rPr>
          <w:rFonts w:hint="eastAsia" w:ascii="宋体" w:hAnsi="宋体" w:eastAsia="宋体" w:cs="宋体"/>
          <w:color w:val="auto"/>
          <w:sz w:val="24"/>
          <w:szCs w:val="24"/>
          <w:highlight w:val="none"/>
          <w:lang w:val="en-US" w:eastAsia="zh-CN"/>
        </w:rPr>
        <w:t>生态环境主管部门组织的专家评审</w:t>
      </w:r>
      <w:r>
        <w:rPr>
          <w:rFonts w:hint="eastAsia" w:ascii="宋体" w:hAnsi="宋体" w:eastAsia="宋体" w:cs="宋体"/>
          <w:color w:val="auto"/>
          <w:sz w:val="24"/>
          <w:szCs w:val="24"/>
          <w:highlight w:val="none"/>
        </w:rPr>
        <w:t>。</w:t>
      </w:r>
    </w:p>
    <w:p w14:paraId="181F19A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color w:val="auto"/>
          <w:sz w:val="24"/>
          <w:highlight w:val="none"/>
          <w:lang w:val="en-US" w:eastAsia="zh-CN"/>
        </w:rPr>
      </w:pPr>
      <w:r>
        <w:rPr>
          <w:rFonts w:hint="eastAsia" w:ascii="宋体" w:hAnsi="宋体" w:cs="宋体"/>
          <w:color w:val="auto"/>
          <w:sz w:val="24"/>
          <w:szCs w:val="24"/>
          <w:lang w:val="en-US" w:eastAsia="zh-CN"/>
        </w:rPr>
        <w:t>7</w:t>
      </w:r>
      <w:r>
        <w:rPr>
          <w:rFonts w:hint="eastAsia" w:ascii="宋体" w:hAnsi="宋体" w:eastAsia="宋体" w:cs="宋体"/>
          <w:color w:val="auto"/>
          <w:sz w:val="24"/>
          <w:szCs w:val="24"/>
        </w:rPr>
        <w:t>.本项目中标供应商必须保障采购人在使用中标供应商提供的本项目全部相关成果，均不会引起因第三方提出侵犯其专利权、版权或商标权等知识产权而遭受起诉。一旦出现侵权，一律由中标供应商承担全部责任。</w:t>
      </w:r>
    </w:p>
    <w:p w14:paraId="1AD0DB83">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五</w:t>
      </w:r>
      <w:r>
        <w:rPr>
          <w:rFonts w:hint="eastAsia" w:ascii="宋体" w:hAnsi="宋体" w:cs="宋体"/>
          <w:b/>
          <w:bCs/>
          <w:color w:val="auto"/>
          <w:sz w:val="24"/>
          <w:highlight w:val="none"/>
        </w:rPr>
        <w:t>、其他要求</w:t>
      </w:r>
    </w:p>
    <w:p w14:paraId="7474758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highlight w:val="none"/>
          <w:lang w:val="zh-CN"/>
        </w:rPr>
      </w:pPr>
      <w:r>
        <w:rPr>
          <w:rFonts w:hint="eastAsia" w:ascii="宋体" w:hAnsi="宋体" w:cs="宋体"/>
          <w:color w:val="auto"/>
          <w:sz w:val="24"/>
          <w:highlight w:val="none"/>
          <w:lang w:val="zh-CN"/>
        </w:rPr>
        <w:t>按照《政府采购促进中小企业发展管理办法》（财库〔2020〕46号）的相关要求，采购人应当面向中小企业预留采购份额，本项目面向中小企业预留份额</w:t>
      </w:r>
      <w:r>
        <w:rPr>
          <w:rFonts w:hint="eastAsia" w:ascii="宋体" w:hAnsi="宋体" w:cs="宋体"/>
          <w:color w:val="auto"/>
          <w:sz w:val="24"/>
          <w:highlight w:val="none"/>
          <w:u w:val="single"/>
        </w:rPr>
        <w:t>100</w:t>
      </w:r>
      <w:r>
        <w:rPr>
          <w:rFonts w:hint="eastAsia" w:ascii="宋体" w:hAnsi="宋体" w:cs="宋体"/>
          <w:color w:val="auto"/>
          <w:sz w:val="24"/>
          <w:highlight w:val="none"/>
          <w:lang w:val="zh-CN"/>
        </w:rPr>
        <w:t>%。</w:t>
      </w:r>
    </w:p>
    <w:p w14:paraId="593F7A51">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六</w:t>
      </w:r>
      <w:r>
        <w:rPr>
          <w:rFonts w:hint="eastAsia" w:ascii="宋体" w:hAnsi="宋体" w:cs="宋体"/>
          <w:b/>
          <w:bCs/>
          <w:color w:val="auto"/>
          <w:sz w:val="24"/>
          <w:highlight w:val="none"/>
        </w:rPr>
        <w:t>、报价方式</w:t>
      </w:r>
    </w:p>
    <w:p w14:paraId="3125FA76">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cs="宋体"/>
          <w:bCs/>
          <w:color w:val="auto"/>
          <w:sz w:val="24"/>
          <w:highlight w:val="none"/>
        </w:rPr>
      </w:pPr>
      <w:r>
        <w:rPr>
          <w:rFonts w:hint="eastAsia" w:ascii="宋体" w:hAnsi="宋体" w:cs="宋体"/>
          <w:bCs/>
          <w:color w:val="auto"/>
          <w:sz w:val="24"/>
          <w:highlight w:val="none"/>
        </w:rPr>
        <w:t>本项目投标报价为</w:t>
      </w:r>
      <w:r>
        <w:rPr>
          <w:rFonts w:hint="eastAsia" w:ascii="宋体" w:hAnsi="宋体" w:cs="宋体"/>
          <w:b/>
          <w:color w:val="auto"/>
          <w:sz w:val="24"/>
          <w:highlight w:val="none"/>
        </w:rPr>
        <w:t>固定</w:t>
      </w:r>
      <w:r>
        <w:rPr>
          <w:rFonts w:hint="eastAsia" w:ascii="宋体" w:hAnsi="宋体" w:cs="宋体"/>
          <w:b/>
          <w:color w:val="auto"/>
          <w:sz w:val="24"/>
          <w:highlight w:val="none"/>
          <w:lang w:val="en-US" w:eastAsia="zh-CN"/>
        </w:rPr>
        <w:t>总</w:t>
      </w:r>
      <w:r>
        <w:rPr>
          <w:rFonts w:hint="eastAsia" w:ascii="宋体" w:hAnsi="宋体" w:cs="宋体"/>
          <w:b/>
          <w:color w:val="auto"/>
          <w:sz w:val="24"/>
          <w:highlight w:val="none"/>
        </w:rPr>
        <w:t>价</w:t>
      </w:r>
      <w:r>
        <w:rPr>
          <w:rFonts w:hint="eastAsia" w:ascii="宋体" w:hAnsi="宋体" w:cs="宋体"/>
          <w:bCs/>
          <w:color w:val="auto"/>
          <w:sz w:val="24"/>
          <w:highlight w:val="none"/>
        </w:rPr>
        <w:t>，投标报价应包括招标文件所确定的招标范围相应货物和服务的提供、人员（包括工资和补贴）、</w:t>
      </w:r>
      <w:r>
        <w:rPr>
          <w:rFonts w:hint="eastAsia" w:ascii="宋体" w:hAnsi="宋体" w:cs="宋体"/>
          <w:bCs/>
          <w:color w:val="auto"/>
          <w:sz w:val="24"/>
          <w:highlight w:val="none"/>
          <w:lang w:val="en-US" w:eastAsia="zh-CN"/>
        </w:rPr>
        <w:t>专家评审费、</w:t>
      </w:r>
      <w:r>
        <w:rPr>
          <w:rFonts w:hint="eastAsia" w:ascii="宋体" w:hAnsi="宋体" w:cs="宋体"/>
          <w:bCs/>
          <w:color w:val="auto"/>
          <w:sz w:val="24"/>
          <w:highlight w:val="none"/>
        </w:rPr>
        <w:t>办公场所及设施、保险、劳保、管理、各种税费、利润、税金、政策性文件规定及合同包含的所有风险、责任等各项应有费用，以及为完成该项服务项目所涉及到的一切相关费用，采购人不再支付其他任何费用。</w:t>
      </w:r>
    </w:p>
    <w:p w14:paraId="59A86EA7">
      <w:pPr>
        <w:pStyle w:val="39"/>
        <w:keepNext w:val="0"/>
        <w:keepLines w:val="0"/>
        <w:pageBreakBefore w:val="0"/>
        <w:widowControl w:val="0"/>
        <w:kinsoku/>
        <w:wordWrap/>
        <w:overflowPunct/>
        <w:topLinePunct w:val="0"/>
        <w:autoSpaceDE/>
        <w:autoSpaceDN/>
        <w:bidi w:val="0"/>
        <w:adjustRightInd/>
        <w:snapToGrid/>
        <w:spacing w:before="0" w:line="360" w:lineRule="auto"/>
        <w:ind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rPr>
        <w:t>报价货币为人民币，评标时以人民币为准。</w:t>
      </w:r>
    </w:p>
    <w:p w14:paraId="1C015B89">
      <w:pPr>
        <w:spacing w:line="360" w:lineRule="auto"/>
        <w:jc w:val="center"/>
        <w:outlineLvl w:val="0"/>
        <w:rPr>
          <w:b/>
          <w:color w:val="auto"/>
          <w:sz w:val="36"/>
          <w:szCs w:val="36"/>
          <w:highlight w:val="none"/>
        </w:rPr>
      </w:pPr>
      <w:bookmarkStart w:id="815" w:name="_Toc99301425"/>
      <w:bookmarkStart w:id="816" w:name="_Toc13366"/>
      <w:r>
        <w:rPr>
          <w:b/>
          <w:color w:val="auto"/>
          <w:sz w:val="36"/>
          <w:szCs w:val="36"/>
          <w:highlight w:val="none"/>
        </w:rPr>
        <w:br w:type="page" w:clear="all"/>
      </w:r>
      <w:r>
        <w:rPr>
          <w:b/>
          <w:color w:val="auto"/>
          <w:sz w:val="36"/>
          <w:szCs w:val="36"/>
          <w:highlight w:val="none"/>
        </w:rPr>
        <w:t>第六章   拟签订的合同文本</w:t>
      </w:r>
      <w:bookmarkEnd w:id="815"/>
      <w:bookmarkEnd w:id="816"/>
    </w:p>
    <w:p w14:paraId="54FBF8BA">
      <w:pPr>
        <w:spacing w:line="360" w:lineRule="auto"/>
        <w:jc w:val="center"/>
        <w:outlineLvl w:val="0"/>
        <w:rPr>
          <w:b/>
          <w:color w:val="auto"/>
          <w:sz w:val="36"/>
          <w:szCs w:val="36"/>
          <w:highlight w:val="none"/>
        </w:rPr>
      </w:pPr>
      <w:r>
        <w:rPr>
          <w:rFonts w:hint="eastAsia"/>
          <w:b/>
          <w:color w:val="auto"/>
          <w:sz w:val="36"/>
          <w:szCs w:val="36"/>
          <w:highlight w:val="none"/>
          <w:lang w:eastAsia="zh-CN"/>
        </w:rPr>
        <w:t>项目</w:t>
      </w:r>
      <w:r>
        <w:rPr>
          <w:b/>
          <w:color w:val="auto"/>
          <w:sz w:val="36"/>
          <w:szCs w:val="36"/>
          <w:highlight w:val="none"/>
        </w:rPr>
        <w:t>合同</w:t>
      </w:r>
    </w:p>
    <w:p w14:paraId="13588C06">
      <w:pPr>
        <w:pStyle w:val="19"/>
        <w:keepNext w:val="0"/>
        <w:keepLines w:val="0"/>
        <w:pageBreakBefore w:val="0"/>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zh-CN"/>
        </w:rPr>
        <w:t>采购人（以下称甲</w:t>
      </w:r>
      <w:r>
        <w:rPr>
          <w:rFonts w:hint="eastAsia" w:ascii="宋体" w:hAnsi="宋体" w:eastAsia="宋体" w:cs="宋体"/>
          <w:b/>
          <w:color w:val="auto"/>
          <w:sz w:val="24"/>
          <w:szCs w:val="24"/>
          <w:highlight w:val="none"/>
        </w:rPr>
        <w:t>方）:</w:t>
      </w:r>
      <w:r>
        <w:rPr>
          <w:rFonts w:hint="eastAsia" w:hAnsi="宋体" w:cs="宋体"/>
          <w:b/>
          <w:color w:val="auto"/>
          <w:sz w:val="24"/>
          <w:szCs w:val="24"/>
          <w:highlight w:val="none"/>
          <w:lang w:eastAsia="zh-CN"/>
        </w:rPr>
        <w:t>江苏常州滨江经济开发区管理委员会</w:t>
      </w:r>
    </w:p>
    <w:p w14:paraId="697A6E00">
      <w:pPr>
        <w:pStyle w:val="19"/>
        <w:keepNext w:val="0"/>
        <w:keepLines w:val="0"/>
        <w:pageBreakBefore w:val="0"/>
        <w:kinsoku/>
        <w:wordWrap/>
        <w:overflowPunct/>
        <w:topLinePunct w:val="0"/>
        <w:bidi w:val="0"/>
        <w:spacing w:line="360" w:lineRule="auto"/>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中标供应商</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zh-CN"/>
        </w:rPr>
        <w:t>以下称</w:t>
      </w:r>
      <w:r>
        <w:rPr>
          <w:rFonts w:hint="eastAsia" w:ascii="宋体" w:hAnsi="宋体" w:eastAsia="宋体" w:cs="宋体"/>
          <w:b/>
          <w:color w:val="auto"/>
          <w:sz w:val="24"/>
          <w:szCs w:val="24"/>
          <w:highlight w:val="none"/>
        </w:rPr>
        <w:t xml:space="preserve">乙方）:                 </w:t>
      </w:r>
    </w:p>
    <w:p w14:paraId="3911C077">
      <w:pPr>
        <w:pStyle w:val="19"/>
        <w:keepNext w:val="0"/>
        <w:keepLines w:val="0"/>
        <w:pageBreakBefore w:val="0"/>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合同编号：</w:t>
      </w:r>
    </w:p>
    <w:p w14:paraId="4F75857A">
      <w:pPr>
        <w:pStyle w:val="19"/>
        <w:keepNext w:val="0"/>
        <w:keepLines w:val="0"/>
        <w:pageBreakBefore w:val="0"/>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u w:val="single"/>
          <w:lang w:eastAsia="zh-CN"/>
        </w:rPr>
      </w:pP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签订地点：</w:t>
      </w:r>
      <w:r>
        <w:rPr>
          <w:rFonts w:hint="eastAsia" w:hAnsi="宋体" w:cs="宋体"/>
          <w:color w:val="auto"/>
          <w:sz w:val="24"/>
          <w:szCs w:val="24"/>
          <w:highlight w:val="none"/>
          <w:lang w:eastAsia="zh-CN"/>
        </w:rPr>
        <w:t>江苏省常州市</w:t>
      </w:r>
    </w:p>
    <w:p w14:paraId="4EFEE7DB">
      <w:pPr>
        <w:pStyle w:val="14"/>
        <w:keepNext w:val="0"/>
        <w:keepLines w:val="0"/>
        <w:pageBreakBefore w:val="0"/>
        <w:kinsoku/>
        <w:wordWrap/>
        <w:overflowPunct/>
        <w:topLinePunct w:val="0"/>
        <w:bidi w:val="0"/>
        <w:spacing w:line="360" w:lineRule="auto"/>
        <w:ind w:firstLine="5040" w:firstLineChars="21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合同时间: </w:t>
      </w:r>
      <w:r>
        <w:rPr>
          <w:rFonts w:hint="eastAsia" w:ascii="宋体" w:hAnsi="宋体" w:eastAsia="宋体" w:cs="宋体"/>
          <w:color w:val="auto"/>
          <w:sz w:val="24"/>
          <w:szCs w:val="24"/>
          <w:highlight w:val="none"/>
          <w:u w:val="single"/>
        </w:rPr>
        <w:t xml:space="preserve">    年   月   日</w:t>
      </w:r>
    </w:p>
    <w:p w14:paraId="5671FF36">
      <w:pPr>
        <w:keepNext w:val="0"/>
        <w:keepLines w:val="0"/>
        <w:pageBreakBefore w:val="0"/>
        <w:widowControl/>
        <w:kinsoku/>
        <w:wordWrap/>
        <w:overflowPunct/>
        <w:topLinePunct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甲乙双方依据《中华人民共和国民法典》以及有关法律、法规的规定，经协商一致，订立本合同，以便共同遵守。</w:t>
      </w:r>
    </w:p>
    <w:p w14:paraId="3D15F685">
      <w:pPr>
        <w:pStyle w:val="19"/>
        <w:keepNext w:val="0"/>
        <w:keepLines w:val="0"/>
        <w:pageBreakBefore w:val="0"/>
        <w:kinsoku/>
        <w:wordWrap/>
        <w:overflowPunct/>
        <w:topLinePunct w:val="0"/>
        <w:bidi w:val="0"/>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第一条 合同标的</w:t>
      </w:r>
    </w:p>
    <w:p w14:paraId="208C2A9D">
      <w:pPr>
        <w:keepNext w:val="0"/>
        <w:keepLines w:val="0"/>
        <w:pageBreakBefore w:val="0"/>
        <w:widowControl/>
        <w:kinsoku/>
        <w:wordWrap/>
        <w:overflowPunct/>
        <w:topLinePunct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乙方根据甲方需求提供下列服务：</w:t>
      </w:r>
      <w:r>
        <w:rPr>
          <w:rFonts w:hint="eastAsia" w:ascii="宋体" w:hAnsi="宋体" w:cs="宋体"/>
          <w:color w:val="auto"/>
          <w:kern w:val="0"/>
          <w:sz w:val="24"/>
          <w:szCs w:val="24"/>
          <w:highlight w:val="none"/>
          <w:u w:val="single"/>
          <w:lang w:val="en-US" w:eastAsia="zh-CN"/>
        </w:rPr>
        <w:t xml:space="preserve">                                   </w:t>
      </w:r>
      <w:r>
        <w:rPr>
          <w:rFonts w:hint="eastAsia" w:ascii="宋体" w:hAnsi="宋体" w:cs="宋体"/>
          <w:color w:val="auto"/>
          <w:kern w:val="0"/>
          <w:sz w:val="24"/>
          <w:szCs w:val="24"/>
          <w:highlight w:val="none"/>
          <w:lang w:val="zh-CN"/>
        </w:rPr>
        <w:t>，</w:t>
      </w:r>
      <w:r>
        <w:rPr>
          <w:rFonts w:hint="eastAsia" w:ascii="宋体" w:hAnsi="宋体" w:eastAsia="宋体" w:cs="宋体"/>
          <w:color w:val="auto"/>
          <w:sz w:val="24"/>
          <w:szCs w:val="24"/>
          <w:highlight w:val="none"/>
        </w:rPr>
        <w:t>系指根据合同规定乙方须承担与服务有关的所有辅助服务</w:t>
      </w:r>
      <w:r>
        <w:rPr>
          <w:rFonts w:hint="eastAsia" w:ascii="宋体" w:hAnsi="宋体" w:eastAsia="宋体" w:cs="宋体"/>
          <w:color w:val="auto"/>
          <w:kern w:val="0"/>
          <w:sz w:val="24"/>
          <w:szCs w:val="24"/>
          <w:highlight w:val="none"/>
          <w:lang w:val="zh-CN"/>
        </w:rPr>
        <w:t>。</w:t>
      </w:r>
    </w:p>
    <w:p w14:paraId="267137E3">
      <w:pPr>
        <w:pStyle w:val="19"/>
        <w:keepNext w:val="0"/>
        <w:keepLines w:val="0"/>
        <w:pageBreakBefore w:val="0"/>
        <w:kinsoku/>
        <w:wordWrap/>
        <w:overflowPunct/>
        <w:topLinePunct w:val="0"/>
        <w:bidi w:val="0"/>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第二条 合同价格</w:t>
      </w:r>
    </w:p>
    <w:p w14:paraId="141753E8">
      <w:pPr>
        <w:pStyle w:val="19"/>
        <w:keepNext w:val="0"/>
        <w:keepLines w:val="0"/>
        <w:pageBreakBefore w:val="0"/>
        <w:kinsoku/>
        <w:wordWrap/>
        <w:overflowPunct/>
        <w:topLinePunct w:val="0"/>
        <w:bidi w:val="0"/>
        <w:spacing w:line="360" w:lineRule="auto"/>
        <w:ind w:firstLine="482" w:firstLineChars="200"/>
        <w:jc w:val="left"/>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签约合同总价（人民币，下同）：</w:t>
      </w:r>
      <w:r>
        <w:rPr>
          <w:rFonts w:hint="eastAsia" w:hAnsi="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rPr>
        <w:t>（小写</w:t>
      </w:r>
      <w:r>
        <w:rPr>
          <w:rFonts w:hint="eastAsia" w:hAnsi="宋体" w:cs="宋体"/>
          <w:b/>
          <w:color w:val="auto"/>
          <w:sz w:val="24"/>
          <w:szCs w:val="24"/>
          <w:highlight w:val="none"/>
          <w:lang w:val="en-US" w:eastAsia="zh-CN"/>
        </w:rPr>
        <w:t xml:space="preserve">       </w:t>
      </w:r>
      <w:r>
        <w:rPr>
          <w:rFonts w:hint="eastAsia" w:hAnsi="宋体" w:eastAsia="宋体" w:cs="宋体"/>
          <w:b/>
          <w:color w:val="auto"/>
          <w:sz w:val="24"/>
          <w:szCs w:val="24"/>
          <w:highlight w:val="none"/>
          <w:lang w:eastAsia="zh-CN"/>
        </w:rPr>
        <w:t>元</w:t>
      </w:r>
      <w:r>
        <w:rPr>
          <w:rFonts w:hint="eastAsia" w:ascii="宋体" w:hAnsi="宋体" w:eastAsia="宋体" w:cs="宋体"/>
          <w:b/>
          <w:color w:val="auto"/>
          <w:sz w:val="24"/>
          <w:szCs w:val="24"/>
          <w:highlight w:val="none"/>
        </w:rPr>
        <w:t xml:space="preserve">）。 </w:t>
      </w:r>
    </w:p>
    <w:p w14:paraId="70D61296">
      <w:pPr>
        <w:pStyle w:val="19"/>
        <w:keepNext w:val="0"/>
        <w:keepLines w:val="0"/>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本合同总价包括招标文件所确定的招标范围相应服务的提供、人员（包括工资和补贴）、</w:t>
      </w:r>
      <w:r>
        <w:rPr>
          <w:rFonts w:hint="eastAsia" w:hAnsi="宋体" w:cs="宋体"/>
          <w:color w:val="auto"/>
          <w:spacing w:val="2"/>
          <w:sz w:val="24"/>
          <w:szCs w:val="24"/>
        </w:rPr>
        <w:t>专家评审费、</w:t>
      </w:r>
      <w:r>
        <w:rPr>
          <w:rFonts w:hint="eastAsia" w:ascii="宋体" w:hAnsi="宋体" w:eastAsia="宋体" w:cs="宋体"/>
          <w:color w:val="auto"/>
          <w:sz w:val="24"/>
          <w:szCs w:val="24"/>
          <w:highlight w:val="none"/>
        </w:rPr>
        <w:t>办公场所及设施、保险、劳保、管理、各种税费、利润、税金、政策性文件规定及合同包含的所有风险、责任等各项应有费用，以及为完成该项服务项目所涉及到的一切相关费用，</w:t>
      </w:r>
      <w:r>
        <w:rPr>
          <w:rFonts w:hint="eastAsia"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不再支付其他任何费用。</w:t>
      </w:r>
    </w:p>
    <w:p w14:paraId="697F2156">
      <w:pPr>
        <w:pStyle w:val="19"/>
        <w:keepNext w:val="0"/>
        <w:keepLines w:val="0"/>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本合同总价款还包含乙方应当提供的伴随服务/售后服务费用。</w:t>
      </w:r>
    </w:p>
    <w:p w14:paraId="45126A25">
      <w:pPr>
        <w:pStyle w:val="19"/>
        <w:keepNext w:val="0"/>
        <w:keepLines w:val="0"/>
        <w:pageBreakBefore w:val="0"/>
        <w:kinsoku/>
        <w:wordWrap/>
        <w:overflowPunct/>
        <w:topLinePunct w:val="0"/>
        <w:bidi w:val="0"/>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第三条 组成本合同的有关文件</w:t>
      </w:r>
    </w:p>
    <w:p w14:paraId="37125D8B">
      <w:pPr>
        <w:pStyle w:val="19"/>
        <w:keepNext w:val="0"/>
        <w:keepLines w:val="0"/>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下列与本次采购活动有关的文件及有关附件是本合同不可分割的组成部分，与本合同具有同等法律效力，这些文件包括但不限于：</w:t>
      </w:r>
    </w:p>
    <w:p w14:paraId="6B13982E">
      <w:pPr>
        <w:pStyle w:val="19"/>
        <w:keepNext w:val="0"/>
        <w:keepLines w:val="0"/>
        <w:pageBreakBefore w:val="0"/>
        <w:numPr>
          <w:ilvl w:val="0"/>
          <w:numId w:val="15"/>
        </w:numPr>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招标文件（编号：</w:t>
      </w: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      </w:t>
      </w:r>
      <w:r>
        <w:rPr>
          <w:rFonts w:hint="eastAsia"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p>
    <w:p w14:paraId="41F7DAE0">
      <w:pPr>
        <w:pStyle w:val="19"/>
        <w:keepNext w:val="0"/>
        <w:keepLines w:val="0"/>
        <w:pageBreakBefore w:val="0"/>
        <w:numPr>
          <w:ilvl w:val="0"/>
          <w:numId w:val="15"/>
        </w:numPr>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乙方提供的投标文件； </w:t>
      </w:r>
    </w:p>
    <w:p w14:paraId="1E0E8D8D">
      <w:pPr>
        <w:pStyle w:val="19"/>
        <w:keepNext w:val="0"/>
        <w:keepLines w:val="0"/>
        <w:pageBreakBefore w:val="0"/>
        <w:numPr>
          <w:ilvl w:val="0"/>
          <w:numId w:val="15"/>
        </w:numPr>
        <w:kinsoku/>
        <w:wordWrap/>
        <w:overflowPunct/>
        <w:topLinePunct w:val="0"/>
        <w:bidi w:val="0"/>
        <w:spacing w:line="360" w:lineRule="auto"/>
        <w:ind w:left="0" w:lef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中标通知书；                        </w:t>
      </w:r>
    </w:p>
    <w:p w14:paraId="0A8FE213">
      <w:pPr>
        <w:pStyle w:val="19"/>
        <w:keepNext w:val="0"/>
        <w:keepLines w:val="0"/>
        <w:pageBreakBefore w:val="0"/>
        <w:numPr>
          <w:ilvl w:val="0"/>
          <w:numId w:val="15"/>
        </w:numPr>
        <w:kinsoku/>
        <w:wordWrap/>
        <w:overflowPunct/>
        <w:topLinePunct w:val="0"/>
        <w:bidi w:val="0"/>
        <w:spacing w:line="360" w:lineRule="auto"/>
        <w:ind w:left="0" w:lef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甲乙双方商定的其他文件等。</w:t>
      </w:r>
    </w:p>
    <w:p w14:paraId="3EC88024">
      <w:pPr>
        <w:keepNext w:val="0"/>
        <w:keepLines w:val="0"/>
        <w:pageBreakBefore w:val="0"/>
        <w:kinsoku/>
        <w:wordWrap/>
        <w:overflowPunct/>
        <w:topLinePunct w:val="0"/>
        <w:bidi w:val="0"/>
        <w:adjustRightInd w:val="0"/>
        <w:snapToGrid w:val="0"/>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第四条 项目服务期限</w:t>
      </w:r>
    </w:p>
    <w:p w14:paraId="3B40948F">
      <w:pPr>
        <w:keepNext w:val="0"/>
        <w:keepLines w:val="0"/>
        <w:pageBreakBefore w:val="0"/>
        <w:kinsoku/>
        <w:wordWrap/>
        <w:overflowPunct/>
        <w:topLinePunct w:val="0"/>
        <w:bidi w:val="0"/>
        <w:adjustRightInd w:val="0"/>
        <w:snapToGrid w:val="0"/>
        <w:spacing w:line="360" w:lineRule="auto"/>
        <w:ind w:firstLine="480" w:firstLineChars="200"/>
        <w:textAlignment w:val="auto"/>
        <w:outlineLvl w:val="9"/>
        <w:rPr>
          <w:rFonts w:hint="default"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lang w:eastAsia="zh-CN"/>
        </w:rPr>
        <w:t>自签订合同之日起120个日历天内，完成项目地块土壤污染风险评估报告编制（含</w:t>
      </w:r>
      <w:r>
        <w:rPr>
          <w:rFonts w:hint="eastAsia" w:ascii="宋体" w:hAnsi="宋体" w:cs="宋体"/>
          <w:color w:val="auto"/>
          <w:sz w:val="24"/>
          <w:szCs w:val="24"/>
          <w:highlight w:val="none"/>
          <w:lang w:eastAsia="zh-CN"/>
        </w:rPr>
        <w:t>入江</w:t>
      </w:r>
      <w:r>
        <w:rPr>
          <w:rFonts w:hint="eastAsia" w:ascii="宋体" w:hAnsi="宋体" w:eastAsia="宋体" w:cs="宋体"/>
          <w:color w:val="auto"/>
          <w:sz w:val="24"/>
          <w:szCs w:val="24"/>
          <w:highlight w:val="none"/>
          <w:lang w:eastAsia="zh-CN"/>
        </w:rPr>
        <w:t>风险评估</w:t>
      </w:r>
      <w:r>
        <w:rPr>
          <w:rFonts w:hint="eastAsia" w:ascii="宋体" w:hAnsi="宋体" w:cs="宋体"/>
          <w:color w:val="auto"/>
          <w:sz w:val="24"/>
          <w:szCs w:val="24"/>
          <w:highlight w:val="none"/>
          <w:lang w:eastAsia="zh-CN"/>
        </w:rPr>
        <w:t>专章</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eastAsia="zh-CN"/>
        </w:rPr>
        <w:t>经甲方确认后</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eastAsia="zh-CN"/>
        </w:rPr>
        <w:t>提交</w:t>
      </w:r>
      <w:r>
        <w:rPr>
          <w:rFonts w:hint="eastAsia" w:ascii="宋体" w:hAnsi="宋体" w:eastAsia="宋体" w:cs="宋体"/>
          <w:color w:val="auto"/>
          <w:sz w:val="24"/>
          <w:szCs w:val="24"/>
          <w:highlight w:val="none"/>
          <w:lang w:eastAsia="zh-CN"/>
        </w:rPr>
        <w:t>并通过</w:t>
      </w:r>
      <w:r>
        <w:rPr>
          <w:rFonts w:hint="eastAsia" w:ascii="宋体" w:hAnsi="宋体" w:eastAsia="宋体" w:cs="宋体"/>
          <w:color w:val="auto"/>
          <w:sz w:val="24"/>
          <w:szCs w:val="24"/>
          <w:highlight w:val="none"/>
          <w:lang w:val="en-US" w:eastAsia="zh-CN"/>
        </w:rPr>
        <w:t>生态环境</w:t>
      </w:r>
      <w:r>
        <w:rPr>
          <w:rFonts w:hint="eastAsia" w:ascii="宋体" w:hAnsi="宋体" w:eastAsia="宋体" w:cs="宋体"/>
          <w:color w:val="auto"/>
          <w:sz w:val="24"/>
          <w:szCs w:val="24"/>
          <w:highlight w:val="none"/>
          <w:lang w:eastAsia="zh-CN"/>
        </w:rPr>
        <w:t>主管部门组织的专家评审。</w:t>
      </w:r>
    </w:p>
    <w:p w14:paraId="1F45556C">
      <w:pPr>
        <w:keepNext w:val="0"/>
        <w:keepLines w:val="0"/>
        <w:pageBreakBefore w:val="0"/>
        <w:kinsoku/>
        <w:wordWrap/>
        <w:overflowPunct/>
        <w:topLinePunct w:val="0"/>
        <w:bidi w:val="0"/>
        <w:adjustRightInd w:val="0"/>
        <w:snapToGrid w:val="0"/>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w:t>
      </w:r>
      <w:r>
        <w:rPr>
          <w:rFonts w:hint="eastAsia" w:ascii="宋体" w:hAnsi="宋体" w:eastAsia="宋体" w:cs="宋体"/>
          <w:b/>
          <w:color w:val="auto"/>
          <w:sz w:val="24"/>
          <w:szCs w:val="24"/>
          <w:highlight w:val="none"/>
          <w:lang w:val="en-US" w:eastAsia="zh-CN"/>
        </w:rPr>
        <w:t>五</w:t>
      </w:r>
      <w:r>
        <w:rPr>
          <w:rFonts w:hint="eastAsia" w:ascii="宋体" w:hAnsi="宋体" w:eastAsia="宋体" w:cs="宋体"/>
          <w:b/>
          <w:color w:val="auto"/>
          <w:sz w:val="24"/>
          <w:szCs w:val="24"/>
          <w:highlight w:val="none"/>
        </w:rPr>
        <w:t>条 合同款结算及支付</w:t>
      </w:r>
    </w:p>
    <w:p w14:paraId="7D282949">
      <w:pPr>
        <w:keepNext w:val="0"/>
        <w:keepLines w:val="0"/>
        <w:pageBreakBefore w:val="0"/>
        <w:kinsoku/>
        <w:wordWrap/>
        <w:overflowPunct/>
        <w:topLinePunct w:val="0"/>
        <w:bidi w:val="0"/>
        <w:adjustRightInd w:val="0"/>
        <w:snapToGrid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1.本合同项下所有款项均以人民币支付。</w:t>
      </w:r>
    </w:p>
    <w:p w14:paraId="61BB12F6">
      <w:pPr>
        <w:keepNext w:val="0"/>
        <w:keepLines w:val="0"/>
        <w:pageBreakBefore w:val="0"/>
        <w:kinsoku/>
        <w:wordWrap/>
        <w:overflowPunct/>
        <w:topLinePunct w:val="0"/>
        <w:bidi w:val="0"/>
        <w:adjustRightInd w:val="0"/>
        <w:snapToGrid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2.本合同项下的采购资金由甲方自行支付，</w:t>
      </w:r>
      <w:r>
        <w:rPr>
          <w:rFonts w:hint="eastAsia" w:ascii="宋体" w:hAnsi="宋体" w:eastAsia="宋体" w:cs="宋体"/>
          <w:color w:val="auto"/>
          <w:sz w:val="24"/>
          <w:szCs w:val="24"/>
          <w:highlight w:val="none"/>
          <w:lang w:eastAsia="zh-CN"/>
        </w:rPr>
        <w:t>每次付款前，</w:t>
      </w:r>
      <w:r>
        <w:rPr>
          <w:rFonts w:hint="eastAsia" w:ascii="宋体" w:hAnsi="宋体" w:cs="宋体"/>
          <w:color w:val="auto"/>
          <w:sz w:val="24"/>
        </w:rPr>
        <w:t>乙方</w:t>
      </w:r>
      <w:r>
        <w:rPr>
          <w:rFonts w:hint="eastAsia" w:ascii="宋体" w:hAnsi="宋体" w:cs="宋体"/>
          <w:color w:val="auto"/>
          <w:sz w:val="24"/>
          <w:lang w:eastAsia="zh-CN"/>
        </w:rPr>
        <w:t>须</w:t>
      </w:r>
      <w:r>
        <w:rPr>
          <w:rFonts w:hint="eastAsia" w:ascii="宋体" w:hAnsi="宋体" w:cs="宋体"/>
          <w:color w:val="auto"/>
          <w:sz w:val="24"/>
        </w:rPr>
        <w:t>向甲方开具</w:t>
      </w:r>
      <w:r>
        <w:rPr>
          <w:rFonts w:hint="eastAsia" w:ascii="宋体" w:hAnsi="宋体" w:cs="宋体"/>
          <w:color w:val="auto"/>
          <w:sz w:val="24"/>
          <w:lang w:eastAsia="zh-CN"/>
        </w:rPr>
        <w:t>符合要求的等额</w:t>
      </w:r>
      <w:r>
        <w:rPr>
          <w:rFonts w:hint="eastAsia" w:ascii="宋体" w:hAnsi="宋体" w:cs="宋体"/>
          <w:color w:val="auto"/>
          <w:sz w:val="24"/>
        </w:rPr>
        <w:t>发票</w:t>
      </w:r>
      <w:r>
        <w:rPr>
          <w:rFonts w:hint="eastAsia" w:ascii="宋体" w:hAnsi="宋体" w:cs="宋体"/>
          <w:color w:val="auto"/>
          <w:sz w:val="24"/>
          <w:lang w:eastAsia="zh-CN"/>
        </w:rPr>
        <w:t>，否则甲方有权拒绝付款且不构成违约</w:t>
      </w:r>
      <w:r>
        <w:rPr>
          <w:rFonts w:hint="eastAsia" w:ascii="宋体" w:hAnsi="宋体" w:cs="宋体"/>
          <w:color w:val="auto"/>
          <w:sz w:val="24"/>
        </w:rPr>
        <w:t>。</w:t>
      </w:r>
    </w:p>
    <w:p w14:paraId="7247DC3E">
      <w:pPr>
        <w:keepNext w:val="0"/>
        <w:keepLines w:val="0"/>
        <w:pageBreakBefore w:val="0"/>
        <w:kinsoku/>
        <w:wordWrap/>
        <w:overflowPunct/>
        <w:topLinePunct w:val="0"/>
        <w:bidi w:val="0"/>
        <w:adjustRightInd w:val="0"/>
        <w:snapToGrid w:val="0"/>
        <w:spacing w:line="360" w:lineRule="auto"/>
        <w:ind w:firstLine="480" w:firstLineChars="200"/>
        <w:textAlignment w:val="auto"/>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3.结算方式：固定总价。</w:t>
      </w:r>
    </w:p>
    <w:p w14:paraId="2CE4DCF4">
      <w:pPr>
        <w:keepNext w:val="0"/>
        <w:keepLines w:val="0"/>
        <w:pageBreakBefore w:val="0"/>
        <w:kinsoku/>
        <w:wordWrap/>
        <w:overflowPunct/>
        <w:topLinePunct w:val="0"/>
        <w:bidi w:val="0"/>
        <w:adjustRightInd w:val="0"/>
        <w:snapToGrid w:val="0"/>
        <w:spacing w:line="360" w:lineRule="auto"/>
        <w:ind w:firstLine="480" w:firstLineChars="200"/>
        <w:textAlignment w:val="auto"/>
        <w:outlineLvl w:val="9"/>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.付款方式：中标供应商完成项目地块的土壤污染</w:t>
      </w:r>
      <w:r>
        <w:rPr>
          <w:rFonts w:hint="eastAsia" w:ascii="宋体" w:hAnsi="宋体" w:eastAsia="宋体" w:cs="宋体"/>
          <w:color w:val="auto"/>
          <w:sz w:val="24"/>
          <w:szCs w:val="24"/>
          <w:highlight w:val="none"/>
          <w:lang w:val="en-US" w:eastAsia="zh-CN"/>
        </w:rPr>
        <w:t>风险评估报告</w:t>
      </w:r>
      <w:r>
        <w:rPr>
          <w:rFonts w:hint="eastAsia" w:ascii="宋体" w:hAnsi="宋体" w:eastAsia="宋体" w:cs="宋体"/>
          <w:color w:val="auto"/>
          <w:sz w:val="24"/>
          <w:szCs w:val="24"/>
          <w:highlight w:val="none"/>
          <w:lang w:eastAsia="zh-CN"/>
        </w:rPr>
        <w:t>（含</w:t>
      </w:r>
      <w:r>
        <w:rPr>
          <w:rFonts w:hint="eastAsia" w:ascii="宋体" w:hAnsi="宋体" w:cs="宋体"/>
          <w:color w:val="auto"/>
          <w:sz w:val="24"/>
          <w:szCs w:val="24"/>
          <w:highlight w:val="none"/>
          <w:lang w:eastAsia="zh-CN"/>
        </w:rPr>
        <w:t>入江</w:t>
      </w:r>
      <w:r>
        <w:rPr>
          <w:rFonts w:hint="eastAsia" w:ascii="宋体" w:hAnsi="宋体" w:eastAsia="宋体" w:cs="宋体"/>
          <w:color w:val="auto"/>
          <w:sz w:val="24"/>
          <w:szCs w:val="24"/>
          <w:highlight w:val="none"/>
          <w:lang w:eastAsia="zh-CN"/>
        </w:rPr>
        <w:t>风险评估</w:t>
      </w:r>
      <w:r>
        <w:rPr>
          <w:rFonts w:hint="eastAsia" w:ascii="宋体" w:hAnsi="宋体" w:cs="宋体"/>
          <w:color w:val="auto"/>
          <w:sz w:val="24"/>
          <w:szCs w:val="24"/>
          <w:highlight w:val="none"/>
          <w:lang w:eastAsia="zh-CN"/>
        </w:rPr>
        <w:t>专章</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eastAsia="zh-CN"/>
        </w:rPr>
        <w:t>经甲方确认后，提交</w:t>
      </w:r>
      <w:r>
        <w:rPr>
          <w:rFonts w:hint="eastAsia" w:ascii="宋体" w:hAnsi="宋体" w:eastAsia="宋体" w:cs="宋体"/>
          <w:color w:val="auto"/>
          <w:sz w:val="24"/>
          <w:szCs w:val="24"/>
          <w:highlight w:val="none"/>
          <w:lang w:val="en-US" w:eastAsia="zh-CN"/>
        </w:rPr>
        <w:t>并</w:t>
      </w:r>
      <w:r>
        <w:rPr>
          <w:rFonts w:hint="eastAsia" w:ascii="宋体" w:hAnsi="宋体" w:eastAsia="宋体" w:cs="宋体"/>
          <w:color w:val="auto"/>
          <w:sz w:val="24"/>
          <w:szCs w:val="24"/>
          <w:highlight w:val="none"/>
        </w:rPr>
        <w:t>通过生态环境主管部门组织的专家评审</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经甲方确认</w:t>
      </w:r>
      <w:r>
        <w:rPr>
          <w:rFonts w:hint="eastAsia" w:ascii="宋体" w:hAnsi="宋体" w:eastAsia="宋体" w:cs="宋体"/>
          <w:color w:val="auto"/>
          <w:sz w:val="24"/>
          <w:szCs w:val="24"/>
          <w:highlight w:val="none"/>
        </w:rPr>
        <w:t>后30天内支付合同总额的90%；剩余款项在通过专家评审后6个月内结清。</w:t>
      </w:r>
    </w:p>
    <w:p w14:paraId="634E7FDD">
      <w:pPr>
        <w:keepNext w:val="0"/>
        <w:keepLines w:val="0"/>
        <w:pageBreakBefore w:val="0"/>
        <w:kinsoku/>
        <w:wordWrap/>
        <w:overflowPunct/>
        <w:topLinePunct w:val="0"/>
        <w:bidi w:val="0"/>
        <w:adjustRightInd w:val="0"/>
        <w:snapToGrid w:val="0"/>
        <w:spacing w:line="360" w:lineRule="auto"/>
        <w:ind w:firstLine="482" w:firstLineChars="200"/>
        <w:textAlignment w:val="auto"/>
        <w:outlineLvl w:val="9"/>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第六条 知识产权及保密责任</w:t>
      </w:r>
    </w:p>
    <w:p w14:paraId="30CAAA39">
      <w:pPr>
        <w:keepNext w:val="0"/>
        <w:keepLines w:val="0"/>
        <w:pageBreakBefore w:val="0"/>
        <w:kinsoku/>
        <w:wordWrap/>
        <w:overflowPunct/>
        <w:topLinePunct w:val="0"/>
        <w:bidi w:val="0"/>
        <w:adjustRightInd w:val="0"/>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1.本合同项下形成的所有服务成果的知识产权归甲方所有，未经甲方书面许可，乙方不得将服务成果提供给第三方，且不得为除本合同规定的目的以外的自身利益或任何其他方的利益而使用。</w:t>
      </w:r>
    </w:p>
    <w:p w14:paraId="5BC860B1">
      <w:pPr>
        <w:keepNext w:val="0"/>
        <w:keepLines w:val="0"/>
        <w:pageBreakBefore w:val="0"/>
        <w:kinsoku/>
        <w:wordWrap/>
        <w:overflowPunct/>
        <w:topLinePunct w:val="0"/>
        <w:bidi w:val="0"/>
        <w:adjustRightInd w:val="0"/>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2.乙方应保证提交的服务成果不侵犯任何第三人的知识产权，否则由乙方承担全部法律责任，给甲方造成损失的，乙方还应赔偿甲方全部损失。</w:t>
      </w:r>
    </w:p>
    <w:p w14:paraId="0E0C8665">
      <w:pPr>
        <w:keepNext w:val="0"/>
        <w:keepLines w:val="0"/>
        <w:pageBreakBefore w:val="0"/>
        <w:kinsoku/>
        <w:wordWrap/>
        <w:overflowPunct/>
        <w:topLinePunct w:val="0"/>
        <w:bidi w:val="0"/>
        <w:adjustRightInd w:val="0"/>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乙方及乙方确有必要知悉的工作人员、法律顾问、财务顾问等应遵守保密规定，对本合同履行期间知悉的各种信息与文件资料、本合同项下所形成的服务成果等予以保密，未经甲方书面同意，不得向本合同外的任何第三方披露、转让。本保密条款效力独立于本协议，保密期限为：永久保密。</w:t>
      </w:r>
    </w:p>
    <w:p w14:paraId="7D2F02D4">
      <w:pPr>
        <w:keepNext w:val="0"/>
        <w:keepLines w:val="0"/>
        <w:pageBreakBefore w:val="0"/>
        <w:kinsoku/>
        <w:wordWrap/>
        <w:overflowPunct/>
        <w:topLinePunct w:val="0"/>
        <w:bidi w:val="0"/>
        <w:adjustRightInd w:val="0"/>
        <w:snapToGrid w:val="0"/>
        <w:spacing w:line="360" w:lineRule="auto"/>
        <w:ind w:firstLine="482" w:firstLineChars="200"/>
        <w:textAlignment w:val="auto"/>
        <w:outlineLvl w:val="9"/>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第七条 违约责任</w:t>
      </w:r>
    </w:p>
    <w:p w14:paraId="64C6724C">
      <w:pPr>
        <w:keepNext w:val="0"/>
        <w:keepLines w:val="0"/>
        <w:pageBreakBefore w:val="0"/>
        <w:kinsoku/>
        <w:wordWrap/>
        <w:overflowPunct/>
        <w:topLinePunct w:val="0"/>
        <w:bidi w:val="0"/>
        <w:adjustRightInd w:val="0"/>
        <w:snapToGrid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1.如乙方不能按约定</w:t>
      </w:r>
      <w:r>
        <w:rPr>
          <w:rFonts w:hint="eastAsia" w:ascii="宋体" w:hAnsi="宋体" w:eastAsia="宋体" w:cs="宋体"/>
          <w:color w:val="auto"/>
          <w:sz w:val="24"/>
          <w:szCs w:val="24"/>
          <w:highlight w:val="none"/>
          <w:lang w:eastAsia="zh-CN"/>
        </w:rPr>
        <w:t>的期限提交服务成果</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eastAsia="zh-CN"/>
        </w:rPr>
        <w:t>每逾期</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日应向甲方支付合同总价万分之五的违约金，逾期达</w:t>
      </w:r>
      <w:r>
        <w:rPr>
          <w:rFonts w:hint="eastAsia" w:ascii="宋体" w:hAnsi="宋体" w:eastAsia="宋体" w:cs="宋体"/>
          <w:color w:val="auto"/>
          <w:sz w:val="24"/>
          <w:szCs w:val="24"/>
          <w:highlight w:val="none"/>
          <w:lang w:val="en-US" w:eastAsia="zh-CN"/>
        </w:rPr>
        <w:t>30日的</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甲方有权解除合同，同时有权要求乙方按照合同总价5%的标准支付违约金，解除合同的通知自发出之日生效。</w:t>
      </w:r>
    </w:p>
    <w:p w14:paraId="6162136A">
      <w:pPr>
        <w:keepNext w:val="0"/>
        <w:keepLines w:val="0"/>
        <w:pageBreakBefore w:val="0"/>
        <w:kinsoku/>
        <w:wordWrap/>
        <w:overflowPunct/>
        <w:topLinePunct w:val="0"/>
        <w:bidi w:val="0"/>
        <w:adjustRightInd w:val="0"/>
        <w:snapToGrid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2.如乙方提交的服务成果不能通过专家评审的，甲方有权要求乙方限期整改，乙方拒绝整改或整改后仍不能通过专家评审的，甲方有权解除合同并要求乙方支付合同总价10%的违约金，</w:t>
      </w:r>
      <w:r>
        <w:rPr>
          <w:rFonts w:hint="eastAsia" w:ascii="宋体" w:hAnsi="宋体" w:eastAsia="宋体" w:cs="宋体"/>
          <w:color w:val="auto"/>
          <w:sz w:val="24"/>
          <w:szCs w:val="24"/>
          <w:highlight w:val="none"/>
        </w:rPr>
        <w:t>解除合同的通知自发出之日生效。</w:t>
      </w:r>
    </w:p>
    <w:p w14:paraId="61EB7A54">
      <w:pPr>
        <w:keepNext w:val="0"/>
        <w:keepLines w:val="0"/>
        <w:pageBreakBefore w:val="0"/>
        <w:kinsoku/>
        <w:wordWrap/>
        <w:overflowPunct/>
        <w:topLinePunct w:val="0"/>
        <w:bidi w:val="0"/>
        <w:adjustRightInd w:val="0"/>
        <w:snapToGrid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.乙方未按本合同的规定和“服务承诺”提供伴随服务的，甲方有权提前解除本合同，同时乙方应按合同总价款的5%向甲方承担违约责任。</w:t>
      </w:r>
    </w:p>
    <w:p w14:paraId="1862C236">
      <w:pPr>
        <w:keepNext w:val="0"/>
        <w:keepLines w:val="0"/>
        <w:pageBreakBefore w:val="0"/>
        <w:kinsoku/>
        <w:wordWrap/>
        <w:overflowPunct/>
        <w:topLinePunct w:val="0"/>
        <w:bidi w:val="0"/>
        <w:adjustRightInd w:val="0"/>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default" w:ascii="宋体" w:hAnsi="宋体" w:cs="宋体"/>
          <w:color w:val="auto"/>
          <w:sz w:val="24"/>
          <w:lang w:val="en-US" w:eastAsia="zh-CN"/>
        </w:rPr>
        <w:t>4.乙方违反本合同第六条第2</w:t>
      </w:r>
      <w:r>
        <w:rPr>
          <w:rFonts w:hint="eastAsia" w:ascii="宋体" w:hAnsi="宋体" w:cs="宋体"/>
          <w:color w:val="auto"/>
          <w:sz w:val="24"/>
          <w:lang w:val="en-US" w:eastAsia="zh-CN"/>
        </w:rPr>
        <w:t>款、第</w:t>
      </w:r>
      <w:r>
        <w:rPr>
          <w:rFonts w:hint="default" w:ascii="宋体" w:hAnsi="宋体" w:cs="宋体"/>
          <w:color w:val="auto"/>
          <w:sz w:val="24"/>
          <w:lang w:val="en-US" w:eastAsia="zh-CN"/>
        </w:rPr>
        <w:t>3款</w:t>
      </w:r>
      <w:r>
        <w:rPr>
          <w:rFonts w:hint="eastAsia" w:ascii="宋体" w:hAnsi="宋体" w:cs="宋体"/>
          <w:color w:val="auto"/>
          <w:sz w:val="24"/>
          <w:lang w:val="en-US" w:eastAsia="zh-CN"/>
        </w:rPr>
        <w:t>约定的，甲方有权要求乙方支付合同总价20%的违约金，若该违约金不足以弥补甲方损失，则应当赔偿甲方所有损失。</w:t>
      </w:r>
    </w:p>
    <w:p w14:paraId="4BF979EA">
      <w:pPr>
        <w:keepNext w:val="0"/>
        <w:keepLines w:val="0"/>
        <w:pageBreakBefore w:val="0"/>
        <w:kinsoku/>
        <w:wordWrap/>
        <w:overflowPunct/>
        <w:topLinePunct w:val="0"/>
        <w:bidi w:val="0"/>
        <w:adjustRightInd w:val="0"/>
        <w:snapToGrid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.乙方在承担上述一项或多项违约责任后，仍应继续履行合同规定的义务（甲方解除合同的除外）。甲方未能及时追究乙方的任何一项违约责任并不表明甲方放弃追究乙方该项或其他违约责任。</w:t>
      </w:r>
    </w:p>
    <w:p w14:paraId="16739757">
      <w:pPr>
        <w:keepNext w:val="0"/>
        <w:keepLines w:val="0"/>
        <w:pageBreakBefore w:val="0"/>
        <w:kinsoku/>
        <w:wordWrap/>
        <w:overflowPunct/>
        <w:topLinePunct w:val="0"/>
        <w:bidi w:val="0"/>
        <w:adjustRightInd w:val="0"/>
        <w:snapToGrid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.乙方投标属虚假承诺，或是由于乙方的过错造成合同无法继续履行的，应向甲方支付合同总价30%</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rPr>
        <w:t>违约金，若该违约金不足以弥补甲方损失，则应当赔偿甲方所有损失。</w:t>
      </w:r>
    </w:p>
    <w:p w14:paraId="6BE7C429">
      <w:pPr>
        <w:keepNext w:val="0"/>
        <w:keepLines w:val="0"/>
        <w:pageBreakBefore w:val="0"/>
        <w:kinsoku/>
        <w:wordWrap/>
        <w:overflowPunct/>
        <w:topLinePunct w:val="0"/>
        <w:bidi w:val="0"/>
        <w:adjustRightInd w:val="0"/>
        <w:snapToGrid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.其他未尽事宜，以《中华人民共和国民法典》等有关法律法规规定为准，无相关规定的，双方协商解决。</w:t>
      </w:r>
    </w:p>
    <w:p w14:paraId="6A8FC7D2">
      <w:pPr>
        <w:keepNext w:val="0"/>
        <w:keepLines w:val="0"/>
        <w:pageBreakBefore w:val="0"/>
        <w:kinsoku/>
        <w:wordWrap/>
        <w:overflowPunct/>
        <w:topLinePunct w:val="0"/>
        <w:bidi w:val="0"/>
        <w:adjustRightInd w:val="0"/>
        <w:snapToGrid w:val="0"/>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w:t>
      </w:r>
      <w:r>
        <w:rPr>
          <w:rFonts w:hint="eastAsia" w:ascii="宋体" w:hAnsi="宋体" w:cs="宋体"/>
          <w:b/>
          <w:color w:val="auto"/>
          <w:sz w:val="24"/>
          <w:szCs w:val="24"/>
          <w:highlight w:val="none"/>
          <w:lang w:val="en-US" w:eastAsia="zh-CN"/>
        </w:rPr>
        <w:t>八</w:t>
      </w:r>
      <w:r>
        <w:rPr>
          <w:rFonts w:hint="eastAsia" w:ascii="宋体" w:hAnsi="宋体" w:eastAsia="宋体" w:cs="宋体"/>
          <w:b/>
          <w:color w:val="auto"/>
          <w:sz w:val="24"/>
          <w:szCs w:val="24"/>
          <w:highlight w:val="none"/>
        </w:rPr>
        <w:t>条 合同的变更和终止</w:t>
      </w:r>
    </w:p>
    <w:p w14:paraId="7AA12366">
      <w:pPr>
        <w:keepNext w:val="0"/>
        <w:keepLines w:val="0"/>
        <w:pageBreakBefore w:val="0"/>
        <w:kinsoku/>
        <w:wordWrap/>
        <w:overflowPunct/>
        <w:topLinePunct w:val="0"/>
        <w:bidi w:val="0"/>
        <w:adjustRightInd w:val="0"/>
        <w:snapToGrid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1.本合同一经签订，甲乙双方不得擅自变更、中止或终止合同。</w:t>
      </w:r>
    </w:p>
    <w:p w14:paraId="4021A72C">
      <w:pPr>
        <w:keepNext w:val="0"/>
        <w:keepLines w:val="0"/>
        <w:pageBreakBefore w:val="0"/>
        <w:kinsoku/>
        <w:wordWrap/>
        <w:overflowPunct/>
        <w:topLinePunct w:val="0"/>
        <w:bidi w:val="0"/>
        <w:adjustRightInd w:val="0"/>
        <w:snapToGrid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2.除发生法律规定的不能预见、不能避免并不能克服的客观情况外，甲乙双方不得放弃或拒绝履行合同。</w:t>
      </w:r>
    </w:p>
    <w:p w14:paraId="162D1A7D">
      <w:pPr>
        <w:keepNext w:val="0"/>
        <w:keepLines w:val="0"/>
        <w:pageBreakBefore w:val="0"/>
        <w:kinsoku/>
        <w:wordWrap/>
        <w:overflowPunct/>
        <w:topLinePunct w:val="0"/>
        <w:bidi w:val="0"/>
        <w:adjustRightInd w:val="0"/>
        <w:snapToGrid w:val="0"/>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w:t>
      </w:r>
      <w:r>
        <w:rPr>
          <w:rFonts w:hint="eastAsia" w:ascii="宋体" w:hAnsi="宋体" w:cs="宋体"/>
          <w:b/>
          <w:color w:val="auto"/>
          <w:sz w:val="24"/>
          <w:szCs w:val="24"/>
          <w:highlight w:val="none"/>
          <w:lang w:val="en-US" w:eastAsia="zh-CN"/>
        </w:rPr>
        <w:t>九</w:t>
      </w:r>
      <w:r>
        <w:rPr>
          <w:rFonts w:hint="eastAsia" w:ascii="宋体" w:hAnsi="宋体" w:eastAsia="宋体" w:cs="宋体"/>
          <w:b/>
          <w:color w:val="auto"/>
          <w:sz w:val="24"/>
          <w:szCs w:val="24"/>
          <w:highlight w:val="none"/>
        </w:rPr>
        <w:t>条 合同的转让</w:t>
      </w:r>
    </w:p>
    <w:p w14:paraId="74ACEF87">
      <w:pPr>
        <w:keepNext w:val="0"/>
        <w:keepLines w:val="0"/>
        <w:pageBreakBefore w:val="0"/>
        <w:kinsoku/>
        <w:wordWrap/>
        <w:overflowPunct/>
        <w:topLinePunct w:val="0"/>
        <w:bidi w:val="0"/>
        <w:adjustRightInd w:val="0"/>
        <w:snapToGrid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乙方不得擅自部分或全部转让其应履行的合同义务。</w:t>
      </w:r>
    </w:p>
    <w:p w14:paraId="74A87AC7">
      <w:pPr>
        <w:keepNext w:val="0"/>
        <w:keepLines w:val="0"/>
        <w:pageBreakBefore w:val="0"/>
        <w:kinsoku/>
        <w:wordWrap/>
        <w:overflowPunct/>
        <w:topLinePunct w:val="0"/>
        <w:bidi w:val="0"/>
        <w:adjustRightInd w:val="0"/>
        <w:snapToGrid w:val="0"/>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w:t>
      </w:r>
      <w:r>
        <w:rPr>
          <w:rFonts w:hint="eastAsia" w:ascii="宋体" w:hAnsi="宋体" w:cs="宋体"/>
          <w:b/>
          <w:color w:val="auto"/>
          <w:sz w:val="24"/>
          <w:szCs w:val="24"/>
          <w:highlight w:val="none"/>
          <w:lang w:val="en-US" w:eastAsia="zh-CN"/>
        </w:rPr>
        <w:t>十</w:t>
      </w:r>
      <w:r>
        <w:rPr>
          <w:rFonts w:hint="eastAsia" w:ascii="宋体" w:hAnsi="宋体" w:eastAsia="宋体" w:cs="宋体"/>
          <w:b/>
          <w:color w:val="auto"/>
          <w:sz w:val="24"/>
          <w:szCs w:val="24"/>
          <w:highlight w:val="none"/>
        </w:rPr>
        <w:t>条 不可抗力</w:t>
      </w:r>
    </w:p>
    <w:p w14:paraId="2C9CD3A6">
      <w:pPr>
        <w:keepNext w:val="0"/>
        <w:keepLines w:val="0"/>
        <w:pageBreakBefore w:val="0"/>
        <w:kinsoku/>
        <w:wordWrap/>
        <w:overflowPunct/>
        <w:topLinePunct w:val="0"/>
        <w:bidi w:val="0"/>
        <w:adjustRightInd w:val="0"/>
        <w:snapToGrid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甲、乙方中任何一方，因不可抗力不能按时或完全履行合同的，应及时通知对方，并在</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10</w:t>
      </w:r>
      <w:r>
        <w:rPr>
          <w:rFonts w:hint="eastAsia" w:ascii="宋体" w:hAnsi="宋体" w:eastAsia="宋体" w:cs="宋体"/>
          <w:color w:val="auto"/>
          <w:sz w:val="24"/>
          <w:szCs w:val="24"/>
          <w:highlight w:val="none"/>
          <w:u w:val="single"/>
        </w:rPr>
        <w:t xml:space="preserve"> 个</w:t>
      </w:r>
      <w:r>
        <w:rPr>
          <w:rFonts w:hint="eastAsia" w:ascii="宋体" w:hAnsi="宋体" w:eastAsia="宋体" w:cs="宋体"/>
          <w:color w:val="auto"/>
          <w:sz w:val="24"/>
          <w:szCs w:val="24"/>
          <w:highlight w:val="none"/>
        </w:rPr>
        <w:t>工作日内提供相应证明。未履行完合同部分是否继续履行、如何履行等问题，可由双方初步协商，并向主管部门报告。确定为不可抗力原因造成的损失，免予承担责任。</w:t>
      </w:r>
    </w:p>
    <w:p w14:paraId="4839BE8D">
      <w:pPr>
        <w:keepNext w:val="0"/>
        <w:keepLines w:val="0"/>
        <w:pageBreakBefore w:val="0"/>
        <w:kinsoku/>
        <w:wordWrap/>
        <w:overflowPunct/>
        <w:topLinePunct w:val="0"/>
        <w:bidi w:val="0"/>
        <w:adjustRightInd w:val="0"/>
        <w:snapToGrid w:val="0"/>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w:t>
      </w:r>
      <w:r>
        <w:rPr>
          <w:rFonts w:hint="eastAsia" w:ascii="宋体" w:hAnsi="宋体" w:eastAsia="宋体" w:cs="宋体"/>
          <w:b/>
          <w:color w:val="auto"/>
          <w:sz w:val="24"/>
          <w:szCs w:val="24"/>
          <w:highlight w:val="none"/>
          <w:lang w:val="en-US" w:eastAsia="zh-CN"/>
        </w:rPr>
        <w:t>十</w:t>
      </w:r>
      <w:r>
        <w:rPr>
          <w:rFonts w:hint="eastAsia" w:ascii="宋体" w:hAnsi="宋体" w:cs="宋体"/>
          <w:b/>
          <w:color w:val="auto"/>
          <w:sz w:val="24"/>
          <w:szCs w:val="24"/>
          <w:highlight w:val="none"/>
          <w:lang w:val="en-US" w:eastAsia="zh-CN"/>
        </w:rPr>
        <w:t>一</w:t>
      </w:r>
      <w:r>
        <w:rPr>
          <w:rFonts w:hint="eastAsia" w:ascii="宋体" w:hAnsi="宋体" w:eastAsia="宋体" w:cs="宋体"/>
          <w:b/>
          <w:color w:val="auto"/>
          <w:sz w:val="24"/>
          <w:szCs w:val="24"/>
          <w:highlight w:val="none"/>
        </w:rPr>
        <w:t>条 争议的解决</w:t>
      </w:r>
    </w:p>
    <w:p w14:paraId="62F0094F">
      <w:pPr>
        <w:keepNext w:val="0"/>
        <w:keepLines w:val="0"/>
        <w:pageBreakBefore w:val="0"/>
        <w:kinsoku/>
        <w:wordWrap/>
        <w:overflowPunct/>
        <w:topLinePunct w:val="0"/>
        <w:bidi w:val="0"/>
        <w:adjustRightInd w:val="0"/>
        <w:snapToGrid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1.因履行本合同引起的或与本合同有关的争议，甲、乙双方应首先通过友好协商解决，如果协商不能解决争议，则采取以下第（</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）种方式解决争议：</w:t>
      </w:r>
    </w:p>
    <w:p w14:paraId="342E54CE">
      <w:pPr>
        <w:keepNext w:val="0"/>
        <w:keepLines w:val="0"/>
        <w:pageBreakBefore w:val="0"/>
        <w:kinsoku/>
        <w:wordWrap/>
        <w:overflowPunct/>
        <w:topLinePunct w:val="0"/>
        <w:bidi w:val="0"/>
        <w:adjustRightInd w:val="0"/>
        <w:snapToGrid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（1）向甲方所在地人民法院提起诉讼；</w:t>
      </w:r>
    </w:p>
    <w:p w14:paraId="27BB06EC">
      <w:pPr>
        <w:keepNext w:val="0"/>
        <w:keepLines w:val="0"/>
        <w:pageBreakBefore w:val="0"/>
        <w:kinsoku/>
        <w:wordWrap/>
        <w:overflowPunct/>
        <w:topLinePunct w:val="0"/>
        <w:bidi w:val="0"/>
        <w:adjustRightInd w:val="0"/>
        <w:snapToGrid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（2）向</w:t>
      </w:r>
      <w:r>
        <w:rPr>
          <w:rFonts w:hint="eastAsia" w:ascii="宋体" w:hAnsi="宋体" w:eastAsia="宋体" w:cs="宋体"/>
          <w:color w:val="auto"/>
          <w:sz w:val="24"/>
          <w:szCs w:val="24"/>
          <w:highlight w:val="none"/>
          <w:lang w:eastAsia="zh-CN"/>
        </w:rPr>
        <w:t>常州</w:t>
      </w:r>
      <w:r>
        <w:rPr>
          <w:rFonts w:hint="eastAsia" w:ascii="宋体" w:hAnsi="宋体" w:eastAsia="宋体" w:cs="宋体"/>
          <w:color w:val="auto"/>
          <w:sz w:val="24"/>
          <w:szCs w:val="24"/>
          <w:highlight w:val="none"/>
        </w:rPr>
        <w:t>仲裁委员会按其仲裁规则申请仲裁。</w:t>
      </w:r>
    </w:p>
    <w:p w14:paraId="0777C39C">
      <w:pPr>
        <w:keepNext w:val="0"/>
        <w:keepLines w:val="0"/>
        <w:pageBreakBefore w:val="0"/>
        <w:kinsoku/>
        <w:wordWrap/>
        <w:overflowPunct/>
        <w:topLinePunct w:val="0"/>
        <w:bidi w:val="0"/>
        <w:adjustRightInd w:val="0"/>
        <w:snapToGrid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如没有约定，默认采取第2种方式解决争议。</w:t>
      </w:r>
    </w:p>
    <w:p w14:paraId="4304C69E">
      <w:pPr>
        <w:keepNext w:val="0"/>
        <w:keepLines w:val="0"/>
        <w:pageBreakBefore w:val="0"/>
        <w:kinsoku/>
        <w:wordWrap/>
        <w:overflowPunct/>
        <w:topLinePunct w:val="0"/>
        <w:bidi w:val="0"/>
        <w:adjustRightInd w:val="0"/>
        <w:snapToGrid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2.在法院审理和仲裁期间，除有争议部分外，本合同其他部分应继续履行。</w:t>
      </w:r>
    </w:p>
    <w:p w14:paraId="502A0E05">
      <w:pPr>
        <w:keepNext w:val="0"/>
        <w:keepLines w:val="0"/>
        <w:pageBreakBefore w:val="0"/>
        <w:kinsoku/>
        <w:wordWrap/>
        <w:overflowPunct/>
        <w:topLinePunct w:val="0"/>
        <w:bidi w:val="0"/>
        <w:adjustRightInd w:val="0"/>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3.守约方于争议解决过程发生的费用（包括但不限于诉讼费、仲裁费、公证费、律师费、鉴定费、差旅费、保全费、担保费等），应由违约方承担。</w:t>
      </w:r>
    </w:p>
    <w:p w14:paraId="0BF59A67">
      <w:pPr>
        <w:keepNext w:val="0"/>
        <w:keepLines w:val="0"/>
        <w:pageBreakBefore w:val="0"/>
        <w:kinsoku/>
        <w:wordWrap/>
        <w:overflowPunct/>
        <w:topLinePunct w:val="0"/>
        <w:bidi w:val="0"/>
        <w:adjustRightInd w:val="0"/>
        <w:snapToGrid w:val="0"/>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第十</w:t>
      </w:r>
      <w:r>
        <w:rPr>
          <w:rFonts w:hint="eastAsia" w:ascii="宋体" w:hAnsi="宋体" w:cs="宋体"/>
          <w:b/>
          <w:color w:val="auto"/>
          <w:sz w:val="24"/>
          <w:szCs w:val="24"/>
          <w:highlight w:val="none"/>
          <w:lang w:val="en-US" w:eastAsia="zh-CN"/>
        </w:rPr>
        <w:t>二</w:t>
      </w:r>
      <w:r>
        <w:rPr>
          <w:rFonts w:hint="eastAsia" w:ascii="宋体" w:hAnsi="宋体" w:eastAsia="宋体" w:cs="宋体"/>
          <w:b/>
          <w:color w:val="auto"/>
          <w:sz w:val="24"/>
          <w:szCs w:val="24"/>
          <w:highlight w:val="none"/>
        </w:rPr>
        <w:t xml:space="preserve">条 诚实信用 </w:t>
      </w:r>
    </w:p>
    <w:p w14:paraId="101AF2D7">
      <w:pPr>
        <w:keepNext w:val="0"/>
        <w:keepLines w:val="0"/>
        <w:pageBreakBefore w:val="0"/>
        <w:kinsoku/>
        <w:wordWrap/>
        <w:overflowPunct/>
        <w:topLinePunct w:val="0"/>
        <w:bidi w:val="0"/>
        <w:adjustRightInd w:val="0"/>
        <w:snapToGrid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乙方应诚实信用，严格按照招标文件要求和投标承诺履行合同，不向甲方进行商业贿赂或者提供不正当利益。</w:t>
      </w:r>
    </w:p>
    <w:p w14:paraId="7CCFB5BD">
      <w:pPr>
        <w:keepNext w:val="0"/>
        <w:keepLines w:val="0"/>
        <w:pageBreakBefore w:val="0"/>
        <w:kinsoku/>
        <w:wordWrap/>
        <w:overflowPunct/>
        <w:topLinePunct w:val="0"/>
        <w:bidi w:val="0"/>
        <w:adjustRightInd w:val="0"/>
        <w:snapToGrid w:val="0"/>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第十</w:t>
      </w:r>
      <w:r>
        <w:rPr>
          <w:rFonts w:hint="eastAsia" w:ascii="宋体" w:hAnsi="宋体" w:cs="宋体"/>
          <w:b/>
          <w:color w:val="auto"/>
          <w:sz w:val="24"/>
          <w:szCs w:val="24"/>
          <w:highlight w:val="none"/>
          <w:lang w:val="en-US" w:eastAsia="zh-CN"/>
        </w:rPr>
        <w:t>三</w:t>
      </w:r>
      <w:r>
        <w:rPr>
          <w:rFonts w:hint="eastAsia" w:ascii="宋体" w:hAnsi="宋体" w:eastAsia="宋体" w:cs="宋体"/>
          <w:b/>
          <w:color w:val="auto"/>
          <w:sz w:val="24"/>
          <w:szCs w:val="24"/>
          <w:highlight w:val="none"/>
        </w:rPr>
        <w:t>条 合同生效及其他</w:t>
      </w:r>
    </w:p>
    <w:p w14:paraId="0FA4914D">
      <w:pPr>
        <w:keepNext w:val="0"/>
        <w:keepLines w:val="0"/>
        <w:pageBreakBefore w:val="0"/>
        <w:kinsoku/>
        <w:wordWrap/>
        <w:overflowPunct/>
        <w:topLinePunct w:val="0"/>
        <w:bidi w:val="0"/>
        <w:adjustRightInd w:val="0"/>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本合同自甲乙双方授权代表签字并加盖公章之日起生效。</w:t>
      </w:r>
    </w:p>
    <w:p w14:paraId="2415C986">
      <w:pPr>
        <w:keepNext w:val="0"/>
        <w:keepLines w:val="0"/>
        <w:pageBreakBefore w:val="0"/>
        <w:kinsoku/>
        <w:wordWrap/>
        <w:overflowPunct/>
        <w:topLinePunct w:val="0"/>
        <w:bidi w:val="0"/>
        <w:adjustRightInd w:val="0"/>
        <w:snapToGrid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2.本合同一式</w:t>
      </w:r>
      <w:r>
        <w:rPr>
          <w:rFonts w:hint="eastAsia" w:ascii="宋体" w:hAnsi="宋体" w:cs="宋体"/>
          <w:color w:val="auto"/>
          <w:sz w:val="24"/>
          <w:szCs w:val="24"/>
          <w:highlight w:val="none"/>
          <w:lang w:eastAsia="zh-CN"/>
        </w:rPr>
        <w:t>陆</w:t>
      </w:r>
      <w:r>
        <w:rPr>
          <w:rFonts w:hint="eastAsia" w:ascii="宋体" w:hAnsi="宋体" w:eastAsia="宋体" w:cs="宋体"/>
          <w:color w:val="auto"/>
          <w:sz w:val="24"/>
          <w:szCs w:val="24"/>
          <w:highlight w:val="none"/>
        </w:rPr>
        <w:t>份，甲乙双方各执</w:t>
      </w:r>
      <w:r>
        <w:rPr>
          <w:rFonts w:hint="eastAsia" w:ascii="宋体" w:hAnsi="宋体" w:cs="宋体"/>
          <w:color w:val="auto"/>
          <w:sz w:val="24"/>
          <w:szCs w:val="24"/>
          <w:highlight w:val="none"/>
          <w:lang w:eastAsia="zh-CN"/>
        </w:rPr>
        <w:t>叁</w:t>
      </w:r>
      <w:r>
        <w:rPr>
          <w:rFonts w:hint="eastAsia" w:ascii="宋体" w:hAnsi="宋体" w:eastAsia="宋体" w:cs="宋体"/>
          <w:color w:val="auto"/>
          <w:sz w:val="24"/>
          <w:szCs w:val="24"/>
          <w:highlight w:val="none"/>
        </w:rPr>
        <w:t>份。</w:t>
      </w:r>
    </w:p>
    <w:p w14:paraId="3EA32281">
      <w:pPr>
        <w:keepNext w:val="0"/>
        <w:keepLines w:val="0"/>
        <w:pageBreakBefore w:val="0"/>
        <w:kinsoku/>
        <w:wordWrap/>
        <w:overflowPunct/>
        <w:topLinePunct w:val="0"/>
        <w:bidi w:val="0"/>
        <w:adjustRightInd w:val="0"/>
        <w:snapToGrid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3.本合同应按照中华人民共和国的现行法律进行解释。</w:t>
      </w:r>
    </w:p>
    <w:p w14:paraId="1A20C756">
      <w:pPr>
        <w:keepNext w:val="0"/>
        <w:keepLines w:val="0"/>
        <w:pageBreakBefore w:val="0"/>
        <w:kinsoku/>
        <w:wordWrap/>
        <w:overflowPunct/>
        <w:topLinePunct w:val="0"/>
        <w:bidi w:val="0"/>
        <w:spacing w:line="360" w:lineRule="auto"/>
        <w:jc w:val="left"/>
        <w:textAlignment w:val="auto"/>
        <w:outlineLvl w:val="9"/>
        <w:rPr>
          <w:rFonts w:hint="eastAsia" w:ascii="宋体" w:hAnsi="宋体" w:eastAsia="宋体" w:cs="宋体"/>
          <w:b/>
          <w:bCs/>
          <w:color w:val="auto"/>
          <w:sz w:val="24"/>
          <w:szCs w:val="24"/>
          <w:highlight w:val="none"/>
        </w:rPr>
      </w:pPr>
    </w:p>
    <w:p w14:paraId="4E4A209A">
      <w:pPr>
        <w:keepNext w:val="0"/>
        <w:keepLines w:val="0"/>
        <w:pageBreakBefore w:val="0"/>
        <w:kinsoku/>
        <w:wordWrap/>
        <w:overflowPunct/>
        <w:topLinePunct w:val="0"/>
        <w:bidi w:val="0"/>
        <w:spacing w:line="360" w:lineRule="auto"/>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甲    方</w:t>
      </w:r>
      <w:r>
        <w:rPr>
          <w:rFonts w:hint="eastAsia" w:ascii="宋体" w:hAnsi="宋体" w:eastAsia="宋体" w:cs="宋体"/>
          <w:color w:val="auto"/>
          <w:sz w:val="24"/>
          <w:szCs w:val="24"/>
          <w:highlight w:val="none"/>
        </w:rPr>
        <w:t xml:space="preserve">：                               </w:t>
      </w:r>
      <w:r>
        <w:rPr>
          <w:rFonts w:hint="eastAsia" w:ascii="宋体" w:hAnsi="宋体" w:eastAsia="宋体" w:cs="宋体"/>
          <w:b/>
          <w:bCs/>
          <w:color w:val="auto"/>
          <w:sz w:val="24"/>
          <w:szCs w:val="24"/>
          <w:highlight w:val="none"/>
        </w:rPr>
        <w:t>乙    方</w:t>
      </w:r>
      <w:r>
        <w:rPr>
          <w:rFonts w:hint="eastAsia" w:ascii="宋体" w:hAnsi="宋体" w:eastAsia="宋体" w:cs="宋体"/>
          <w:color w:val="auto"/>
          <w:sz w:val="24"/>
          <w:szCs w:val="24"/>
          <w:highlight w:val="none"/>
        </w:rPr>
        <w:t>：</w:t>
      </w:r>
    </w:p>
    <w:p w14:paraId="49EDDB13">
      <w:pPr>
        <w:keepNext w:val="0"/>
        <w:keepLines w:val="0"/>
        <w:pageBreakBefore w:val="0"/>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单位名称（章）：                          单位名称（章）：</w:t>
      </w:r>
    </w:p>
    <w:p w14:paraId="218DAF75">
      <w:pPr>
        <w:keepNext w:val="0"/>
        <w:keepLines w:val="0"/>
        <w:pageBreakBefore w:val="0"/>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单位地址：                               单位地址：</w:t>
      </w:r>
    </w:p>
    <w:p w14:paraId="37F80D5C">
      <w:pPr>
        <w:keepNext w:val="0"/>
        <w:keepLines w:val="0"/>
        <w:pageBreakBefore w:val="0"/>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委托代理人：          法定代表人：     委托代理人：                            </w:t>
      </w:r>
    </w:p>
    <w:p w14:paraId="4875EF45">
      <w:pPr>
        <w:keepNext w:val="0"/>
        <w:keepLines w:val="0"/>
        <w:pageBreakBefore w:val="0"/>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                                   电话：            传真：</w:t>
      </w:r>
    </w:p>
    <w:p w14:paraId="0D67857B">
      <w:pPr>
        <w:rPr>
          <w:color w:val="auto"/>
        </w:rPr>
      </w:pPr>
      <w:r>
        <w:rPr>
          <w:rFonts w:hint="eastAsia" w:ascii="宋体" w:hAnsi="宋体" w:eastAsia="宋体" w:cs="宋体"/>
          <w:color w:val="auto"/>
          <w:sz w:val="24"/>
          <w:szCs w:val="24"/>
          <w:highlight w:val="none"/>
        </w:rPr>
        <w:t xml:space="preserve">传真：                                   开户银行：        </w:t>
      </w:r>
      <w:r>
        <w:rPr>
          <w:rFonts w:hint="eastAsia" w:ascii="宋体" w:hAnsi="宋体" w:eastAsia="宋体" w:cs="宋体"/>
          <w:color w:val="auto"/>
          <w:sz w:val="24"/>
          <w:szCs w:val="24"/>
          <w:highlight w:val="none"/>
          <w:lang w:eastAsia="zh-CN"/>
        </w:rPr>
        <w:t>账</w:t>
      </w:r>
      <w:r>
        <w:rPr>
          <w:rFonts w:hint="eastAsia" w:ascii="宋体" w:hAnsi="宋体" w:eastAsia="宋体" w:cs="宋体"/>
          <w:color w:val="auto"/>
          <w:sz w:val="24"/>
          <w:szCs w:val="24"/>
          <w:highlight w:val="none"/>
        </w:rPr>
        <w:t>号：</w:t>
      </w:r>
    </w:p>
    <w:p w14:paraId="55210CBC">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3A2BDF25">
      <w:pPr>
        <w:pStyle w:val="16"/>
        <w:rPr>
          <w:rFonts w:hint="eastAsia"/>
          <w:color w:val="auto"/>
        </w:rPr>
      </w:pPr>
    </w:p>
    <w:p w14:paraId="643685B9">
      <w:pPr>
        <w:keepNext w:val="0"/>
        <w:keepLines w:val="0"/>
        <w:pageBreakBefore w:val="0"/>
        <w:widowControl w:val="0"/>
        <w:spacing w:line="360" w:lineRule="auto"/>
        <w:contextualSpacing/>
        <w:jc w:val="center"/>
        <w:outlineLvl w:val="0"/>
        <w:rPr>
          <w:b/>
          <w:color w:val="auto"/>
          <w:sz w:val="36"/>
          <w:szCs w:val="36"/>
          <w:highlight w:val="none"/>
        </w:rPr>
      </w:pPr>
      <w:bookmarkStart w:id="817" w:name="_Toc18832"/>
      <w:bookmarkStart w:id="818" w:name="_Toc99301426"/>
      <w:r>
        <w:rPr>
          <w:b/>
          <w:color w:val="auto"/>
          <w:sz w:val="36"/>
          <w:szCs w:val="36"/>
          <w:highlight w:val="none"/>
        </w:rPr>
        <w:t>第七章   投标文件格式</w:t>
      </w:r>
      <w:bookmarkEnd w:id="817"/>
      <w:bookmarkEnd w:id="818"/>
    </w:p>
    <w:p w14:paraId="43724740">
      <w:pPr>
        <w:tabs>
          <w:tab w:val="left" w:pos="900"/>
          <w:tab w:val="left" w:pos="1980"/>
        </w:tabs>
        <w:spacing w:line="360" w:lineRule="auto"/>
        <w:ind w:left="142"/>
        <w:outlineLvl w:val="9"/>
        <w:rPr>
          <w:b/>
          <w:color w:val="auto"/>
          <w:sz w:val="24"/>
          <w:highlight w:val="none"/>
        </w:rPr>
      </w:pPr>
    </w:p>
    <w:p w14:paraId="3E77480B">
      <w:pPr>
        <w:tabs>
          <w:tab w:val="left" w:pos="900"/>
          <w:tab w:val="left" w:pos="1980"/>
        </w:tabs>
        <w:spacing w:line="360" w:lineRule="auto"/>
        <w:ind w:left="142"/>
        <w:outlineLvl w:val="9"/>
        <w:rPr>
          <w:b/>
          <w:color w:val="auto"/>
          <w:sz w:val="24"/>
          <w:highlight w:val="none"/>
        </w:rPr>
      </w:pPr>
    </w:p>
    <w:p w14:paraId="132DD72A">
      <w:pPr>
        <w:tabs>
          <w:tab w:val="left" w:pos="900"/>
          <w:tab w:val="left" w:pos="1980"/>
        </w:tabs>
        <w:spacing w:line="360" w:lineRule="auto"/>
        <w:ind w:left="142"/>
        <w:outlineLvl w:val="9"/>
        <w:rPr>
          <w:color w:val="auto"/>
          <w:sz w:val="24"/>
          <w:highlight w:val="none"/>
        </w:rPr>
      </w:pPr>
      <w:r>
        <w:rPr>
          <w:b/>
          <w:color w:val="auto"/>
          <w:sz w:val="24"/>
          <w:highlight w:val="none"/>
        </w:rPr>
        <w:t>投标人编制文件须知</w:t>
      </w:r>
    </w:p>
    <w:p w14:paraId="2FBAC09D">
      <w:pPr>
        <w:tabs>
          <w:tab w:val="left" w:pos="900"/>
          <w:tab w:val="left" w:pos="1980"/>
        </w:tabs>
        <w:spacing w:line="360" w:lineRule="auto"/>
        <w:ind w:left="142"/>
        <w:outlineLvl w:val="9"/>
        <w:rPr>
          <w:color w:val="auto"/>
          <w:sz w:val="24"/>
          <w:highlight w:val="none"/>
        </w:rPr>
      </w:pPr>
      <w:r>
        <w:rPr>
          <w:color w:val="auto"/>
          <w:sz w:val="24"/>
          <w:highlight w:val="none"/>
        </w:rPr>
        <w:t>1、投标人按照本部分的顺序编制投标文件（资格证明文件）、投标文件（商务技术文件），编制中涉及格式资料的，应按照本部分提供的内容和格式（所有表格的格式可扩展）填写提交。</w:t>
      </w:r>
    </w:p>
    <w:p w14:paraId="2782797A">
      <w:pPr>
        <w:tabs>
          <w:tab w:val="left" w:pos="900"/>
          <w:tab w:val="left" w:pos="1980"/>
        </w:tabs>
        <w:spacing w:line="360" w:lineRule="auto"/>
        <w:ind w:left="142"/>
        <w:outlineLvl w:val="9"/>
        <w:rPr>
          <w:color w:val="auto"/>
          <w:sz w:val="24"/>
          <w:highlight w:val="none"/>
        </w:rPr>
      </w:pPr>
      <w:r>
        <w:rPr>
          <w:color w:val="auto"/>
          <w:sz w:val="24"/>
          <w:highlight w:val="none"/>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auto"/>
          <w:sz w:val="24"/>
          <w:highlight w:val="none"/>
        </w:rPr>
        <w:t>投标无效</w:t>
      </w:r>
      <w:r>
        <w:rPr>
          <w:color w:val="auto"/>
          <w:sz w:val="24"/>
          <w:highlight w:val="none"/>
        </w:rPr>
        <w:t>。未标记“实质性格式”的文件和招标文件未提供格式的内容，可由投标人自行编写。</w:t>
      </w:r>
    </w:p>
    <w:p w14:paraId="1AE0505D">
      <w:pPr>
        <w:tabs>
          <w:tab w:val="left" w:pos="900"/>
          <w:tab w:val="left" w:pos="1980"/>
        </w:tabs>
        <w:spacing w:line="360" w:lineRule="auto"/>
        <w:ind w:left="142"/>
        <w:outlineLvl w:val="9"/>
        <w:rPr>
          <w:rFonts w:hint="eastAsia"/>
          <w:color w:val="auto"/>
          <w:sz w:val="24"/>
          <w:highlight w:val="none"/>
        </w:rPr>
      </w:pPr>
      <w:r>
        <w:rPr>
          <w:color w:val="auto"/>
          <w:sz w:val="24"/>
          <w:highlight w:val="none"/>
        </w:rPr>
        <w:t>3、全部声明和问题的回答及所附材料必须是真实的、准确的和完整的。</w:t>
      </w:r>
    </w:p>
    <w:p w14:paraId="5B36316F">
      <w:pPr>
        <w:tabs>
          <w:tab w:val="left" w:pos="900"/>
          <w:tab w:val="left" w:pos="1980"/>
        </w:tabs>
        <w:spacing w:line="360" w:lineRule="auto"/>
        <w:ind w:left="142"/>
        <w:rPr>
          <w:color w:val="auto"/>
          <w:sz w:val="24"/>
          <w:highlight w:val="none"/>
        </w:rPr>
      </w:pPr>
      <w:r>
        <w:rPr>
          <w:rFonts w:hint="eastAsia"/>
          <w:color w:val="auto"/>
          <w:sz w:val="24"/>
          <w:highlight w:val="none"/>
        </w:rPr>
        <w:t>4、实行电子化不见面交易方式的，加盖公章、签名等均通过</w:t>
      </w:r>
      <w:r>
        <w:rPr>
          <w:color w:val="auto"/>
          <w:sz w:val="24"/>
          <w:highlight w:val="none"/>
        </w:rPr>
        <w:t>投标文件编制工具</w:t>
      </w:r>
      <w:r>
        <w:rPr>
          <w:rFonts w:hint="eastAsia"/>
          <w:color w:val="auto"/>
          <w:sz w:val="24"/>
          <w:highlight w:val="none"/>
        </w:rPr>
        <w:t>加盖电子公章、</w:t>
      </w:r>
      <w:r>
        <w:rPr>
          <w:rFonts w:ascii="宋体" w:hAnsi="宋体"/>
          <w:color w:val="auto"/>
          <w:sz w:val="24"/>
          <w:szCs w:val="20"/>
          <w:highlight w:val="none"/>
        </w:rPr>
        <w:t>签字</w:t>
      </w:r>
      <w:r>
        <w:rPr>
          <w:rFonts w:hint="eastAsia" w:ascii="宋体" w:hAnsi="宋体"/>
          <w:color w:val="auto"/>
          <w:sz w:val="24"/>
          <w:szCs w:val="20"/>
          <w:highlight w:val="none"/>
        </w:rPr>
        <w:t>、签章</w:t>
      </w:r>
      <w:r>
        <w:rPr>
          <w:rFonts w:ascii="宋体" w:hAnsi="宋体"/>
          <w:color w:val="auto"/>
          <w:sz w:val="24"/>
          <w:szCs w:val="20"/>
          <w:highlight w:val="none"/>
        </w:rPr>
        <w:t>或</w:t>
      </w:r>
      <w:r>
        <w:rPr>
          <w:rFonts w:hint="eastAsia" w:ascii="宋体" w:hAnsi="宋体"/>
          <w:color w:val="auto"/>
          <w:sz w:val="24"/>
          <w:szCs w:val="20"/>
          <w:highlight w:val="none"/>
        </w:rPr>
        <w:t>印鉴</w:t>
      </w:r>
      <w:r>
        <w:rPr>
          <w:rFonts w:hint="eastAsia"/>
          <w:color w:val="auto"/>
          <w:sz w:val="24"/>
          <w:highlight w:val="none"/>
        </w:rPr>
        <w:t>。</w:t>
      </w:r>
    </w:p>
    <w:p w14:paraId="598ECB4C">
      <w:pPr>
        <w:widowControl/>
        <w:jc w:val="left"/>
        <w:outlineLvl w:val="9"/>
        <w:rPr>
          <w:b/>
          <w:color w:val="auto"/>
          <w:sz w:val="30"/>
          <w:szCs w:val="20"/>
          <w:highlight w:val="none"/>
        </w:rPr>
      </w:pPr>
      <w:r>
        <w:rPr>
          <w:color w:val="auto"/>
          <w:sz w:val="24"/>
          <w:highlight w:val="none"/>
        </w:rPr>
        <w:br w:type="page" w:clear="all"/>
      </w:r>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r>
        <w:rPr>
          <w:b/>
          <w:color w:val="auto"/>
          <w:spacing w:val="20"/>
          <w:sz w:val="24"/>
          <w:highlight w:val="none"/>
        </w:rPr>
        <w:t>一、资格证明文件格式</w:t>
      </w:r>
    </w:p>
    <w:p w14:paraId="0155F125">
      <w:pPr>
        <w:outlineLvl w:val="9"/>
        <w:rPr>
          <w:b/>
          <w:color w:val="auto"/>
          <w:spacing w:val="20"/>
          <w:szCs w:val="21"/>
          <w:highlight w:val="none"/>
        </w:rPr>
      </w:pPr>
    </w:p>
    <w:p w14:paraId="4601DEF7">
      <w:pPr>
        <w:outlineLvl w:val="9"/>
        <w:rPr>
          <w:b/>
          <w:color w:val="auto"/>
          <w:sz w:val="24"/>
          <w:highlight w:val="none"/>
        </w:rPr>
      </w:pPr>
      <w:r>
        <w:rPr>
          <w:b/>
          <w:color w:val="auto"/>
          <w:spacing w:val="20"/>
          <w:sz w:val="24"/>
          <w:highlight w:val="none"/>
        </w:rPr>
        <w:t>投标文件</w:t>
      </w:r>
      <w:r>
        <w:rPr>
          <w:b/>
          <w:color w:val="auto"/>
          <w:sz w:val="24"/>
          <w:highlight w:val="none"/>
        </w:rPr>
        <w:t>封面（非实质性格式）</w:t>
      </w:r>
    </w:p>
    <w:p w14:paraId="7AFE6AAE">
      <w:pPr>
        <w:jc w:val="center"/>
        <w:outlineLvl w:val="9"/>
        <w:rPr>
          <w:color w:val="auto"/>
          <w:szCs w:val="21"/>
          <w:highlight w:val="none"/>
        </w:rPr>
      </w:pPr>
    </w:p>
    <w:p w14:paraId="09288E82">
      <w:pPr>
        <w:jc w:val="center"/>
        <w:outlineLvl w:val="9"/>
        <w:rPr>
          <w:b/>
          <w:color w:val="auto"/>
          <w:spacing w:val="60"/>
          <w:sz w:val="84"/>
          <w:szCs w:val="84"/>
          <w:highlight w:val="none"/>
        </w:rPr>
      </w:pPr>
      <w:r>
        <w:rPr>
          <w:b/>
          <w:color w:val="auto"/>
          <w:spacing w:val="60"/>
          <w:sz w:val="84"/>
          <w:szCs w:val="84"/>
          <w:highlight w:val="none"/>
        </w:rPr>
        <w:t>投 标 文 件</w:t>
      </w:r>
    </w:p>
    <w:p w14:paraId="6B9A5101">
      <w:pPr>
        <w:ind w:firstLine="963"/>
        <w:outlineLvl w:val="9"/>
        <w:rPr>
          <w:rFonts w:hint="eastAsia"/>
          <w:b/>
          <w:color w:val="auto"/>
          <w:spacing w:val="60"/>
          <w:sz w:val="52"/>
          <w:szCs w:val="52"/>
          <w:highlight w:val="none"/>
        </w:rPr>
      </w:pPr>
    </w:p>
    <w:p w14:paraId="61AEEBBC">
      <w:pPr>
        <w:ind w:firstLine="963"/>
        <w:outlineLvl w:val="9"/>
        <w:rPr>
          <w:rFonts w:hint="eastAsia"/>
          <w:b/>
          <w:color w:val="auto"/>
          <w:spacing w:val="60"/>
          <w:sz w:val="52"/>
          <w:szCs w:val="52"/>
          <w:highlight w:val="none"/>
        </w:rPr>
      </w:pPr>
    </w:p>
    <w:p w14:paraId="422AA4C2">
      <w:pPr>
        <w:ind w:firstLine="542"/>
        <w:outlineLvl w:val="9"/>
        <w:rPr>
          <w:b/>
          <w:color w:val="auto"/>
          <w:spacing w:val="20"/>
          <w:sz w:val="32"/>
          <w:szCs w:val="32"/>
          <w:highlight w:val="none"/>
        </w:rPr>
      </w:pPr>
    </w:p>
    <w:p w14:paraId="07D5F7D1">
      <w:pPr>
        <w:ind w:firstLine="542"/>
        <w:outlineLvl w:val="9"/>
        <w:rPr>
          <w:b/>
          <w:color w:val="auto"/>
          <w:spacing w:val="20"/>
          <w:sz w:val="32"/>
          <w:szCs w:val="32"/>
          <w:highlight w:val="none"/>
        </w:rPr>
      </w:pPr>
    </w:p>
    <w:p w14:paraId="5E41346A">
      <w:pPr>
        <w:ind w:firstLine="1084"/>
        <w:outlineLvl w:val="9"/>
        <w:rPr>
          <w:rFonts w:ascii="宋体" w:hAnsi="宋体"/>
          <w:b/>
          <w:color w:val="auto"/>
          <w:sz w:val="36"/>
          <w:highlight w:val="none"/>
        </w:rPr>
      </w:pPr>
      <w:r>
        <w:rPr>
          <w:rFonts w:hint="eastAsia" w:ascii="宋体" w:hAnsi="宋体"/>
          <w:b/>
          <w:color w:val="auto"/>
          <w:sz w:val="36"/>
          <w:highlight w:val="none"/>
        </w:rPr>
        <w:t>项 目 名 称：</w:t>
      </w:r>
      <w:r>
        <w:rPr>
          <w:rFonts w:hint="eastAsia" w:ascii="宋体" w:hAnsi="宋体"/>
          <w:b/>
          <w:color w:val="auto"/>
          <w:sz w:val="36"/>
          <w:highlight w:val="none"/>
          <w:u w:val="single"/>
        </w:rPr>
        <w:t xml:space="preserve">               </w:t>
      </w:r>
    </w:p>
    <w:p w14:paraId="53447715">
      <w:pPr>
        <w:ind w:firstLine="1084"/>
        <w:outlineLvl w:val="9"/>
        <w:rPr>
          <w:rFonts w:ascii="宋体" w:hAnsi="宋体"/>
          <w:b/>
          <w:color w:val="auto"/>
          <w:sz w:val="36"/>
          <w:highlight w:val="none"/>
          <w:u w:val="single"/>
        </w:rPr>
      </w:pPr>
      <w:r>
        <w:rPr>
          <w:rFonts w:hint="eastAsia" w:ascii="宋体" w:hAnsi="宋体"/>
          <w:b/>
          <w:color w:val="auto"/>
          <w:sz w:val="36"/>
          <w:highlight w:val="none"/>
        </w:rPr>
        <w:t>项 目 编 号：</w:t>
      </w:r>
      <w:r>
        <w:rPr>
          <w:rFonts w:hint="eastAsia" w:ascii="宋体" w:hAnsi="宋体"/>
          <w:b/>
          <w:color w:val="auto"/>
          <w:sz w:val="36"/>
          <w:highlight w:val="none"/>
          <w:u w:val="single"/>
        </w:rPr>
        <w:t xml:space="preserve">               </w:t>
      </w:r>
    </w:p>
    <w:p w14:paraId="2A55FF1D">
      <w:pPr>
        <w:outlineLvl w:val="9"/>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p>
    <w:p w14:paraId="62981231">
      <w:pPr>
        <w:outlineLvl w:val="9"/>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p>
    <w:p w14:paraId="6E89AB60">
      <w:pPr>
        <w:jc w:val="center"/>
        <w:outlineLvl w:val="9"/>
        <w:rPr>
          <w:b/>
          <w:color w:val="auto"/>
          <w:sz w:val="32"/>
          <w:szCs w:val="32"/>
          <w:highlight w:val="none"/>
        </w:rPr>
      </w:pPr>
    </w:p>
    <w:p w14:paraId="3779B4D7">
      <w:pPr>
        <w:jc w:val="center"/>
        <w:outlineLvl w:val="9"/>
        <w:rPr>
          <w:rFonts w:ascii="宋体" w:hAnsi="宋体"/>
          <w:b/>
          <w:color w:val="auto"/>
          <w:sz w:val="32"/>
          <w:szCs w:val="32"/>
          <w:highlight w:val="none"/>
        </w:rPr>
      </w:pPr>
      <w:r>
        <w:rPr>
          <w:b/>
          <w:color w:val="auto"/>
          <w:spacing w:val="20"/>
          <w:sz w:val="32"/>
          <w:szCs w:val="32"/>
          <w:highlight w:val="none"/>
        </w:rPr>
        <w:br w:type="page" w:clear="all"/>
      </w:r>
      <w:r>
        <w:rPr>
          <w:rFonts w:hint="eastAsia" w:ascii="宋体" w:hAnsi="宋体"/>
          <w:b/>
          <w:color w:val="auto"/>
          <w:sz w:val="32"/>
          <w:szCs w:val="32"/>
          <w:highlight w:val="none"/>
        </w:rPr>
        <w:t>一、资格证明文件</w:t>
      </w:r>
    </w:p>
    <w:p w14:paraId="56974F1D">
      <w:pPr>
        <w:outlineLvl w:val="9"/>
        <w:rPr>
          <w:b/>
          <w:color w:val="auto"/>
          <w:highlight w:val="none"/>
        </w:rPr>
      </w:pPr>
    </w:p>
    <w:p w14:paraId="0C94A387">
      <w:pPr>
        <w:spacing w:line="360" w:lineRule="auto"/>
        <w:outlineLvl w:val="9"/>
        <w:rPr>
          <w:color w:val="auto"/>
          <w:sz w:val="24"/>
          <w:szCs w:val="20"/>
          <w:highlight w:val="none"/>
        </w:rPr>
      </w:pPr>
      <w:r>
        <w:rPr>
          <w:color w:val="auto"/>
          <w:sz w:val="24"/>
          <w:szCs w:val="20"/>
          <w:highlight w:val="none"/>
        </w:rPr>
        <w:t xml:space="preserve">1 </w:t>
      </w:r>
      <w:r>
        <w:rPr>
          <w:color w:val="auto"/>
          <w:sz w:val="24"/>
          <w:highlight w:val="none"/>
        </w:rPr>
        <w:t>满足《中华人民共和国政府采购法》第二十二条规定及法律法规的其他规定</w:t>
      </w:r>
    </w:p>
    <w:p w14:paraId="0E14414C">
      <w:pPr>
        <w:outlineLvl w:val="9"/>
        <w:rPr>
          <w:rFonts w:hint="eastAsia" w:ascii="Times New Roman" w:eastAsia="宋体"/>
          <w:b/>
          <w:bCs/>
          <w:color w:val="auto"/>
          <w:highlight w:val="none"/>
          <w:u w:val="none"/>
          <w:lang w:val="en-US" w:eastAsia="zh-CN"/>
        </w:rPr>
      </w:pPr>
      <w:r>
        <w:rPr>
          <w:rFonts w:ascii="Times New Roman"/>
          <w:b/>
          <w:color w:val="auto"/>
          <w:highlight w:val="none"/>
          <w:u w:val="none"/>
        </w:rPr>
        <w:t>1-</w:t>
      </w:r>
      <w:r>
        <w:rPr>
          <w:rFonts w:hint="eastAsia" w:ascii="Times New Roman"/>
          <w:b/>
          <w:color w:val="auto"/>
          <w:highlight w:val="none"/>
          <w:u w:val="none"/>
        </w:rPr>
        <w:t>1</w:t>
      </w:r>
      <w:r>
        <w:rPr>
          <w:rFonts w:ascii="Times New Roman"/>
          <w:b/>
          <w:color w:val="auto"/>
          <w:highlight w:val="none"/>
          <w:u w:val="none"/>
        </w:rPr>
        <w:t xml:space="preserve"> 投标人资格声明</w:t>
      </w:r>
      <w:r>
        <w:rPr>
          <w:rFonts w:hint="eastAsia" w:ascii="Times New Roman"/>
          <w:b/>
          <w:color w:val="auto"/>
          <w:highlight w:val="none"/>
          <w:u w:val="none"/>
        </w:rPr>
        <w:t>函</w:t>
      </w:r>
      <w:r>
        <w:rPr>
          <w:rFonts w:hint="eastAsia" w:ascii="Times New Roman"/>
          <w:b/>
          <w:color w:val="auto"/>
          <w:highlight w:val="none"/>
          <w:u w:val="none"/>
          <w:lang w:val="en-US" w:eastAsia="zh-CN"/>
        </w:rPr>
        <w:t xml:space="preserve"> </w:t>
      </w:r>
    </w:p>
    <w:p w14:paraId="19EF48D6">
      <w:pPr>
        <w:widowControl/>
        <w:spacing w:before="120" w:line="360" w:lineRule="auto"/>
        <w:jc w:val="center"/>
        <w:outlineLvl w:val="9"/>
        <w:rPr>
          <w:rFonts w:hint="eastAsia" w:ascii="宋体" w:hAnsi="宋体" w:cs="宋体"/>
          <w:b/>
          <w:color w:val="auto"/>
          <w:sz w:val="28"/>
          <w:szCs w:val="28"/>
          <w:highlight w:val="none"/>
        </w:rPr>
      </w:pPr>
    </w:p>
    <w:p w14:paraId="0D4F7FBB">
      <w:pPr>
        <w:widowControl/>
        <w:spacing w:before="120" w:line="360" w:lineRule="auto"/>
        <w:jc w:val="center"/>
        <w:outlineLvl w:val="9"/>
        <w:rPr>
          <w:rFonts w:ascii="宋体" w:hAnsi="宋体" w:cs="宋体"/>
          <w:color w:val="auto"/>
          <w:szCs w:val="21"/>
          <w:highlight w:val="none"/>
        </w:rPr>
      </w:pPr>
      <w:r>
        <w:rPr>
          <w:rFonts w:hint="eastAsia" w:ascii="宋体" w:hAnsi="宋体" w:cs="宋体"/>
          <w:b/>
          <w:color w:val="auto"/>
          <w:sz w:val="28"/>
          <w:szCs w:val="28"/>
          <w:highlight w:val="none"/>
        </w:rPr>
        <w:t>投标人资格声明函</w:t>
      </w:r>
    </w:p>
    <w:p w14:paraId="0976E5DB">
      <w:pPr>
        <w:pStyle w:val="190"/>
        <w:spacing w:line="460" w:lineRule="exact"/>
        <w:ind w:firstLine="480"/>
        <w:outlineLvl w:val="9"/>
        <w:rPr>
          <w:color w:val="auto"/>
          <w:highlight w:val="none"/>
        </w:rPr>
      </w:pPr>
    </w:p>
    <w:p w14:paraId="5FCC6023">
      <w:pPr>
        <w:pStyle w:val="190"/>
        <w:spacing w:line="460" w:lineRule="exact"/>
        <w:ind w:firstLine="480"/>
        <w:outlineLvl w:val="9"/>
        <w:rPr>
          <w:rFonts w:hint="eastAsia" w:eastAsia="宋体"/>
          <w:color w:val="auto"/>
          <w:highlight w:val="none"/>
          <w:lang w:eastAsia="zh-CN"/>
        </w:rPr>
      </w:pPr>
      <w:r>
        <w:rPr>
          <w:rFonts w:hint="eastAsia"/>
          <w:color w:val="auto"/>
          <w:highlight w:val="none"/>
        </w:rPr>
        <w:t>致：</w:t>
      </w:r>
      <w:r>
        <w:rPr>
          <w:rFonts w:hint="eastAsia"/>
          <w:color w:val="auto"/>
          <w:highlight w:val="none"/>
          <w:lang w:eastAsia="zh-CN"/>
        </w:rPr>
        <w:t>江苏常信招标代理有限公司</w:t>
      </w:r>
    </w:p>
    <w:p w14:paraId="7034318F">
      <w:pPr>
        <w:pStyle w:val="190"/>
        <w:spacing w:line="460" w:lineRule="exact"/>
        <w:ind w:firstLine="960"/>
        <w:outlineLvl w:val="9"/>
        <w:rPr>
          <w:color w:val="auto"/>
          <w:highlight w:val="none"/>
          <w:u w:val="single"/>
        </w:rPr>
      </w:pPr>
      <w:r>
        <w:rPr>
          <w:rFonts w:hint="eastAsia"/>
          <w:color w:val="auto"/>
          <w:highlight w:val="none"/>
          <w:u w:val="single"/>
        </w:rPr>
        <w:t>（采购人名称）</w:t>
      </w:r>
    </w:p>
    <w:p w14:paraId="0805A364">
      <w:pPr>
        <w:pStyle w:val="190"/>
        <w:spacing w:line="460" w:lineRule="exact"/>
        <w:ind w:firstLine="480"/>
        <w:outlineLvl w:val="9"/>
        <w:rPr>
          <w:color w:val="auto"/>
          <w:highlight w:val="none"/>
        </w:rPr>
      </w:pPr>
    </w:p>
    <w:p w14:paraId="2F1A77DD">
      <w:pPr>
        <w:pStyle w:val="190"/>
        <w:spacing w:line="460" w:lineRule="exact"/>
        <w:ind w:firstLine="480"/>
        <w:outlineLvl w:val="9"/>
        <w:rPr>
          <w:color w:val="auto"/>
          <w:highlight w:val="none"/>
        </w:rPr>
      </w:pPr>
      <w:r>
        <w:rPr>
          <w:rFonts w:hint="eastAsia"/>
          <w:color w:val="auto"/>
          <w:highlight w:val="none"/>
        </w:rPr>
        <w:t>按照《中华人民共和国政府采购法》第二十二条和招标文件的规定，我单位郑重声明如下：</w:t>
      </w:r>
    </w:p>
    <w:p w14:paraId="6079D439">
      <w:pPr>
        <w:pStyle w:val="190"/>
        <w:spacing w:line="460" w:lineRule="exact"/>
        <w:ind w:firstLine="480"/>
        <w:outlineLvl w:val="9"/>
        <w:rPr>
          <w:color w:val="auto"/>
          <w:highlight w:val="none"/>
        </w:rPr>
      </w:pPr>
      <w:r>
        <w:rPr>
          <w:rFonts w:hint="eastAsia"/>
          <w:color w:val="auto"/>
          <w:highlight w:val="none"/>
        </w:rPr>
        <w:t>一、我单位是按照中华人民共和国法律规定登记注册的，注册地点为</w:t>
      </w:r>
      <w:r>
        <w:rPr>
          <w:rFonts w:hint="eastAsia"/>
          <w:color w:val="auto"/>
          <w:highlight w:val="none"/>
          <w:u w:val="single"/>
        </w:rPr>
        <w:t xml:space="preserve">         </w:t>
      </w:r>
      <w:r>
        <w:rPr>
          <w:rFonts w:hint="eastAsia"/>
          <w:color w:val="auto"/>
          <w:highlight w:val="none"/>
        </w:rPr>
        <w:t>，全称为</w:t>
      </w:r>
      <w:r>
        <w:rPr>
          <w:rFonts w:hint="eastAsia"/>
          <w:color w:val="auto"/>
          <w:highlight w:val="none"/>
          <w:u w:val="single"/>
        </w:rPr>
        <w:t xml:space="preserve">        </w:t>
      </w:r>
      <w:r>
        <w:rPr>
          <w:rFonts w:hint="eastAsia"/>
          <w:color w:val="auto"/>
          <w:highlight w:val="none"/>
        </w:rPr>
        <w:t>，统一社会信用代码为</w:t>
      </w:r>
      <w:r>
        <w:rPr>
          <w:rFonts w:hint="eastAsia"/>
          <w:color w:val="auto"/>
          <w:highlight w:val="none"/>
          <w:u w:val="single"/>
        </w:rPr>
        <w:t xml:space="preserve">           </w:t>
      </w:r>
      <w:r>
        <w:rPr>
          <w:rFonts w:hint="eastAsia"/>
          <w:color w:val="auto"/>
          <w:highlight w:val="none"/>
        </w:rPr>
        <w:t xml:space="preserve"> ，法定代表人（单位负责人）为</w:t>
      </w:r>
      <w:r>
        <w:rPr>
          <w:rFonts w:hint="eastAsia"/>
          <w:color w:val="auto"/>
          <w:highlight w:val="none"/>
          <w:u w:val="single"/>
        </w:rPr>
        <w:t xml:space="preserve">         </w:t>
      </w:r>
      <w:r>
        <w:rPr>
          <w:rFonts w:hint="eastAsia"/>
          <w:color w:val="auto"/>
          <w:highlight w:val="none"/>
        </w:rPr>
        <w:t>，具有独立承担民事责任的能力</w:t>
      </w:r>
      <w:r>
        <w:rPr>
          <w:rFonts w:hint="eastAsia"/>
          <w:b/>
          <w:color w:val="auto"/>
          <w:highlight w:val="none"/>
        </w:rPr>
        <w:t>（如属于分公司经总公司授权参与项目，由总公司承担民事责任的，需提供总公司项目授权书）</w:t>
      </w:r>
      <w:r>
        <w:rPr>
          <w:rFonts w:hint="eastAsia"/>
          <w:color w:val="auto"/>
          <w:highlight w:val="none"/>
        </w:rPr>
        <w:t>。</w:t>
      </w:r>
    </w:p>
    <w:p w14:paraId="439F092A">
      <w:pPr>
        <w:pStyle w:val="190"/>
        <w:spacing w:line="460" w:lineRule="exact"/>
        <w:ind w:firstLine="480"/>
        <w:outlineLvl w:val="9"/>
        <w:rPr>
          <w:color w:val="auto"/>
          <w:highlight w:val="none"/>
        </w:rPr>
      </w:pPr>
      <w:r>
        <w:rPr>
          <w:rFonts w:hint="eastAsia"/>
          <w:color w:val="auto"/>
          <w:highlight w:val="none"/>
        </w:rPr>
        <w:t>二、我单位具有良好的商业信誉（指投标人经营状况良好，无本资格声明第十条情形）和健全的财务会计制度。</w:t>
      </w:r>
    </w:p>
    <w:p w14:paraId="7EA1C430">
      <w:pPr>
        <w:pStyle w:val="190"/>
        <w:spacing w:line="460" w:lineRule="exact"/>
        <w:ind w:firstLine="480"/>
        <w:outlineLvl w:val="9"/>
        <w:rPr>
          <w:color w:val="auto"/>
          <w:highlight w:val="none"/>
        </w:rPr>
      </w:pPr>
      <w:r>
        <w:rPr>
          <w:rFonts w:hint="eastAsia"/>
          <w:color w:val="auto"/>
          <w:highlight w:val="none"/>
        </w:rPr>
        <w:t>三、我单位依法进行纳税和社会保险申报并实际履行了义务。</w:t>
      </w:r>
    </w:p>
    <w:p w14:paraId="08F24A14">
      <w:pPr>
        <w:pStyle w:val="190"/>
        <w:spacing w:line="460" w:lineRule="exact"/>
        <w:ind w:firstLine="480"/>
        <w:outlineLvl w:val="9"/>
        <w:rPr>
          <w:color w:val="auto"/>
          <w:highlight w:val="none"/>
        </w:rPr>
      </w:pPr>
      <w:r>
        <w:rPr>
          <w:rFonts w:hint="eastAsia"/>
          <w:color w:val="auto"/>
          <w:highlight w:val="none"/>
        </w:rPr>
        <w:t>四、我单位具有履行本项目采购合同所必需的设备和专业技术能力，并具有履行合同的良好</w:t>
      </w:r>
      <w:r>
        <w:rPr>
          <w:color w:val="auto"/>
          <w:highlight w:val="none"/>
        </w:rPr>
        <w:t>记录</w:t>
      </w:r>
      <w:r>
        <w:rPr>
          <w:rFonts w:hint="eastAsia"/>
          <w:color w:val="auto"/>
          <w:highlight w:val="none"/>
        </w:rPr>
        <w:t>。为履行本项采购合同我单位具备如下主要设备和主要专业技术能力:</w:t>
      </w:r>
    </w:p>
    <w:p w14:paraId="4FF6EEB7">
      <w:pPr>
        <w:pStyle w:val="190"/>
        <w:spacing w:line="460" w:lineRule="exact"/>
        <w:ind w:firstLine="480"/>
        <w:outlineLvl w:val="9"/>
        <w:rPr>
          <w:color w:val="auto"/>
          <w:highlight w:val="none"/>
        </w:rPr>
      </w:pPr>
      <w:r>
        <w:rPr>
          <w:rFonts w:hint="eastAsia"/>
          <w:color w:val="auto"/>
          <w:highlight w:val="none"/>
        </w:rPr>
        <w:t>主要设备有：</w:t>
      </w:r>
      <w:r>
        <w:rPr>
          <w:color w:val="auto"/>
          <w:highlight w:val="none"/>
          <w:u w:val="single"/>
        </w:rPr>
        <w:t xml:space="preserve">            </w:t>
      </w:r>
    </w:p>
    <w:p w14:paraId="77F3E231">
      <w:pPr>
        <w:pStyle w:val="190"/>
        <w:spacing w:line="460" w:lineRule="exact"/>
        <w:ind w:firstLine="480"/>
        <w:outlineLvl w:val="9"/>
        <w:rPr>
          <w:color w:val="auto"/>
          <w:highlight w:val="none"/>
        </w:rPr>
      </w:pPr>
      <w:r>
        <w:rPr>
          <w:rFonts w:hint="eastAsia"/>
          <w:color w:val="auto"/>
          <w:highlight w:val="none"/>
        </w:rPr>
        <w:t>主要专业技术能力有</w:t>
      </w:r>
      <w:r>
        <w:rPr>
          <w:rFonts w:hint="eastAsia"/>
          <w:color w:val="auto"/>
          <w:highlight w:val="none"/>
          <w:u w:val="single"/>
        </w:rPr>
        <w:t xml:space="preserve">                 </w:t>
      </w:r>
    </w:p>
    <w:p w14:paraId="303D99A4">
      <w:pPr>
        <w:pStyle w:val="190"/>
        <w:spacing w:line="460" w:lineRule="exact"/>
        <w:ind w:firstLine="480"/>
        <w:outlineLvl w:val="9"/>
        <w:rPr>
          <w:color w:val="auto"/>
          <w:highlight w:val="none"/>
        </w:rPr>
      </w:pPr>
      <w:r>
        <w:rPr>
          <w:rFonts w:hint="eastAsia"/>
          <w:color w:val="auto"/>
          <w:highlight w:val="none"/>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0EE33D31">
      <w:pPr>
        <w:pStyle w:val="190"/>
        <w:spacing w:line="460" w:lineRule="exact"/>
        <w:ind w:firstLine="480"/>
        <w:outlineLvl w:val="9"/>
        <w:rPr>
          <w:color w:val="auto"/>
          <w:highlight w:val="none"/>
        </w:rPr>
      </w:pPr>
      <w:r>
        <w:rPr>
          <w:rFonts w:hint="eastAsia"/>
          <w:color w:val="auto"/>
          <w:highlight w:val="none"/>
        </w:rPr>
        <w:t>六、我单位具备法律、行政法规规定的其他条件。</w:t>
      </w:r>
    </w:p>
    <w:p w14:paraId="767A2D65">
      <w:pPr>
        <w:pStyle w:val="190"/>
        <w:spacing w:line="460" w:lineRule="exact"/>
        <w:ind w:firstLine="480"/>
        <w:outlineLvl w:val="9"/>
        <w:rPr>
          <w:color w:val="auto"/>
          <w:highlight w:val="none"/>
        </w:rPr>
      </w:pPr>
      <w:r>
        <w:rPr>
          <w:rFonts w:hint="eastAsia"/>
          <w:color w:val="auto"/>
          <w:highlight w:val="none"/>
        </w:rPr>
        <w:t>七、与我单位存在“单位负责人为同一人或者存在直接控股、管理关系”的其他单位信息如下（如无此情形的，填写“无”）：</w:t>
      </w:r>
    </w:p>
    <w:p w14:paraId="27175F7C">
      <w:pPr>
        <w:pStyle w:val="190"/>
        <w:spacing w:line="460" w:lineRule="exact"/>
        <w:ind w:firstLine="480"/>
        <w:outlineLvl w:val="9"/>
        <w:rPr>
          <w:color w:val="auto"/>
          <w:highlight w:val="none"/>
        </w:rPr>
      </w:pPr>
      <w:r>
        <w:rPr>
          <w:rFonts w:hint="eastAsia"/>
          <w:color w:val="auto"/>
          <w:highlight w:val="none"/>
        </w:rPr>
        <w:t>1、与我单位的法定代表人（单位负责人）为同一人的其他单位如下：</w:t>
      </w:r>
      <w:r>
        <w:rPr>
          <w:rFonts w:hint="eastAsia"/>
          <w:color w:val="auto"/>
          <w:highlight w:val="none"/>
          <w:u w:val="single"/>
        </w:rPr>
        <w:t xml:space="preserve">     </w:t>
      </w:r>
      <w:r>
        <w:rPr>
          <w:rFonts w:hint="eastAsia"/>
          <w:color w:val="auto"/>
          <w:highlight w:val="none"/>
        </w:rPr>
        <w:t xml:space="preserve">          </w:t>
      </w:r>
    </w:p>
    <w:p w14:paraId="01B514AC">
      <w:pPr>
        <w:pStyle w:val="190"/>
        <w:spacing w:line="460" w:lineRule="exact"/>
        <w:ind w:firstLine="480"/>
        <w:outlineLvl w:val="9"/>
        <w:rPr>
          <w:color w:val="auto"/>
          <w:highlight w:val="none"/>
        </w:rPr>
      </w:pPr>
      <w:r>
        <w:rPr>
          <w:rFonts w:hint="eastAsia"/>
          <w:color w:val="auto"/>
          <w:highlight w:val="none"/>
        </w:rPr>
        <w:t>2、我单位直接控股的其他单位如下：</w:t>
      </w:r>
      <w:r>
        <w:rPr>
          <w:rFonts w:hint="eastAsia"/>
          <w:color w:val="auto"/>
          <w:highlight w:val="none"/>
          <w:u w:val="single"/>
        </w:rPr>
        <w:t xml:space="preserve">                    </w:t>
      </w:r>
      <w:r>
        <w:rPr>
          <w:rFonts w:hint="eastAsia"/>
          <w:color w:val="auto"/>
          <w:highlight w:val="none"/>
        </w:rPr>
        <w:t xml:space="preserve"> </w:t>
      </w:r>
    </w:p>
    <w:p w14:paraId="12F2661F">
      <w:pPr>
        <w:pStyle w:val="190"/>
        <w:spacing w:line="460" w:lineRule="exact"/>
        <w:ind w:firstLine="480"/>
        <w:outlineLvl w:val="9"/>
        <w:rPr>
          <w:color w:val="auto"/>
          <w:highlight w:val="none"/>
        </w:rPr>
      </w:pPr>
      <w:r>
        <w:rPr>
          <w:rFonts w:hint="eastAsia"/>
          <w:color w:val="auto"/>
          <w:highlight w:val="none"/>
        </w:rPr>
        <w:t>3、与我单位存在管理关系的其他单位如下：</w:t>
      </w:r>
      <w:r>
        <w:rPr>
          <w:rFonts w:hint="eastAsia"/>
          <w:color w:val="auto"/>
          <w:highlight w:val="none"/>
          <w:u w:val="single"/>
        </w:rPr>
        <w:t xml:space="preserve">              </w:t>
      </w:r>
      <w:r>
        <w:rPr>
          <w:rFonts w:hint="eastAsia"/>
          <w:color w:val="auto"/>
          <w:highlight w:val="none"/>
        </w:rPr>
        <w:t xml:space="preserve"> </w:t>
      </w:r>
    </w:p>
    <w:p w14:paraId="759E2BFF">
      <w:pPr>
        <w:pStyle w:val="190"/>
        <w:spacing w:line="460" w:lineRule="exact"/>
        <w:ind w:firstLine="480"/>
        <w:outlineLvl w:val="9"/>
        <w:rPr>
          <w:color w:val="auto"/>
          <w:highlight w:val="none"/>
        </w:rPr>
      </w:pPr>
      <w:r>
        <w:rPr>
          <w:rFonts w:hint="eastAsia"/>
          <w:color w:val="auto"/>
          <w:highlight w:val="none"/>
        </w:rPr>
        <w:t>八、</w:t>
      </w:r>
      <w:r>
        <w:rPr>
          <w:color w:val="auto"/>
          <w:highlight w:val="none"/>
        </w:rPr>
        <w:t>我</w:t>
      </w:r>
      <w:r>
        <w:rPr>
          <w:rFonts w:hint="eastAsia"/>
          <w:color w:val="auto"/>
          <w:highlight w:val="none"/>
        </w:rPr>
        <w:t>单位</w:t>
      </w:r>
      <w:r>
        <w:rPr>
          <w:color w:val="auto"/>
          <w:highlight w:val="none"/>
        </w:rPr>
        <w:t>不属于为本项目提供整体设计、规范编制或者项目管理、监理、检测等服务的投标人。</w:t>
      </w:r>
    </w:p>
    <w:p w14:paraId="6168389D">
      <w:pPr>
        <w:pStyle w:val="190"/>
        <w:spacing w:line="460" w:lineRule="exact"/>
        <w:ind w:firstLine="480"/>
        <w:outlineLvl w:val="9"/>
        <w:rPr>
          <w:color w:val="auto"/>
          <w:highlight w:val="none"/>
        </w:rPr>
      </w:pPr>
      <w:r>
        <w:rPr>
          <w:rFonts w:hint="eastAsia"/>
          <w:color w:val="auto"/>
          <w:highlight w:val="none"/>
        </w:rPr>
        <w:t>九、</w:t>
      </w:r>
      <w:r>
        <w:rPr>
          <w:color w:val="auto"/>
          <w:highlight w:val="none"/>
        </w:rPr>
        <w:t>我单位无以下不良信用记录情形：</w:t>
      </w:r>
    </w:p>
    <w:p w14:paraId="1DBC8FA3">
      <w:pPr>
        <w:pStyle w:val="190"/>
        <w:spacing w:line="460" w:lineRule="exact"/>
        <w:ind w:firstLine="480"/>
        <w:outlineLvl w:val="9"/>
        <w:rPr>
          <w:color w:val="auto"/>
          <w:highlight w:val="none"/>
        </w:rPr>
      </w:pPr>
      <w:r>
        <w:rPr>
          <w:color w:val="auto"/>
          <w:highlight w:val="none"/>
        </w:rPr>
        <w:t>1</w:t>
      </w:r>
      <w:r>
        <w:rPr>
          <w:rFonts w:hint="eastAsia"/>
          <w:color w:val="auto"/>
          <w:highlight w:val="none"/>
        </w:rPr>
        <w:t>、在“信用中国”网站被列入失信被执行人和重大税收违法案件当事人名单；</w:t>
      </w:r>
    </w:p>
    <w:p w14:paraId="55A99C0B">
      <w:pPr>
        <w:pStyle w:val="190"/>
        <w:spacing w:line="460" w:lineRule="exact"/>
        <w:ind w:firstLine="480"/>
        <w:outlineLvl w:val="9"/>
        <w:rPr>
          <w:color w:val="auto"/>
          <w:highlight w:val="none"/>
        </w:rPr>
      </w:pPr>
      <w:r>
        <w:rPr>
          <w:color w:val="auto"/>
          <w:highlight w:val="none"/>
        </w:rPr>
        <w:t>2</w:t>
      </w:r>
      <w:r>
        <w:rPr>
          <w:rFonts w:hint="eastAsia"/>
          <w:color w:val="auto"/>
          <w:highlight w:val="none"/>
        </w:rPr>
        <w:t>、在“中国政府采购网”网站被列入政府采购严重违法失信行为记录名单；</w:t>
      </w:r>
    </w:p>
    <w:p w14:paraId="67A575E0">
      <w:pPr>
        <w:pStyle w:val="190"/>
        <w:spacing w:line="460" w:lineRule="exact"/>
        <w:ind w:firstLine="480"/>
        <w:outlineLvl w:val="9"/>
        <w:rPr>
          <w:color w:val="auto"/>
          <w:highlight w:val="none"/>
        </w:rPr>
      </w:pPr>
      <w:r>
        <w:rPr>
          <w:color w:val="auto"/>
          <w:highlight w:val="none"/>
        </w:rPr>
        <w:t>3</w:t>
      </w:r>
      <w:r>
        <w:rPr>
          <w:rFonts w:hint="eastAsia"/>
          <w:color w:val="auto"/>
          <w:highlight w:val="none"/>
        </w:rPr>
        <w:t>、</w:t>
      </w:r>
      <w:r>
        <w:rPr>
          <w:color w:val="auto"/>
          <w:highlight w:val="none"/>
        </w:rPr>
        <w:t>不符合《政府采购法》第二十二条规定的条件。</w:t>
      </w:r>
    </w:p>
    <w:p w14:paraId="6EAF8CE6">
      <w:pPr>
        <w:pStyle w:val="190"/>
        <w:spacing w:line="460" w:lineRule="exact"/>
        <w:ind w:firstLine="480"/>
        <w:outlineLvl w:val="9"/>
        <w:rPr>
          <w:color w:val="auto"/>
          <w:highlight w:val="none"/>
        </w:rPr>
      </w:pPr>
    </w:p>
    <w:p w14:paraId="3F487CD7">
      <w:pPr>
        <w:pStyle w:val="190"/>
        <w:spacing w:line="460" w:lineRule="exact"/>
        <w:ind w:firstLine="480"/>
        <w:outlineLvl w:val="9"/>
        <w:rPr>
          <w:color w:val="auto"/>
          <w:highlight w:val="none"/>
        </w:rPr>
      </w:pPr>
      <w:r>
        <w:rPr>
          <w:rFonts w:hint="eastAsia"/>
          <w:color w:val="auto"/>
          <w:highlight w:val="none"/>
        </w:rPr>
        <w:t>我单位保证上述声明的事项都是真实的，如有虚假，我单位愿意承担相应的法律责任，并承担因此所造成的一切损失。</w:t>
      </w:r>
    </w:p>
    <w:p w14:paraId="20A9397F">
      <w:pPr>
        <w:pStyle w:val="190"/>
        <w:spacing w:line="460" w:lineRule="exact"/>
        <w:ind w:firstLine="480"/>
        <w:outlineLvl w:val="9"/>
        <w:rPr>
          <w:color w:val="auto"/>
          <w:highlight w:val="none"/>
        </w:rPr>
      </w:pPr>
    </w:p>
    <w:p w14:paraId="67394B49">
      <w:pPr>
        <w:pStyle w:val="190"/>
        <w:spacing w:line="460" w:lineRule="exact"/>
        <w:ind w:firstLine="480"/>
        <w:outlineLvl w:val="9"/>
        <w:rPr>
          <w:color w:val="auto"/>
          <w:highlight w:val="none"/>
        </w:rPr>
      </w:pPr>
    </w:p>
    <w:p w14:paraId="080566F9">
      <w:pPr>
        <w:pStyle w:val="190"/>
        <w:spacing w:line="460" w:lineRule="exact"/>
        <w:ind w:firstLine="480"/>
        <w:outlineLvl w:val="9"/>
        <w:rPr>
          <w:color w:val="auto"/>
          <w:highlight w:val="none"/>
        </w:rPr>
      </w:pPr>
      <w:r>
        <w:rPr>
          <w:rFonts w:hint="eastAsia"/>
          <w:color w:val="auto"/>
          <w:highlight w:val="none"/>
        </w:rPr>
        <w:t>                                            投标人：（加盖公章）</w:t>
      </w:r>
    </w:p>
    <w:p w14:paraId="0F267AE8">
      <w:pPr>
        <w:pStyle w:val="190"/>
        <w:spacing w:line="460" w:lineRule="exact"/>
        <w:ind w:firstLine="480"/>
        <w:outlineLvl w:val="9"/>
        <w:rPr>
          <w:color w:val="auto"/>
          <w:highlight w:val="none"/>
        </w:rPr>
      </w:pPr>
      <w:r>
        <w:rPr>
          <w:rFonts w:hint="eastAsia"/>
          <w:color w:val="auto"/>
          <w:highlight w:val="none"/>
        </w:rPr>
        <w:t>                                           法定代表人（或单位负责人）签字或盖章：</w:t>
      </w:r>
    </w:p>
    <w:p w14:paraId="3A0F97C0">
      <w:pPr>
        <w:pStyle w:val="190"/>
        <w:spacing w:line="460" w:lineRule="exact"/>
        <w:ind w:firstLine="4920"/>
        <w:outlineLvl w:val="9"/>
        <w:rPr>
          <w:rFonts w:hint="eastAsia"/>
          <w:color w:val="auto"/>
          <w:highlight w:val="none"/>
        </w:rPr>
      </w:pPr>
      <w:r>
        <w:rPr>
          <w:rFonts w:hint="eastAsia"/>
          <w:color w:val="auto"/>
          <w:highlight w:val="none"/>
        </w:rPr>
        <w:t>日期：    年    月    日</w:t>
      </w:r>
    </w:p>
    <w:p w14:paraId="44AC2D83">
      <w:pPr>
        <w:spacing w:line="360" w:lineRule="auto"/>
        <w:outlineLvl w:val="9"/>
        <w:rPr>
          <w:rFonts w:hint="eastAsia"/>
          <w:color w:val="auto"/>
          <w:sz w:val="24"/>
          <w:highlight w:val="none"/>
        </w:rPr>
      </w:pPr>
    </w:p>
    <w:p w14:paraId="78EF3621">
      <w:pPr>
        <w:spacing w:line="360" w:lineRule="auto"/>
        <w:outlineLvl w:val="9"/>
        <w:rPr>
          <w:rFonts w:hint="eastAsia"/>
          <w:color w:val="auto"/>
          <w:sz w:val="24"/>
          <w:highlight w:val="none"/>
        </w:rPr>
      </w:pPr>
    </w:p>
    <w:p w14:paraId="479541CB">
      <w:pPr>
        <w:spacing w:line="360" w:lineRule="auto"/>
        <w:outlineLvl w:val="9"/>
        <w:rPr>
          <w:rFonts w:hint="eastAsia"/>
          <w:color w:val="auto"/>
          <w:sz w:val="24"/>
          <w:highlight w:val="none"/>
        </w:rPr>
      </w:pPr>
    </w:p>
    <w:p w14:paraId="69B1D289">
      <w:pPr>
        <w:spacing w:line="360" w:lineRule="auto"/>
        <w:outlineLvl w:val="9"/>
        <w:rPr>
          <w:color w:val="auto"/>
          <w:sz w:val="24"/>
          <w:highlight w:val="none"/>
        </w:rPr>
      </w:pPr>
      <w:r>
        <w:rPr>
          <w:color w:val="auto"/>
          <w:sz w:val="24"/>
          <w:highlight w:val="none"/>
        </w:rPr>
        <w:t>说明：</w:t>
      </w:r>
      <w:r>
        <w:rPr>
          <w:rFonts w:hint="eastAsia"/>
          <w:color w:val="auto"/>
          <w:sz w:val="24"/>
          <w:highlight w:val="none"/>
          <w:lang w:eastAsia="zh-CN"/>
        </w:rPr>
        <w:t>投标人</w:t>
      </w:r>
      <w:r>
        <w:rPr>
          <w:rFonts w:hint="eastAsia"/>
          <w:color w:val="auto"/>
          <w:sz w:val="24"/>
          <w:highlight w:val="none"/>
        </w:rPr>
        <w:t>承诺不实的，依据《政府采购法》第七十七条“提供虚假材料谋取中标的”有关规定予以处理</w:t>
      </w:r>
      <w:r>
        <w:rPr>
          <w:color w:val="auto"/>
          <w:sz w:val="24"/>
          <w:highlight w:val="none"/>
        </w:rPr>
        <w:t>。</w:t>
      </w:r>
    </w:p>
    <w:p w14:paraId="79C3E6F8">
      <w:pPr>
        <w:tabs>
          <w:tab w:val="left" w:pos="5580"/>
        </w:tabs>
        <w:spacing w:line="360" w:lineRule="auto"/>
        <w:outlineLvl w:val="9"/>
        <w:rPr>
          <w:color w:val="auto"/>
          <w:sz w:val="24"/>
          <w:highlight w:val="none"/>
        </w:rPr>
        <w:sectPr>
          <w:headerReference r:id="rId11" w:type="default"/>
          <w:footerReference r:id="rId12" w:type="default"/>
          <w:pgSz w:w="11907" w:h="16840"/>
          <w:pgMar w:top="1418" w:right="1134" w:bottom="1418" w:left="1701" w:header="851" w:footer="851" w:gutter="0"/>
          <w:pgNumType w:fmt="decimal"/>
          <w:cols w:space="1701" w:num="1"/>
          <w:docGrid w:linePitch="360" w:charSpace="0"/>
        </w:sectPr>
      </w:pPr>
    </w:p>
    <w:p w14:paraId="2908BF4C">
      <w:pPr>
        <w:spacing w:line="360" w:lineRule="auto"/>
        <w:outlineLvl w:val="9"/>
        <w:rPr>
          <w:color w:val="auto"/>
          <w:sz w:val="24"/>
          <w:szCs w:val="20"/>
          <w:highlight w:val="none"/>
        </w:rPr>
      </w:pPr>
      <w:r>
        <w:rPr>
          <w:color w:val="auto"/>
          <w:sz w:val="24"/>
          <w:szCs w:val="20"/>
          <w:highlight w:val="none"/>
        </w:rPr>
        <w:t>2 落实政府采购政策需满足的资格要求</w:t>
      </w:r>
    </w:p>
    <w:p w14:paraId="135B6FEA">
      <w:pPr>
        <w:spacing w:line="360" w:lineRule="auto"/>
        <w:outlineLvl w:val="9"/>
        <w:rPr>
          <w:color w:val="auto"/>
          <w:sz w:val="24"/>
          <w:szCs w:val="20"/>
          <w:highlight w:val="none"/>
        </w:rPr>
      </w:pPr>
      <w:r>
        <w:rPr>
          <w:color w:val="auto"/>
          <w:sz w:val="24"/>
          <w:szCs w:val="20"/>
          <w:highlight w:val="none"/>
        </w:rPr>
        <w:t>2-1 中小企业声明函</w:t>
      </w:r>
    </w:p>
    <w:p w14:paraId="3B3E371E">
      <w:pPr>
        <w:tabs>
          <w:tab w:val="left" w:pos="5580"/>
        </w:tabs>
        <w:spacing w:line="360" w:lineRule="auto"/>
        <w:outlineLvl w:val="9"/>
        <w:rPr>
          <w:color w:val="auto"/>
          <w:sz w:val="24"/>
          <w:highlight w:val="none"/>
        </w:rPr>
      </w:pPr>
    </w:p>
    <w:p w14:paraId="4D564633">
      <w:pPr>
        <w:tabs>
          <w:tab w:val="left" w:pos="5580"/>
        </w:tabs>
        <w:spacing w:line="360" w:lineRule="auto"/>
        <w:rPr>
          <w:color w:val="auto"/>
          <w:sz w:val="24"/>
          <w:highlight w:val="none"/>
        </w:rPr>
      </w:pPr>
      <w:r>
        <w:rPr>
          <w:rFonts w:hint="eastAsia"/>
          <w:color w:val="auto"/>
          <w:sz w:val="24"/>
          <w:highlight w:val="none"/>
        </w:rPr>
        <w:t>说明：</w:t>
      </w:r>
    </w:p>
    <w:p w14:paraId="0BC988EB">
      <w:pPr>
        <w:tabs>
          <w:tab w:val="left" w:pos="5580"/>
        </w:tabs>
        <w:spacing w:line="360" w:lineRule="auto"/>
        <w:rPr>
          <w:color w:val="auto"/>
          <w:sz w:val="24"/>
          <w:highlight w:val="none"/>
        </w:rPr>
      </w:pPr>
      <w:r>
        <w:rPr>
          <w:rFonts w:hint="eastAsia"/>
          <w:color w:val="auto"/>
          <w:sz w:val="24"/>
          <w:highlight w:val="none"/>
          <w:lang w:eastAsia="zh-CN"/>
        </w:rPr>
        <w:t>（</w:t>
      </w:r>
      <w:r>
        <w:rPr>
          <w:rFonts w:hint="eastAsia"/>
          <w:color w:val="auto"/>
          <w:sz w:val="24"/>
          <w:highlight w:val="none"/>
        </w:rPr>
        <w:t>1）本项目</w:t>
      </w:r>
      <w:r>
        <w:rPr>
          <w:rFonts w:hint="eastAsia"/>
          <w:color w:val="auto"/>
          <w:sz w:val="24"/>
          <w:highlight w:val="none"/>
          <w:lang w:val="en-US" w:eastAsia="zh-CN"/>
        </w:rPr>
        <w:t>专门面向中小企业采购，须提供《中小企业声明函》（实质性格式）</w:t>
      </w:r>
      <w:r>
        <w:rPr>
          <w:rFonts w:hint="eastAsia"/>
          <w:color w:val="auto"/>
          <w:sz w:val="24"/>
          <w:highlight w:val="none"/>
        </w:rPr>
        <w:t>。</w:t>
      </w:r>
    </w:p>
    <w:p w14:paraId="401F057A">
      <w:pPr>
        <w:tabs>
          <w:tab w:val="left" w:pos="5580"/>
        </w:tabs>
        <w:spacing w:line="360" w:lineRule="auto"/>
        <w:rPr>
          <w:color w:val="auto"/>
          <w:sz w:val="24"/>
          <w:highlight w:val="none"/>
          <w:lang w:val="en-US" w:eastAsia="zh-CN"/>
        </w:rPr>
      </w:pPr>
      <w:r>
        <w:rPr>
          <w:rFonts w:hint="eastAsia"/>
          <w:color w:val="auto"/>
          <w:sz w:val="24"/>
          <w:highlight w:val="none"/>
          <w:lang w:eastAsia="zh-CN"/>
        </w:rPr>
        <w:t>（</w:t>
      </w:r>
      <w:r>
        <w:rPr>
          <w:rFonts w:hint="eastAsia"/>
          <w:color w:val="auto"/>
          <w:sz w:val="24"/>
          <w:highlight w:val="none"/>
        </w:rPr>
        <w:t>2）</w:t>
      </w:r>
      <w:r>
        <w:rPr>
          <w:rFonts w:hint="eastAsia"/>
          <w:color w:val="auto"/>
          <w:sz w:val="24"/>
          <w:highlight w:val="none"/>
          <w:lang w:val="en-US" w:eastAsia="zh-CN"/>
        </w:rPr>
        <w:t>中小企业参加政府采购活动，应当出具此格式文件。《中小企业声明函》由参加政府采购活动的供应商出具。</w:t>
      </w:r>
    </w:p>
    <w:p w14:paraId="3A11E19D">
      <w:pPr>
        <w:tabs>
          <w:tab w:val="left" w:pos="5580"/>
        </w:tabs>
        <w:spacing w:line="360" w:lineRule="auto"/>
        <w:rPr>
          <w:rFonts w:hint="eastAsia"/>
          <w:color w:val="auto"/>
          <w:sz w:val="24"/>
          <w:highlight w:val="none"/>
          <w:lang w:eastAsia="zh-CN"/>
        </w:rPr>
      </w:pPr>
      <w:r>
        <w:rPr>
          <w:rFonts w:hint="eastAsia"/>
          <w:color w:val="auto"/>
          <w:sz w:val="24"/>
          <w:highlight w:val="none"/>
          <w:lang w:eastAsia="zh-CN"/>
        </w:rPr>
        <w:t>（</w:t>
      </w:r>
      <w:r>
        <w:rPr>
          <w:rFonts w:hint="eastAsia"/>
          <w:color w:val="auto"/>
          <w:sz w:val="24"/>
          <w:highlight w:val="none"/>
          <w:lang w:val="en-US" w:eastAsia="zh-CN"/>
        </w:rPr>
        <w:t>3</w:t>
      </w:r>
      <w:r>
        <w:rPr>
          <w:rFonts w:hint="eastAsia"/>
          <w:color w:val="auto"/>
          <w:sz w:val="24"/>
          <w:highlight w:val="none"/>
          <w:lang w:eastAsia="zh-CN"/>
        </w:rPr>
        <w:t>）中小企业认定标准以《关于印发中小企业划型标准规定的通知》（工信部联企业〔2011〕300号）文件规定为准。</w:t>
      </w:r>
    </w:p>
    <w:p w14:paraId="2AAA7C29">
      <w:pPr>
        <w:tabs>
          <w:tab w:val="left" w:pos="5580"/>
        </w:tabs>
        <w:spacing w:line="360" w:lineRule="auto"/>
        <w:outlineLvl w:val="9"/>
        <w:rPr>
          <w:rFonts w:hint="eastAsia"/>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4</w:t>
      </w:r>
      <w:r>
        <w:rPr>
          <w:rFonts w:hint="eastAsia"/>
          <w:color w:val="auto"/>
          <w:sz w:val="24"/>
          <w:highlight w:val="none"/>
        </w:rPr>
        <w:t>）温馨提示：为方便广大中小企业识别企业规模类型，工业和信息化部组织开发了中小企业规模类型自测小程序，在国务院客户端和工业和信息化部网站上均有链接，</w:t>
      </w:r>
      <w:r>
        <w:rPr>
          <w:rFonts w:hint="eastAsia"/>
          <w:color w:val="auto"/>
          <w:sz w:val="24"/>
          <w:highlight w:val="none"/>
          <w:lang w:val="en-US" w:eastAsia="zh-CN"/>
        </w:rPr>
        <w:t>投标</w:t>
      </w:r>
      <w:r>
        <w:rPr>
          <w:rFonts w:hint="eastAsia"/>
          <w:color w:val="auto"/>
          <w:sz w:val="24"/>
          <w:highlight w:val="none"/>
        </w:rPr>
        <w:t>供应商填写所属的行业和指标数据可自动生成企业规模类型测试结果。（工信部网址：https://baosong.miit.gov.cn/ScaleTest）</w:t>
      </w:r>
    </w:p>
    <w:p w14:paraId="18AF297A">
      <w:pPr>
        <w:tabs>
          <w:tab w:val="left" w:pos="5580"/>
        </w:tabs>
        <w:spacing w:line="360" w:lineRule="auto"/>
        <w:outlineLvl w:val="9"/>
        <w:rPr>
          <w:color w:val="auto"/>
          <w:sz w:val="24"/>
          <w:highlight w:val="none"/>
        </w:rPr>
      </w:pPr>
    </w:p>
    <w:p w14:paraId="7D1AE718">
      <w:pPr>
        <w:tabs>
          <w:tab w:val="left" w:pos="5580"/>
        </w:tabs>
        <w:spacing w:line="360" w:lineRule="auto"/>
        <w:outlineLvl w:val="9"/>
        <w:rPr>
          <w:color w:val="auto"/>
          <w:sz w:val="24"/>
          <w:highlight w:val="none"/>
        </w:rPr>
      </w:pPr>
    </w:p>
    <w:p w14:paraId="55EA77B1">
      <w:pPr>
        <w:widowControl/>
        <w:jc w:val="center"/>
        <w:rPr>
          <w:b/>
          <w:bCs/>
          <w:color w:val="auto"/>
          <w:sz w:val="36"/>
          <w:szCs w:val="36"/>
          <w:highlight w:val="none"/>
        </w:rPr>
      </w:pPr>
      <w:r>
        <w:rPr>
          <w:color w:val="auto"/>
          <w:sz w:val="24"/>
          <w:highlight w:val="none"/>
        </w:rPr>
        <w:br w:type="page" w:clear="all"/>
      </w:r>
      <w:r>
        <w:rPr>
          <w:rFonts w:hint="eastAsia"/>
          <w:b/>
          <w:bCs/>
          <w:color w:val="auto"/>
          <w:sz w:val="36"/>
          <w:szCs w:val="36"/>
          <w:highlight w:val="none"/>
        </w:rPr>
        <w:t>中小企业声明函</w:t>
      </w:r>
    </w:p>
    <w:p w14:paraId="34A69968">
      <w:pPr>
        <w:spacing w:line="57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本公司郑重声明，根据《政府采购促进中小企业发展管理办法》(财库[2020]46号)的规定，本公司</w:t>
      </w:r>
      <w:r>
        <w:rPr>
          <w:rFonts w:hint="eastAsia" w:ascii="宋体" w:hAnsi="宋体" w:eastAsia="宋体" w:cs="宋体"/>
          <w:color w:val="auto"/>
          <w:sz w:val="24"/>
          <w:szCs w:val="24"/>
          <w:highlight w:val="none"/>
          <w:u w:val="single"/>
          <w:lang w:val="en-US" w:eastAsia="zh-CN"/>
        </w:rPr>
        <w:t xml:space="preserve"> </w:t>
      </w:r>
      <w:r>
        <w:rPr>
          <w:color w:val="auto"/>
          <w:spacing w:val="6"/>
          <w:sz w:val="24"/>
          <w:highlight w:val="none"/>
          <w:u w:val="single"/>
        </w:rPr>
        <w:t>（</w:t>
      </w:r>
      <w:r>
        <w:rPr>
          <w:rFonts w:hint="eastAsia"/>
          <w:color w:val="auto"/>
          <w:spacing w:val="6"/>
          <w:sz w:val="24"/>
          <w:highlight w:val="none"/>
          <w:u w:val="single"/>
        </w:rPr>
        <w:t>此处填</w:t>
      </w:r>
      <w:r>
        <w:rPr>
          <w:rFonts w:hint="eastAsia"/>
          <w:color w:val="auto"/>
          <w:spacing w:val="6"/>
          <w:sz w:val="24"/>
          <w:highlight w:val="none"/>
          <w:u w:val="single"/>
          <w:lang w:val="en-US" w:eastAsia="zh-CN"/>
        </w:rPr>
        <w:t>供应商</w:t>
      </w:r>
      <w:r>
        <w:rPr>
          <w:color w:val="auto"/>
          <w:spacing w:val="6"/>
          <w:sz w:val="24"/>
          <w:highlight w:val="none"/>
          <w:u w:val="single"/>
        </w:rPr>
        <w:t>单位名称）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参加</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eastAsia="zh-CN"/>
        </w:rPr>
        <w:t>江苏常信招标代理有限公司</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组织的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（采购单位名称①）</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采购编号为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②</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（项目名称③）（分包号：④）</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的采购活动，服务全部由符合政策的中小企业承接。根据《工业和信息化部、国家统计局、国家发展和改革委员会、财政部关于印发中小企业划型标准规定的通知》(工信部联企业[2011]300号)的规定，相关企业的具体情况如下：</w:t>
      </w:r>
    </w:p>
    <w:p w14:paraId="4534B592">
      <w:pPr>
        <w:spacing w:line="570" w:lineRule="exact"/>
        <w:ind w:firstLine="360"/>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（标的名称⑤）</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i/>
          <w:color w:val="auto"/>
          <w:sz w:val="24"/>
          <w:szCs w:val="24"/>
          <w:highlight w:val="none"/>
        </w:rPr>
        <w:t>，</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（采购文件中明确的所属行业⑥）</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行业；承接企业为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（企业名称⑦）</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⑧</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⑨</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⑩</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（中型企业、小型企业、微型企业⑪）</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w:t>
      </w:r>
    </w:p>
    <w:p w14:paraId="2E106DB3">
      <w:pPr>
        <w:spacing w:line="57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78666F83">
      <w:pPr>
        <w:spacing w:line="57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57D3139A">
      <w:pPr>
        <w:spacing w:line="570" w:lineRule="exact"/>
        <w:ind w:right="180" w:firstLine="360"/>
        <w:jc w:val="right"/>
        <w:rPr>
          <w:rFonts w:hint="eastAsia" w:ascii="宋体" w:hAnsi="宋体" w:eastAsia="宋体" w:cs="宋体"/>
          <w:color w:val="auto"/>
          <w:sz w:val="24"/>
          <w:szCs w:val="24"/>
          <w:highlight w:val="none"/>
        </w:rPr>
      </w:pPr>
    </w:p>
    <w:p w14:paraId="3C37AC5A">
      <w:pPr>
        <w:spacing w:line="570" w:lineRule="exact"/>
        <w:ind w:right="180" w:firstLine="360"/>
        <w:jc w:val="right"/>
        <w:rPr>
          <w:rFonts w:hint="eastAsia" w:ascii="宋体" w:hAnsi="宋体" w:eastAsia="宋体" w:cs="宋体"/>
          <w:color w:val="auto"/>
          <w:sz w:val="24"/>
          <w:szCs w:val="24"/>
          <w:highlight w:val="none"/>
        </w:rPr>
      </w:pPr>
    </w:p>
    <w:p w14:paraId="53B418DF">
      <w:pPr>
        <w:spacing w:line="570" w:lineRule="exact"/>
        <w:ind w:right="180" w:firstLine="360"/>
        <w:jc w:val="right"/>
        <w:rPr>
          <w:rFonts w:hint="eastAsia" w:ascii="宋体" w:hAnsi="宋体" w:eastAsia="宋体" w:cs="宋体"/>
          <w:color w:val="auto"/>
          <w:sz w:val="24"/>
          <w:szCs w:val="24"/>
          <w:highlight w:val="none"/>
        </w:rPr>
      </w:pPr>
    </w:p>
    <w:p w14:paraId="5D8129AC">
      <w:pPr>
        <w:spacing w:line="570" w:lineRule="exact"/>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企业名称（加盖CA电子公章）⑫：</w:t>
      </w:r>
    </w:p>
    <w:p w14:paraId="3EA41F57">
      <w:pPr>
        <w:spacing w:line="570" w:lineRule="exact"/>
        <w:ind w:right="480" w:firstLine="5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4D6D1187">
      <w:pPr>
        <w:spacing w:line="570" w:lineRule="exact"/>
        <w:rPr>
          <w:rFonts w:hint="eastAsia" w:ascii="宋体" w:hAnsi="宋体" w:eastAsia="宋体" w:cs="宋体"/>
          <w:color w:val="auto"/>
          <w:sz w:val="24"/>
          <w:szCs w:val="24"/>
          <w:highlight w:val="none"/>
        </w:rPr>
      </w:pPr>
    </w:p>
    <w:p w14:paraId="571D2680">
      <w:pPr>
        <w:spacing w:line="570" w:lineRule="exact"/>
        <w:rPr>
          <w:rFonts w:hint="eastAsia" w:ascii="宋体" w:hAnsi="宋体" w:eastAsia="宋体" w:cs="宋体"/>
          <w:b/>
          <w:color w:val="auto"/>
          <w:sz w:val="24"/>
          <w:szCs w:val="24"/>
          <w:highlight w:val="none"/>
        </w:rPr>
      </w:pPr>
    </w:p>
    <w:p w14:paraId="032BFB44">
      <w:pPr>
        <w:spacing w:line="570" w:lineRule="exact"/>
        <w:rPr>
          <w:rFonts w:hint="eastAsia" w:ascii="宋体" w:hAnsi="宋体" w:eastAsia="宋体" w:cs="宋体"/>
          <w:color w:val="auto"/>
          <w:sz w:val="24"/>
          <w:szCs w:val="24"/>
          <w:highlight w:val="none"/>
        </w:rPr>
      </w:pPr>
    </w:p>
    <w:p w14:paraId="4ED16860">
      <w:pPr>
        <w:spacing w:line="570" w:lineRule="exact"/>
        <w:rPr>
          <w:rFonts w:hint="eastAsia" w:ascii="宋体" w:hAnsi="宋体" w:eastAsia="宋体" w:cs="宋体"/>
          <w:color w:val="auto"/>
          <w:sz w:val="24"/>
          <w:szCs w:val="24"/>
          <w:highlight w:val="none"/>
        </w:rPr>
      </w:pPr>
    </w:p>
    <w:p w14:paraId="00ED183F">
      <w:pPr>
        <w:spacing w:line="570" w:lineRule="exact"/>
        <w:rPr>
          <w:rFonts w:hint="eastAsia" w:ascii="宋体" w:hAnsi="宋体" w:eastAsia="宋体" w:cs="宋体"/>
          <w:color w:val="auto"/>
          <w:sz w:val="24"/>
          <w:szCs w:val="24"/>
          <w:highlight w:val="none"/>
        </w:rPr>
      </w:pPr>
    </w:p>
    <w:p w14:paraId="4157C912">
      <w:pPr>
        <w:spacing w:line="570" w:lineRule="exact"/>
        <w:rPr>
          <w:rFonts w:hint="eastAsia" w:ascii="宋体" w:hAnsi="宋体" w:eastAsia="宋体" w:cs="宋体"/>
          <w:color w:val="auto"/>
          <w:sz w:val="24"/>
          <w:szCs w:val="24"/>
          <w:highlight w:val="none"/>
        </w:rPr>
      </w:pPr>
    </w:p>
    <w:p w14:paraId="1202BD3E">
      <w:pPr>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填写说明：</w:t>
      </w:r>
    </w:p>
    <w:p w14:paraId="70649DA0">
      <w:pPr>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1.（采购单位名称①）：填写本项目采购人单位名称，如常州市XXX局。</w:t>
      </w:r>
    </w:p>
    <w:p w14:paraId="60DD6A1F">
      <w:pPr>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2.采购编号为②：填写本项目编号，如JSZC-3204XX-SYZB-C20XX-XX。</w:t>
      </w:r>
    </w:p>
    <w:p w14:paraId="0891DDE3">
      <w:pPr>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3.（项目名称③）：填写本项目名称，如常州市XXX项目。</w:t>
      </w:r>
    </w:p>
    <w:p w14:paraId="65A98B8E">
      <w:pPr>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4.（分包号：④）：填写分包编号，如有分包的，分别填写分包号，没有的填“无”。</w:t>
      </w:r>
    </w:p>
    <w:p w14:paraId="76720ED3">
      <w:pPr>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5.（标的名称⑤）：填写本项目标的名称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如XX服务</w:t>
      </w:r>
      <w:r>
        <w:rPr>
          <w:rFonts w:hint="eastAsia" w:ascii="宋体" w:hAnsi="宋体" w:eastAsia="宋体" w:cs="宋体"/>
          <w:color w:val="auto"/>
          <w:sz w:val="24"/>
          <w:szCs w:val="24"/>
          <w:highlight w:val="none"/>
        </w:rPr>
        <w:t>。</w:t>
      </w:r>
    </w:p>
    <w:p w14:paraId="3B2D02EB">
      <w:pPr>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6.（采购文件中明确的所属行业⑥）：填写本项目采购标的所属行业。须根据采购文件“第二章  供应商须知”表格中列明的所属行业进行填写。如：</w:t>
      </w:r>
      <w:r>
        <w:rPr>
          <w:rFonts w:hint="eastAsia" w:ascii="宋体" w:hAnsi="宋体" w:eastAsia="宋体" w:cs="宋体"/>
          <w:color w:val="auto"/>
          <w:sz w:val="24"/>
          <w:szCs w:val="24"/>
          <w:highlight w:val="none"/>
          <w:lang w:val="en-US" w:eastAsia="zh-CN"/>
        </w:rPr>
        <w:t>其他未列明行业</w:t>
      </w:r>
      <w:r>
        <w:rPr>
          <w:rFonts w:hint="eastAsia" w:ascii="宋体" w:hAnsi="宋体" w:eastAsia="宋体" w:cs="宋体"/>
          <w:color w:val="auto"/>
          <w:sz w:val="24"/>
          <w:szCs w:val="24"/>
          <w:highlight w:val="none"/>
        </w:rPr>
        <w:t>等。</w:t>
      </w:r>
    </w:p>
    <w:p w14:paraId="1FB94FF1">
      <w:pPr>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7.（企业名称⑦）：填写</w:t>
      </w:r>
      <w:r>
        <w:rPr>
          <w:rFonts w:hint="eastAsia" w:ascii="宋体" w:hAnsi="宋体" w:eastAsia="宋体" w:cs="宋体"/>
          <w:b/>
          <w:bCs/>
          <w:color w:val="auto"/>
          <w:sz w:val="24"/>
          <w:szCs w:val="24"/>
          <w:highlight w:val="none"/>
        </w:rPr>
        <w:t>投标人或供应商的名称</w:t>
      </w:r>
      <w:r>
        <w:rPr>
          <w:rFonts w:hint="eastAsia" w:ascii="宋体" w:hAnsi="宋体" w:eastAsia="宋体" w:cs="宋体"/>
          <w:color w:val="auto"/>
          <w:sz w:val="24"/>
          <w:szCs w:val="24"/>
          <w:highlight w:val="none"/>
        </w:rPr>
        <w:t>，如XXX公司。</w:t>
      </w:r>
    </w:p>
    <w:p w14:paraId="0A377133">
      <w:pPr>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8.从业人员⑧人，营业收入为⑨万元，资产总额为⑩万元：填报</w:t>
      </w:r>
      <w:r>
        <w:rPr>
          <w:rFonts w:hint="eastAsia" w:ascii="宋体" w:hAnsi="宋体" w:eastAsia="宋体" w:cs="宋体"/>
          <w:b/>
          <w:bCs/>
          <w:color w:val="auto"/>
          <w:sz w:val="24"/>
          <w:szCs w:val="24"/>
          <w:highlight w:val="none"/>
        </w:rPr>
        <w:t>投标人或供应商</w:t>
      </w:r>
      <w:r>
        <w:rPr>
          <w:rFonts w:hint="eastAsia" w:ascii="宋体" w:hAnsi="宋体" w:eastAsia="宋体" w:cs="宋体"/>
          <w:color w:val="auto"/>
          <w:sz w:val="24"/>
          <w:szCs w:val="24"/>
          <w:highlight w:val="none"/>
        </w:rPr>
        <w:t>的从业人员、营业收入、资产总额上一年度数据，无上一年度数据的新成立企业可不填报。</w:t>
      </w:r>
    </w:p>
    <w:p w14:paraId="1046E6D3">
      <w:pPr>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9.（中型企业、小型企业、微型企业</w:t>
      </w:r>
      <w:r>
        <w:rPr>
          <w:rFonts w:hint="eastAsia" w:ascii="宋体" w:hAnsi="宋体" w:eastAsia="宋体" w:cs="宋体"/>
          <w:color w:val="auto"/>
          <w:sz w:val="24"/>
          <w:szCs w:val="24"/>
          <w:highlight w:val="none"/>
          <w:u w:val="single"/>
        </w:rPr>
        <w:t>⑪</w:t>
      </w:r>
      <w:r>
        <w:rPr>
          <w:rFonts w:hint="eastAsia" w:ascii="宋体" w:hAnsi="宋体" w:eastAsia="宋体" w:cs="宋体"/>
          <w:color w:val="auto"/>
          <w:sz w:val="24"/>
          <w:szCs w:val="24"/>
          <w:highlight w:val="none"/>
        </w:rPr>
        <w:t>）：根据</w:t>
      </w:r>
      <w:r>
        <w:rPr>
          <w:rFonts w:hint="eastAsia" w:ascii="宋体" w:hAnsi="宋体" w:eastAsia="宋体" w:cs="宋体"/>
          <w:b/>
          <w:bCs/>
          <w:color w:val="auto"/>
          <w:sz w:val="24"/>
          <w:szCs w:val="24"/>
          <w:highlight w:val="none"/>
        </w:rPr>
        <w:t>投标人或供应商</w:t>
      </w:r>
      <w:r>
        <w:rPr>
          <w:rFonts w:hint="eastAsia" w:ascii="宋体" w:hAnsi="宋体" w:eastAsia="宋体" w:cs="宋体"/>
          <w:color w:val="auto"/>
          <w:sz w:val="24"/>
          <w:szCs w:val="24"/>
          <w:highlight w:val="none"/>
        </w:rPr>
        <w:t>的企业规模情况填写中型企业、小型企业或微型企业</w:t>
      </w:r>
      <w:r>
        <w:rPr>
          <w:rFonts w:hint="eastAsia" w:ascii="宋体" w:hAnsi="宋体" w:eastAsia="宋体" w:cs="宋体"/>
          <w:b/>
          <w:bCs/>
          <w:color w:val="auto"/>
          <w:sz w:val="24"/>
          <w:szCs w:val="24"/>
          <w:highlight w:val="none"/>
        </w:rPr>
        <w:t>（只能填写三种其中的一种）</w:t>
      </w:r>
      <w:r>
        <w:rPr>
          <w:rFonts w:hint="eastAsia" w:ascii="宋体" w:hAnsi="宋体" w:eastAsia="宋体" w:cs="宋体"/>
          <w:color w:val="auto"/>
          <w:sz w:val="24"/>
          <w:szCs w:val="24"/>
          <w:highlight w:val="none"/>
        </w:rPr>
        <w:t>。中小企业划分见《关于印发中小企业划型标准规定的通知》（工信部联企业〔2011〕300号) 。</w:t>
      </w:r>
    </w:p>
    <w:p w14:paraId="71E6D205">
      <w:pPr>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10.企业名称（盖章）⑫：加盖</w:t>
      </w:r>
      <w:r>
        <w:rPr>
          <w:rFonts w:hint="eastAsia" w:ascii="宋体" w:hAnsi="宋体" w:eastAsia="宋体" w:cs="宋体"/>
          <w:b/>
          <w:bCs/>
          <w:color w:val="auto"/>
          <w:sz w:val="24"/>
          <w:szCs w:val="24"/>
          <w:highlight w:val="none"/>
        </w:rPr>
        <w:t>投标人或供应商</w:t>
      </w:r>
      <w:r>
        <w:rPr>
          <w:rFonts w:hint="eastAsia" w:ascii="宋体" w:hAnsi="宋体" w:eastAsia="宋体" w:cs="宋体"/>
          <w:color w:val="auto"/>
          <w:sz w:val="24"/>
          <w:szCs w:val="24"/>
          <w:highlight w:val="none"/>
        </w:rPr>
        <w:t>CA电子公章。</w:t>
      </w:r>
    </w:p>
    <w:p w14:paraId="17BEBC65">
      <w:pPr>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11.如是</w:t>
      </w:r>
      <w:r>
        <w:rPr>
          <w:rFonts w:hint="eastAsia" w:ascii="宋体" w:hAnsi="宋体" w:eastAsia="宋体" w:cs="宋体"/>
          <w:b/>
          <w:color w:val="auto"/>
          <w:sz w:val="24"/>
          <w:szCs w:val="24"/>
          <w:highlight w:val="none"/>
        </w:rPr>
        <w:t>专门面向中小企业预留份额</w:t>
      </w:r>
      <w:r>
        <w:rPr>
          <w:rFonts w:hint="eastAsia" w:ascii="宋体" w:hAnsi="宋体" w:eastAsia="宋体" w:cs="宋体"/>
          <w:color w:val="auto"/>
          <w:sz w:val="24"/>
          <w:szCs w:val="24"/>
          <w:highlight w:val="none"/>
        </w:rPr>
        <w:t>的采购项目，供应商未提供此声明函的，资格审查不予通过，作为</w:t>
      </w:r>
      <w:r>
        <w:rPr>
          <w:rFonts w:hint="eastAsia" w:ascii="宋体" w:hAnsi="宋体" w:eastAsia="宋体" w:cs="宋体"/>
          <w:b/>
          <w:color w:val="auto"/>
          <w:sz w:val="24"/>
          <w:szCs w:val="24"/>
          <w:highlight w:val="none"/>
        </w:rPr>
        <w:t>无效投标（响应）</w:t>
      </w:r>
      <w:r>
        <w:rPr>
          <w:rFonts w:hint="eastAsia" w:ascii="宋体" w:hAnsi="宋体" w:eastAsia="宋体" w:cs="宋体"/>
          <w:color w:val="auto"/>
          <w:sz w:val="24"/>
          <w:szCs w:val="24"/>
          <w:highlight w:val="none"/>
        </w:rPr>
        <w:t>。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p>
    <w:p w14:paraId="6F58389F">
      <w:pPr>
        <w:pStyle w:val="447"/>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12.温馨提示</w:t>
      </w:r>
    </w:p>
    <w:p w14:paraId="20D3B1BB">
      <w:pPr>
        <w:pStyle w:val="447"/>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（1）对于已纳入统计部门统计范围的企业，所属行业、从业人员、营业收入、资产总额、规模类型应与统计部门报表保持一致。</w:t>
      </w:r>
    </w:p>
    <w:p w14:paraId="1B8E52BD">
      <w:pPr>
        <w:pStyle w:val="447"/>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p>
    <w:p w14:paraId="28332DBE">
      <w:pPr>
        <w:pStyle w:val="447"/>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p>
    <w:p w14:paraId="508EBC3B">
      <w:pPr>
        <w:pStyle w:val="447"/>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（4）对于采购文件确实允许非独立法人参与采购活动的，应按其所属集团公司合并财务报表数据情况予以填报。</w:t>
      </w:r>
    </w:p>
    <w:p w14:paraId="268643FC">
      <w:pPr>
        <w:pStyle w:val="447"/>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（5）《中小企业声明函》真实性由其出具的供应商负责。《中小企业声明函》中相关企业[制造商、承接企业]所属行业应当与采购标的的所属行业相一致。《中小企业声明函》应当充分、准确反映供应商的信息。</w:t>
      </w:r>
    </w:p>
    <w:p w14:paraId="4BFB264E">
      <w:pPr>
        <w:pStyle w:val="447"/>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（6）经调查发现供应商提供《中小企业声明函》内容与实际不符的，政府采购监管部门有权根据《中小企业声明函》与实际情况的差异视情形认定其是否属于虚假材料谋取中标。</w:t>
      </w:r>
    </w:p>
    <w:p w14:paraId="656C0D91">
      <w:pPr>
        <w:pStyle w:val="447"/>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（7）根据《财政部关于规范政府采购行政处罚有关问题的通知》（财库〔2015〕150 号）规定，各级人民政府财政部门依法对供应商作出的禁止参加政府采购活动的行政处罚决定在全国范围内生效。</w:t>
      </w:r>
    </w:p>
    <w:p w14:paraId="5D0A5728">
      <w:pPr>
        <w:spacing w:line="360" w:lineRule="auto"/>
        <w:ind w:right="360" w:firstLine="480"/>
        <w:jc w:val="right"/>
        <w:outlineLvl w:val="9"/>
        <w:rPr>
          <w:color w:val="auto"/>
          <w:sz w:val="24"/>
          <w:highlight w:val="none"/>
        </w:rPr>
      </w:pPr>
    </w:p>
    <w:p w14:paraId="1D71893A">
      <w:pPr>
        <w:spacing w:before="240" w:after="240" w:line="360" w:lineRule="auto"/>
        <w:jc w:val="center"/>
        <w:outlineLvl w:val="9"/>
        <w:rPr>
          <w:rFonts w:hint="eastAsia"/>
          <w:color w:val="auto"/>
          <w:sz w:val="24"/>
          <w:szCs w:val="20"/>
          <w:highlight w:val="none"/>
        </w:rPr>
      </w:pPr>
    </w:p>
    <w:p w14:paraId="7C7115D3">
      <w:pPr>
        <w:spacing w:before="240" w:after="240" w:line="360" w:lineRule="auto"/>
        <w:jc w:val="center"/>
        <w:outlineLvl w:val="9"/>
        <w:rPr>
          <w:rFonts w:hint="eastAsia"/>
          <w:color w:val="auto"/>
          <w:sz w:val="24"/>
          <w:szCs w:val="20"/>
          <w:highlight w:val="none"/>
        </w:rPr>
      </w:pPr>
    </w:p>
    <w:p w14:paraId="2E85E0F1">
      <w:pPr>
        <w:spacing w:before="240" w:after="240" w:line="360" w:lineRule="auto"/>
        <w:jc w:val="center"/>
        <w:outlineLvl w:val="9"/>
        <w:rPr>
          <w:rFonts w:hint="eastAsia"/>
          <w:color w:val="auto"/>
          <w:sz w:val="24"/>
          <w:szCs w:val="20"/>
          <w:highlight w:val="none"/>
        </w:rPr>
      </w:pPr>
    </w:p>
    <w:p w14:paraId="56D25F15">
      <w:pPr>
        <w:spacing w:before="240" w:after="240" w:line="360" w:lineRule="auto"/>
        <w:jc w:val="center"/>
        <w:outlineLvl w:val="9"/>
        <w:rPr>
          <w:rFonts w:hint="eastAsia"/>
          <w:color w:val="auto"/>
          <w:sz w:val="24"/>
          <w:szCs w:val="20"/>
          <w:highlight w:val="none"/>
        </w:rPr>
      </w:pPr>
    </w:p>
    <w:p w14:paraId="072209F2">
      <w:pPr>
        <w:spacing w:before="240" w:after="240" w:line="360" w:lineRule="auto"/>
        <w:jc w:val="center"/>
        <w:outlineLvl w:val="9"/>
        <w:rPr>
          <w:color w:val="auto"/>
          <w:sz w:val="24"/>
          <w:szCs w:val="20"/>
          <w:highlight w:val="none"/>
        </w:rPr>
      </w:pPr>
    </w:p>
    <w:p w14:paraId="11F5E1EA">
      <w:pPr>
        <w:spacing w:before="240" w:after="240" w:line="360" w:lineRule="auto"/>
        <w:jc w:val="center"/>
        <w:outlineLvl w:val="9"/>
        <w:rPr>
          <w:color w:val="auto"/>
          <w:sz w:val="24"/>
          <w:szCs w:val="20"/>
          <w:highlight w:val="none"/>
        </w:rPr>
        <w:sectPr>
          <w:headerReference r:id="rId14" w:type="first"/>
          <w:footerReference r:id="rId16" w:type="first"/>
          <w:headerReference r:id="rId13" w:type="even"/>
          <w:footerReference r:id="rId15" w:type="even"/>
          <w:pgSz w:w="11907" w:h="16840"/>
          <w:pgMar w:top="1440" w:right="1304" w:bottom="1440" w:left="1304" w:header="851" w:footer="851" w:gutter="0"/>
          <w:pgNumType w:fmt="decimal"/>
          <w:cols w:space="1701" w:num="1"/>
          <w:docGrid w:linePitch="360" w:charSpace="0"/>
        </w:sectPr>
      </w:pPr>
    </w:p>
    <w:p w14:paraId="7108E935">
      <w:pPr>
        <w:jc w:val="center"/>
        <w:outlineLvl w:val="9"/>
        <w:rPr>
          <w:b/>
          <w:color w:val="auto"/>
          <w:sz w:val="36"/>
          <w:szCs w:val="36"/>
          <w:highlight w:val="none"/>
        </w:rPr>
      </w:pPr>
      <w:r>
        <w:rPr>
          <w:rFonts w:hint="eastAsia"/>
          <w:b/>
          <w:color w:val="auto"/>
          <w:sz w:val="36"/>
          <w:szCs w:val="36"/>
          <w:highlight w:val="none"/>
        </w:rPr>
        <w:t>残疾人福利性单位声明函格式</w:t>
      </w:r>
      <w:r>
        <w:rPr>
          <w:b/>
          <w:color w:val="auto"/>
          <w:sz w:val="36"/>
          <w:szCs w:val="36"/>
          <w:highlight w:val="none"/>
        </w:rPr>
        <w:t xml:space="preserve">       </w:t>
      </w:r>
    </w:p>
    <w:p w14:paraId="1B08FFE7">
      <w:pPr>
        <w:jc w:val="center"/>
        <w:outlineLvl w:val="9"/>
        <w:rPr>
          <w:color w:val="auto"/>
          <w:sz w:val="36"/>
          <w:szCs w:val="36"/>
          <w:highlight w:val="none"/>
        </w:rPr>
      </w:pPr>
    </w:p>
    <w:p w14:paraId="2159FB59">
      <w:pPr>
        <w:spacing w:line="588" w:lineRule="exact"/>
        <w:ind w:firstLine="504"/>
        <w:outlineLvl w:val="9"/>
        <w:rPr>
          <w:color w:val="auto"/>
          <w:spacing w:val="6"/>
          <w:sz w:val="24"/>
          <w:highlight w:val="none"/>
        </w:rPr>
      </w:pPr>
      <w:r>
        <w:rPr>
          <w:color w:val="auto"/>
          <w:spacing w:val="6"/>
          <w:sz w:val="24"/>
          <w:highlight w:val="none"/>
        </w:rPr>
        <w:t>本单位郑重声明，根据《财政部 民政部 中国残疾人联合会关于促进残疾人就业政府采购政策的通知》（财库</w:t>
      </w:r>
      <w:r>
        <w:rPr>
          <w:color w:val="auto"/>
          <w:sz w:val="24"/>
          <w:highlight w:val="none"/>
        </w:rPr>
        <w:t>〔2017〕 141</w:t>
      </w:r>
      <w:r>
        <w:rPr>
          <w:color w:val="auto"/>
          <w:spacing w:val="6"/>
          <w:sz w:val="24"/>
          <w:highlight w:val="none"/>
        </w:rPr>
        <w:t>号）的规定，本单位</w:t>
      </w:r>
      <w:r>
        <w:rPr>
          <w:b/>
          <w:color w:val="auto"/>
          <w:sz w:val="24"/>
          <w:highlight w:val="none"/>
        </w:rPr>
        <w:t>（请进行勾选）</w:t>
      </w:r>
      <w:r>
        <w:rPr>
          <w:color w:val="auto"/>
          <w:spacing w:val="6"/>
          <w:sz w:val="24"/>
          <w:highlight w:val="none"/>
        </w:rPr>
        <w:t>：</w:t>
      </w:r>
    </w:p>
    <w:p w14:paraId="22C8757C">
      <w:pPr>
        <w:spacing w:line="588" w:lineRule="exact"/>
        <w:ind w:firstLine="482"/>
        <w:outlineLvl w:val="9"/>
        <w:rPr>
          <w:b/>
          <w:color w:val="auto"/>
          <w:spacing w:val="6"/>
          <w:sz w:val="24"/>
          <w:highlight w:val="none"/>
        </w:rPr>
      </w:pPr>
      <w:r>
        <w:rPr>
          <w:b/>
          <w:color w:val="auto"/>
          <w:sz w:val="24"/>
          <w:highlight w:val="none"/>
        </w:rPr>
        <w:t>□</w:t>
      </w:r>
      <w:r>
        <w:rPr>
          <w:b/>
          <w:color w:val="auto"/>
          <w:spacing w:val="6"/>
          <w:sz w:val="24"/>
          <w:highlight w:val="none"/>
        </w:rPr>
        <w:t>不属于符合条件的残疾人福利性单位。</w:t>
      </w:r>
    </w:p>
    <w:p w14:paraId="580AD8FE">
      <w:pPr>
        <w:spacing w:line="588" w:lineRule="exact"/>
        <w:ind w:firstLine="482"/>
        <w:outlineLvl w:val="9"/>
        <w:rPr>
          <w:color w:val="auto"/>
          <w:spacing w:val="6"/>
          <w:sz w:val="24"/>
          <w:highlight w:val="none"/>
        </w:rPr>
      </w:pPr>
      <w:r>
        <w:rPr>
          <w:b/>
          <w:color w:val="auto"/>
          <w:sz w:val="24"/>
          <w:highlight w:val="none"/>
        </w:rPr>
        <w:t>□</w:t>
      </w:r>
      <w:r>
        <w:rPr>
          <w:b/>
          <w:color w:val="auto"/>
          <w:spacing w:val="6"/>
          <w:sz w:val="24"/>
          <w:highlight w:val="none"/>
        </w:rPr>
        <w:t>属于符合条件的残疾人福利性单位，</w:t>
      </w:r>
      <w:r>
        <w:rPr>
          <w:color w:val="auto"/>
          <w:spacing w:val="6"/>
          <w:sz w:val="24"/>
          <w:highlight w:val="none"/>
        </w:rPr>
        <w:t>且本单位参加______单位的______项目采购活动</w:t>
      </w:r>
      <w:r>
        <w:rPr>
          <w:rFonts w:hint="eastAsia"/>
          <w:color w:val="auto"/>
          <w:spacing w:val="6"/>
          <w:sz w:val="24"/>
          <w:highlight w:val="none"/>
          <w:lang w:eastAsia="zh-CN"/>
        </w:rPr>
        <w:t>，</w:t>
      </w:r>
      <w:r>
        <w:rPr>
          <w:color w:val="auto"/>
          <w:spacing w:val="6"/>
          <w:sz w:val="24"/>
          <w:highlight w:val="none"/>
        </w:rPr>
        <w:t>由本单位提供服务。</w:t>
      </w:r>
    </w:p>
    <w:p w14:paraId="149FA20A">
      <w:pPr>
        <w:spacing w:line="588" w:lineRule="exact"/>
        <w:ind w:firstLine="506"/>
        <w:outlineLvl w:val="9"/>
        <w:rPr>
          <w:color w:val="auto"/>
          <w:spacing w:val="6"/>
          <w:sz w:val="24"/>
          <w:highlight w:val="none"/>
        </w:rPr>
      </w:pPr>
      <w:r>
        <w:rPr>
          <w:b/>
          <w:color w:val="auto"/>
          <w:spacing w:val="6"/>
          <w:sz w:val="24"/>
          <w:highlight w:val="none"/>
        </w:rPr>
        <w:t>本单位对上述声明的真实性负责。如有虚假，将依法承担相应责任。</w:t>
      </w:r>
    </w:p>
    <w:p w14:paraId="4DA8778B">
      <w:pPr>
        <w:spacing w:line="588" w:lineRule="exact"/>
        <w:ind w:firstLine="504"/>
        <w:outlineLvl w:val="9"/>
        <w:rPr>
          <w:color w:val="auto"/>
          <w:spacing w:val="6"/>
          <w:sz w:val="24"/>
          <w:highlight w:val="none"/>
        </w:rPr>
      </w:pPr>
    </w:p>
    <w:p w14:paraId="52D1F3AD">
      <w:pPr>
        <w:spacing w:line="588" w:lineRule="exact"/>
        <w:ind w:firstLine="504"/>
        <w:outlineLvl w:val="9"/>
        <w:rPr>
          <w:color w:val="auto"/>
          <w:spacing w:val="6"/>
          <w:sz w:val="24"/>
          <w:highlight w:val="none"/>
        </w:rPr>
      </w:pPr>
    </w:p>
    <w:p w14:paraId="724CECB1">
      <w:pPr>
        <w:tabs>
          <w:tab w:val="left" w:pos="4860"/>
        </w:tabs>
        <w:spacing w:line="588" w:lineRule="exact"/>
        <w:ind w:right="1560" w:firstLine="504"/>
        <w:jc w:val="center"/>
        <w:outlineLvl w:val="9"/>
        <w:rPr>
          <w:color w:val="auto"/>
          <w:spacing w:val="6"/>
          <w:sz w:val="24"/>
          <w:highlight w:val="none"/>
        </w:rPr>
      </w:pPr>
      <w:r>
        <w:rPr>
          <w:color w:val="auto"/>
          <w:spacing w:val="6"/>
          <w:sz w:val="24"/>
          <w:highlight w:val="none"/>
        </w:rPr>
        <w:t xml:space="preserve">               单位名称（盖章）：</w:t>
      </w:r>
    </w:p>
    <w:p w14:paraId="134A5948">
      <w:pPr>
        <w:tabs>
          <w:tab w:val="left" w:pos="4860"/>
        </w:tabs>
        <w:spacing w:line="588" w:lineRule="exact"/>
        <w:ind w:right="1560" w:firstLine="504"/>
        <w:jc w:val="center"/>
        <w:outlineLvl w:val="9"/>
        <w:rPr>
          <w:color w:val="auto"/>
          <w:spacing w:val="6"/>
          <w:sz w:val="24"/>
          <w:highlight w:val="none"/>
        </w:rPr>
      </w:pPr>
      <w:r>
        <w:rPr>
          <w:color w:val="auto"/>
          <w:spacing w:val="6"/>
          <w:sz w:val="24"/>
          <w:highlight w:val="none"/>
        </w:rPr>
        <w:t xml:space="preserve">       日  期：</w:t>
      </w:r>
    </w:p>
    <w:p w14:paraId="22A6AB9A">
      <w:pPr>
        <w:spacing w:line="360" w:lineRule="auto"/>
        <w:outlineLvl w:val="9"/>
        <w:rPr>
          <w:b/>
          <w:color w:val="auto"/>
          <w:sz w:val="24"/>
          <w:highlight w:val="none"/>
        </w:rPr>
      </w:pPr>
    </w:p>
    <w:p w14:paraId="0D06D432">
      <w:pPr>
        <w:widowControl/>
        <w:jc w:val="both"/>
        <w:outlineLvl w:val="9"/>
        <w:rPr>
          <w:rFonts w:hint="eastAsia" w:ascii="宋体" w:hAnsi="宋体"/>
          <w:b/>
          <w:color w:val="auto"/>
          <w:sz w:val="32"/>
          <w:szCs w:val="32"/>
          <w:highlight w:val="none"/>
        </w:rPr>
      </w:pPr>
      <w:r>
        <w:rPr>
          <w:color w:val="auto"/>
          <w:sz w:val="24"/>
          <w:szCs w:val="20"/>
          <w:highlight w:val="none"/>
        </w:rPr>
        <w:br w:type="page" w:clear="all"/>
      </w:r>
      <w:r>
        <w:rPr>
          <w:rFonts w:ascii="宋体" w:hAnsi="宋体"/>
          <w:b/>
          <w:color w:val="auto"/>
          <w:sz w:val="32"/>
          <w:szCs w:val="32"/>
          <w:highlight w:val="none"/>
        </w:rPr>
        <w:t>二、商务技术文件格式</w:t>
      </w:r>
      <w:bookmarkStart w:id="819" w:name="_Toc226337252"/>
      <w:bookmarkStart w:id="820" w:name="_Toc480942349"/>
      <w:bookmarkStart w:id="821" w:name="_Toc150774761"/>
      <w:bookmarkStart w:id="822" w:name="_Toc195842921"/>
      <w:bookmarkStart w:id="823" w:name="_Toc142311058"/>
      <w:bookmarkStart w:id="824" w:name="_Toc150480794"/>
      <w:bookmarkStart w:id="825" w:name="_Toc226965829"/>
      <w:bookmarkStart w:id="826" w:name="_Toc226309800"/>
      <w:bookmarkStart w:id="827" w:name="_Ref467988698"/>
      <w:bookmarkStart w:id="828" w:name="_Toc520356217"/>
      <w:bookmarkStart w:id="829" w:name="_Toc127151556"/>
      <w:bookmarkStart w:id="830" w:name="_Toc226965746"/>
    </w:p>
    <w:p w14:paraId="4655756D">
      <w:pPr>
        <w:widowControl/>
        <w:jc w:val="center"/>
        <w:outlineLvl w:val="9"/>
        <w:rPr>
          <w:rFonts w:hint="eastAsia" w:ascii="宋体" w:hAnsi="宋体"/>
          <w:b/>
          <w:color w:val="auto"/>
          <w:sz w:val="32"/>
          <w:szCs w:val="32"/>
          <w:highlight w:val="none"/>
        </w:rPr>
      </w:pPr>
    </w:p>
    <w:p w14:paraId="15A4CDE1">
      <w:pPr>
        <w:spacing w:line="360" w:lineRule="auto"/>
        <w:outlineLvl w:val="9"/>
        <w:rPr>
          <w:rFonts w:hint="eastAsia" w:eastAsia="宋体"/>
          <w:color w:val="auto"/>
          <w:sz w:val="24"/>
          <w:szCs w:val="20"/>
          <w:highlight w:val="none"/>
          <w:lang w:val="en-US" w:eastAsia="zh-CN"/>
        </w:rPr>
      </w:pPr>
      <w:r>
        <w:rPr>
          <w:rFonts w:hint="eastAsia"/>
          <w:color w:val="auto"/>
          <w:sz w:val="24"/>
          <w:highlight w:val="none"/>
        </w:rPr>
        <w:t>1</w:t>
      </w:r>
      <w:r>
        <w:rPr>
          <w:color w:val="auto"/>
          <w:sz w:val="24"/>
          <w:szCs w:val="20"/>
          <w:highlight w:val="none"/>
        </w:rPr>
        <w:t xml:space="preserve">  </w:t>
      </w:r>
      <w:r>
        <w:rPr>
          <w:color w:val="auto"/>
          <w:sz w:val="24"/>
          <w:highlight w:val="none"/>
        </w:rPr>
        <w:t>投标</w:t>
      </w:r>
      <w:bookmarkEnd w:id="819"/>
      <w:bookmarkEnd w:id="820"/>
      <w:bookmarkEnd w:id="821"/>
      <w:bookmarkEnd w:id="822"/>
      <w:bookmarkEnd w:id="823"/>
      <w:bookmarkEnd w:id="824"/>
      <w:bookmarkEnd w:id="825"/>
      <w:bookmarkEnd w:id="826"/>
      <w:bookmarkEnd w:id="827"/>
      <w:bookmarkEnd w:id="828"/>
      <w:bookmarkEnd w:id="829"/>
      <w:bookmarkEnd w:id="830"/>
      <w:r>
        <w:rPr>
          <w:rFonts w:hint="eastAsia"/>
          <w:color w:val="auto"/>
          <w:sz w:val="24"/>
          <w:highlight w:val="none"/>
        </w:rPr>
        <w:t>函</w:t>
      </w:r>
      <w:r>
        <w:rPr>
          <w:rFonts w:hint="eastAsia"/>
          <w:color w:val="auto"/>
          <w:sz w:val="24"/>
          <w:szCs w:val="20"/>
          <w:highlight w:val="none"/>
          <w:lang w:val="en-US" w:eastAsia="zh-CN"/>
        </w:rPr>
        <w:t xml:space="preserve"> </w:t>
      </w:r>
    </w:p>
    <w:p w14:paraId="5DE3F4CC">
      <w:pPr>
        <w:tabs>
          <w:tab w:val="left" w:pos="5580"/>
        </w:tabs>
        <w:spacing w:line="360" w:lineRule="auto"/>
        <w:outlineLvl w:val="9"/>
        <w:rPr>
          <w:color w:val="auto"/>
          <w:sz w:val="24"/>
          <w:highlight w:val="none"/>
        </w:rPr>
      </w:pPr>
    </w:p>
    <w:p w14:paraId="7EBEF586">
      <w:pPr>
        <w:spacing w:line="360" w:lineRule="auto"/>
        <w:jc w:val="center"/>
        <w:outlineLvl w:val="9"/>
        <w:rPr>
          <w:b/>
          <w:color w:val="auto"/>
          <w:sz w:val="36"/>
          <w:szCs w:val="36"/>
          <w:highlight w:val="none"/>
        </w:rPr>
      </w:pPr>
      <w:r>
        <w:rPr>
          <w:rFonts w:hint="eastAsia"/>
          <w:b/>
          <w:color w:val="auto"/>
          <w:sz w:val="36"/>
          <w:szCs w:val="36"/>
          <w:highlight w:val="none"/>
        </w:rPr>
        <w:t>投标函</w:t>
      </w:r>
    </w:p>
    <w:p w14:paraId="0BBE3C81">
      <w:pPr>
        <w:tabs>
          <w:tab w:val="left" w:pos="5580"/>
        </w:tabs>
        <w:spacing w:line="360" w:lineRule="auto"/>
        <w:outlineLvl w:val="9"/>
        <w:rPr>
          <w:color w:val="auto"/>
          <w:sz w:val="24"/>
          <w:highlight w:val="none"/>
        </w:rPr>
      </w:pPr>
      <w:r>
        <w:rPr>
          <w:color w:val="auto"/>
          <w:sz w:val="24"/>
          <w:highlight w:val="none"/>
        </w:rPr>
        <w:t>致：</w:t>
      </w:r>
      <w:r>
        <w:rPr>
          <w:color w:val="auto"/>
          <w:sz w:val="24"/>
          <w:highlight w:val="none"/>
          <w:u w:val="single"/>
        </w:rPr>
        <w:t>（采购人或采购代理机构）</w:t>
      </w:r>
    </w:p>
    <w:p w14:paraId="29D39A94">
      <w:pPr>
        <w:tabs>
          <w:tab w:val="left" w:pos="5580"/>
        </w:tabs>
        <w:spacing w:line="360" w:lineRule="auto"/>
        <w:outlineLvl w:val="9"/>
        <w:rPr>
          <w:color w:val="auto"/>
          <w:sz w:val="24"/>
          <w:szCs w:val="20"/>
          <w:highlight w:val="none"/>
        </w:rPr>
      </w:pPr>
    </w:p>
    <w:p w14:paraId="077489CC">
      <w:pPr>
        <w:tabs>
          <w:tab w:val="left" w:pos="5580"/>
        </w:tabs>
        <w:spacing w:line="360" w:lineRule="auto"/>
        <w:ind w:firstLine="408"/>
        <w:outlineLvl w:val="9"/>
        <w:rPr>
          <w:color w:val="auto"/>
          <w:sz w:val="24"/>
          <w:szCs w:val="20"/>
          <w:highlight w:val="none"/>
        </w:rPr>
      </w:pPr>
      <w:r>
        <w:rPr>
          <w:color w:val="auto"/>
          <w:sz w:val="24"/>
          <w:szCs w:val="20"/>
          <w:highlight w:val="none"/>
        </w:rPr>
        <w:t>我方参加你方就___________（项目名称，项目编号）组织的招标活动，并对此项目进行投标。</w:t>
      </w:r>
    </w:p>
    <w:p w14:paraId="6187E97B">
      <w:pPr>
        <w:tabs>
          <w:tab w:val="left" w:pos="5580"/>
        </w:tabs>
        <w:spacing w:line="360" w:lineRule="auto"/>
        <w:ind w:firstLine="408"/>
        <w:outlineLvl w:val="9"/>
        <w:rPr>
          <w:color w:val="auto"/>
          <w:sz w:val="24"/>
          <w:szCs w:val="20"/>
          <w:highlight w:val="none"/>
        </w:rPr>
      </w:pPr>
      <w:r>
        <w:rPr>
          <w:color w:val="auto"/>
          <w:sz w:val="24"/>
          <w:szCs w:val="20"/>
          <w:highlight w:val="none"/>
        </w:rPr>
        <w:t>1. 我方</w:t>
      </w:r>
      <w:r>
        <w:rPr>
          <w:color w:val="auto"/>
          <w:sz w:val="24"/>
          <w:highlight w:val="none"/>
        </w:rPr>
        <w:t>已详细审查全部招标文件</w:t>
      </w:r>
      <w:r>
        <w:rPr>
          <w:color w:val="auto"/>
          <w:sz w:val="24"/>
          <w:szCs w:val="20"/>
          <w:highlight w:val="none"/>
        </w:rPr>
        <w:t>，自愿参与投标并承诺如下：</w:t>
      </w:r>
    </w:p>
    <w:p w14:paraId="21D2CBD2">
      <w:pPr>
        <w:tabs>
          <w:tab w:val="left" w:pos="720"/>
          <w:tab w:val="left" w:pos="900"/>
        </w:tabs>
        <w:spacing w:line="360" w:lineRule="auto"/>
        <w:ind w:left="360" w:firstLine="72"/>
        <w:outlineLvl w:val="9"/>
        <w:rPr>
          <w:color w:val="auto"/>
          <w:sz w:val="24"/>
          <w:szCs w:val="20"/>
          <w:highlight w:val="none"/>
        </w:rPr>
      </w:pPr>
      <w:r>
        <w:rPr>
          <w:color w:val="auto"/>
          <w:sz w:val="24"/>
          <w:szCs w:val="20"/>
          <w:highlight w:val="none"/>
        </w:rPr>
        <w:t>（1）本投标有效期为自提交投标文件的截止之日起</w:t>
      </w:r>
      <w:r>
        <w:rPr>
          <w:rFonts w:hint="eastAsia"/>
          <w:color w:val="auto"/>
          <w:sz w:val="24"/>
          <w:highlight w:val="none"/>
        </w:rPr>
        <w:t>60</w:t>
      </w:r>
      <w:r>
        <w:rPr>
          <w:color w:val="auto"/>
          <w:sz w:val="24"/>
          <w:szCs w:val="20"/>
          <w:highlight w:val="none"/>
        </w:rPr>
        <w:t>个日历日。</w:t>
      </w:r>
    </w:p>
    <w:p w14:paraId="11580465">
      <w:pPr>
        <w:tabs>
          <w:tab w:val="left" w:pos="720"/>
          <w:tab w:val="left" w:pos="900"/>
        </w:tabs>
        <w:spacing w:line="360" w:lineRule="auto"/>
        <w:ind w:left="360" w:firstLine="72"/>
        <w:outlineLvl w:val="9"/>
        <w:rPr>
          <w:color w:val="auto"/>
          <w:sz w:val="24"/>
          <w:szCs w:val="20"/>
          <w:highlight w:val="none"/>
        </w:rPr>
      </w:pPr>
      <w:r>
        <w:rPr>
          <w:color w:val="auto"/>
          <w:sz w:val="24"/>
          <w:szCs w:val="20"/>
          <w:highlight w:val="none"/>
        </w:rPr>
        <w:t>（2）除合同条款及采购需求偏离表列出的偏离外，我方响应招标文件的全部要求。</w:t>
      </w:r>
    </w:p>
    <w:p w14:paraId="7B6D46FE">
      <w:pPr>
        <w:tabs>
          <w:tab w:val="left" w:pos="5580"/>
        </w:tabs>
        <w:spacing w:line="360" w:lineRule="auto"/>
        <w:ind w:firstLine="420"/>
        <w:outlineLvl w:val="9"/>
        <w:rPr>
          <w:color w:val="auto"/>
          <w:sz w:val="24"/>
          <w:szCs w:val="20"/>
          <w:highlight w:val="none"/>
        </w:rPr>
      </w:pPr>
      <w:r>
        <w:rPr>
          <w:color w:val="auto"/>
          <w:sz w:val="24"/>
          <w:szCs w:val="20"/>
          <w:highlight w:val="none"/>
        </w:rPr>
        <w:t>（3）我方已提供的全部文件资料是真实、准确的，并对此承担一切法律后果。</w:t>
      </w:r>
    </w:p>
    <w:p w14:paraId="36493C5A">
      <w:pPr>
        <w:tabs>
          <w:tab w:val="left" w:pos="5580"/>
        </w:tabs>
        <w:spacing w:line="360" w:lineRule="auto"/>
        <w:ind w:firstLine="420"/>
        <w:outlineLvl w:val="9"/>
        <w:rPr>
          <w:color w:val="auto"/>
          <w:sz w:val="24"/>
          <w:highlight w:val="none"/>
        </w:rPr>
      </w:pPr>
      <w:r>
        <w:rPr>
          <w:color w:val="auto"/>
          <w:sz w:val="24"/>
          <w:szCs w:val="20"/>
          <w:highlight w:val="none"/>
        </w:rPr>
        <w:t>（4）如我方中标，我方将在法律规定的期限内与你方签订合同，并在合同约定的期限内完成合同规定的全部义务。</w:t>
      </w:r>
    </w:p>
    <w:p w14:paraId="025F92B1">
      <w:pPr>
        <w:spacing w:line="360" w:lineRule="auto"/>
        <w:ind w:left="420"/>
        <w:outlineLvl w:val="9"/>
        <w:rPr>
          <w:color w:val="auto"/>
          <w:sz w:val="24"/>
          <w:highlight w:val="none"/>
        </w:rPr>
      </w:pPr>
      <w:r>
        <w:rPr>
          <w:color w:val="auto"/>
          <w:sz w:val="24"/>
          <w:highlight w:val="none"/>
        </w:rPr>
        <w:t>2. 其他补充条款（如有）：</w:t>
      </w:r>
      <w:r>
        <w:rPr>
          <w:color w:val="auto"/>
          <w:sz w:val="24"/>
          <w:szCs w:val="20"/>
          <w:highlight w:val="none"/>
        </w:rPr>
        <w:t>___________</w:t>
      </w:r>
      <w:r>
        <w:rPr>
          <w:color w:val="auto"/>
          <w:sz w:val="24"/>
          <w:highlight w:val="none"/>
        </w:rPr>
        <w:t>。</w:t>
      </w:r>
    </w:p>
    <w:p w14:paraId="5BCFB240">
      <w:pPr>
        <w:spacing w:line="360" w:lineRule="auto"/>
        <w:ind w:firstLine="480"/>
        <w:outlineLvl w:val="9"/>
        <w:rPr>
          <w:color w:val="auto"/>
          <w:sz w:val="24"/>
          <w:highlight w:val="none"/>
        </w:rPr>
      </w:pPr>
      <w:r>
        <w:rPr>
          <w:color w:val="auto"/>
          <w:sz w:val="24"/>
          <w:highlight w:val="none"/>
        </w:rPr>
        <w:t>与本投标有关的一切正式往来信函请寄：</w:t>
      </w:r>
    </w:p>
    <w:p w14:paraId="3F866635">
      <w:pPr>
        <w:tabs>
          <w:tab w:val="left" w:pos="5580"/>
        </w:tabs>
        <w:spacing w:line="360" w:lineRule="auto"/>
        <w:ind w:left="420"/>
        <w:outlineLvl w:val="9"/>
        <w:rPr>
          <w:color w:val="auto"/>
          <w:sz w:val="24"/>
          <w:szCs w:val="20"/>
          <w:highlight w:val="none"/>
        </w:rPr>
      </w:pPr>
    </w:p>
    <w:p w14:paraId="321A1876">
      <w:pPr>
        <w:tabs>
          <w:tab w:val="left" w:pos="5580"/>
        </w:tabs>
        <w:spacing w:line="360" w:lineRule="auto"/>
        <w:ind w:left="420"/>
        <w:outlineLvl w:val="9"/>
        <w:rPr>
          <w:color w:val="auto"/>
          <w:sz w:val="24"/>
          <w:szCs w:val="20"/>
          <w:highlight w:val="none"/>
        </w:rPr>
      </w:pPr>
      <w:r>
        <w:rPr>
          <w:color w:val="auto"/>
          <w:sz w:val="24"/>
          <w:szCs w:val="20"/>
          <w:highlight w:val="none"/>
        </w:rPr>
        <w:t>地址_________________________     传真____________________________</w:t>
      </w:r>
    </w:p>
    <w:p w14:paraId="3A6A75C6">
      <w:pPr>
        <w:tabs>
          <w:tab w:val="left" w:pos="5580"/>
        </w:tabs>
        <w:spacing w:line="360" w:lineRule="auto"/>
        <w:ind w:left="420"/>
        <w:outlineLvl w:val="9"/>
        <w:rPr>
          <w:color w:val="auto"/>
          <w:sz w:val="24"/>
          <w:szCs w:val="20"/>
          <w:highlight w:val="none"/>
        </w:rPr>
      </w:pPr>
      <w:r>
        <w:rPr>
          <w:color w:val="auto"/>
          <w:sz w:val="24"/>
          <w:szCs w:val="20"/>
          <w:highlight w:val="none"/>
        </w:rPr>
        <w:t>电话_________________________     电子函件________________________</w:t>
      </w:r>
    </w:p>
    <w:p w14:paraId="4B880721">
      <w:pPr>
        <w:tabs>
          <w:tab w:val="left" w:pos="5580"/>
        </w:tabs>
        <w:spacing w:line="360" w:lineRule="auto"/>
        <w:ind w:left="420"/>
        <w:outlineLvl w:val="9"/>
        <w:rPr>
          <w:color w:val="auto"/>
          <w:sz w:val="24"/>
          <w:szCs w:val="20"/>
          <w:highlight w:val="none"/>
        </w:rPr>
      </w:pPr>
    </w:p>
    <w:p w14:paraId="42AF68AE">
      <w:pPr>
        <w:tabs>
          <w:tab w:val="left" w:pos="5580"/>
        </w:tabs>
        <w:spacing w:line="360" w:lineRule="auto"/>
        <w:ind w:left="420"/>
        <w:outlineLvl w:val="9"/>
        <w:rPr>
          <w:color w:val="auto"/>
          <w:sz w:val="24"/>
          <w:szCs w:val="20"/>
          <w:highlight w:val="none"/>
        </w:rPr>
      </w:pPr>
      <w:r>
        <w:rPr>
          <w:color w:val="auto"/>
          <w:sz w:val="24"/>
          <w:szCs w:val="20"/>
          <w:highlight w:val="none"/>
        </w:rPr>
        <w:t>投标人名称（加盖公章） ___________</w:t>
      </w:r>
    </w:p>
    <w:p w14:paraId="370C2C56">
      <w:pPr>
        <w:tabs>
          <w:tab w:val="left" w:pos="5580"/>
        </w:tabs>
        <w:spacing w:line="360" w:lineRule="auto"/>
        <w:ind w:left="420"/>
        <w:outlineLvl w:val="9"/>
        <w:rPr>
          <w:color w:val="auto"/>
          <w:sz w:val="24"/>
          <w:szCs w:val="20"/>
          <w:highlight w:val="none"/>
        </w:rPr>
      </w:pPr>
      <w:r>
        <w:rPr>
          <w:color w:val="auto"/>
          <w:sz w:val="24"/>
          <w:szCs w:val="20"/>
          <w:highlight w:val="none"/>
        </w:rPr>
        <w:t xml:space="preserve">日期：_____年______月______日    </w:t>
      </w:r>
    </w:p>
    <w:p w14:paraId="2BAAD781">
      <w:pPr>
        <w:tabs>
          <w:tab w:val="left" w:pos="5580"/>
        </w:tabs>
        <w:spacing w:line="360" w:lineRule="auto"/>
        <w:ind w:left="420"/>
        <w:outlineLvl w:val="9"/>
        <w:rPr>
          <w:color w:val="auto"/>
          <w:sz w:val="24"/>
          <w:szCs w:val="20"/>
          <w:highlight w:val="none"/>
          <w:u w:val="single"/>
        </w:rPr>
      </w:pPr>
    </w:p>
    <w:p w14:paraId="39F3842A">
      <w:pPr>
        <w:widowControl/>
        <w:jc w:val="left"/>
        <w:outlineLvl w:val="9"/>
        <w:rPr>
          <w:rFonts w:hint="eastAsia" w:eastAsia="宋体"/>
          <w:color w:val="auto"/>
          <w:sz w:val="24"/>
          <w:highlight w:val="none"/>
          <w:lang w:val="en-US" w:eastAsia="zh-CN"/>
        </w:rPr>
      </w:pPr>
      <w:bookmarkStart w:id="831" w:name="_Hlt520356243"/>
      <w:bookmarkEnd w:id="831"/>
      <w:bookmarkStart w:id="832" w:name="_Hlt520355938"/>
      <w:bookmarkEnd w:id="832"/>
      <w:r>
        <w:rPr>
          <w:color w:val="auto"/>
          <w:sz w:val="24"/>
          <w:highlight w:val="none"/>
        </w:rPr>
        <w:br w:type="page" w:clear="all"/>
      </w:r>
      <w:r>
        <w:rPr>
          <w:rFonts w:hint="eastAsia"/>
          <w:color w:val="auto"/>
          <w:sz w:val="24"/>
          <w:highlight w:val="none"/>
          <w:lang w:val="en-US" w:eastAsia="zh-CN"/>
        </w:rPr>
        <w:t>2</w:t>
      </w:r>
      <w:r>
        <w:rPr>
          <w:color w:val="auto"/>
          <w:sz w:val="24"/>
          <w:highlight w:val="none"/>
        </w:rPr>
        <w:t xml:space="preserve"> </w:t>
      </w:r>
      <w:r>
        <w:rPr>
          <w:rFonts w:hint="eastAsia"/>
          <w:color w:val="auto"/>
          <w:sz w:val="24"/>
          <w:highlight w:val="none"/>
        </w:rPr>
        <w:t>法定代表人资格证明书</w:t>
      </w:r>
      <w:r>
        <w:rPr>
          <w:rFonts w:hint="eastAsia"/>
          <w:color w:val="auto"/>
          <w:sz w:val="24"/>
          <w:szCs w:val="20"/>
          <w:highlight w:val="none"/>
          <w:lang w:val="en-US" w:eastAsia="zh-CN"/>
        </w:rPr>
        <w:t xml:space="preserve"> </w:t>
      </w:r>
    </w:p>
    <w:p w14:paraId="682AFB8A">
      <w:pPr>
        <w:spacing w:line="360" w:lineRule="auto"/>
        <w:jc w:val="center"/>
        <w:outlineLvl w:val="9"/>
        <w:rPr>
          <w:rFonts w:hint="eastAsia" w:ascii="宋体" w:hAnsi="宋体"/>
          <w:b/>
          <w:color w:val="auto"/>
          <w:sz w:val="32"/>
          <w:szCs w:val="32"/>
          <w:highlight w:val="none"/>
        </w:rPr>
      </w:pPr>
    </w:p>
    <w:p w14:paraId="6068017B">
      <w:pPr>
        <w:spacing w:line="360" w:lineRule="auto"/>
        <w:jc w:val="center"/>
        <w:outlineLvl w:val="9"/>
        <w:rPr>
          <w:rFonts w:ascii="宋体" w:hAnsi="宋体"/>
          <w:b/>
          <w:color w:val="auto"/>
          <w:sz w:val="32"/>
          <w:szCs w:val="32"/>
          <w:highlight w:val="none"/>
        </w:rPr>
      </w:pPr>
      <w:r>
        <w:rPr>
          <w:rFonts w:hint="eastAsia" w:ascii="宋体" w:hAnsi="宋体"/>
          <w:b/>
          <w:color w:val="auto"/>
          <w:sz w:val="32"/>
          <w:szCs w:val="32"/>
          <w:highlight w:val="none"/>
        </w:rPr>
        <w:t>法定代表人资格证明书</w:t>
      </w:r>
    </w:p>
    <w:p w14:paraId="3143165A">
      <w:pPr>
        <w:spacing w:line="560" w:lineRule="exact"/>
        <w:outlineLvl w:val="9"/>
        <w:rPr>
          <w:rFonts w:ascii="宋体" w:hAnsi="宋体"/>
          <w:color w:val="auto"/>
          <w:sz w:val="24"/>
          <w:highlight w:val="none"/>
        </w:rPr>
      </w:pPr>
      <w:r>
        <w:rPr>
          <w:rFonts w:hint="eastAsia" w:ascii="宋体" w:hAnsi="宋体"/>
          <w:color w:val="auto"/>
          <w:sz w:val="24"/>
          <w:highlight w:val="none"/>
        </w:rPr>
        <w:t>单位名称:</w:t>
      </w:r>
    </w:p>
    <w:p w14:paraId="379C76D5">
      <w:pPr>
        <w:spacing w:line="560" w:lineRule="exact"/>
        <w:outlineLvl w:val="9"/>
        <w:rPr>
          <w:rFonts w:ascii="宋体" w:hAnsi="宋体"/>
          <w:color w:val="auto"/>
          <w:sz w:val="24"/>
          <w:highlight w:val="none"/>
        </w:rPr>
      </w:pPr>
      <w:r>
        <w:rPr>
          <w:rFonts w:hint="eastAsia" w:ascii="宋体" w:hAnsi="宋体"/>
          <w:color w:val="auto"/>
          <w:sz w:val="24"/>
          <w:highlight w:val="none"/>
        </w:rPr>
        <w:t>地址:</w:t>
      </w:r>
    </w:p>
    <w:p w14:paraId="479A571B">
      <w:pPr>
        <w:spacing w:line="560" w:lineRule="exact"/>
        <w:outlineLvl w:val="9"/>
        <w:rPr>
          <w:rFonts w:ascii="宋体" w:hAnsi="宋体"/>
          <w:color w:val="auto"/>
          <w:sz w:val="24"/>
          <w:highlight w:val="none"/>
        </w:rPr>
      </w:pPr>
      <w:r>
        <w:rPr>
          <w:rFonts w:hint="eastAsia" w:ascii="宋体" w:hAnsi="宋体"/>
          <w:color w:val="auto"/>
          <w:sz w:val="24"/>
          <w:highlight w:val="none"/>
        </w:rPr>
        <w:t>姓名:     性别:       年龄:      职务:</w:t>
      </w:r>
    </w:p>
    <w:p w14:paraId="49F322B3">
      <w:pPr>
        <w:spacing w:line="560" w:lineRule="exact"/>
        <w:outlineLvl w:val="9"/>
        <w:rPr>
          <w:rFonts w:ascii="宋体" w:hAnsi="宋体"/>
          <w:color w:val="auto"/>
          <w:sz w:val="24"/>
          <w:highlight w:val="none"/>
        </w:rPr>
      </w:pPr>
      <w:r>
        <w:rPr>
          <w:rFonts w:hint="eastAsia" w:ascii="宋体" w:hAnsi="宋体"/>
          <w:color w:val="auto"/>
          <w:sz w:val="24"/>
          <w:highlight w:val="none"/>
        </w:rPr>
        <w:t>系</w:t>
      </w:r>
      <w:r>
        <w:rPr>
          <w:rFonts w:hint="eastAsia" w:ascii="宋体" w:hAnsi="宋体"/>
          <w:color w:val="auto"/>
          <w:sz w:val="24"/>
          <w:highlight w:val="none"/>
          <w:u w:val="single"/>
        </w:rPr>
        <w:t>（投标</w:t>
      </w:r>
      <w:r>
        <w:rPr>
          <w:rFonts w:hint="eastAsia" w:ascii="宋体" w:hAnsi="宋体"/>
          <w:color w:val="auto"/>
          <w:sz w:val="24"/>
          <w:highlight w:val="none"/>
          <w:u w:val="single"/>
          <w:lang w:eastAsia="zh-CN"/>
        </w:rPr>
        <w:t>供应商</w:t>
      </w:r>
      <w:r>
        <w:rPr>
          <w:rFonts w:hint="eastAsia" w:ascii="宋体" w:hAnsi="宋体"/>
          <w:color w:val="auto"/>
          <w:sz w:val="24"/>
          <w:highlight w:val="none"/>
          <w:u w:val="single"/>
        </w:rPr>
        <w:t>名称）</w:t>
      </w:r>
      <w:r>
        <w:rPr>
          <w:rFonts w:hint="eastAsia" w:ascii="宋体" w:hAnsi="宋体"/>
          <w:color w:val="auto"/>
          <w:sz w:val="24"/>
          <w:highlight w:val="none"/>
        </w:rPr>
        <w:t>的法定代表人。为参与</w:t>
      </w:r>
      <w:r>
        <w:rPr>
          <w:rFonts w:hint="eastAsia" w:ascii="宋体" w:hAnsi="宋体"/>
          <w:color w:val="auto"/>
          <w:sz w:val="24"/>
          <w:highlight w:val="none"/>
          <w:u w:val="single"/>
        </w:rPr>
        <w:t>（项目名称）</w:t>
      </w:r>
      <w:r>
        <w:rPr>
          <w:rFonts w:hint="eastAsia" w:ascii="宋体" w:hAnsi="宋体"/>
          <w:color w:val="auto"/>
          <w:sz w:val="24"/>
          <w:highlight w:val="none"/>
        </w:rPr>
        <w:t>的政府采购活动，</w:t>
      </w:r>
      <w:r>
        <w:rPr>
          <w:rFonts w:ascii="宋体" w:hAnsi="宋体"/>
          <w:color w:val="auto"/>
          <w:sz w:val="24"/>
          <w:szCs w:val="20"/>
          <w:highlight w:val="none"/>
        </w:rPr>
        <w:t>签署、澄清确认、递交、撤回、修改</w:t>
      </w:r>
      <w:r>
        <w:rPr>
          <w:rFonts w:hint="eastAsia" w:ascii="宋体" w:hAnsi="宋体"/>
          <w:color w:val="auto"/>
          <w:sz w:val="24"/>
          <w:highlight w:val="none"/>
        </w:rPr>
        <w:t>上述项目的</w:t>
      </w:r>
      <w:r>
        <w:rPr>
          <w:rFonts w:hint="eastAsia" w:ascii="宋体" w:hAnsi="宋体"/>
          <w:color w:val="auto"/>
          <w:sz w:val="24"/>
          <w:highlight w:val="none"/>
          <w:lang w:eastAsia="zh-CN"/>
        </w:rPr>
        <w:t>投标</w:t>
      </w:r>
      <w:r>
        <w:rPr>
          <w:rFonts w:hint="eastAsia" w:ascii="宋体" w:hAnsi="宋体"/>
          <w:color w:val="auto"/>
          <w:sz w:val="24"/>
          <w:highlight w:val="none"/>
        </w:rPr>
        <w:t>文件、进行合同</w:t>
      </w:r>
      <w:r>
        <w:rPr>
          <w:rFonts w:hint="eastAsia" w:ascii="宋体" w:hAnsi="宋体"/>
          <w:color w:val="auto"/>
          <w:sz w:val="24"/>
          <w:highlight w:val="none"/>
          <w:lang w:eastAsia="zh-CN"/>
        </w:rPr>
        <w:t>谈判</w:t>
      </w:r>
      <w:r>
        <w:rPr>
          <w:rFonts w:hint="eastAsia" w:ascii="宋体" w:hAnsi="宋体"/>
          <w:color w:val="auto"/>
          <w:sz w:val="24"/>
          <w:highlight w:val="none"/>
        </w:rPr>
        <w:t>、签署合同和处理与之有关的一切事务。</w:t>
      </w:r>
    </w:p>
    <w:p w14:paraId="0547BE04">
      <w:pPr>
        <w:spacing w:line="560" w:lineRule="exact"/>
        <w:outlineLvl w:val="9"/>
        <w:rPr>
          <w:rFonts w:ascii="宋体" w:hAnsi="宋体"/>
          <w:color w:val="auto"/>
          <w:sz w:val="24"/>
          <w:highlight w:val="none"/>
        </w:rPr>
      </w:pPr>
      <w:r>
        <w:rPr>
          <w:rFonts w:hint="eastAsia" w:ascii="宋体" w:hAnsi="宋体"/>
          <w:color w:val="auto"/>
          <w:sz w:val="24"/>
          <w:highlight w:val="none"/>
        </w:rPr>
        <w:t>特此证明。</w:t>
      </w:r>
    </w:p>
    <w:p w14:paraId="43D0ED0F">
      <w:pPr>
        <w:spacing w:line="560" w:lineRule="exact"/>
        <w:outlineLvl w:val="9"/>
        <w:rPr>
          <w:rFonts w:ascii="宋体" w:hAnsi="宋体"/>
          <w:color w:val="auto"/>
          <w:sz w:val="24"/>
          <w:highlight w:val="none"/>
        </w:rPr>
      </w:pPr>
    </w:p>
    <w:p w14:paraId="0204FFA0">
      <w:pPr>
        <w:pStyle w:val="39"/>
        <w:spacing w:line="583" w:lineRule="auto"/>
        <w:ind w:right="-46"/>
        <w:outlineLvl w:val="9"/>
        <w:rPr>
          <w:color w:val="auto"/>
          <w:spacing w:val="-3"/>
          <w:highlight w:val="none"/>
        </w:rPr>
      </w:pPr>
      <w:r>
        <w:rPr>
          <w:color w:val="auto"/>
          <w:highlight w:val="none"/>
        </w:rPr>
        <w:t>附：</w:t>
      </w:r>
      <w:r>
        <w:rPr>
          <w:color w:val="auto"/>
          <w:spacing w:val="-3"/>
          <w:highlight w:val="none"/>
        </w:rPr>
        <w:t>法</w:t>
      </w:r>
      <w:r>
        <w:rPr>
          <w:color w:val="auto"/>
          <w:highlight w:val="none"/>
        </w:rPr>
        <w:t>定</w:t>
      </w:r>
      <w:r>
        <w:rPr>
          <w:color w:val="auto"/>
          <w:spacing w:val="-3"/>
          <w:highlight w:val="none"/>
        </w:rPr>
        <w:t>代</w:t>
      </w:r>
      <w:r>
        <w:rPr>
          <w:color w:val="auto"/>
          <w:highlight w:val="none"/>
        </w:rPr>
        <w:t>表</w:t>
      </w:r>
      <w:r>
        <w:rPr>
          <w:color w:val="auto"/>
          <w:spacing w:val="-3"/>
          <w:highlight w:val="none"/>
        </w:rPr>
        <w:t>人有效期内的身</w:t>
      </w:r>
      <w:r>
        <w:rPr>
          <w:rFonts w:hint="eastAsia"/>
          <w:color w:val="auto"/>
          <w:spacing w:val="-3"/>
          <w:highlight w:val="none"/>
        </w:rPr>
        <w:t>份</w:t>
      </w:r>
      <w:r>
        <w:rPr>
          <w:color w:val="auto"/>
          <w:spacing w:val="-3"/>
          <w:highlight w:val="none"/>
        </w:rPr>
        <w:t>证正反面</w:t>
      </w:r>
      <w:r>
        <w:rPr>
          <w:rFonts w:hint="eastAsia"/>
          <w:color w:val="auto"/>
          <w:spacing w:val="-3"/>
          <w:highlight w:val="none"/>
          <w:lang w:val="en-US" w:eastAsia="zh-CN"/>
        </w:rPr>
        <w:t>电子件</w:t>
      </w:r>
      <w:r>
        <w:rPr>
          <w:rFonts w:hint="eastAsia"/>
          <w:color w:val="auto"/>
          <w:spacing w:val="-3"/>
          <w:highlight w:val="none"/>
        </w:rPr>
        <w:t>。</w:t>
      </w:r>
    </w:p>
    <w:tbl>
      <w:tblPr>
        <w:tblStyle w:val="3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2587E6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26F838D2">
            <w:pPr>
              <w:tabs>
                <w:tab w:val="left" w:pos="5580"/>
              </w:tabs>
              <w:spacing w:line="360" w:lineRule="auto"/>
              <w:jc w:val="left"/>
              <w:outlineLvl w:val="9"/>
              <w:rPr>
                <w:rFonts w:ascii="宋体" w:hAnsi="宋体"/>
                <w:color w:val="auto"/>
                <w:sz w:val="24"/>
                <w:szCs w:val="20"/>
                <w:highlight w:val="none"/>
              </w:rPr>
            </w:pPr>
          </w:p>
          <w:p w14:paraId="4A657F3A">
            <w:pPr>
              <w:tabs>
                <w:tab w:val="left" w:pos="5580"/>
              </w:tabs>
              <w:spacing w:line="360" w:lineRule="auto"/>
              <w:jc w:val="left"/>
              <w:outlineLvl w:val="9"/>
              <w:rPr>
                <w:rFonts w:ascii="宋体" w:hAnsi="宋体"/>
                <w:color w:val="auto"/>
                <w:sz w:val="24"/>
                <w:szCs w:val="20"/>
                <w:highlight w:val="none"/>
              </w:rPr>
            </w:pPr>
          </w:p>
          <w:p w14:paraId="5B80FCF3">
            <w:pPr>
              <w:tabs>
                <w:tab w:val="left" w:pos="5580"/>
              </w:tabs>
              <w:spacing w:line="360" w:lineRule="auto"/>
              <w:jc w:val="left"/>
              <w:outlineLvl w:val="9"/>
              <w:rPr>
                <w:rFonts w:ascii="宋体" w:hAnsi="宋体"/>
                <w:color w:val="auto"/>
                <w:sz w:val="24"/>
                <w:szCs w:val="20"/>
                <w:highlight w:val="none"/>
              </w:rPr>
            </w:pPr>
          </w:p>
        </w:tc>
        <w:tc>
          <w:tcPr>
            <w:tcW w:w="4536" w:type="dxa"/>
            <w:noWrap w:val="0"/>
            <w:vAlign w:val="top"/>
          </w:tcPr>
          <w:p w14:paraId="20F5CCDD">
            <w:pPr>
              <w:tabs>
                <w:tab w:val="left" w:pos="5580"/>
              </w:tabs>
              <w:spacing w:line="360" w:lineRule="auto"/>
              <w:jc w:val="left"/>
              <w:outlineLvl w:val="9"/>
              <w:rPr>
                <w:rFonts w:ascii="宋体" w:hAnsi="宋体"/>
                <w:color w:val="auto"/>
                <w:sz w:val="24"/>
                <w:szCs w:val="20"/>
                <w:highlight w:val="none"/>
              </w:rPr>
            </w:pPr>
          </w:p>
          <w:p w14:paraId="72AEECF8">
            <w:pPr>
              <w:tabs>
                <w:tab w:val="left" w:pos="5580"/>
              </w:tabs>
              <w:spacing w:line="360" w:lineRule="auto"/>
              <w:jc w:val="left"/>
              <w:outlineLvl w:val="9"/>
              <w:rPr>
                <w:rFonts w:ascii="宋体" w:hAnsi="宋体"/>
                <w:color w:val="auto"/>
                <w:sz w:val="24"/>
                <w:szCs w:val="20"/>
                <w:highlight w:val="none"/>
              </w:rPr>
            </w:pPr>
          </w:p>
          <w:p w14:paraId="2F27EC0E">
            <w:pPr>
              <w:tabs>
                <w:tab w:val="left" w:pos="5580"/>
              </w:tabs>
              <w:spacing w:line="360" w:lineRule="auto"/>
              <w:jc w:val="left"/>
              <w:outlineLvl w:val="9"/>
              <w:rPr>
                <w:rFonts w:ascii="宋体" w:hAnsi="宋体"/>
                <w:color w:val="auto"/>
                <w:sz w:val="24"/>
                <w:szCs w:val="20"/>
                <w:highlight w:val="none"/>
              </w:rPr>
            </w:pPr>
          </w:p>
        </w:tc>
      </w:tr>
    </w:tbl>
    <w:p w14:paraId="61F2C5D1">
      <w:pPr>
        <w:spacing w:line="560" w:lineRule="exact"/>
        <w:outlineLvl w:val="9"/>
        <w:rPr>
          <w:rFonts w:ascii="宋体" w:hAnsi="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lang w:eastAsia="zh-CN"/>
        </w:rPr>
        <w:t>投标供应商</w:t>
      </w:r>
      <w:r>
        <w:rPr>
          <w:rFonts w:hint="eastAsia" w:ascii="宋体" w:hAnsi="宋体"/>
          <w:color w:val="auto"/>
          <w:sz w:val="24"/>
          <w:highlight w:val="none"/>
        </w:rPr>
        <w:t>：（加盖公章）</w:t>
      </w:r>
    </w:p>
    <w:p w14:paraId="66BB298E">
      <w:pPr>
        <w:spacing w:line="560" w:lineRule="exact"/>
        <w:outlineLvl w:val="9"/>
        <w:rPr>
          <w:rFonts w:ascii="宋体" w:hAnsi="宋体"/>
          <w:color w:val="auto"/>
          <w:sz w:val="24"/>
          <w:highlight w:val="none"/>
        </w:rPr>
      </w:pPr>
      <w:r>
        <w:rPr>
          <w:rFonts w:hint="eastAsia" w:ascii="宋体" w:hAnsi="宋体"/>
          <w:color w:val="auto"/>
          <w:sz w:val="24"/>
          <w:highlight w:val="none"/>
        </w:rPr>
        <w:t>                       法定代表人</w:t>
      </w:r>
      <w:r>
        <w:rPr>
          <w:rFonts w:ascii="宋体" w:hAnsi="宋体"/>
          <w:color w:val="auto"/>
          <w:sz w:val="24"/>
          <w:szCs w:val="20"/>
          <w:highlight w:val="none"/>
        </w:rPr>
        <w:t>签字</w:t>
      </w:r>
      <w:r>
        <w:rPr>
          <w:rFonts w:hint="eastAsia" w:ascii="宋体" w:hAnsi="宋体"/>
          <w:color w:val="auto"/>
          <w:sz w:val="24"/>
          <w:szCs w:val="20"/>
          <w:highlight w:val="none"/>
          <w:lang w:val="en-US" w:eastAsia="zh-CN"/>
        </w:rPr>
        <w:t>或</w:t>
      </w:r>
      <w:r>
        <w:rPr>
          <w:rFonts w:hint="eastAsia" w:ascii="宋体" w:hAnsi="宋体"/>
          <w:color w:val="auto"/>
          <w:sz w:val="24"/>
          <w:szCs w:val="20"/>
          <w:highlight w:val="none"/>
        </w:rPr>
        <w:t>签章</w:t>
      </w:r>
      <w:r>
        <w:rPr>
          <w:rFonts w:ascii="宋体" w:hAnsi="宋体"/>
          <w:color w:val="auto"/>
          <w:sz w:val="24"/>
          <w:szCs w:val="20"/>
          <w:highlight w:val="none"/>
        </w:rPr>
        <w:t>或</w:t>
      </w:r>
      <w:r>
        <w:rPr>
          <w:rFonts w:hint="eastAsia" w:ascii="宋体" w:hAnsi="宋体"/>
          <w:color w:val="auto"/>
          <w:sz w:val="24"/>
          <w:szCs w:val="20"/>
          <w:highlight w:val="none"/>
        </w:rPr>
        <w:t>印鉴</w:t>
      </w:r>
      <w:r>
        <w:rPr>
          <w:rFonts w:hint="eastAsia" w:ascii="宋体" w:hAnsi="宋体"/>
          <w:color w:val="auto"/>
          <w:sz w:val="24"/>
          <w:highlight w:val="none"/>
        </w:rPr>
        <w:t>：</w:t>
      </w:r>
    </w:p>
    <w:p w14:paraId="3FB15F4E">
      <w:pPr>
        <w:spacing w:line="560" w:lineRule="exact"/>
        <w:ind w:firstLine="4320"/>
        <w:outlineLvl w:val="9"/>
        <w:rPr>
          <w:rFonts w:ascii="宋体" w:hAnsi="宋体"/>
          <w:color w:val="auto"/>
          <w:sz w:val="24"/>
          <w:highlight w:val="none"/>
        </w:rPr>
      </w:pPr>
      <w:r>
        <w:rPr>
          <w:rFonts w:hint="eastAsia" w:ascii="宋体" w:hAnsi="宋体"/>
          <w:color w:val="auto"/>
          <w:sz w:val="24"/>
          <w:highlight w:val="none"/>
        </w:rPr>
        <w:t>日期：    年    月    日</w:t>
      </w:r>
    </w:p>
    <w:p w14:paraId="60890AE3">
      <w:pPr>
        <w:widowControl/>
        <w:jc w:val="left"/>
        <w:outlineLvl w:val="9"/>
        <w:rPr>
          <w:rFonts w:hint="eastAsia"/>
          <w:color w:val="auto"/>
          <w:sz w:val="24"/>
          <w:highlight w:val="none"/>
        </w:rPr>
      </w:pPr>
    </w:p>
    <w:p w14:paraId="4BD023CD">
      <w:pPr>
        <w:outlineLvl w:val="9"/>
        <w:rPr>
          <w:rFonts w:hint="eastAsia"/>
          <w:color w:val="auto"/>
          <w:highlight w:val="none"/>
        </w:rPr>
      </w:pPr>
    </w:p>
    <w:p w14:paraId="08C65C1A">
      <w:pPr>
        <w:tabs>
          <w:tab w:val="left" w:pos="5580"/>
        </w:tabs>
        <w:spacing w:line="360" w:lineRule="auto"/>
        <w:jc w:val="left"/>
        <w:rPr>
          <w:rFonts w:ascii="宋体" w:hAnsi="宋体"/>
          <w:color w:val="auto"/>
          <w:sz w:val="24"/>
          <w:szCs w:val="20"/>
          <w:highlight w:val="none"/>
        </w:rPr>
      </w:pPr>
    </w:p>
    <w:p w14:paraId="7B6E4E17">
      <w:pPr>
        <w:widowControl/>
        <w:jc w:val="left"/>
        <w:outlineLvl w:val="9"/>
        <w:rPr>
          <w:rFonts w:hint="eastAsia" w:ascii="宋体" w:hAnsi="宋体" w:eastAsia="宋体" w:cs="Times New Roman"/>
          <w:color w:val="auto"/>
          <w:sz w:val="24"/>
          <w:szCs w:val="20"/>
          <w:highlight w:val="none"/>
        </w:rPr>
      </w:pPr>
      <w:r>
        <w:rPr>
          <w:rFonts w:hint="eastAsia" w:ascii="宋体" w:hAnsi="宋体"/>
          <w:color w:val="auto"/>
          <w:sz w:val="24"/>
          <w:szCs w:val="20"/>
          <w:highlight w:val="none"/>
          <w:lang w:val="en-US" w:eastAsia="zh-CN"/>
        </w:rPr>
        <w:t xml:space="preserve"> </w:t>
      </w:r>
    </w:p>
    <w:p w14:paraId="249B03A5">
      <w:pPr>
        <w:widowControl/>
        <w:jc w:val="left"/>
        <w:outlineLvl w:val="9"/>
        <w:rPr>
          <w:rFonts w:hint="eastAsia"/>
          <w:color w:val="auto"/>
          <w:sz w:val="24"/>
          <w:highlight w:val="none"/>
        </w:rPr>
      </w:pPr>
    </w:p>
    <w:p w14:paraId="250C0466">
      <w:pPr>
        <w:widowControl/>
        <w:jc w:val="left"/>
        <w:outlineLvl w:val="9"/>
        <w:rPr>
          <w:rFonts w:hint="eastAsia"/>
          <w:color w:val="auto"/>
          <w:sz w:val="24"/>
          <w:highlight w:val="none"/>
        </w:rPr>
      </w:pPr>
    </w:p>
    <w:p w14:paraId="46D72916">
      <w:pPr>
        <w:widowControl/>
        <w:jc w:val="left"/>
        <w:outlineLvl w:val="9"/>
        <w:rPr>
          <w:rFonts w:hint="eastAsia" w:ascii="Times New Roman" w:hAnsi="Times New Roman" w:eastAsia="宋体" w:cs="Times New Roman"/>
          <w:color w:val="auto"/>
          <w:sz w:val="24"/>
          <w:highlight w:val="none"/>
          <w:lang w:val="en-US" w:eastAsia="zh-CN"/>
        </w:rPr>
        <w:sectPr>
          <w:headerReference r:id="rId18" w:type="first"/>
          <w:footerReference r:id="rId20" w:type="first"/>
          <w:headerReference r:id="rId17" w:type="even"/>
          <w:footerReference r:id="rId19" w:type="even"/>
          <w:pgSz w:w="11907" w:h="16840"/>
          <w:pgMar w:top="1418" w:right="1134" w:bottom="1418" w:left="1701" w:header="851" w:footer="851" w:gutter="0"/>
          <w:pgNumType w:fmt="decimal"/>
          <w:cols w:space="1701" w:num="1"/>
          <w:docGrid w:linePitch="360" w:charSpace="0"/>
        </w:sectPr>
      </w:pPr>
    </w:p>
    <w:p w14:paraId="13C0E2A7">
      <w:pPr>
        <w:widowControl/>
        <w:jc w:val="left"/>
        <w:outlineLvl w:val="9"/>
        <w:rPr>
          <w:rFonts w:hint="eastAsia" w:eastAsia="宋体"/>
          <w:color w:val="auto"/>
          <w:sz w:val="24"/>
          <w:highlight w:val="none"/>
          <w:lang w:val="en-US" w:eastAsia="zh-CN"/>
        </w:rPr>
      </w:pPr>
      <w:r>
        <w:rPr>
          <w:rFonts w:hint="eastAsia"/>
          <w:color w:val="auto"/>
          <w:sz w:val="24"/>
          <w:highlight w:val="none"/>
          <w:lang w:val="en-US" w:eastAsia="zh-CN"/>
        </w:rPr>
        <w:t>3</w:t>
      </w:r>
      <w:r>
        <w:rPr>
          <w:rFonts w:hint="eastAsia"/>
          <w:color w:val="auto"/>
          <w:sz w:val="24"/>
          <w:highlight w:val="none"/>
        </w:rPr>
        <w:t xml:space="preserve">  政府采购供应商信用承诺书</w:t>
      </w:r>
      <w:r>
        <w:rPr>
          <w:rFonts w:hint="eastAsia"/>
          <w:color w:val="auto"/>
          <w:sz w:val="24"/>
          <w:szCs w:val="20"/>
          <w:highlight w:val="none"/>
          <w:lang w:val="en-US" w:eastAsia="zh-CN"/>
        </w:rPr>
        <w:t xml:space="preserve"> </w:t>
      </w:r>
    </w:p>
    <w:p w14:paraId="07C30593">
      <w:pPr>
        <w:spacing w:line="560" w:lineRule="exact"/>
        <w:ind w:firstLine="321"/>
        <w:jc w:val="center"/>
        <w:outlineLvl w:val="9"/>
        <w:rPr>
          <w:rFonts w:hint="eastAsia" w:ascii="黑体" w:hAnsi="黑体" w:eastAsia="黑体"/>
          <w:b/>
          <w:color w:val="auto"/>
          <w:sz w:val="32"/>
          <w:szCs w:val="32"/>
          <w:highlight w:val="none"/>
        </w:rPr>
      </w:pPr>
    </w:p>
    <w:p w14:paraId="574FF4AE">
      <w:pPr>
        <w:spacing w:line="560" w:lineRule="exact"/>
        <w:ind w:firstLine="321"/>
        <w:jc w:val="center"/>
        <w:outlineLvl w:val="9"/>
        <w:rPr>
          <w:rFonts w:ascii="黑体" w:hAnsi="黑体" w:eastAsia="黑体"/>
          <w:b/>
          <w:color w:val="auto"/>
          <w:sz w:val="32"/>
          <w:szCs w:val="32"/>
          <w:highlight w:val="none"/>
        </w:rPr>
      </w:pPr>
      <w:r>
        <w:rPr>
          <w:rFonts w:hint="eastAsia" w:ascii="黑体" w:hAnsi="黑体" w:eastAsia="黑体"/>
          <w:b/>
          <w:color w:val="auto"/>
          <w:sz w:val="32"/>
          <w:szCs w:val="32"/>
          <w:highlight w:val="none"/>
        </w:rPr>
        <w:t>政府采购供应商信用承诺书</w:t>
      </w:r>
    </w:p>
    <w:p w14:paraId="00D13493">
      <w:pPr>
        <w:ind w:firstLine="640"/>
        <w:outlineLvl w:val="9"/>
        <w:rPr>
          <w:color w:val="auto"/>
          <w:highlight w:val="none"/>
        </w:rPr>
      </w:pPr>
    </w:p>
    <w:p w14:paraId="3229B23C">
      <w:pPr>
        <w:spacing w:line="276" w:lineRule="auto"/>
        <w:ind w:firstLine="480"/>
        <w:outlineLvl w:val="9"/>
        <w:rPr>
          <w:rFonts w:ascii="宋体" w:hAnsi="宋体"/>
          <w:color w:val="auto"/>
          <w:sz w:val="24"/>
          <w:highlight w:val="none"/>
        </w:rPr>
      </w:pPr>
      <w:r>
        <w:rPr>
          <w:rFonts w:hint="eastAsia" w:ascii="宋体" w:hAnsi="宋体"/>
          <w:color w:val="auto"/>
          <w:sz w:val="24"/>
          <w:highlight w:val="none"/>
        </w:rPr>
        <w:t>为维护公开、公平、公正的政府采购市场秩序，树立诚实守信的供应商形象，本单位在参与政府采购活动中,自愿作出以下承诺：</w:t>
      </w:r>
    </w:p>
    <w:p w14:paraId="69736C6C">
      <w:pPr>
        <w:spacing w:line="276" w:lineRule="auto"/>
        <w:ind w:firstLine="480"/>
        <w:outlineLvl w:val="9"/>
        <w:rPr>
          <w:rFonts w:ascii="宋体" w:hAnsi="宋体"/>
          <w:color w:val="auto"/>
          <w:sz w:val="24"/>
          <w:highlight w:val="none"/>
        </w:rPr>
      </w:pPr>
      <w:r>
        <w:rPr>
          <w:rFonts w:hint="eastAsia" w:ascii="宋体" w:hAnsi="宋体"/>
          <w:color w:val="auto"/>
          <w:sz w:val="24"/>
          <w:highlight w:val="none"/>
        </w:rPr>
        <w:t>一、严格遵守国家法律、法规和规章，全面履行应尽的责任和义务，全面做到履约守信，具备《政府采购法》第二十二条第一款规定的条件。</w:t>
      </w:r>
    </w:p>
    <w:p w14:paraId="25FF70B4">
      <w:pPr>
        <w:spacing w:line="276" w:lineRule="auto"/>
        <w:ind w:firstLine="480"/>
        <w:outlineLvl w:val="9"/>
        <w:rPr>
          <w:rFonts w:ascii="宋体" w:hAnsi="宋体"/>
          <w:color w:val="auto"/>
          <w:sz w:val="24"/>
          <w:highlight w:val="none"/>
        </w:rPr>
      </w:pPr>
      <w:r>
        <w:rPr>
          <w:rFonts w:hint="eastAsia" w:ascii="宋体" w:hAnsi="宋体"/>
          <w:color w:val="auto"/>
          <w:sz w:val="24"/>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3651E300">
      <w:pPr>
        <w:spacing w:line="276" w:lineRule="auto"/>
        <w:ind w:firstLine="480"/>
        <w:outlineLvl w:val="9"/>
        <w:rPr>
          <w:rFonts w:ascii="宋体" w:hAnsi="宋体"/>
          <w:color w:val="auto"/>
          <w:sz w:val="24"/>
          <w:highlight w:val="none"/>
        </w:rPr>
      </w:pPr>
      <w:r>
        <w:rPr>
          <w:rFonts w:hint="eastAsia" w:ascii="宋体" w:hAnsi="宋体"/>
          <w:color w:val="auto"/>
          <w:sz w:val="24"/>
          <w:highlight w:val="none"/>
        </w:rPr>
        <w:t>三、本单位提供给注册登记部门、行业管理部门、司法部门、行业组织以及在政府采购活动中提交的所有资料均合法、真实、有效，无任何伪造、修改、虚假成份，并对所提供资料的真实性负责。</w:t>
      </w:r>
    </w:p>
    <w:p w14:paraId="28A2D6F3">
      <w:pPr>
        <w:spacing w:line="276" w:lineRule="auto"/>
        <w:ind w:firstLine="480"/>
        <w:outlineLvl w:val="9"/>
        <w:rPr>
          <w:rFonts w:ascii="宋体" w:hAnsi="宋体"/>
          <w:color w:val="auto"/>
          <w:sz w:val="24"/>
          <w:highlight w:val="none"/>
        </w:rPr>
      </w:pPr>
      <w:r>
        <w:rPr>
          <w:rFonts w:hint="eastAsia" w:ascii="宋体" w:hAnsi="宋体"/>
          <w:color w:val="auto"/>
          <w:sz w:val="24"/>
          <w:highlight w:val="none"/>
        </w:rPr>
        <w:t>四、严格依法开展生产经营活动，主动接受行业监管，自愿接受依法开展的日常检查；违法失信经营后将自愿接受约束和惩戒，并依法承担相应责任。</w:t>
      </w:r>
    </w:p>
    <w:p w14:paraId="2BD30C91">
      <w:pPr>
        <w:spacing w:line="276" w:lineRule="auto"/>
        <w:ind w:firstLine="480"/>
        <w:outlineLvl w:val="9"/>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p>
    <w:p w14:paraId="5E936B3C">
      <w:pPr>
        <w:spacing w:line="276" w:lineRule="auto"/>
        <w:ind w:firstLine="480"/>
        <w:outlineLvl w:val="9"/>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p>
    <w:p w14:paraId="4D6FE8B9">
      <w:pPr>
        <w:spacing w:line="276" w:lineRule="auto"/>
        <w:ind w:firstLine="480"/>
        <w:outlineLvl w:val="9"/>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p>
    <w:p w14:paraId="2D4BFC24">
      <w:pPr>
        <w:spacing w:line="276" w:lineRule="auto"/>
        <w:ind w:firstLine="480"/>
        <w:outlineLvl w:val="9"/>
        <w:rPr>
          <w:rFonts w:ascii="宋体" w:hAnsi="宋体"/>
          <w:color w:val="auto"/>
          <w:sz w:val="24"/>
          <w:highlight w:val="none"/>
        </w:rPr>
      </w:pPr>
      <w:r>
        <w:rPr>
          <w:rFonts w:hint="eastAsia" w:ascii="宋体" w:hAnsi="宋体"/>
          <w:color w:val="auto"/>
          <w:sz w:val="24"/>
          <w:highlight w:val="none"/>
        </w:rPr>
        <w:t>八、承诺本单位提出政府采购质疑和投诉坚持依法依规、诚实信用原则。</w:t>
      </w:r>
    </w:p>
    <w:p w14:paraId="7BDE5289">
      <w:pPr>
        <w:spacing w:line="276" w:lineRule="auto"/>
        <w:ind w:firstLine="480"/>
        <w:outlineLvl w:val="9"/>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p>
    <w:p w14:paraId="1DC09E78">
      <w:pPr>
        <w:spacing w:line="276" w:lineRule="auto"/>
        <w:ind w:firstLine="480"/>
        <w:outlineLvl w:val="9"/>
        <w:rPr>
          <w:rFonts w:ascii="宋体" w:hAnsi="宋体"/>
          <w:color w:val="auto"/>
          <w:sz w:val="24"/>
          <w:highlight w:val="none"/>
        </w:rPr>
      </w:pPr>
      <w:r>
        <w:rPr>
          <w:rFonts w:hint="eastAsia" w:ascii="宋体" w:hAnsi="宋体"/>
          <w:color w:val="auto"/>
          <w:sz w:val="24"/>
          <w:highlight w:val="none"/>
        </w:rPr>
        <w:t>十、承诺本单位若违背承诺约定，经查实，愿意接受行业主管部门和信用管理部门相应的规定处罚，承担违约责任，并依法承担相应的法律责任。</w:t>
      </w:r>
    </w:p>
    <w:p w14:paraId="3E17B3E2">
      <w:pPr>
        <w:spacing w:line="276" w:lineRule="auto"/>
        <w:ind w:firstLine="480"/>
        <w:outlineLvl w:val="9"/>
        <w:rPr>
          <w:rFonts w:ascii="宋体" w:hAnsi="宋体"/>
          <w:color w:val="auto"/>
          <w:sz w:val="24"/>
          <w:highlight w:val="none"/>
        </w:rPr>
      </w:pPr>
      <w:r>
        <w:rPr>
          <w:rFonts w:hint="eastAsia" w:ascii="宋体" w:hAnsi="宋体"/>
          <w:color w:val="auto"/>
          <w:sz w:val="24"/>
          <w:highlight w:val="none"/>
        </w:rPr>
        <w:t>十一、承诺本单位同意将以上承诺事项上网公示，违背承诺约定行为将作为失信信息，记录到常州市公共信用信息系统，并予以公开。</w:t>
      </w:r>
    </w:p>
    <w:p w14:paraId="4AD54B40">
      <w:pPr>
        <w:pStyle w:val="311"/>
        <w:spacing w:line="276" w:lineRule="auto"/>
        <w:ind w:right="1050" w:firstLine="2880"/>
        <w:jc w:val="both"/>
        <w:outlineLvl w:val="9"/>
        <w:rPr>
          <w:rFonts w:ascii="宋体" w:hAnsi="宋体" w:eastAsia="宋体"/>
          <w:color w:val="auto"/>
          <w:sz w:val="24"/>
          <w:szCs w:val="22"/>
          <w:highlight w:val="none"/>
        </w:rPr>
      </w:pPr>
    </w:p>
    <w:p w14:paraId="29B29A84">
      <w:pPr>
        <w:spacing w:before="25" w:after="25" w:line="360" w:lineRule="auto"/>
        <w:outlineLvl w:val="9"/>
        <w:rPr>
          <w:color w:val="auto"/>
          <w:sz w:val="24"/>
          <w:highlight w:val="none"/>
          <w:lang w:val="zh-CN"/>
        </w:rPr>
      </w:pPr>
      <w:r>
        <w:rPr>
          <w:color w:val="auto"/>
          <w:sz w:val="24"/>
          <w:highlight w:val="none"/>
        </w:rPr>
        <w:t>投标人名称（加盖公章）</w:t>
      </w:r>
      <w:r>
        <w:rPr>
          <w:color w:val="auto"/>
          <w:sz w:val="24"/>
          <w:highlight w:val="none"/>
          <w:lang w:val="zh-CN"/>
        </w:rPr>
        <w:t>：____________</w:t>
      </w:r>
    </w:p>
    <w:p w14:paraId="5343E161">
      <w:pPr>
        <w:spacing w:before="25" w:after="25" w:line="360" w:lineRule="auto"/>
        <w:outlineLvl w:val="9"/>
        <w:rPr>
          <w:color w:val="auto"/>
          <w:sz w:val="24"/>
          <w:highlight w:val="none"/>
          <w:lang w:val="zh-CN"/>
        </w:rPr>
      </w:pPr>
      <w:r>
        <w:rPr>
          <w:color w:val="auto"/>
          <w:sz w:val="24"/>
          <w:szCs w:val="20"/>
          <w:highlight w:val="none"/>
        </w:rPr>
        <w:t xml:space="preserve">日期：_____年______月______日   </w:t>
      </w:r>
    </w:p>
    <w:p w14:paraId="3A444B4C">
      <w:pPr>
        <w:widowControl/>
        <w:jc w:val="left"/>
        <w:outlineLvl w:val="9"/>
        <w:rPr>
          <w:color w:val="auto"/>
          <w:sz w:val="24"/>
          <w:szCs w:val="20"/>
          <w:highlight w:val="none"/>
        </w:rPr>
      </w:pPr>
      <w:bookmarkStart w:id="833" w:name="_Hlt520274065"/>
      <w:bookmarkEnd w:id="833"/>
      <w:bookmarkStart w:id="834" w:name="_Hlt520274121"/>
      <w:bookmarkEnd w:id="834"/>
      <w:bookmarkStart w:id="835" w:name="_Hlt520355504"/>
      <w:bookmarkEnd w:id="835"/>
      <w:bookmarkStart w:id="836" w:name="_Hlt520350918"/>
      <w:bookmarkEnd w:id="836"/>
      <w:bookmarkStart w:id="837" w:name="_Hlt520274407"/>
      <w:bookmarkEnd w:id="837"/>
      <w:bookmarkStart w:id="838" w:name="_Hlt520343000"/>
      <w:bookmarkEnd w:id="838"/>
      <w:bookmarkStart w:id="839" w:name="_Hlt520274393"/>
      <w:bookmarkEnd w:id="839"/>
      <w:bookmarkStart w:id="840" w:name="_Hlt520273711"/>
      <w:bookmarkEnd w:id="840"/>
      <w:bookmarkStart w:id="841" w:name="_Hlt520343392"/>
      <w:bookmarkEnd w:id="841"/>
      <w:bookmarkStart w:id="842" w:name="_Hlt520271212"/>
      <w:bookmarkEnd w:id="842"/>
      <w:bookmarkStart w:id="843" w:name="_Toc226965747"/>
      <w:bookmarkStart w:id="844" w:name="_Toc265228395"/>
      <w:bookmarkStart w:id="845" w:name="_Toc305158825"/>
      <w:bookmarkStart w:id="846" w:name="_Toc520356218"/>
      <w:bookmarkStart w:id="847" w:name="_Toc226309801"/>
      <w:bookmarkStart w:id="848" w:name="_Toc142311059"/>
      <w:bookmarkStart w:id="849" w:name="_Ref467988705"/>
      <w:bookmarkStart w:id="850" w:name="_Toc264969247"/>
      <w:bookmarkStart w:id="851" w:name="_Toc226965830"/>
      <w:bookmarkStart w:id="852" w:name="_Toc127151557"/>
      <w:bookmarkStart w:id="853" w:name="_Toc150774762"/>
      <w:bookmarkStart w:id="854" w:name="_Toc226337253"/>
      <w:bookmarkStart w:id="855" w:name="_Toc480942350"/>
      <w:bookmarkStart w:id="856" w:name="_Toc195842922"/>
      <w:bookmarkStart w:id="857" w:name="_Toc150480795"/>
      <w:bookmarkStart w:id="858" w:name="_Toc305158899"/>
      <w:r>
        <w:rPr>
          <w:color w:val="auto"/>
          <w:sz w:val="24"/>
          <w:szCs w:val="20"/>
          <w:highlight w:val="none"/>
        </w:rPr>
        <w:br w:type="page" w:clear="all"/>
      </w:r>
      <w:r>
        <w:rPr>
          <w:rFonts w:hint="eastAsia"/>
          <w:color w:val="auto"/>
          <w:sz w:val="24"/>
          <w:szCs w:val="20"/>
          <w:highlight w:val="none"/>
          <w:lang w:val="en-US" w:eastAsia="zh-CN"/>
        </w:rPr>
        <w:t>4</w:t>
      </w:r>
      <w:r>
        <w:rPr>
          <w:color w:val="auto"/>
          <w:sz w:val="24"/>
          <w:szCs w:val="20"/>
          <w:highlight w:val="none"/>
        </w:rPr>
        <w:t xml:space="preserve"> 开标一览表</w:t>
      </w:r>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p>
    <w:p w14:paraId="1EB8D976">
      <w:pPr>
        <w:spacing w:line="360" w:lineRule="exact"/>
        <w:jc w:val="center"/>
        <w:outlineLvl w:val="9"/>
        <w:rPr>
          <w:b/>
          <w:color w:val="auto"/>
          <w:sz w:val="36"/>
          <w:szCs w:val="36"/>
          <w:highlight w:val="none"/>
        </w:rPr>
      </w:pPr>
      <w:bookmarkStart w:id="859" w:name="_Toc226965831"/>
      <w:bookmarkStart w:id="860" w:name="_Toc226309802"/>
      <w:bookmarkStart w:id="861" w:name="_Toc164608672"/>
      <w:bookmarkStart w:id="862" w:name="_Toc305158826"/>
      <w:bookmarkStart w:id="863" w:name="_Toc226337254"/>
      <w:bookmarkStart w:id="864" w:name="_Toc195842923"/>
      <w:bookmarkStart w:id="865" w:name="_Toc264969248"/>
      <w:bookmarkStart w:id="866" w:name="_Toc265228396"/>
      <w:bookmarkStart w:id="867" w:name="_Toc226965748"/>
      <w:bookmarkStart w:id="868" w:name="_Toc305158900"/>
      <w:bookmarkStart w:id="869" w:name="_Toc164608827"/>
      <w:r>
        <w:rPr>
          <w:rFonts w:hint="eastAsia"/>
          <w:b/>
          <w:color w:val="auto"/>
          <w:sz w:val="36"/>
          <w:szCs w:val="36"/>
          <w:highlight w:val="none"/>
        </w:rPr>
        <w:t>开标一览表</w:t>
      </w:r>
      <w:bookmarkEnd w:id="859"/>
      <w:bookmarkEnd w:id="860"/>
      <w:bookmarkEnd w:id="861"/>
      <w:bookmarkEnd w:id="862"/>
      <w:bookmarkEnd w:id="863"/>
      <w:bookmarkEnd w:id="864"/>
      <w:bookmarkEnd w:id="865"/>
      <w:bookmarkEnd w:id="866"/>
      <w:bookmarkEnd w:id="867"/>
      <w:bookmarkEnd w:id="868"/>
      <w:bookmarkEnd w:id="869"/>
    </w:p>
    <w:p w14:paraId="5DD280BF">
      <w:pPr>
        <w:tabs>
          <w:tab w:val="left" w:pos="1800"/>
          <w:tab w:val="left" w:pos="5580"/>
        </w:tabs>
        <w:spacing w:line="360" w:lineRule="auto"/>
        <w:jc w:val="left"/>
        <w:outlineLvl w:val="9"/>
        <w:rPr>
          <w:i/>
          <w:color w:val="auto"/>
          <w:sz w:val="24"/>
          <w:highlight w:val="none"/>
        </w:rPr>
      </w:pPr>
    </w:p>
    <w:p w14:paraId="6CD2E356">
      <w:pPr>
        <w:tabs>
          <w:tab w:val="left" w:pos="1800"/>
          <w:tab w:val="left" w:pos="5580"/>
        </w:tabs>
        <w:spacing w:line="360" w:lineRule="auto"/>
        <w:ind w:firstLine="240"/>
        <w:jc w:val="left"/>
        <w:outlineLvl w:val="9"/>
        <w:rPr>
          <w:color w:val="auto"/>
          <w:sz w:val="24"/>
          <w:highlight w:val="none"/>
          <w:u w:val="single"/>
        </w:rPr>
      </w:pPr>
      <w:r>
        <w:rPr>
          <w:color w:val="auto"/>
          <w:sz w:val="24"/>
          <w:highlight w:val="none"/>
        </w:rPr>
        <w:t>项目编号：_____________________     项目名称：____________</w:t>
      </w:r>
    </w:p>
    <w:tbl>
      <w:tblPr>
        <w:tblStyle w:val="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0"/>
        <w:gridCol w:w="3709"/>
        <w:gridCol w:w="1989"/>
        <w:gridCol w:w="1984"/>
      </w:tblGrid>
      <w:tr w14:paraId="077BE5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1" w:hRule="atLeast"/>
          <w:jc w:val="center"/>
        </w:trPr>
        <w:tc>
          <w:tcPr>
            <w:tcW w:w="690" w:type="dxa"/>
            <w:vMerge w:val="restart"/>
            <w:noWrap w:val="0"/>
            <w:vAlign w:val="center"/>
          </w:tcPr>
          <w:p w14:paraId="4EDD7FB8">
            <w:pPr>
              <w:tabs>
                <w:tab w:val="left" w:pos="5580"/>
              </w:tabs>
              <w:jc w:val="center"/>
              <w:outlineLvl w:val="9"/>
              <w:rPr>
                <w:b/>
                <w:color w:val="auto"/>
                <w:sz w:val="24"/>
                <w:highlight w:val="none"/>
              </w:rPr>
            </w:pPr>
            <w:r>
              <w:rPr>
                <w:b/>
                <w:color w:val="auto"/>
                <w:sz w:val="24"/>
                <w:highlight w:val="none"/>
              </w:rPr>
              <w:t>序号</w:t>
            </w:r>
          </w:p>
        </w:tc>
        <w:tc>
          <w:tcPr>
            <w:tcW w:w="3709" w:type="dxa"/>
            <w:vMerge w:val="restart"/>
            <w:noWrap w:val="0"/>
            <w:vAlign w:val="center"/>
          </w:tcPr>
          <w:p w14:paraId="5BAF8660">
            <w:pPr>
              <w:tabs>
                <w:tab w:val="left" w:pos="5580"/>
              </w:tabs>
              <w:jc w:val="center"/>
              <w:outlineLvl w:val="9"/>
              <w:rPr>
                <w:b/>
                <w:color w:val="auto"/>
                <w:sz w:val="24"/>
                <w:highlight w:val="none"/>
              </w:rPr>
            </w:pPr>
            <w:r>
              <w:rPr>
                <w:b/>
                <w:color w:val="auto"/>
                <w:sz w:val="24"/>
                <w:highlight w:val="none"/>
              </w:rPr>
              <w:t>投标人名称</w:t>
            </w:r>
          </w:p>
        </w:tc>
        <w:tc>
          <w:tcPr>
            <w:tcW w:w="3973" w:type="dxa"/>
            <w:gridSpan w:val="2"/>
            <w:noWrap w:val="0"/>
            <w:vAlign w:val="center"/>
          </w:tcPr>
          <w:p w14:paraId="72984F40">
            <w:pPr>
              <w:tabs>
                <w:tab w:val="left" w:pos="5580"/>
              </w:tabs>
              <w:jc w:val="center"/>
              <w:outlineLvl w:val="9"/>
              <w:rPr>
                <w:rFonts w:hint="eastAsia" w:eastAsia="宋体"/>
                <w:b/>
                <w:color w:val="auto"/>
                <w:sz w:val="24"/>
                <w:highlight w:val="none"/>
                <w:lang w:val="en-US" w:eastAsia="zh-CN"/>
              </w:rPr>
            </w:pPr>
            <w:r>
              <w:rPr>
                <w:b/>
                <w:color w:val="auto"/>
                <w:sz w:val="24"/>
                <w:highlight w:val="none"/>
              </w:rPr>
              <w:t>投标报价</w:t>
            </w:r>
            <w:r>
              <w:rPr>
                <w:rFonts w:hint="eastAsia"/>
                <w:b/>
                <w:color w:val="auto"/>
                <w:sz w:val="24"/>
                <w:highlight w:val="none"/>
                <w:lang w:val="en-US" w:eastAsia="zh-CN"/>
              </w:rPr>
              <w:t>（元）</w:t>
            </w:r>
          </w:p>
        </w:tc>
      </w:tr>
      <w:tr w14:paraId="577E2E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jc w:val="center"/>
        </w:trPr>
        <w:tc>
          <w:tcPr>
            <w:tcW w:w="690" w:type="dxa"/>
            <w:vMerge w:val="continue"/>
            <w:noWrap w:val="0"/>
            <w:vAlign w:val="center"/>
          </w:tcPr>
          <w:p w14:paraId="00929A56">
            <w:pPr>
              <w:tabs>
                <w:tab w:val="left" w:pos="5580"/>
              </w:tabs>
              <w:jc w:val="center"/>
              <w:outlineLvl w:val="9"/>
              <w:rPr>
                <w:color w:val="auto"/>
                <w:sz w:val="24"/>
                <w:highlight w:val="none"/>
              </w:rPr>
            </w:pPr>
          </w:p>
        </w:tc>
        <w:tc>
          <w:tcPr>
            <w:tcW w:w="3709" w:type="dxa"/>
            <w:vMerge w:val="continue"/>
            <w:noWrap w:val="0"/>
            <w:vAlign w:val="center"/>
          </w:tcPr>
          <w:p w14:paraId="3EE50C75">
            <w:pPr>
              <w:tabs>
                <w:tab w:val="left" w:pos="5580"/>
              </w:tabs>
              <w:jc w:val="center"/>
              <w:outlineLvl w:val="9"/>
              <w:rPr>
                <w:color w:val="auto"/>
                <w:sz w:val="24"/>
                <w:highlight w:val="none"/>
              </w:rPr>
            </w:pPr>
          </w:p>
        </w:tc>
        <w:tc>
          <w:tcPr>
            <w:tcW w:w="1989" w:type="dxa"/>
            <w:noWrap w:val="0"/>
            <w:vAlign w:val="center"/>
          </w:tcPr>
          <w:p w14:paraId="67CE5C25">
            <w:pPr>
              <w:tabs>
                <w:tab w:val="left" w:pos="5580"/>
              </w:tabs>
              <w:jc w:val="center"/>
              <w:outlineLvl w:val="9"/>
              <w:rPr>
                <w:b/>
                <w:color w:val="auto"/>
                <w:sz w:val="24"/>
                <w:highlight w:val="none"/>
              </w:rPr>
            </w:pPr>
            <w:r>
              <w:rPr>
                <w:b/>
                <w:color w:val="auto"/>
                <w:sz w:val="24"/>
                <w:highlight w:val="none"/>
              </w:rPr>
              <w:t>大写</w:t>
            </w:r>
          </w:p>
        </w:tc>
        <w:tc>
          <w:tcPr>
            <w:tcW w:w="1984" w:type="dxa"/>
            <w:noWrap w:val="0"/>
            <w:vAlign w:val="center"/>
          </w:tcPr>
          <w:p w14:paraId="527E7FDE">
            <w:pPr>
              <w:tabs>
                <w:tab w:val="left" w:pos="5580"/>
              </w:tabs>
              <w:jc w:val="center"/>
              <w:outlineLvl w:val="9"/>
              <w:rPr>
                <w:b/>
                <w:color w:val="auto"/>
                <w:sz w:val="24"/>
                <w:highlight w:val="none"/>
              </w:rPr>
            </w:pPr>
            <w:r>
              <w:rPr>
                <w:b/>
                <w:color w:val="auto"/>
                <w:sz w:val="24"/>
                <w:highlight w:val="none"/>
              </w:rPr>
              <w:t>小写</w:t>
            </w:r>
          </w:p>
        </w:tc>
      </w:tr>
      <w:tr w14:paraId="61406D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6" w:hRule="atLeast"/>
          <w:jc w:val="center"/>
        </w:trPr>
        <w:tc>
          <w:tcPr>
            <w:tcW w:w="690" w:type="dxa"/>
            <w:noWrap w:val="0"/>
            <w:vAlign w:val="center"/>
          </w:tcPr>
          <w:p w14:paraId="0446EAF8">
            <w:pPr>
              <w:tabs>
                <w:tab w:val="left" w:pos="5580"/>
              </w:tabs>
              <w:jc w:val="center"/>
              <w:outlineLvl w:val="9"/>
              <w:rPr>
                <w:color w:val="auto"/>
                <w:sz w:val="24"/>
                <w:highlight w:val="none"/>
              </w:rPr>
            </w:pPr>
          </w:p>
        </w:tc>
        <w:tc>
          <w:tcPr>
            <w:tcW w:w="3709" w:type="dxa"/>
            <w:noWrap w:val="0"/>
            <w:vAlign w:val="center"/>
          </w:tcPr>
          <w:p w14:paraId="6023EC4F">
            <w:pPr>
              <w:tabs>
                <w:tab w:val="left" w:pos="5580"/>
              </w:tabs>
              <w:jc w:val="center"/>
              <w:outlineLvl w:val="9"/>
              <w:rPr>
                <w:color w:val="auto"/>
                <w:sz w:val="24"/>
                <w:highlight w:val="none"/>
              </w:rPr>
            </w:pPr>
          </w:p>
        </w:tc>
        <w:tc>
          <w:tcPr>
            <w:tcW w:w="1989" w:type="dxa"/>
            <w:noWrap w:val="0"/>
            <w:vAlign w:val="center"/>
          </w:tcPr>
          <w:p w14:paraId="583F0F69">
            <w:pPr>
              <w:tabs>
                <w:tab w:val="left" w:pos="5580"/>
              </w:tabs>
              <w:jc w:val="center"/>
              <w:outlineLvl w:val="9"/>
              <w:rPr>
                <w:color w:val="auto"/>
                <w:sz w:val="24"/>
                <w:highlight w:val="none"/>
              </w:rPr>
            </w:pPr>
          </w:p>
        </w:tc>
        <w:tc>
          <w:tcPr>
            <w:tcW w:w="1984" w:type="dxa"/>
            <w:noWrap w:val="0"/>
            <w:vAlign w:val="center"/>
          </w:tcPr>
          <w:p w14:paraId="19DE41C8">
            <w:pPr>
              <w:tabs>
                <w:tab w:val="left" w:pos="5580"/>
              </w:tabs>
              <w:jc w:val="center"/>
              <w:outlineLvl w:val="9"/>
              <w:rPr>
                <w:color w:val="auto"/>
                <w:sz w:val="24"/>
                <w:highlight w:val="none"/>
              </w:rPr>
            </w:pPr>
          </w:p>
        </w:tc>
      </w:tr>
    </w:tbl>
    <w:p w14:paraId="36199D4D">
      <w:pPr>
        <w:jc w:val="left"/>
        <w:outlineLvl w:val="9"/>
        <w:rPr>
          <w:color w:val="auto"/>
          <w:sz w:val="24"/>
          <w:highlight w:val="none"/>
        </w:rPr>
      </w:pPr>
    </w:p>
    <w:p w14:paraId="57B5AFDD">
      <w:pPr>
        <w:jc w:val="left"/>
        <w:outlineLvl w:val="9"/>
        <w:rPr>
          <w:color w:val="auto"/>
          <w:sz w:val="24"/>
          <w:szCs w:val="20"/>
          <w:highlight w:val="none"/>
        </w:rPr>
      </w:pPr>
      <w:r>
        <w:rPr>
          <w:color w:val="auto"/>
          <w:sz w:val="24"/>
          <w:highlight w:val="none"/>
        </w:rPr>
        <w:t>注：</w:t>
      </w:r>
      <w:r>
        <w:rPr>
          <w:color w:val="auto"/>
          <w:sz w:val="24"/>
          <w:szCs w:val="20"/>
          <w:highlight w:val="none"/>
        </w:rPr>
        <w:t>此表中的投标报价应和《投标分项报价表》中的总价相一致。</w:t>
      </w:r>
    </w:p>
    <w:p w14:paraId="61EF429C">
      <w:pPr>
        <w:spacing w:before="25" w:after="25" w:line="360" w:lineRule="auto"/>
        <w:outlineLvl w:val="9"/>
        <w:rPr>
          <w:color w:val="auto"/>
          <w:sz w:val="24"/>
          <w:highlight w:val="none"/>
          <w:lang w:val="zh-CN"/>
        </w:rPr>
      </w:pPr>
    </w:p>
    <w:p w14:paraId="7D88396D">
      <w:pPr>
        <w:spacing w:before="25" w:after="25" w:line="360" w:lineRule="auto"/>
        <w:outlineLvl w:val="9"/>
        <w:rPr>
          <w:color w:val="auto"/>
          <w:sz w:val="24"/>
          <w:highlight w:val="none"/>
          <w:lang w:val="zh-CN"/>
        </w:rPr>
      </w:pPr>
      <w:r>
        <w:rPr>
          <w:color w:val="auto"/>
          <w:sz w:val="24"/>
          <w:highlight w:val="none"/>
          <w:lang w:val="zh-CN"/>
        </w:rPr>
        <w:t xml:space="preserve">                         </w:t>
      </w:r>
    </w:p>
    <w:p w14:paraId="4B02F8A2">
      <w:pPr>
        <w:spacing w:before="25" w:after="25" w:line="360" w:lineRule="auto"/>
        <w:outlineLvl w:val="9"/>
        <w:rPr>
          <w:color w:val="auto"/>
          <w:sz w:val="24"/>
          <w:highlight w:val="none"/>
          <w:lang w:val="zh-CN"/>
        </w:rPr>
      </w:pPr>
      <w:r>
        <w:rPr>
          <w:color w:val="auto"/>
          <w:sz w:val="24"/>
          <w:highlight w:val="none"/>
        </w:rPr>
        <w:t>投标</w:t>
      </w:r>
      <w:r>
        <w:rPr>
          <w:rFonts w:hint="eastAsia"/>
          <w:color w:val="auto"/>
          <w:sz w:val="24"/>
          <w:highlight w:val="none"/>
          <w:lang w:val="en-US" w:eastAsia="zh-CN"/>
        </w:rPr>
        <w:t>供应商</w:t>
      </w:r>
      <w:r>
        <w:rPr>
          <w:color w:val="auto"/>
          <w:sz w:val="24"/>
          <w:highlight w:val="none"/>
        </w:rPr>
        <w:t>名称（加盖公章）</w:t>
      </w:r>
      <w:r>
        <w:rPr>
          <w:color w:val="auto"/>
          <w:sz w:val="24"/>
          <w:highlight w:val="none"/>
          <w:lang w:val="zh-CN"/>
        </w:rPr>
        <w:t>：____________</w:t>
      </w:r>
    </w:p>
    <w:p w14:paraId="0C55AB37">
      <w:pPr>
        <w:spacing w:before="25" w:after="25" w:line="360" w:lineRule="auto"/>
        <w:outlineLvl w:val="9"/>
        <w:rPr>
          <w:color w:val="auto"/>
          <w:sz w:val="24"/>
          <w:highlight w:val="none"/>
          <w:lang w:val="zh-CN"/>
        </w:rPr>
      </w:pPr>
      <w:r>
        <w:rPr>
          <w:color w:val="auto"/>
          <w:sz w:val="24"/>
          <w:szCs w:val="20"/>
          <w:highlight w:val="none"/>
        </w:rPr>
        <w:t xml:space="preserve">日期：_____年______月______日   </w:t>
      </w:r>
    </w:p>
    <w:p w14:paraId="232141EB">
      <w:pPr>
        <w:widowControl/>
        <w:jc w:val="left"/>
        <w:outlineLvl w:val="9"/>
        <w:rPr>
          <w:rFonts w:hint="eastAsia" w:eastAsia="宋体"/>
          <w:color w:val="auto"/>
          <w:sz w:val="24"/>
          <w:szCs w:val="20"/>
          <w:highlight w:val="none"/>
          <w:lang w:val="en-US" w:eastAsia="zh-CN"/>
        </w:rPr>
      </w:pPr>
      <w:bookmarkStart w:id="870" w:name="_Toc226309803"/>
      <w:bookmarkStart w:id="871" w:name="_Toc127151558"/>
      <w:bookmarkStart w:id="872" w:name="_Toc195842924"/>
      <w:bookmarkStart w:id="873" w:name="_Toc305158901"/>
      <w:bookmarkStart w:id="874" w:name="_Toc305158827"/>
      <w:bookmarkStart w:id="875" w:name="_Toc150774763"/>
      <w:bookmarkStart w:id="876" w:name="_Toc142311060"/>
      <w:bookmarkStart w:id="877" w:name="_Toc226965832"/>
      <w:bookmarkStart w:id="878" w:name="_Toc226965749"/>
      <w:bookmarkStart w:id="879" w:name="_Toc265228397"/>
      <w:bookmarkStart w:id="880" w:name="_Toc264969249"/>
      <w:bookmarkStart w:id="881" w:name="_Toc226337255"/>
      <w:bookmarkStart w:id="882" w:name="_Toc150480796"/>
      <w:r>
        <w:rPr>
          <w:color w:val="auto"/>
          <w:sz w:val="24"/>
          <w:szCs w:val="20"/>
          <w:highlight w:val="none"/>
        </w:rPr>
        <w:br w:type="page" w:clear="all"/>
      </w:r>
      <w:r>
        <w:rPr>
          <w:rFonts w:hint="eastAsia"/>
          <w:color w:val="auto"/>
          <w:sz w:val="24"/>
          <w:szCs w:val="20"/>
          <w:highlight w:val="none"/>
          <w:lang w:val="en-US" w:eastAsia="zh-CN"/>
        </w:rPr>
        <w:t>5</w:t>
      </w:r>
      <w:r>
        <w:rPr>
          <w:color w:val="auto"/>
          <w:sz w:val="24"/>
          <w:szCs w:val="20"/>
          <w:highlight w:val="none"/>
        </w:rPr>
        <w:t xml:space="preserve">  投标分项报价表</w:t>
      </w:r>
      <w:bookmarkEnd w:id="870"/>
      <w:bookmarkEnd w:id="871"/>
      <w:bookmarkEnd w:id="872"/>
      <w:bookmarkEnd w:id="873"/>
      <w:bookmarkEnd w:id="874"/>
      <w:bookmarkEnd w:id="875"/>
      <w:bookmarkEnd w:id="876"/>
      <w:bookmarkEnd w:id="877"/>
      <w:bookmarkEnd w:id="878"/>
      <w:bookmarkEnd w:id="879"/>
      <w:bookmarkEnd w:id="880"/>
      <w:bookmarkEnd w:id="881"/>
      <w:bookmarkEnd w:id="882"/>
      <w:r>
        <w:rPr>
          <w:rFonts w:hint="eastAsia"/>
          <w:color w:val="auto"/>
          <w:sz w:val="24"/>
          <w:szCs w:val="20"/>
          <w:highlight w:val="none"/>
          <w:lang w:val="en-US" w:eastAsia="zh-CN"/>
        </w:rPr>
        <w:t xml:space="preserve"> </w:t>
      </w:r>
    </w:p>
    <w:p w14:paraId="5ECD5ACF">
      <w:pPr>
        <w:spacing w:line="360" w:lineRule="exact"/>
        <w:jc w:val="center"/>
        <w:outlineLvl w:val="9"/>
        <w:rPr>
          <w:color w:val="auto"/>
          <w:sz w:val="36"/>
          <w:szCs w:val="36"/>
          <w:highlight w:val="none"/>
        </w:rPr>
      </w:pPr>
    </w:p>
    <w:p w14:paraId="4C827D94">
      <w:pPr>
        <w:spacing w:line="360" w:lineRule="exact"/>
        <w:jc w:val="center"/>
        <w:outlineLvl w:val="9"/>
        <w:rPr>
          <w:b/>
          <w:color w:val="auto"/>
          <w:sz w:val="36"/>
          <w:szCs w:val="36"/>
          <w:highlight w:val="none"/>
        </w:rPr>
      </w:pPr>
      <w:r>
        <w:rPr>
          <w:rFonts w:hint="eastAsia"/>
          <w:b/>
          <w:color w:val="auto"/>
          <w:sz w:val="36"/>
          <w:szCs w:val="36"/>
          <w:highlight w:val="none"/>
        </w:rPr>
        <w:t>投标分项报价表</w:t>
      </w:r>
    </w:p>
    <w:p w14:paraId="34A778E7">
      <w:pPr>
        <w:spacing w:line="260" w:lineRule="exact"/>
        <w:jc w:val="center"/>
        <w:outlineLvl w:val="9"/>
        <w:rPr>
          <w:color w:val="auto"/>
          <w:sz w:val="36"/>
          <w:szCs w:val="36"/>
          <w:highlight w:val="none"/>
        </w:rPr>
      </w:pPr>
    </w:p>
    <w:p w14:paraId="16D1D875">
      <w:pPr>
        <w:tabs>
          <w:tab w:val="left" w:pos="1800"/>
          <w:tab w:val="left" w:pos="5580"/>
        </w:tabs>
        <w:outlineLvl w:val="9"/>
        <w:rPr>
          <w:color w:val="auto"/>
          <w:sz w:val="24"/>
          <w:highlight w:val="none"/>
        </w:rPr>
      </w:pPr>
      <w:bookmarkStart w:id="883" w:name="_Toc288738838"/>
      <w:bookmarkStart w:id="884" w:name="_Toc288738396"/>
      <w:bookmarkStart w:id="885" w:name="_Toc127151562"/>
      <w:bookmarkStart w:id="886" w:name="_Toc195842927"/>
      <w:bookmarkStart w:id="887" w:name="_Toc150774765"/>
      <w:bookmarkStart w:id="888" w:name="_Toc226309806"/>
      <w:bookmarkStart w:id="889" w:name="_Toc226337258"/>
      <w:bookmarkStart w:id="890" w:name="_Toc264969252"/>
      <w:bookmarkStart w:id="891" w:name="_Toc305158830"/>
      <w:bookmarkStart w:id="892" w:name="_Toc226965752"/>
      <w:bookmarkStart w:id="893" w:name="_Toc305158904"/>
      <w:bookmarkStart w:id="894" w:name="_Toc265228400"/>
      <w:bookmarkStart w:id="895" w:name="_Toc142311062"/>
      <w:bookmarkStart w:id="896" w:name="_Toc150480798"/>
      <w:bookmarkStart w:id="897" w:name="_Toc226965835"/>
      <w:bookmarkStart w:id="898" w:name="_Toc142311061"/>
      <w:bookmarkStart w:id="899" w:name="_Toc226337257"/>
      <w:bookmarkStart w:id="900" w:name="_Toc264969251"/>
      <w:bookmarkStart w:id="901" w:name="_Toc265228399"/>
      <w:bookmarkStart w:id="902" w:name="_Toc226965834"/>
      <w:bookmarkStart w:id="903" w:name="_Toc195842926"/>
      <w:bookmarkStart w:id="904" w:name="_Toc150774764"/>
      <w:bookmarkStart w:id="905" w:name="_Toc305158903"/>
      <w:bookmarkStart w:id="906" w:name="_Toc226309805"/>
      <w:bookmarkStart w:id="907" w:name="_Toc150480797"/>
      <w:bookmarkStart w:id="908" w:name="_Toc305158829"/>
      <w:bookmarkStart w:id="909" w:name="_Toc226965751"/>
      <w:bookmarkStart w:id="910" w:name="_Toc127151561"/>
      <w:r>
        <w:rPr>
          <w:color w:val="auto"/>
          <w:sz w:val="24"/>
          <w:highlight w:val="none"/>
        </w:rPr>
        <w:t>项目编号：___________ 项目名称：__________报价单位：人民币元</w:t>
      </w:r>
    </w:p>
    <w:tbl>
      <w:tblPr>
        <w:tblStyle w:val="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9"/>
        <w:gridCol w:w="1423"/>
        <w:gridCol w:w="2533"/>
        <w:gridCol w:w="1042"/>
        <w:gridCol w:w="992"/>
        <w:gridCol w:w="919"/>
        <w:gridCol w:w="1072"/>
      </w:tblGrid>
      <w:tr w14:paraId="1751EF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5" w:hRule="atLeast"/>
          <w:jc w:val="center"/>
        </w:trPr>
        <w:tc>
          <w:tcPr>
            <w:tcW w:w="669" w:type="dxa"/>
            <w:vMerge w:val="restart"/>
            <w:noWrap w:val="0"/>
            <w:vAlign w:val="center"/>
          </w:tcPr>
          <w:p w14:paraId="0D59502D">
            <w:pPr>
              <w:widowControl/>
              <w:spacing w:line="360" w:lineRule="auto"/>
              <w:jc w:val="center"/>
              <w:outlineLvl w:val="9"/>
              <w:rPr>
                <w:rFonts w:ascii="宋体" w:hAnsi="宋体" w:cs="Arial"/>
                <w:color w:val="auto"/>
                <w:sz w:val="24"/>
                <w:highlight w:val="none"/>
              </w:rPr>
            </w:pPr>
            <w:r>
              <w:rPr>
                <w:rFonts w:hint="eastAsia" w:ascii="宋体" w:hAnsi="宋体" w:cs="Arial"/>
                <w:color w:val="auto"/>
                <w:sz w:val="24"/>
                <w:highlight w:val="none"/>
              </w:rPr>
              <w:t>序号</w:t>
            </w:r>
          </w:p>
        </w:tc>
        <w:tc>
          <w:tcPr>
            <w:tcW w:w="1423" w:type="dxa"/>
            <w:vMerge w:val="restart"/>
            <w:noWrap w:val="0"/>
            <w:vAlign w:val="center"/>
          </w:tcPr>
          <w:p w14:paraId="68E42E30">
            <w:pPr>
              <w:widowControl/>
              <w:spacing w:line="360" w:lineRule="auto"/>
              <w:jc w:val="center"/>
              <w:outlineLvl w:val="9"/>
              <w:rPr>
                <w:rFonts w:ascii="宋体" w:hAnsi="宋体" w:cs="Arial"/>
                <w:color w:val="auto"/>
                <w:sz w:val="24"/>
                <w:highlight w:val="none"/>
              </w:rPr>
            </w:pPr>
            <w:r>
              <w:rPr>
                <w:rFonts w:hint="eastAsia" w:ascii="宋体" w:hAnsi="宋体" w:cs="Arial"/>
                <w:color w:val="auto"/>
                <w:sz w:val="24"/>
                <w:highlight w:val="none"/>
              </w:rPr>
              <w:t>分项名称</w:t>
            </w:r>
          </w:p>
        </w:tc>
        <w:tc>
          <w:tcPr>
            <w:tcW w:w="2533" w:type="dxa"/>
            <w:vMerge w:val="restart"/>
            <w:noWrap w:val="0"/>
            <w:vAlign w:val="center"/>
          </w:tcPr>
          <w:p w14:paraId="4E177B22">
            <w:pPr>
              <w:widowControl/>
              <w:spacing w:line="360" w:lineRule="auto"/>
              <w:jc w:val="center"/>
              <w:outlineLvl w:val="9"/>
              <w:rPr>
                <w:rFonts w:ascii="宋体" w:hAnsi="宋体" w:cs="Arial"/>
                <w:color w:val="auto"/>
                <w:sz w:val="24"/>
                <w:highlight w:val="none"/>
              </w:rPr>
            </w:pPr>
            <w:r>
              <w:rPr>
                <w:rFonts w:hint="eastAsia" w:ascii="宋体" w:hAnsi="宋体" w:cs="Arial"/>
                <w:color w:val="auto"/>
                <w:sz w:val="24"/>
                <w:highlight w:val="none"/>
              </w:rPr>
              <w:t>服务内容</w:t>
            </w:r>
          </w:p>
        </w:tc>
        <w:tc>
          <w:tcPr>
            <w:tcW w:w="1042" w:type="dxa"/>
            <w:vMerge w:val="restart"/>
            <w:noWrap w:val="0"/>
            <w:vAlign w:val="center"/>
          </w:tcPr>
          <w:p w14:paraId="3B3A6DBA">
            <w:pPr>
              <w:widowControl/>
              <w:spacing w:line="360" w:lineRule="auto"/>
              <w:jc w:val="center"/>
              <w:outlineLvl w:val="9"/>
              <w:rPr>
                <w:rFonts w:ascii="宋体" w:hAnsi="宋体" w:cs="Arial"/>
                <w:color w:val="auto"/>
                <w:sz w:val="24"/>
                <w:highlight w:val="none"/>
              </w:rPr>
            </w:pPr>
            <w:r>
              <w:rPr>
                <w:rFonts w:hint="eastAsia" w:ascii="宋体" w:hAnsi="宋体" w:cs="Arial"/>
                <w:color w:val="auto"/>
                <w:sz w:val="24"/>
                <w:highlight w:val="none"/>
              </w:rPr>
              <w:t>数量</w:t>
            </w:r>
          </w:p>
        </w:tc>
        <w:tc>
          <w:tcPr>
            <w:tcW w:w="992" w:type="dxa"/>
            <w:vMerge w:val="restart"/>
            <w:noWrap w:val="0"/>
            <w:vAlign w:val="center"/>
          </w:tcPr>
          <w:p w14:paraId="53CF6A48">
            <w:pPr>
              <w:widowControl/>
              <w:spacing w:line="360" w:lineRule="auto"/>
              <w:jc w:val="center"/>
              <w:outlineLvl w:val="9"/>
              <w:rPr>
                <w:rFonts w:ascii="宋体" w:hAnsi="宋体" w:cs="Arial"/>
                <w:color w:val="auto"/>
                <w:sz w:val="24"/>
                <w:highlight w:val="none"/>
              </w:rPr>
            </w:pPr>
            <w:r>
              <w:rPr>
                <w:rFonts w:hint="eastAsia" w:ascii="宋体" w:hAnsi="宋体" w:cs="Arial"/>
                <w:color w:val="auto"/>
                <w:sz w:val="24"/>
                <w:highlight w:val="none"/>
              </w:rPr>
              <w:t>单位</w:t>
            </w:r>
          </w:p>
        </w:tc>
        <w:tc>
          <w:tcPr>
            <w:tcW w:w="1991" w:type="dxa"/>
            <w:gridSpan w:val="2"/>
            <w:noWrap w:val="0"/>
            <w:vAlign w:val="center"/>
          </w:tcPr>
          <w:p w14:paraId="4FFABA30">
            <w:pPr>
              <w:widowControl/>
              <w:spacing w:line="360" w:lineRule="auto"/>
              <w:jc w:val="center"/>
              <w:outlineLvl w:val="9"/>
              <w:rPr>
                <w:rFonts w:ascii="宋体" w:hAnsi="宋体" w:cs="Arial"/>
                <w:color w:val="auto"/>
                <w:sz w:val="24"/>
                <w:highlight w:val="none"/>
              </w:rPr>
            </w:pPr>
            <w:r>
              <w:rPr>
                <w:rFonts w:hint="eastAsia" w:ascii="宋体" w:hAnsi="宋体" w:cs="Arial"/>
                <w:color w:val="auto"/>
                <w:sz w:val="24"/>
                <w:highlight w:val="none"/>
              </w:rPr>
              <w:t>投标价格</w:t>
            </w:r>
          </w:p>
        </w:tc>
      </w:tr>
      <w:tr w14:paraId="7FE9A6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5" w:hRule="atLeast"/>
          <w:jc w:val="center"/>
        </w:trPr>
        <w:tc>
          <w:tcPr>
            <w:tcW w:w="669" w:type="dxa"/>
            <w:vMerge w:val="continue"/>
            <w:noWrap w:val="0"/>
            <w:vAlign w:val="center"/>
          </w:tcPr>
          <w:p w14:paraId="29466B33">
            <w:pPr>
              <w:widowControl/>
              <w:jc w:val="left"/>
              <w:outlineLvl w:val="9"/>
              <w:rPr>
                <w:rFonts w:ascii="宋体" w:hAnsi="宋体" w:cs="Arial"/>
                <w:color w:val="auto"/>
                <w:sz w:val="24"/>
                <w:highlight w:val="none"/>
              </w:rPr>
            </w:pPr>
          </w:p>
        </w:tc>
        <w:tc>
          <w:tcPr>
            <w:tcW w:w="1423" w:type="dxa"/>
            <w:vMerge w:val="continue"/>
            <w:noWrap w:val="0"/>
            <w:vAlign w:val="center"/>
          </w:tcPr>
          <w:p w14:paraId="6E23B146">
            <w:pPr>
              <w:widowControl/>
              <w:jc w:val="left"/>
              <w:outlineLvl w:val="9"/>
              <w:rPr>
                <w:rFonts w:ascii="宋体" w:hAnsi="宋体" w:cs="Arial"/>
                <w:color w:val="auto"/>
                <w:sz w:val="24"/>
                <w:highlight w:val="none"/>
              </w:rPr>
            </w:pPr>
          </w:p>
        </w:tc>
        <w:tc>
          <w:tcPr>
            <w:tcW w:w="2533" w:type="dxa"/>
            <w:vMerge w:val="continue"/>
            <w:noWrap w:val="0"/>
            <w:vAlign w:val="center"/>
          </w:tcPr>
          <w:p w14:paraId="0E2C11AE">
            <w:pPr>
              <w:widowControl/>
              <w:jc w:val="left"/>
              <w:outlineLvl w:val="9"/>
              <w:rPr>
                <w:rFonts w:ascii="宋体" w:hAnsi="宋体" w:cs="Arial"/>
                <w:color w:val="auto"/>
                <w:sz w:val="24"/>
                <w:highlight w:val="none"/>
              </w:rPr>
            </w:pPr>
          </w:p>
        </w:tc>
        <w:tc>
          <w:tcPr>
            <w:tcW w:w="1042" w:type="dxa"/>
            <w:vMerge w:val="continue"/>
            <w:noWrap w:val="0"/>
            <w:vAlign w:val="center"/>
          </w:tcPr>
          <w:p w14:paraId="716555A3">
            <w:pPr>
              <w:widowControl/>
              <w:jc w:val="left"/>
              <w:outlineLvl w:val="9"/>
              <w:rPr>
                <w:rFonts w:ascii="宋体" w:hAnsi="宋体" w:cs="Arial"/>
                <w:color w:val="auto"/>
                <w:sz w:val="24"/>
                <w:highlight w:val="none"/>
              </w:rPr>
            </w:pPr>
          </w:p>
        </w:tc>
        <w:tc>
          <w:tcPr>
            <w:tcW w:w="992" w:type="dxa"/>
            <w:vMerge w:val="continue"/>
            <w:noWrap w:val="0"/>
            <w:vAlign w:val="center"/>
          </w:tcPr>
          <w:p w14:paraId="41AD9851">
            <w:pPr>
              <w:widowControl/>
              <w:jc w:val="left"/>
              <w:outlineLvl w:val="9"/>
              <w:rPr>
                <w:rFonts w:ascii="宋体" w:hAnsi="宋体" w:cs="Arial"/>
                <w:color w:val="auto"/>
                <w:sz w:val="24"/>
                <w:highlight w:val="none"/>
              </w:rPr>
            </w:pPr>
          </w:p>
        </w:tc>
        <w:tc>
          <w:tcPr>
            <w:tcW w:w="919" w:type="dxa"/>
            <w:noWrap w:val="0"/>
            <w:vAlign w:val="center"/>
          </w:tcPr>
          <w:p w14:paraId="6208A836">
            <w:pPr>
              <w:widowControl/>
              <w:spacing w:line="360" w:lineRule="auto"/>
              <w:jc w:val="center"/>
              <w:outlineLvl w:val="9"/>
              <w:rPr>
                <w:rFonts w:ascii="宋体" w:hAnsi="宋体" w:cs="Arial"/>
                <w:color w:val="auto"/>
                <w:sz w:val="24"/>
                <w:highlight w:val="none"/>
              </w:rPr>
            </w:pPr>
            <w:r>
              <w:rPr>
                <w:rFonts w:hint="eastAsia" w:ascii="宋体" w:hAnsi="宋体" w:cs="Arial"/>
                <w:color w:val="auto"/>
                <w:sz w:val="24"/>
                <w:highlight w:val="none"/>
              </w:rPr>
              <w:t>单价</w:t>
            </w:r>
          </w:p>
        </w:tc>
        <w:tc>
          <w:tcPr>
            <w:tcW w:w="1072" w:type="dxa"/>
            <w:noWrap w:val="0"/>
            <w:vAlign w:val="center"/>
          </w:tcPr>
          <w:p w14:paraId="7558C4DA">
            <w:pPr>
              <w:widowControl/>
              <w:spacing w:line="360" w:lineRule="auto"/>
              <w:jc w:val="center"/>
              <w:outlineLvl w:val="9"/>
              <w:rPr>
                <w:rFonts w:ascii="宋体" w:hAnsi="宋体" w:cs="Arial"/>
                <w:color w:val="auto"/>
                <w:sz w:val="24"/>
                <w:highlight w:val="none"/>
              </w:rPr>
            </w:pPr>
            <w:r>
              <w:rPr>
                <w:rFonts w:hint="eastAsia" w:ascii="宋体" w:hAnsi="宋体" w:cs="Arial"/>
                <w:color w:val="auto"/>
                <w:sz w:val="24"/>
                <w:highlight w:val="none"/>
              </w:rPr>
              <w:t>合价</w:t>
            </w:r>
          </w:p>
        </w:tc>
      </w:tr>
      <w:tr w14:paraId="2FEDEC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31E3DDFA">
            <w:pPr>
              <w:widowControl/>
              <w:spacing w:line="360" w:lineRule="auto"/>
              <w:jc w:val="center"/>
              <w:outlineLvl w:val="9"/>
              <w:rPr>
                <w:rFonts w:ascii="宋体" w:hAnsi="宋体" w:cs="Arial"/>
                <w:color w:val="auto"/>
                <w:sz w:val="24"/>
                <w:highlight w:val="none"/>
              </w:rPr>
            </w:pPr>
            <w:r>
              <w:rPr>
                <w:rFonts w:hint="eastAsia" w:ascii="宋体" w:hAnsi="宋体" w:cs="Arial"/>
                <w:color w:val="auto"/>
                <w:sz w:val="24"/>
                <w:highlight w:val="none"/>
              </w:rPr>
              <w:t>1</w:t>
            </w:r>
          </w:p>
        </w:tc>
        <w:tc>
          <w:tcPr>
            <w:tcW w:w="1423" w:type="dxa"/>
            <w:noWrap w:val="0"/>
            <w:vAlign w:val="center"/>
          </w:tcPr>
          <w:p w14:paraId="157AC25C">
            <w:pPr>
              <w:widowControl/>
              <w:spacing w:line="360" w:lineRule="auto"/>
              <w:jc w:val="center"/>
              <w:outlineLvl w:val="9"/>
              <w:rPr>
                <w:rFonts w:ascii="宋体" w:hAnsi="宋体" w:cs="Arial"/>
                <w:b/>
                <w:bCs/>
                <w:color w:val="auto"/>
                <w:sz w:val="24"/>
                <w:highlight w:val="none"/>
              </w:rPr>
            </w:pPr>
          </w:p>
        </w:tc>
        <w:tc>
          <w:tcPr>
            <w:tcW w:w="2533" w:type="dxa"/>
            <w:noWrap w:val="0"/>
            <w:vAlign w:val="center"/>
          </w:tcPr>
          <w:p w14:paraId="7BE869B5">
            <w:pPr>
              <w:widowControl/>
              <w:spacing w:line="360" w:lineRule="auto"/>
              <w:jc w:val="center"/>
              <w:outlineLvl w:val="9"/>
              <w:rPr>
                <w:rFonts w:ascii="宋体" w:hAnsi="宋体" w:cs="Arial"/>
                <w:color w:val="auto"/>
                <w:sz w:val="24"/>
                <w:highlight w:val="none"/>
              </w:rPr>
            </w:pPr>
          </w:p>
        </w:tc>
        <w:tc>
          <w:tcPr>
            <w:tcW w:w="1042" w:type="dxa"/>
            <w:noWrap w:val="0"/>
            <w:vAlign w:val="center"/>
          </w:tcPr>
          <w:p w14:paraId="104BADB6">
            <w:pPr>
              <w:widowControl/>
              <w:spacing w:line="360" w:lineRule="auto"/>
              <w:jc w:val="center"/>
              <w:outlineLvl w:val="9"/>
              <w:rPr>
                <w:rFonts w:ascii="宋体" w:hAnsi="宋体" w:cs="Arial"/>
                <w:color w:val="auto"/>
                <w:sz w:val="24"/>
                <w:highlight w:val="none"/>
              </w:rPr>
            </w:pPr>
          </w:p>
        </w:tc>
        <w:tc>
          <w:tcPr>
            <w:tcW w:w="992" w:type="dxa"/>
            <w:noWrap w:val="0"/>
            <w:vAlign w:val="center"/>
          </w:tcPr>
          <w:p w14:paraId="3831EBE0">
            <w:pPr>
              <w:widowControl/>
              <w:spacing w:line="360" w:lineRule="auto"/>
              <w:jc w:val="center"/>
              <w:outlineLvl w:val="9"/>
              <w:rPr>
                <w:rFonts w:ascii="宋体" w:hAnsi="宋体" w:cs="Arial"/>
                <w:color w:val="auto"/>
                <w:sz w:val="24"/>
                <w:highlight w:val="none"/>
              </w:rPr>
            </w:pPr>
          </w:p>
        </w:tc>
        <w:tc>
          <w:tcPr>
            <w:tcW w:w="919" w:type="dxa"/>
            <w:noWrap w:val="0"/>
            <w:vAlign w:val="center"/>
          </w:tcPr>
          <w:p w14:paraId="77FC6137">
            <w:pPr>
              <w:widowControl/>
              <w:spacing w:line="360" w:lineRule="auto"/>
              <w:jc w:val="center"/>
              <w:outlineLvl w:val="9"/>
              <w:rPr>
                <w:rFonts w:ascii="宋体" w:hAnsi="宋体" w:cs="Arial"/>
                <w:color w:val="auto"/>
                <w:sz w:val="24"/>
                <w:highlight w:val="none"/>
              </w:rPr>
            </w:pPr>
          </w:p>
        </w:tc>
        <w:tc>
          <w:tcPr>
            <w:tcW w:w="1072" w:type="dxa"/>
            <w:noWrap w:val="0"/>
            <w:vAlign w:val="center"/>
          </w:tcPr>
          <w:p w14:paraId="15AB7637">
            <w:pPr>
              <w:widowControl/>
              <w:spacing w:line="360" w:lineRule="auto"/>
              <w:jc w:val="center"/>
              <w:outlineLvl w:val="9"/>
              <w:rPr>
                <w:rFonts w:ascii="宋体" w:hAnsi="宋体" w:cs="Arial"/>
                <w:color w:val="auto"/>
                <w:sz w:val="24"/>
                <w:highlight w:val="none"/>
              </w:rPr>
            </w:pPr>
          </w:p>
        </w:tc>
      </w:tr>
      <w:tr w14:paraId="619A05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233441E6">
            <w:pPr>
              <w:widowControl/>
              <w:spacing w:line="360" w:lineRule="auto"/>
              <w:jc w:val="center"/>
              <w:outlineLvl w:val="9"/>
              <w:rPr>
                <w:rFonts w:ascii="宋体" w:hAnsi="宋体" w:cs="Arial"/>
                <w:color w:val="auto"/>
                <w:sz w:val="24"/>
                <w:highlight w:val="none"/>
              </w:rPr>
            </w:pPr>
            <w:r>
              <w:rPr>
                <w:rFonts w:hint="eastAsia" w:ascii="宋体" w:hAnsi="宋体" w:cs="Arial"/>
                <w:color w:val="auto"/>
                <w:sz w:val="24"/>
                <w:highlight w:val="none"/>
              </w:rPr>
              <w:t>2</w:t>
            </w:r>
          </w:p>
        </w:tc>
        <w:tc>
          <w:tcPr>
            <w:tcW w:w="1423" w:type="dxa"/>
            <w:noWrap w:val="0"/>
            <w:vAlign w:val="center"/>
          </w:tcPr>
          <w:p w14:paraId="134AF0E8">
            <w:pPr>
              <w:widowControl/>
              <w:spacing w:line="360" w:lineRule="auto"/>
              <w:jc w:val="center"/>
              <w:outlineLvl w:val="9"/>
              <w:rPr>
                <w:rFonts w:ascii="宋体" w:hAnsi="宋体" w:cs="Arial"/>
                <w:b/>
                <w:bCs/>
                <w:color w:val="auto"/>
                <w:sz w:val="24"/>
                <w:highlight w:val="none"/>
              </w:rPr>
            </w:pPr>
          </w:p>
        </w:tc>
        <w:tc>
          <w:tcPr>
            <w:tcW w:w="2533" w:type="dxa"/>
            <w:noWrap w:val="0"/>
            <w:vAlign w:val="center"/>
          </w:tcPr>
          <w:p w14:paraId="36DEB592">
            <w:pPr>
              <w:widowControl/>
              <w:spacing w:line="360" w:lineRule="auto"/>
              <w:jc w:val="center"/>
              <w:outlineLvl w:val="9"/>
              <w:rPr>
                <w:rFonts w:ascii="宋体" w:hAnsi="宋体" w:cs="Arial"/>
                <w:color w:val="auto"/>
                <w:sz w:val="24"/>
                <w:highlight w:val="none"/>
              </w:rPr>
            </w:pPr>
          </w:p>
        </w:tc>
        <w:tc>
          <w:tcPr>
            <w:tcW w:w="1042" w:type="dxa"/>
            <w:noWrap w:val="0"/>
            <w:vAlign w:val="center"/>
          </w:tcPr>
          <w:p w14:paraId="373DBD1E">
            <w:pPr>
              <w:widowControl/>
              <w:spacing w:line="360" w:lineRule="auto"/>
              <w:jc w:val="center"/>
              <w:outlineLvl w:val="9"/>
              <w:rPr>
                <w:rFonts w:ascii="宋体" w:hAnsi="宋体" w:cs="Arial"/>
                <w:color w:val="auto"/>
                <w:sz w:val="24"/>
                <w:highlight w:val="none"/>
              </w:rPr>
            </w:pPr>
          </w:p>
        </w:tc>
        <w:tc>
          <w:tcPr>
            <w:tcW w:w="992" w:type="dxa"/>
            <w:noWrap w:val="0"/>
            <w:vAlign w:val="center"/>
          </w:tcPr>
          <w:p w14:paraId="1BA2ACDE">
            <w:pPr>
              <w:widowControl/>
              <w:spacing w:line="360" w:lineRule="auto"/>
              <w:jc w:val="center"/>
              <w:outlineLvl w:val="9"/>
              <w:rPr>
                <w:rFonts w:ascii="宋体" w:hAnsi="宋体" w:cs="Arial"/>
                <w:color w:val="auto"/>
                <w:sz w:val="24"/>
                <w:highlight w:val="none"/>
              </w:rPr>
            </w:pPr>
          </w:p>
        </w:tc>
        <w:tc>
          <w:tcPr>
            <w:tcW w:w="919" w:type="dxa"/>
            <w:noWrap w:val="0"/>
            <w:vAlign w:val="center"/>
          </w:tcPr>
          <w:p w14:paraId="5A193D8F">
            <w:pPr>
              <w:widowControl/>
              <w:spacing w:line="360" w:lineRule="auto"/>
              <w:jc w:val="center"/>
              <w:outlineLvl w:val="9"/>
              <w:rPr>
                <w:rFonts w:ascii="宋体" w:hAnsi="宋体" w:cs="Arial"/>
                <w:color w:val="auto"/>
                <w:sz w:val="24"/>
                <w:highlight w:val="none"/>
              </w:rPr>
            </w:pPr>
          </w:p>
        </w:tc>
        <w:tc>
          <w:tcPr>
            <w:tcW w:w="1072" w:type="dxa"/>
            <w:noWrap w:val="0"/>
            <w:vAlign w:val="center"/>
          </w:tcPr>
          <w:p w14:paraId="31F25F93">
            <w:pPr>
              <w:widowControl/>
              <w:spacing w:line="360" w:lineRule="auto"/>
              <w:jc w:val="center"/>
              <w:outlineLvl w:val="9"/>
              <w:rPr>
                <w:rFonts w:ascii="宋体" w:hAnsi="宋体" w:cs="Arial"/>
                <w:color w:val="auto"/>
                <w:sz w:val="24"/>
                <w:highlight w:val="none"/>
              </w:rPr>
            </w:pPr>
          </w:p>
        </w:tc>
      </w:tr>
      <w:tr w14:paraId="71C31C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2EB5F263">
            <w:pPr>
              <w:widowControl/>
              <w:spacing w:line="360" w:lineRule="auto"/>
              <w:jc w:val="center"/>
              <w:outlineLvl w:val="9"/>
              <w:rPr>
                <w:rFonts w:ascii="宋体" w:hAnsi="宋体" w:cs="Arial"/>
                <w:color w:val="auto"/>
                <w:sz w:val="24"/>
                <w:highlight w:val="none"/>
              </w:rPr>
            </w:pPr>
            <w:r>
              <w:rPr>
                <w:rFonts w:hint="eastAsia" w:ascii="宋体" w:hAnsi="宋体" w:cs="Arial"/>
                <w:color w:val="auto"/>
                <w:sz w:val="24"/>
                <w:highlight w:val="none"/>
              </w:rPr>
              <w:t>3</w:t>
            </w:r>
          </w:p>
        </w:tc>
        <w:tc>
          <w:tcPr>
            <w:tcW w:w="1423" w:type="dxa"/>
            <w:noWrap w:val="0"/>
            <w:vAlign w:val="center"/>
          </w:tcPr>
          <w:p w14:paraId="18FC1F00">
            <w:pPr>
              <w:widowControl/>
              <w:spacing w:line="360" w:lineRule="auto"/>
              <w:jc w:val="center"/>
              <w:outlineLvl w:val="9"/>
              <w:rPr>
                <w:rFonts w:ascii="宋体" w:hAnsi="宋体" w:cs="Arial"/>
                <w:b/>
                <w:bCs/>
                <w:color w:val="auto"/>
                <w:sz w:val="24"/>
                <w:highlight w:val="none"/>
              </w:rPr>
            </w:pPr>
          </w:p>
        </w:tc>
        <w:tc>
          <w:tcPr>
            <w:tcW w:w="2533" w:type="dxa"/>
            <w:noWrap w:val="0"/>
            <w:vAlign w:val="center"/>
          </w:tcPr>
          <w:p w14:paraId="034CC33A">
            <w:pPr>
              <w:widowControl/>
              <w:spacing w:line="360" w:lineRule="auto"/>
              <w:jc w:val="center"/>
              <w:outlineLvl w:val="9"/>
              <w:rPr>
                <w:rFonts w:ascii="宋体" w:hAnsi="宋体" w:cs="Arial"/>
                <w:color w:val="auto"/>
                <w:sz w:val="24"/>
                <w:highlight w:val="none"/>
              </w:rPr>
            </w:pPr>
          </w:p>
        </w:tc>
        <w:tc>
          <w:tcPr>
            <w:tcW w:w="1042" w:type="dxa"/>
            <w:noWrap w:val="0"/>
            <w:vAlign w:val="center"/>
          </w:tcPr>
          <w:p w14:paraId="72518EFE">
            <w:pPr>
              <w:widowControl/>
              <w:spacing w:line="360" w:lineRule="auto"/>
              <w:jc w:val="center"/>
              <w:outlineLvl w:val="9"/>
              <w:rPr>
                <w:rFonts w:ascii="宋体" w:hAnsi="宋体" w:cs="Arial"/>
                <w:color w:val="auto"/>
                <w:sz w:val="24"/>
                <w:highlight w:val="none"/>
              </w:rPr>
            </w:pPr>
          </w:p>
        </w:tc>
        <w:tc>
          <w:tcPr>
            <w:tcW w:w="992" w:type="dxa"/>
            <w:noWrap w:val="0"/>
            <w:vAlign w:val="center"/>
          </w:tcPr>
          <w:p w14:paraId="0538744D">
            <w:pPr>
              <w:widowControl/>
              <w:spacing w:line="360" w:lineRule="auto"/>
              <w:jc w:val="center"/>
              <w:outlineLvl w:val="9"/>
              <w:rPr>
                <w:rFonts w:ascii="宋体" w:hAnsi="宋体" w:cs="Arial"/>
                <w:color w:val="auto"/>
                <w:sz w:val="24"/>
                <w:highlight w:val="none"/>
              </w:rPr>
            </w:pPr>
          </w:p>
        </w:tc>
        <w:tc>
          <w:tcPr>
            <w:tcW w:w="919" w:type="dxa"/>
            <w:noWrap w:val="0"/>
            <w:vAlign w:val="center"/>
          </w:tcPr>
          <w:p w14:paraId="1CA8BCB7">
            <w:pPr>
              <w:widowControl/>
              <w:spacing w:line="360" w:lineRule="auto"/>
              <w:jc w:val="center"/>
              <w:outlineLvl w:val="9"/>
              <w:rPr>
                <w:rFonts w:ascii="宋体" w:hAnsi="宋体" w:cs="Arial"/>
                <w:color w:val="auto"/>
                <w:sz w:val="24"/>
                <w:highlight w:val="none"/>
              </w:rPr>
            </w:pPr>
          </w:p>
        </w:tc>
        <w:tc>
          <w:tcPr>
            <w:tcW w:w="1072" w:type="dxa"/>
            <w:noWrap w:val="0"/>
            <w:vAlign w:val="center"/>
          </w:tcPr>
          <w:p w14:paraId="2F4F8B10">
            <w:pPr>
              <w:widowControl/>
              <w:spacing w:line="360" w:lineRule="auto"/>
              <w:jc w:val="center"/>
              <w:outlineLvl w:val="9"/>
              <w:rPr>
                <w:rFonts w:ascii="宋体" w:hAnsi="宋体" w:cs="Arial"/>
                <w:color w:val="auto"/>
                <w:sz w:val="24"/>
                <w:highlight w:val="none"/>
              </w:rPr>
            </w:pPr>
          </w:p>
        </w:tc>
      </w:tr>
      <w:tr w14:paraId="0C2265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243BE575">
            <w:pPr>
              <w:widowControl/>
              <w:spacing w:line="360" w:lineRule="auto"/>
              <w:jc w:val="center"/>
              <w:outlineLvl w:val="9"/>
              <w:rPr>
                <w:rFonts w:ascii="宋体" w:hAnsi="宋体" w:cs="Arial"/>
                <w:color w:val="auto"/>
                <w:sz w:val="24"/>
                <w:highlight w:val="none"/>
              </w:rPr>
            </w:pPr>
            <w:r>
              <w:rPr>
                <w:rFonts w:hint="eastAsia" w:ascii="宋体" w:hAnsi="宋体" w:cs="Arial"/>
                <w:color w:val="auto"/>
                <w:sz w:val="24"/>
                <w:highlight w:val="none"/>
              </w:rPr>
              <w:t>4</w:t>
            </w:r>
          </w:p>
        </w:tc>
        <w:tc>
          <w:tcPr>
            <w:tcW w:w="1423" w:type="dxa"/>
            <w:noWrap w:val="0"/>
            <w:vAlign w:val="center"/>
          </w:tcPr>
          <w:p w14:paraId="7E680345">
            <w:pPr>
              <w:widowControl/>
              <w:spacing w:line="360" w:lineRule="auto"/>
              <w:jc w:val="center"/>
              <w:outlineLvl w:val="9"/>
              <w:rPr>
                <w:rFonts w:ascii="宋体" w:hAnsi="宋体" w:cs="Arial"/>
                <w:b/>
                <w:bCs/>
                <w:color w:val="auto"/>
                <w:sz w:val="24"/>
                <w:highlight w:val="none"/>
              </w:rPr>
            </w:pPr>
          </w:p>
        </w:tc>
        <w:tc>
          <w:tcPr>
            <w:tcW w:w="2533" w:type="dxa"/>
            <w:noWrap w:val="0"/>
            <w:vAlign w:val="center"/>
          </w:tcPr>
          <w:p w14:paraId="7193B329">
            <w:pPr>
              <w:widowControl/>
              <w:spacing w:line="360" w:lineRule="auto"/>
              <w:jc w:val="center"/>
              <w:outlineLvl w:val="9"/>
              <w:rPr>
                <w:rFonts w:ascii="宋体" w:hAnsi="宋体" w:cs="Arial"/>
                <w:color w:val="auto"/>
                <w:sz w:val="24"/>
                <w:highlight w:val="none"/>
              </w:rPr>
            </w:pPr>
          </w:p>
        </w:tc>
        <w:tc>
          <w:tcPr>
            <w:tcW w:w="1042" w:type="dxa"/>
            <w:noWrap w:val="0"/>
            <w:vAlign w:val="center"/>
          </w:tcPr>
          <w:p w14:paraId="607D5A1F">
            <w:pPr>
              <w:widowControl/>
              <w:spacing w:line="360" w:lineRule="auto"/>
              <w:jc w:val="center"/>
              <w:outlineLvl w:val="9"/>
              <w:rPr>
                <w:rFonts w:ascii="宋体" w:hAnsi="宋体" w:cs="Arial"/>
                <w:color w:val="auto"/>
                <w:sz w:val="24"/>
                <w:highlight w:val="none"/>
              </w:rPr>
            </w:pPr>
          </w:p>
        </w:tc>
        <w:tc>
          <w:tcPr>
            <w:tcW w:w="992" w:type="dxa"/>
            <w:noWrap w:val="0"/>
            <w:vAlign w:val="center"/>
          </w:tcPr>
          <w:p w14:paraId="677DB33D">
            <w:pPr>
              <w:widowControl/>
              <w:spacing w:line="360" w:lineRule="auto"/>
              <w:jc w:val="center"/>
              <w:outlineLvl w:val="9"/>
              <w:rPr>
                <w:rFonts w:ascii="宋体" w:hAnsi="宋体" w:cs="Arial"/>
                <w:color w:val="auto"/>
                <w:sz w:val="24"/>
                <w:highlight w:val="none"/>
              </w:rPr>
            </w:pPr>
          </w:p>
        </w:tc>
        <w:tc>
          <w:tcPr>
            <w:tcW w:w="919" w:type="dxa"/>
            <w:noWrap w:val="0"/>
            <w:vAlign w:val="center"/>
          </w:tcPr>
          <w:p w14:paraId="600372E0">
            <w:pPr>
              <w:widowControl/>
              <w:spacing w:line="360" w:lineRule="auto"/>
              <w:jc w:val="center"/>
              <w:outlineLvl w:val="9"/>
              <w:rPr>
                <w:rFonts w:ascii="宋体" w:hAnsi="宋体" w:cs="Arial"/>
                <w:color w:val="auto"/>
                <w:sz w:val="24"/>
                <w:highlight w:val="none"/>
              </w:rPr>
            </w:pPr>
          </w:p>
        </w:tc>
        <w:tc>
          <w:tcPr>
            <w:tcW w:w="1072" w:type="dxa"/>
            <w:noWrap w:val="0"/>
            <w:vAlign w:val="center"/>
          </w:tcPr>
          <w:p w14:paraId="4FA15DD5">
            <w:pPr>
              <w:widowControl/>
              <w:spacing w:line="360" w:lineRule="auto"/>
              <w:jc w:val="center"/>
              <w:outlineLvl w:val="9"/>
              <w:rPr>
                <w:rFonts w:ascii="宋体" w:hAnsi="宋体" w:cs="Arial"/>
                <w:color w:val="auto"/>
                <w:sz w:val="24"/>
                <w:highlight w:val="none"/>
              </w:rPr>
            </w:pPr>
          </w:p>
        </w:tc>
      </w:tr>
      <w:tr w14:paraId="668E28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4A5BC4DC">
            <w:pPr>
              <w:widowControl/>
              <w:spacing w:line="360" w:lineRule="auto"/>
              <w:jc w:val="center"/>
              <w:outlineLvl w:val="9"/>
              <w:rPr>
                <w:rFonts w:ascii="宋体" w:hAnsi="宋体" w:cs="Arial"/>
                <w:color w:val="auto"/>
                <w:sz w:val="24"/>
                <w:highlight w:val="none"/>
              </w:rPr>
            </w:pPr>
            <w:r>
              <w:rPr>
                <w:rFonts w:hint="eastAsia" w:ascii="宋体" w:hAnsi="宋体" w:cs="Arial"/>
                <w:color w:val="auto"/>
                <w:sz w:val="24"/>
                <w:highlight w:val="none"/>
              </w:rPr>
              <w:t>5</w:t>
            </w:r>
          </w:p>
        </w:tc>
        <w:tc>
          <w:tcPr>
            <w:tcW w:w="1423" w:type="dxa"/>
            <w:noWrap w:val="0"/>
            <w:vAlign w:val="center"/>
          </w:tcPr>
          <w:p w14:paraId="13AF7E2E">
            <w:pPr>
              <w:widowControl/>
              <w:spacing w:line="360" w:lineRule="auto"/>
              <w:jc w:val="center"/>
              <w:outlineLvl w:val="9"/>
              <w:rPr>
                <w:rFonts w:ascii="宋体" w:hAnsi="宋体" w:cs="Arial"/>
                <w:b/>
                <w:bCs/>
                <w:color w:val="auto"/>
                <w:sz w:val="24"/>
                <w:highlight w:val="none"/>
              </w:rPr>
            </w:pPr>
          </w:p>
        </w:tc>
        <w:tc>
          <w:tcPr>
            <w:tcW w:w="2533" w:type="dxa"/>
            <w:noWrap w:val="0"/>
            <w:vAlign w:val="center"/>
          </w:tcPr>
          <w:p w14:paraId="2B71C0AB">
            <w:pPr>
              <w:widowControl/>
              <w:spacing w:line="360" w:lineRule="auto"/>
              <w:jc w:val="center"/>
              <w:outlineLvl w:val="9"/>
              <w:rPr>
                <w:rFonts w:ascii="宋体" w:hAnsi="宋体" w:cs="Arial"/>
                <w:color w:val="auto"/>
                <w:sz w:val="24"/>
                <w:highlight w:val="none"/>
              </w:rPr>
            </w:pPr>
          </w:p>
        </w:tc>
        <w:tc>
          <w:tcPr>
            <w:tcW w:w="1042" w:type="dxa"/>
            <w:noWrap w:val="0"/>
            <w:vAlign w:val="center"/>
          </w:tcPr>
          <w:p w14:paraId="51E7CBB1">
            <w:pPr>
              <w:widowControl/>
              <w:spacing w:line="360" w:lineRule="auto"/>
              <w:jc w:val="center"/>
              <w:outlineLvl w:val="9"/>
              <w:rPr>
                <w:rFonts w:ascii="宋体" w:hAnsi="宋体" w:cs="Arial"/>
                <w:color w:val="auto"/>
                <w:sz w:val="24"/>
                <w:highlight w:val="none"/>
              </w:rPr>
            </w:pPr>
          </w:p>
        </w:tc>
        <w:tc>
          <w:tcPr>
            <w:tcW w:w="992" w:type="dxa"/>
            <w:noWrap w:val="0"/>
            <w:vAlign w:val="center"/>
          </w:tcPr>
          <w:p w14:paraId="705B33CE">
            <w:pPr>
              <w:widowControl/>
              <w:spacing w:line="360" w:lineRule="auto"/>
              <w:jc w:val="center"/>
              <w:outlineLvl w:val="9"/>
              <w:rPr>
                <w:rFonts w:ascii="宋体" w:hAnsi="宋体" w:cs="Arial"/>
                <w:color w:val="auto"/>
                <w:sz w:val="24"/>
                <w:highlight w:val="none"/>
              </w:rPr>
            </w:pPr>
          </w:p>
        </w:tc>
        <w:tc>
          <w:tcPr>
            <w:tcW w:w="919" w:type="dxa"/>
            <w:noWrap w:val="0"/>
            <w:vAlign w:val="center"/>
          </w:tcPr>
          <w:p w14:paraId="0D0ECEB8">
            <w:pPr>
              <w:widowControl/>
              <w:spacing w:line="360" w:lineRule="auto"/>
              <w:jc w:val="center"/>
              <w:outlineLvl w:val="9"/>
              <w:rPr>
                <w:rFonts w:ascii="宋体" w:hAnsi="宋体" w:cs="Arial"/>
                <w:color w:val="auto"/>
                <w:sz w:val="24"/>
                <w:highlight w:val="none"/>
              </w:rPr>
            </w:pPr>
          </w:p>
        </w:tc>
        <w:tc>
          <w:tcPr>
            <w:tcW w:w="1072" w:type="dxa"/>
            <w:noWrap w:val="0"/>
            <w:vAlign w:val="center"/>
          </w:tcPr>
          <w:p w14:paraId="426E8BC1">
            <w:pPr>
              <w:widowControl/>
              <w:spacing w:line="360" w:lineRule="auto"/>
              <w:jc w:val="center"/>
              <w:outlineLvl w:val="9"/>
              <w:rPr>
                <w:rFonts w:ascii="宋体" w:hAnsi="宋体" w:cs="Arial"/>
                <w:color w:val="auto"/>
                <w:sz w:val="24"/>
                <w:highlight w:val="none"/>
              </w:rPr>
            </w:pPr>
          </w:p>
        </w:tc>
      </w:tr>
      <w:tr w14:paraId="23B5D3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3FDD9AA2">
            <w:pPr>
              <w:widowControl/>
              <w:spacing w:line="360" w:lineRule="auto"/>
              <w:jc w:val="center"/>
              <w:outlineLvl w:val="9"/>
              <w:rPr>
                <w:rFonts w:ascii="宋体" w:hAnsi="宋体" w:cs="Arial"/>
                <w:color w:val="auto"/>
                <w:sz w:val="24"/>
                <w:highlight w:val="none"/>
              </w:rPr>
            </w:pPr>
            <w:r>
              <w:rPr>
                <w:rFonts w:hint="eastAsia" w:ascii="宋体" w:hAnsi="宋体" w:cs="Arial"/>
                <w:color w:val="auto"/>
                <w:sz w:val="24"/>
                <w:highlight w:val="none"/>
              </w:rPr>
              <w:t>……</w:t>
            </w:r>
          </w:p>
        </w:tc>
        <w:tc>
          <w:tcPr>
            <w:tcW w:w="1423" w:type="dxa"/>
            <w:noWrap w:val="0"/>
            <w:vAlign w:val="center"/>
          </w:tcPr>
          <w:p w14:paraId="37A8ECB8">
            <w:pPr>
              <w:widowControl/>
              <w:spacing w:line="360" w:lineRule="auto"/>
              <w:jc w:val="center"/>
              <w:outlineLvl w:val="9"/>
              <w:rPr>
                <w:rFonts w:ascii="宋体" w:hAnsi="宋体" w:cs="Arial"/>
                <w:b/>
                <w:bCs/>
                <w:color w:val="auto"/>
                <w:sz w:val="24"/>
                <w:highlight w:val="none"/>
              </w:rPr>
            </w:pPr>
          </w:p>
        </w:tc>
        <w:tc>
          <w:tcPr>
            <w:tcW w:w="2533" w:type="dxa"/>
            <w:noWrap w:val="0"/>
            <w:vAlign w:val="center"/>
          </w:tcPr>
          <w:p w14:paraId="41E6248A">
            <w:pPr>
              <w:widowControl/>
              <w:spacing w:line="360" w:lineRule="auto"/>
              <w:jc w:val="center"/>
              <w:outlineLvl w:val="9"/>
              <w:rPr>
                <w:rFonts w:ascii="宋体" w:hAnsi="宋体" w:cs="Arial"/>
                <w:color w:val="auto"/>
                <w:sz w:val="24"/>
                <w:highlight w:val="none"/>
              </w:rPr>
            </w:pPr>
          </w:p>
        </w:tc>
        <w:tc>
          <w:tcPr>
            <w:tcW w:w="1042" w:type="dxa"/>
            <w:noWrap w:val="0"/>
            <w:vAlign w:val="center"/>
          </w:tcPr>
          <w:p w14:paraId="16E4B879">
            <w:pPr>
              <w:widowControl/>
              <w:spacing w:line="360" w:lineRule="auto"/>
              <w:jc w:val="center"/>
              <w:outlineLvl w:val="9"/>
              <w:rPr>
                <w:rFonts w:ascii="宋体" w:hAnsi="宋体" w:cs="Arial"/>
                <w:color w:val="auto"/>
                <w:sz w:val="24"/>
                <w:highlight w:val="none"/>
              </w:rPr>
            </w:pPr>
          </w:p>
        </w:tc>
        <w:tc>
          <w:tcPr>
            <w:tcW w:w="992" w:type="dxa"/>
            <w:noWrap w:val="0"/>
            <w:vAlign w:val="center"/>
          </w:tcPr>
          <w:p w14:paraId="377B2FC1">
            <w:pPr>
              <w:widowControl/>
              <w:spacing w:line="360" w:lineRule="auto"/>
              <w:jc w:val="center"/>
              <w:outlineLvl w:val="9"/>
              <w:rPr>
                <w:rFonts w:ascii="宋体" w:hAnsi="宋体" w:cs="Arial"/>
                <w:color w:val="auto"/>
                <w:sz w:val="24"/>
                <w:highlight w:val="none"/>
              </w:rPr>
            </w:pPr>
          </w:p>
        </w:tc>
        <w:tc>
          <w:tcPr>
            <w:tcW w:w="919" w:type="dxa"/>
            <w:noWrap w:val="0"/>
            <w:vAlign w:val="center"/>
          </w:tcPr>
          <w:p w14:paraId="3DAE01ED">
            <w:pPr>
              <w:widowControl/>
              <w:spacing w:line="360" w:lineRule="auto"/>
              <w:jc w:val="center"/>
              <w:outlineLvl w:val="9"/>
              <w:rPr>
                <w:rFonts w:ascii="宋体" w:hAnsi="宋体" w:cs="Arial"/>
                <w:color w:val="auto"/>
                <w:sz w:val="24"/>
                <w:highlight w:val="none"/>
              </w:rPr>
            </w:pPr>
          </w:p>
        </w:tc>
        <w:tc>
          <w:tcPr>
            <w:tcW w:w="1072" w:type="dxa"/>
            <w:noWrap w:val="0"/>
            <w:vAlign w:val="center"/>
          </w:tcPr>
          <w:p w14:paraId="00DA46DB">
            <w:pPr>
              <w:widowControl/>
              <w:spacing w:line="360" w:lineRule="auto"/>
              <w:jc w:val="center"/>
              <w:outlineLvl w:val="9"/>
              <w:rPr>
                <w:rFonts w:ascii="宋体" w:hAnsi="宋体" w:cs="Arial"/>
                <w:color w:val="auto"/>
                <w:sz w:val="24"/>
                <w:highlight w:val="none"/>
              </w:rPr>
            </w:pPr>
          </w:p>
        </w:tc>
      </w:tr>
      <w:tr w14:paraId="7B2A9E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4625" w:type="dxa"/>
            <w:gridSpan w:val="3"/>
            <w:noWrap w:val="0"/>
            <w:vAlign w:val="center"/>
          </w:tcPr>
          <w:p w14:paraId="74FC7336">
            <w:pPr>
              <w:widowControl/>
              <w:spacing w:line="360" w:lineRule="auto"/>
              <w:jc w:val="center"/>
              <w:outlineLvl w:val="9"/>
              <w:rPr>
                <w:rFonts w:hint="eastAsia" w:ascii="宋体" w:hAnsi="宋体" w:eastAsia="宋体" w:cs="Arial"/>
                <w:color w:val="auto"/>
                <w:sz w:val="24"/>
                <w:highlight w:val="none"/>
                <w:lang w:eastAsia="zh-CN"/>
              </w:rPr>
            </w:pPr>
            <w:r>
              <w:rPr>
                <w:rFonts w:hint="eastAsia" w:ascii="宋体" w:hAnsi="宋体" w:cs="Arial"/>
                <w:color w:val="auto"/>
                <w:sz w:val="24"/>
                <w:highlight w:val="none"/>
              </w:rPr>
              <w:t>总价</w:t>
            </w:r>
          </w:p>
        </w:tc>
        <w:tc>
          <w:tcPr>
            <w:tcW w:w="4025" w:type="dxa"/>
            <w:gridSpan w:val="4"/>
            <w:noWrap w:val="0"/>
            <w:vAlign w:val="center"/>
          </w:tcPr>
          <w:p w14:paraId="5ECDA8F1">
            <w:pPr>
              <w:widowControl/>
              <w:spacing w:line="360" w:lineRule="auto"/>
              <w:jc w:val="center"/>
              <w:outlineLvl w:val="9"/>
              <w:rPr>
                <w:rFonts w:ascii="宋体" w:hAnsi="宋体" w:cs="Arial"/>
                <w:color w:val="auto"/>
                <w:sz w:val="24"/>
                <w:highlight w:val="none"/>
              </w:rPr>
            </w:pPr>
          </w:p>
        </w:tc>
      </w:tr>
    </w:tbl>
    <w:p w14:paraId="0F157845">
      <w:pPr>
        <w:tabs>
          <w:tab w:val="left" w:pos="1800"/>
          <w:tab w:val="left" w:pos="5580"/>
        </w:tabs>
        <w:jc w:val="left"/>
        <w:outlineLvl w:val="9"/>
        <w:rPr>
          <w:rFonts w:hint="eastAsia"/>
          <w:color w:val="auto"/>
          <w:sz w:val="24"/>
          <w:highlight w:val="none"/>
        </w:rPr>
      </w:pPr>
    </w:p>
    <w:p w14:paraId="36677014">
      <w:pPr>
        <w:tabs>
          <w:tab w:val="left" w:pos="1800"/>
          <w:tab w:val="left" w:pos="5580"/>
        </w:tabs>
        <w:jc w:val="left"/>
        <w:outlineLvl w:val="9"/>
        <w:rPr>
          <w:rFonts w:hint="eastAsia"/>
          <w:color w:val="auto"/>
          <w:sz w:val="24"/>
          <w:highlight w:val="none"/>
        </w:rPr>
      </w:pPr>
    </w:p>
    <w:p w14:paraId="7092034B">
      <w:pPr>
        <w:tabs>
          <w:tab w:val="left" w:pos="1800"/>
          <w:tab w:val="left" w:pos="5580"/>
        </w:tabs>
        <w:jc w:val="left"/>
        <w:outlineLvl w:val="9"/>
        <w:rPr>
          <w:color w:val="auto"/>
          <w:sz w:val="24"/>
          <w:highlight w:val="none"/>
        </w:rPr>
      </w:pPr>
      <w:r>
        <w:rPr>
          <w:color w:val="auto"/>
          <w:sz w:val="24"/>
          <w:highlight w:val="none"/>
        </w:rPr>
        <w:t>注：1.如果不提供分项报价将视为没有实质性响应招标文件。</w:t>
      </w:r>
    </w:p>
    <w:p w14:paraId="58C94C7B">
      <w:pPr>
        <w:tabs>
          <w:tab w:val="left" w:pos="1800"/>
          <w:tab w:val="left" w:pos="5580"/>
        </w:tabs>
        <w:ind w:firstLine="480"/>
        <w:jc w:val="left"/>
        <w:outlineLvl w:val="9"/>
        <w:rPr>
          <w:color w:val="auto"/>
          <w:sz w:val="24"/>
          <w:highlight w:val="none"/>
        </w:rPr>
      </w:pPr>
      <w:r>
        <w:rPr>
          <w:color w:val="auto"/>
          <w:sz w:val="24"/>
          <w:highlight w:val="none"/>
        </w:rPr>
        <w:t>2.</w:t>
      </w:r>
      <w:r>
        <w:rPr>
          <w:rFonts w:hint="eastAsia"/>
          <w:color w:val="auto"/>
          <w:sz w:val="24"/>
          <w:highlight w:val="none"/>
        </w:rPr>
        <w:t>本表行数可以按照项目分项情况增加。</w:t>
      </w:r>
    </w:p>
    <w:p w14:paraId="726571D7">
      <w:pPr>
        <w:tabs>
          <w:tab w:val="left" w:pos="1800"/>
          <w:tab w:val="left" w:pos="5580"/>
        </w:tabs>
        <w:ind w:firstLine="480"/>
        <w:jc w:val="left"/>
        <w:outlineLvl w:val="9"/>
        <w:rPr>
          <w:color w:val="auto"/>
          <w:sz w:val="24"/>
          <w:highlight w:val="none"/>
        </w:rPr>
      </w:pPr>
      <w:r>
        <w:rPr>
          <w:color w:val="auto"/>
          <w:sz w:val="24"/>
          <w:highlight w:val="none"/>
        </w:rPr>
        <w:t>3.上述各项的</w:t>
      </w:r>
      <w:r>
        <w:rPr>
          <w:rFonts w:hint="eastAsia"/>
          <w:color w:val="auto"/>
          <w:sz w:val="24"/>
          <w:highlight w:val="none"/>
        </w:rPr>
        <w:t>服务内容如表格中填写不下的</w:t>
      </w:r>
      <w:r>
        <w:rPr>
          <w:color w:val="auto"/>
          <w:sz w:val="24"/>
          <w:highlight w:val="none"/>
        </w:rPr>
        <w:t>，可</w:t>
      </w:r>
      <w:r>
        <w:rPr>
          <w:rFonts w:hint="eastAsia"/>
          <w:color w:val="auto"/>
          <w:sz w:val="24"/>
          <w:highlight w:val="none"/>
        </w:rPr>
        <w:t>以逐项</w:t>
      </w:r>
      <w:r>
        <w:rPr>
          <w:color w:val="auto"/>
          <w:sz w:val="24"/>
          <w:highlight w:val="none"/>
        </w:rPr>
        <w:t>另页描述。</w:t>
      </w:r>
    </w:p>
    <w:p w14:paraId="645E6F54">
      <w:pPr>
        <w:spacing w:before="25" w:after="25" w:line="360" w:lineRule="auto"/>
        <w:outlineLvl w:val="9"/>
        <w:rPr>
          <w:color w:val="auto"/>
          <w:sz w:val="24"/>
          <w:highlight w:val="none"/>
          <w:lang w:val="zh-CN"/>
        </w:rPr>
      </w:pPr>
      <w:r>
        <w:rPr>
          <w:color w:val="auto"/>
          <w:sz w:val="24"/>
          <w:highlight w:val="none"/>
          <w:lang w:val="zh-CN"/>
        </w:rPr>
        <w:t xml:space="preserve">                  </w:t>
      </w:r>
    </w:p>
    <w:p w14:paraId="5F186F48">
      <w:pPr>
        <w:spacing w:before="25" w:after="25" w:line="360" w:lineRule="auto"/>
        <w:outlineLvl w:val="9"/>
        <w:rPr>
          <w:color w:val="auto"/>
          <w:sz w:val="24"/>
          <w:highlight w:val="none"/>
          <w:lang w:val="zh-CN"/>
        </w:rPr>
      </w:pPr>
      <w:r>
        <w:rPr>
          <w:color w:val="auto"/>
          <w:sz w:val="24"/>
          <w:highlight w:val="none"/>
        </w:rPr>
        <w:t>投标人名称（加盖公章）</w:t>
      </w:r>
      <w:r>
        <w:rPr>
          <w:color w:val="auto"/>
          <w:sz w:val="24"/>
          <w:highlight w:val="none"/>
          <w:lang w:val="zh-CN"/>
        </w:rPr>
        <w:t>：____________</w:t>
      </w:r>
    </w:p>
    <w:p w14:paraId="16FA81E5">
      <w:pPr>
        <w:spacing w:before="25" w:after="25" w:line="360" w:lineRule="auto"/>
        <w:outlineLvl w:val="9"/>
        <w:rPr>
          <w:color w:val="auto"/>
          <w:sz w:val="24"/>
          <w:highlight w:val="none"/>
          <w:lang w:val="zh-CN"/>
        </w:rPr>
      </w:pPr>
      <w:r>
        <w:rPr>
          <w:color w:val="auto"/>
          <w:sz w:val="24"/>
          <w:szCs w:val="20"/>
          <w:highlight w:val="none"/>
        </w:rPr>
        <w:t xml:space="preserve">日期：_____年______月______日   </w:t>
      </w:r>
    </w:p>
    <w:p w14:paraId="73CAD4D3">
      <w:pPr>
        <w:jc w:val="center"/>
        <w:outlineLvl w:val="9"/>
        <w:rPr>
          <w:rFonts w:hint="eastAsia" w:ascii="宋体" w:hAnsi="宋体"/>
          <w:b/>
          <w:color w:val="auto"/>
          <w:sz w:val="28"/>
          <w:szCs w:val="28"/>
          <w:highlight w:val="none"/>
        </w:rPr>
      </w:pPr>
    </w:p>
    <w:p w14:paraId="7C56E611">
      <w:pPr>
        <w:pStyle w:val="257"/>
        <w:jc w:val="left"/>
        <w:outlineLvl w:val="9"/>
        <w:rPr>
          <w:rFonts w:hint="eastAsia"/>
          <w:color w:val="auto"/>
          <w:highlight w:val="none"/>
        </w:rPr>
        <w:sectPr>
          <w:pgSz w:w="11906" w:h="16838"/>
          <w:pgMar w:top="1440" w:right="1800" w:bottom="1440" w:left="1800" w:header="851" w:footer="992" w:gutter="0"/>
          <w:pgNumType w:fmt="decimal"/>
          <w:cols w:space="1701" w:num="1"/>
          <w:docGrid w:linePitch="360" w:charSpace="0"/>
        </w:sectPr>
      </w:pPr>
    </w:p>
    <w:bookmarkEnd w:id="883"/>
    <w:bookmarkEnd w:id="884"/>
    <w:p w14:paraId="357D63B6">
      <w:pPr>
        <w:spacing w:before="25" w:after="25" w:line="360" w:lineRule="auto"/>
        <w:outlineLvl w:val="9"/>
        <w:rPr>
          <w:rFonts w:hint="eastAsia" w:eastAsia="宋体"/>
          <w:color w:val="auto"/>
          <w:sz w:val="24"/>
          <w:szCs w:val="20"/>
          <w:highlight w:val="none"/>
          <w:lang w:val="en-US" w:eastAsia="zh-CN"/>
        </w:rPr>
      </w:pPr>
      <w:r>
        <w:rPr>
          <w:rFonts w:hint="eastAsia"/>
          <w:color w:val="auto"/>
          <w:sz w:val="24"/>
          <w:szCs w:val="20"/>
          <w:highlight w:val="none"/>
          <w:lang w:val="en-US" w:eastAsia="zh-CN"/>
        </w:rPr>
        <w:t>6</w:t>
      </w:r>
      <w:r>
        <w:rPr>
          <w:color w:val="auto"/>
          <w:sz w:val="24"/>
          <w:szCs w:val="20"/>
          <w:highlight w:val="none"/>
        </w:rPr>
        <w:t xml:space="preserve">  合同条款偏离表</w:t>
      </w:r>
      <w:bookmarkEnd w:id="885"/>
      <w:bookmarkEnd w:id="886"/>
      <w:bookmarkEnd w:id="887"/>
      <w:bookmarkEnd w:id="888"/>
      <w:bookmarkEnd w:id="889"/>
      <w:bookmarkEnd w:id="890"/>
      <w:bookmarkEnd w:id="891"/>
      <w:bookmarkEnd w:id="892"/>
      <w:bookmarkEnd w:id="893"/>
      <w:bookmarkEnd w:id="894"/>
      <w:bookmarkEnd w:id="895"/>
      <w:bookmarkEnd w:id="896"/>
      <w:bookmarkEnd w:id="897"/>
      <w:r>
        <w:rPr>
          <w:rFonts w:hint="eastAsia"/>
          <w:color w:val="auto"/>
          <w:sz w:val="24"/>
          <w:szCs w:val="20"/>
          <w:highlight w:val="none"/>
          <w:lang w:val="en-US" w:eastAsia="zh-CN"/>
        </w:rPr>
        <w:t xml:space="preserve"> </w:t>
      </w:r>
    </w:p>
    <w:p w14:paraId="01A895B4">
      <w:pPr>
        <w:spacing w:line="360" w:lineRule="auto"/>
        <w:outlineLvl w:val="9"/>
        <w:rPr>
          <w:color w:val="auto"/>
          <w:sz w:val="24"/>
          <w:szCs w:val="20"/>
          <w:highlight w:val="none"/>
        </w:rPr>
      </w:pPr>
    </w:p>
    <w:p w14:paraId="0E7ECC95">
      <w:pPr>
        <w:tabs>
          <w:tab w:val="left" w:pos="2775"/>
          <w:tab w:val="center" w:pos="4153"/>
        </w:tabs>
        <w:spacing w:line="360" w:lineRule="auto"/>
        <w:jc w:val="center"/>
        <w:outlineLvl w:val="9"/>
        <w:rPr>
          <w:b/>
          <w:color w:val="auto"/>
          <w:sz w:val="36"/>
          <w:szCs w:val="36"/>
          <w:highlight w:val="none"/>
        </w:rPr>
      </w:pPr>
      <w:r>
        <w:rPr>
          <w:rFonts w:hint="eastAsia"/>
          <w:b/>
          <w:color w:val="auto"/>
          <w:sz w:val="36"/>
          <w:szCs w:val="36"/>
          <w:highlight w:val="none"/>
        </w:rPr>
        <w:t>合同条款偏离表</w:t>
      </w:r>
    </w:p>
    <w:p w14:paraId="21DFD3E8">
      <w:pPr>
        <w:spacing w:line="360" w:lineRule="auto"/>
        <w:outlineLvl w:val="9"/>
        <w:rPr>
          <w:color w:val="auto"/>
          <w:sz w:val="24"/>
          <w:szCs w:val="20"/>
          <w:highlight w:val="none"/>
        </w:rPr>
      </w:pPr>
    </w:p>
    <w:p w14:paraId="52762FA9">
      <w:pPr>
        <w:tabs>
          <w:tab w:val="left" w:pos="1800"/>
          <w:tab w:val="left" w:pos="5580"/>
        </w:tabs>
        <w:spacing w:line="360" w:lineRule="auto"/>
        <w:ind w:firstLine="360"/>
        <w:jc w:val="left"/>
        <w:outlineLvl w:val="9"/>
        <w:rPr>
          <w:color w:val="auto"/>
          <w:sz w:val="24"/>
          <w:highlight w:val="none"/>
        </w:rPr>
      </w:pPr>
      <w:r>
        <w:rPr>
          <w:color w:val="auto"/>
          <w:sz w:val="24"/>
          <w:highlight w:val="none"/>
        </w:rPr>
        <w:t>项目编号：_____________________     项目名称：_____________</w:t>
      </w:r>
    </w:p>
    <w:tbl>
      <w:tblPr>
        <w:tblStyle w:val="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32"/>
        <w:gridCol w:w="1290"/>
        <w:gridCol w:w="1980"/>
        <w:gridCol w:w="1981"/>
        <w:gridCol w:w="2423"/>
        <w:gridCol w:w="782"/>
      </w:tblGrid>
      <w:tr w14:paraId="49DBAA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288" w:type="dxa"/>
            <w:gridSpan w:val="6"/>
            <w:noWrap w:val="0"/>
            <w:vAlign w:val="center"/>
          </w:tcPr>
          <w:p w14:paraId="3E3F58C7">
            <w:pPr>
              <w:jc w:val="left"/>
              <w:outlineLvl w:val="9"/>
              <w:rPr>
                <w:b/>
                <w:color w:val="auto"/>
                <w:sz w:val="24"/>
                <w:highlight w:val="none"/>
              </w:rPr>
            </w:pPr>
            <w:r>
              <w:rPr>
                <w:b/>
                <w:color w:val="auto"/>
                <w:sz w:val="24"/>
                <w:highlight w:val="none"/>
              </w:rPr>
              <w:t>对本</w:t>
            </w:r>
            <w:r>
              <w:rPr>
                <w:rFonts w:hint="eastAsia"/>
                <w:b/>
                <w:color w:val="auto"/>
                <w:sz w:val="24"/>
                <w:highlight w:val="none"/>
              </w:rPr>
              <w:t>项目</w:t>
            </w:r>
            <w:r>
              <w:rPr>
                <w:b/>
                <w:color w:val="auto"/>
                <w:sz w:val="24"/>
                <w:highlight w:val="none"/>
              </w:rPr>
              <w:t>合同条款的偏离情况（请进行勾选）：</w:t>
            </w:r>
          </w:p>
          <w:p w14:paraId="0333AA9D">
            <w:pPr>
              <w:jc w:val="left"/>
              <w:outlineLvl w:val="9"/>
              <w:rPr>
                <w:b/>
                <w:color w:val="auto"/>
                <w:sz w:val="24"/>
                <w:highlight w:val="none"/>
              </w:rPr>
            </w:pPr>
            <w:r>
              <w:rPr>
                <w:b/>
                <w:color w:val="auto"/>
                <w:sz w:val="24"/>
                <w:highlight w:val="none"/>
              </w:rPr>
              <w:t>□无偏离</w:t>
            </w:r>
            <w:r>
              <w:rPr>
                <w:color w:val="auto"/>
                <w:sz w:val="24"/>
                <w:highlight w:val="none"/>
              </w:rPr>
              <w:t>（</w:t>
            </w:r>
            <w:r>
              <w:rPr>
                <w:color w:val="auto"/>
                <w:sz w:val="24"/>
                <w:szCs w:val="21"/>
                <w:highlight w:val="none"/>
              </w:rPr>
              <w:t>如无偏离，仅勾选无偏离即可</w:t>
            </w:r>
            <w:r>
              <w:rPr>
                <w:color w:val="auto"/>
                <w:sz w:val="24"/>
                <w:highlight w:val="none"/>
              </w:rPr>
              <w:t>）</w:t>
            </w:r>
          </w:p>
          <w:p w14:paraId="25902378">
            <w:pPr>
              <w:jc w:val="left"/>
              <w:outlineLvl w:val="9"/>
              <w:rPr>
                <w:color w:val="auto"/>
                <w:sz w:val="24"/>
                <w:highlight w:val="none"/>
              </w:rPr>
            </w:pPr>
            <w:r>
              <w:rPr>
                <w:b/>
                <w:color w:val="auto"/>
                <w:sz w:val="24"/>
                <w:highlight w:val="none"/>
              </w:rPr>
              <w:t>□有偏离</w:t>
            </w:r>
            <w:r>
              <w:rPr>
                <w:color w:val="auto"/>
                <w:sz w:val="24"/>
                <w:highlight w:val="none"/>
              </w:rPr>
              <w:t>（</w:t>
            </w:r>
            <w:r>
              <w:rPr>
                <w:color w:val="auto"/>
                <w:sz w:val="24"/>
                <w:szCs w:val="21"/>
                <w:highlight w:val="none"/>
              </w:rPr>
              <w:t>如有偏离，</w:t>
            </w:r>
            <w:r>
              <w:rPr>
                <w:color w:val="auto"/>
                <w:sz w:val="24"/>
                <w:highlight w:val="none"/>
              </w:rPr>
              <w:t>则</w:t>
            </w:r>
            <w:r>
              <w:rPr>
                <w:rFonts w:hint="eastAsia"/>
                <w:color w:val="auto"/>
                <w:sz w:val="24"/>
                <w:highlight w:val="none"/>
              </w:rPr>
              <w:t>应</w:t>
            </w:r>
            <w:r>
              <w:rPr>
                <w:color w:val="auto"/>
                <w:sz w:val="24"/>
                <w:highlight w:val="none"/>
              </w:rPr>
              <w:t>在本表中对偏离项逐一列明）</w:t>
            </w:r>
          </w:p>
        </w:tc>
      </w:tr>
      <w:tr w14:paraId="43A60C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2" w:type="dxa"/>
            <w:noWrap w:val="0"/>
            <w:vAlign w:val="center"/>
          </w:tcPr>
          <w:p w14:paraId="01D8297F">
            <w:pPr>
              <w:jc w:val="center"/>
              <w:outlineLvl w:val="9"/>
              <w:rPr>
                <w:color w:val="auto"/>
                <w:sz w:val="24"/>
                <w:highlight w:val="none"/>
              </w:rPr>
            </w:pPr>
            <w:r>
              <w:rPr>
                <w:color w:val="auto"/>
                <w:sz w:val="24"/>
                <w:highlight w:val="none"/>
              </w:rPr>
              <w:t>序号</w:t>
            </w:r>
          </w:p>
        </w:tc>
        <w:tc>
          <w:tcPr>
            <w:tcW w:w="1290" w:type="dxa"/>
            <w:noWrap w:val="0"/>
            <w:vAlign w:val="center"/>
          </w:tcPr>
          <w:p w14:paraId="2268FBD5">
            <w:pPr>
              <w:jc w:val="center"/>
              <w:outlineLvl w:val="9"/>
              <w:rPr>
                <w:color w:val="auto"/>
                <w:sz w:val="24"/>
                <w:highlight w:val="none"/>
              </w:rPr>
            </w:pPr>
            <w:r>
              <w:rPr>
                <w:color w:val="auto"/>
                <w:sz w:val="24"/>
                <w:szCs w:val="21"/>
                <w:highlight w:val="none"/>
              </w:rPr>
              <w:t>招标文件</w:t>
            </w:r>
            <w:r>
              <w:rPr>
                <w:color w:val="auto"/>
                <w:sz w:val="24"/>
                <w:highlight w:val="none"/>
              </w:rPr>
              <w:t>条目号（页码）</w:t>
            </w:r>
          </w:p>
        </w:tc>
        <w:tc>
          <w:tcPr>
            <w:tcW w:w="1980" w:type="dxa"/>
            <w:noWrap w:val="0"/>
            <w:vAlign w:val="center"/>
          </w:tcPr>
          <w:p w14:paraId="58883B5C">
            <w:pPr>
              <w:jc w:val="center"/>
              <w:outlineLvl w:val="9"/>
              <w:rPr>
                <w:color w:val="auto"/>
                <w:sz w:val="24"/>
                <w:highlight w:val="none"/>
              </w:rPr>
            </w:pPr>
            <w:r>
              <w:rPr>
                <w:color w:val="auto"/>
                <w:sz w:val="24"/>
                <w:szCs w:val="21"/>
                <w:highlight w:val="none"/>
              </w:rPr>
              <w:t>招标文件</w:t>
            </w:r>
            <w:r>
              <w:rPr>
                <w:color w:val="auto"/>
                <w:sz w:val="24"/>
                <w:highlight w:val="none"/>
              </w:rPr>
              <w:t>要求</w:t>
            </w:r>
          </w:p>
        </w:tc>
        <w:tc>
          <w:tcPr>
            <w:tcW w:w="1981" w:type="dxa"/>
            <w:noWrap w:val="0"/>
            <w:vAlign w:val="center"/>
          </w:tcPr>
          <w:p w14:paraId="12440427">
            <w:pPr>
              <w:jc w:val="center"/>
              <w:outlineLvl w:val="9"/>
              <w:rPr>
                <w:color w:val="auto"/>
                <w:sz w:val="24"/>
                <w:highlight w:val="none"/>
              </w:rPr>
            </w:pPr>
            <w:r>
              <w:rPr>
                <w:color w:val="auto"/>
                <w:sz w:val="24"/>
                <w:highlight w:val="none"/>
              </w:rPr>
              <w:t>投标文件内容</w:t>
            </w:r>
          </w:p>
        </w:tc>
        <w:tc>
          <w:tcPr>
            <w:tcW w:w="2423" w:type="dxa"/>
            <w:noWrap w:val="0"/>
            <w:vAlign w:val="center"/>
          </w:tcPr>
          <w:p w14:paraId="6B86198A">
            <w:pPr>
              <w:jc w:val="center"/>
              <w:outlineLvl w:val="9"/>
              <w:rPr>
                <w:color w:val="auto"/>
                <w:sz w:val="24"/>
                <w:highlight w:val="none"/>
              </w:rPr>
            </w:pPr>
            <w:r>
              <w:rPr>
                <w:color w:val="auto"/>
                <w:sz w:val="24"/>
                <w:highlight w:val="none"/>
              </w:rPr>
              <w:t>偏离情况</w:t>
            </w:r>
          </w:p>
        </w:tc>
        <w:tc>
          <w:tcPr>
            <w:tcW w:w="782" w:type="dxa"/>
            <w:noWrap w:val="0"/>
            <w:vAlign w:val="center"/>
          </w:tcPr>
          <w:p w14:paraId="6C8A4223">
            <w:pPr>
              <w:jc w:val="center"/>
              <w:outlineLvl w:val="9"/>
              <w:rPr>
                <w:color w:val="auto"/>
                <w:sz w:val="24"/>
                <w:highlight w:val="none"/>
              </w:rPr>
            </w:pPr>
            <w:r>
              <w:rPr>
                <w:color w:val="auto"/>
                <w:sz w:val="24"/>
                <w:highlight w:val="none"/>
              </w:rPr>
              <w:t>说明</w:t>
            </w:r>
          </w:p>
        </w:tc>
      </w:tr>
      <w:tr w14:paraId="1EE135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2" w:type="dxa"/>
            <w:noWrap w:val="0"/>
            <w:vAlign w:val="center"/>
          </w:tcPr>
          <w:p w14:paraId="77AC6921">
            <w:pPr>
              <w:jc w:val="center"/>
              <w:outlineLvl w:val="9"/>
              <w:rPr>
                <w:color w:val="auto"/>
                <w:sz w:val="24"/>
                <w:highlight w:val="none"/>
              </w:rPr>
            </w:pPr>
          </w:p>
        </w:tc>
        <w:tc>
          <w:tcPr>
            <w:tcW w:w="1290" w:type="dxa"/>
            <w:noWrap w:val="0"/>
            <w:vAlign w:val="center"/>
          </w:tcPr>
          <w:p w14:paraId="40FC1F51">
            <w:pPr>
              <w:jc w:val="center"/>
              <w:outlineLvl w:val="9"/>
              <w:rPr>
                <w:color w:val="auto"/>
                <w:sz w:val="24"/>
                <w:highlight w:val="none"/>
              </w:rPr>
            </w:pPr>
          </w:p>
        </w:tc>
        <w:tc>
          <w:tcPr>
            <w:tcW w:w="1980" w:type="dxa"/>
            <w:noWrap w:val="0"/>
            <w:vAlign w:val="center"/>
          </w:tcPr>
          <w:p w14:paraId="0CC84D1C">
            <w:pPr>
              <w:jc w:val="center"/>
              <w:outlineLvl w:val="9"/>
              <w:rPr>
                <w:color w:val="auto"/>
                <w:sz w:val="24"/>
                <w:highlight w:val="none"/>
              </w:rPr>
            </w:pPr>
          </w:p>
        </w:tc>
        <w:tc>
          <w:tcPr>
            <w:tcW w:w="1981" w:type="dxa"/>
            <w:noWrap w:val="0"/>
            <w:vAlign w:val="center"/>
          </w:tcPr>
          <w:p w14:paraId="4DAF28AB">
            <w:pPr>
              <w:jc w:val="center"/>
              <w:outlineLvl w:val="9"/>
              <w:rPr>
                <w:color w:val="auto"/>
                <w:sz w:val="24"/>
                <w:highlight w:val="none"/>
              </w:rPr>
            </w:pPr>
          </w:p>
        </w:tc>
        <w:tc>
          <w:tcPr>
            <w:tcW w:w="2423" w:type="dxa"/>
            <w:noWrap w:val="0"/>
            <w:vAlign w:val="center"/>
          </w:tcPr>
          <w:p w14:paraId="365226E4">
            <w:pPr>
              <w:jc w:val="center"/>
              <w:outlineLvl w:val="9"/>
              <w:rPr>
                <w:color w:val="auto"/>
                <w:sz w:val="24"/>
                <w:highlight w:val="none"/>
              </w:rPr>
            </w:pPr>
          </w:p>
        </w:tc>
        <w:tc>
          <w:tcPr>
            <w:tcW w:w="782" w:type="dxa"/>
            <w:noWrap w:val="0"/>
            <w:vAlign w:val="center"/>
          </w:tcPr>
          <w:p w14:paraId="6739B198">
            <w:pPr>
              <w:jc w:val="center"/>
              <w:outlineLvl w:val="9"/>
              <w:rPr>
                <w:color w:val="auto"/>
                <w:sz w:val="24"/>
                <w:highlight w:val="none"/>
              </w:rPr>
            </w:pPr>
          </w:p>
        </w:tc>
      </w:tr>
      <w:tr w14:paraId="5E567E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2" w:type="dxa"/>
            <w:noWrap w:val="0"/>
            <w:vAlign w:val="center"/>
          </w:tcPr>
          <w:p w14:paraId="494AEB56">
            <w:pPr>
              <w:jc w:val="center"/>
              <w:outlineLvl w:val="9"/>
              <w:rPr>
                <w:color w:val="auto"/>
                <w:sz w:val="24"/>
                <w:highlight w:val="none"/>
              </w:rPr>
            </w:pPr>
          </w:p>
        </w:tc>
        <w:tc>
          <w:tcPr>
            <w:tcW w:w="1290" w:type="dxa"/>
            <w:noWrap w:val="0"/>
            <w:vAlign w:val="center"/>
          </w:tcPr>
          <w:p w14:paraId="57474476">
            <w:pPr>
              <w:jc w:val="center"/>
              <w:outlineLvl w:val="9"/>
              <w:rPr>
                <w:color w:val="auto"/>
                <w:sz w:val="24"/>
                <w:highlight w:val="none"/>
              </w:rPr>
            </w:pPr>
          </w:p>
        </w:tc>
        <w:tc>
          <w:tcPr>
            <w:tcW w:w="1980" w:type="dxa"/>
            <w:noWrap w:val="0"/>
            <w:vAlign w:val="center"/>
          </w:tcPr>
          <w:p w14:paraId="143F249B">
            <w:pPr>
              <w:jc w:val="center"/>
              <w:outlineLvl w:val="9"/>
              <w:rPr>
                <w:color w:val="auto"/>
                <w:sz w:val="24"/>
                <w:highlight w:val="none"/>
              </w:rPr>
            </w:pPr>
          </w:p>
        </w:tc>
        <w:tc>
          <w:tcPr>
            <w:tcW w:w="1981" w:type="dxa"/>
            <w:noWrap w:val="0"/>
            <w:vAlign w:val="center"/>
          </w:tcPr>
          <w:p w14:paraId="4627AB70">
            <w:pPr>
              <w:jc w:val="center"/>
              <w:outlineLvl w:val="9"/>
              <w:rPr>
                <w:color w:val="auto"/>
                <w:sz w:val="24"/>
                <w:highlight w:val="none"/>
              </w:rPr>
            </w:pPr>
          </w:p>
        </w:tc>
        <w:tc>
          <w:tcPr>
            <w:tcW w:w="2423" w:type="dxa"/>
            <w:noWrap w:val="0"/>
            <w:vAlign w:val="center"/>
          </w:tcPr>
          <w:p w14:paraId="1B66BB28">
            <w:pPr>
              <w:jc w:val="center"/>
              <w:outlineLvl w:val="9"/>
              <w:rPr>
                <w:color w:val="auto"/>
                <w:sz w:val="24"/>
                <w:highlight w:val="none"/>
              </w:rPr>
            </w:pPr>
          </w:p>
        </w:tc>
        <w:tc>
          <w:tcPr>
            <w:tcW w:w="782" w:type="dxa"/>
            <w:noWrap w:val="0"/>
            <w:vAlign w:val="center"/>
          </w:tcPr>
          <w:p w14:paraId="526CEAA4">
            <w:pPr>
              <w:jc w:val="center"/>
              <w:outlineLvl w:val="9"/>
              <w:rPr>
                <w:color w:val="auto"/>
                <w:sz w:val="24"/>
                <w:highlight w:val="none"/>
              </w:rPr>
            </w:pPr>
          </w:p>
        </w:tc>
      </w:tr>
      <w:tr w14:paraId="60D3FA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2" w:type="dxa"/>
            <w:noWrap w:val="0"/>
            <w:vAlign w:val="center"/>
          </w:tcPr>
          <w:p w14:paraId="48A50FBE">
            <w:pPr>
              <w:jc w:val="center"/>
              <w:outlineLvl w:val="9"/>
              <w:rPr>
                <w:color w:val="auto"/>
                <w:sz w:val="24"/>
                <w:highlight w:val="none"/>
              </w:rPr>
            </w:pPr>
          </w:p>
        </w:tc>
        <w:tc>
          <w:tcPr>
            <w:tcW w:w="1290" w:type="dxa"/>
            <w:noWrap w:val="0"/>
            <w:vAlign w:val="center"/>
          </w:tcPr>
          <w:p w14:paraId="4E08FE90">
            <w:pPr>
              <w:jc w:val="center"/>
              <w:outlineLvl w:val="9"/>
              <w:rPr>
                <w:color w:val="auto"/>
                <w:sz w:val="24"/>
                <w:highlight w:val="none"/>
              </w:rPr>
            </w:pPr>
          </w:p>
        </w:tc>
        <w:tc>
          <w:tcPr>
            <w:tcW w:w="1980" w:type="dxa"/>
            <w:noWrap w:val="0"/>
            <w:vAlign w:val="center"/>
          </w:tcPr>
          <w:p w14:paraId="74290AC6">
            <w:pPr>
              <w:jc w:val="center"/>
              <w:outlineLvl w:val="9"/>
              <w:rPr>
                <w:color w:val="auto"/>
                <w:sz w:val="24"/>
                <w:highlight w:val="none"/>
              </w:rPr>
            </w:pPr>
          </w:p>
        </w:tc>
        <w:tc>
          <w:tcPr>
            <w:tcW w:w="1981" w:type="dxa"/>
            <w:noWrap w:val="0"/>
            <w:vAlign w:val="center"/>
          </w:tcPr>
          <w:p w14:paraId="50493B38">
            <w:pPr>
              <w:jc w:val="center"/>
              <w:outlineLvl w:val="9"/>
              <w:rPr>
                <w:color w:val="auto"/>
                <w:sz w:val="24"/>
                <w:highlight w:val="none"/>
              </w:rPr>
            </w:pPr>
          </w:p>
        </w:tc>
        <w:tc>
          <w:tcPr>
            <w:tcW w:w="2423" w:type="dxa"/>
            <w:noWrap w:val="0"/>
            <w:vAlign w:val="center"/>
          </w:tcPr>
          <w:p w14:paraId="46FF6BD1">
            <w:pPr>
              <w:jc w:val="center"/>
              <w:outlineLvl w:val="9"/>
              <w:rPr>
                <w:color w:val="auto"/>
                <w:sz w:val="24"/>
                <w:highlight w:val="none"/>
              </w:rPr>
            </w:pPr>
          </w:p>
        </w:tc>
        <w:tc>
          <w:tcPr>
            <w:tcW w:w="782" w:type="dxa"/>
            <w:noWrap w:val="0"/>
            <w:vAlign w:val="center"/>
          </w:tcPr>
          <w:p w14:paraId="7FFE895E">
            <w:pPr>
              <w:jc w:val="center"/>
              <w:outlineLvl w:val="9"/>
              <w:rPr>
                <w:color w:val="auto"/>
                <w:sz w:val="24"/>
                <w:highlight w:val="none"/>
              </w:rPr>
            </w:pPr>
          </w:p>
        </w:tc>
      </w:tr>
      <w:tr w14:paraId="7FCCD3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2" w:type="dxa"/>
            <w:noWrap w:val="0"/>
            <w:vAlign w:val="center"/>
          </w:tcPr>
          <w:p w14:paraId="7B4EBA1A">
            <w:pPr>
              <w:jc w:val="center"/>
              <w:outlineLvl w:val="9"/>
              <w:rPr>
                <w:color w:val="auto"/>
                <w:sz w:val="24"/>
                <w:highlight w:val="none"/>
              </w:rPr>
            </w:pPr>
            <w:r>
              <w:rPr>
                <w:color w:val="auto"/>
                <w:sz w:val="24"/>
                <w:highlight w:val="none"/>
              </w:rPr>
              <w:t>……</w:t>
            </w:r>
          </w:p>
        </w:tc>
        <w:tc>
          <w:tcPr>
            <w:tcW w:w="1290" w:type="dxa"/>
            <w:noWrap w:val="0"/>
            <w:vAlign w:val="center"/>
          </w:tcPr>
          <w:p w14:paraId="69928ABB">
            <w:pPr>
              <w:jc w:val="center"/>
              <w:outlineLvl w:val="9"/>
              <w:rPr>
                <w:color w:val="auto"/>
                <w:sz w:val="24"/>
                <w:highlight w:val="none"/>
              </w:rPr>
            </w:pPr>
          </w:p>
        </w:tc>
        <w:tc>
          <w:tcPr>
            <w:tcW w:w="1980" w:type="dxa"/>
            <w:noWrap w:val="0"/>
            <w:vAlign w:val="center"/>
          </w:tcPr>
          <w:p w14:paraId="3F4AB30D">
            <w:pPr>
              <w:jc w:val="center"/>
              <w:outlineLvl w:val="9"/>
              <w:rPr>
                <w:color w:val="auto"/>
                <w:sz w:val="24"/>
                <w:highlight w:val="none"/>
              </w:rPr>
            </w:pPr>
          </w:p>
        </w:tc>
        <w:tc>
          <w:tcPr>
            <w:tcW w:w="1981" w:type="dxa"/>
            <w:noWrap w:val="0"/>
            <w:vAlign w:val="center"/>
          </w:tcPr>
          <w:p w14:paraId="7B423EF4">
            <w:pPr>
              <w:jc w:val="center"/>
              <w:outlineLvl w:val="9"/>
              <w:rPr>
                <w:color w:val="auto"/>
                <w:sz w:val="24"/>
                <w:highlight w:val="none"/>
              </w:rPr>
            </w:pPr>
          </w:p>
        </w:tc>
        <w:tc>
          <w:tcPr>
            <w:tcW w:w="2423" w:type="dxa"/>
            <w:noWrap w:val="0"/>
            <w:vAlign w:val="center"/>
          </w:tcPr>
          <w:p w14:paraId="05649513">
            <w:pPr>
              <w:jc w:val="center"/>
              <w:outlineLvl w:val="9"/>
              <w:rPr>
                <w:color w:val="auto"/>
                <w:sz w:val="24"/>
                <w:highlight w:val="none"/>
              </w:rPr>
            </w:pPr>
          </w:p>
        </w:tc>
        <w:tc>
          <w:tcPr>
            <w:tcW w:w="782" w:type="dxa"/>
            <w:noWrap w:val="0"/>
            <w:vAlign w:val="center"/>
          </w:tcPr>
          <w:p w14:paraId="486C1DA1">
            <w:pPr>
              <w:jc w:val="center"/>
              <w:outlineLvl w:val="9"/>
              <w:rPr>
                <w:color w:val="auto"/>
                <w:sz w:val="24"/>
                <w:highlight w:val="none"/>
              </w:rPr>
            </w:pPr>
          </w:p>
        </w:tc>
      </w:tr>
    </w:tbl>
    <w:p w14:paraId="71357631">
      <w:pPr>
        <w:tabs>
          <w:tab w:val="left" w:pos="1800"/>
          <w:tab w:val="left" w:pos="5580"/>
        </w:tabs>
        <w:jc w:val="left"/>
        <w:outlineLvl w:val="9"/>
        <w:rPr>
          <w:color w:val="auto"/>
          <w:sz w:val="24"/>
          <w:highlight w:val="none"/>
        </w:rPr>
      </w:pPr>
    </w:p>
    <w:p w14:paraId="299B3891">
      <w:pPr>
        <w:tabs>
          <w:tab w:val="left" w:pos="1800"/>
          <w:tab w:val="left" w:pos="5580"/>
        </w:tabs>
        <w:jc w:val="left"/>
        <w:outlineLvl w:val="9"/>
        <w:rPr>
          <w:color w:val="auto"/>
          <w:sz w:val="24"/>
          <w:highlight w:val="none"/>
        </w:rPr>
      </w:pPr>
      <w:r>
        <w:rPr>
          <w:color w:val="auto"/>
          <w:sz w:val="24"/>
          <w:highlight w:val="none"/>
        </w:rPr>
        <w:t>注：</w:t>
      </w:r>
    </w:p>
    <w:p w14:paraId="05F97A4F">
      <w:pPr>
        <w:tabs>
          <w:tab w:val="left" w:pos="1800"/>
          <w:tab w:val="left" w:pos="5580"/>
        </w:tabs>
        <w:jc w:val="left"/>
        <w:outlineLvl w:val="9"/>
        <w:rPr>
          <w:color w:val="auto"/>
          <w:sz w:val="24"/>
          <w:highlight w:val="none"/>
        </w:rPr>
      </w:pPr>
      <w:r>
        <w:rPr>
          <w:rFonts w:hint="eastAsia"/>
          <w:color w:val="auto"/>
          <w:sz w:val="24"/>
          <w:highlight w:val="none"/>
        </w:rPr>
        <w:t>1</w:t>
      </w:r>
      <w:r>
        <w:rPr>
          <w:color w:val="auto"/>
          <w:sz w:val="24"/>
          <w:highlight w:val="none"/>
        </w:rPr>
        <w:t>. 对合同条款中的所有要求，除本表所列明的所有偏离外，均视作</w:t>
      </w:r>
      <w:r>
        <w:rPr>
          <w:rFonts w:hint="eastAsia"/>
          <w:color w:val="auto"/>
          <w:sz w:val="24"/>
          <w:highlight w:val="none"/>
          <w:lang w:val="en-US" w:eastAsia="zh-CN"/>
        </w:rPr>
        <w:t>投标人</w:t>
      </w:r>
      <w:r>
        <w:rPr>
          <w:color w:val="auto"/>
          <w:sz w:val="24"/>
          <w:highlight w:val="none"/>
        </w:rPr>
        <w:t>已对之理解和</w:t>
      </w:r>
      <w:r>
        <w:rPr>
          <w:rFonts w:hint="eastAsia"/>
          <w:color w:val="auto"/>
          <w:sz w:val="24"/>
          <w:highlight w:val="none"/>
        </w:rPr>
        <w:t>响应</w:t>
      </w:r>
      <w:r>
        <w:rPr>
          <w:color w:val="auto"/>
          <w:sz w:val="24"/>
          <w:highlight w:val="none"/>
        </w:rPr>
        <w:t>。</w:t>
      </w:r>
    </w:p>
    <w:p w14:paraId="7B5C6821">
      <w:pPr>
        <w:tabs>
          <w:tab w:val="left" w:pos="1800"/>
          <w:tab w:val="left" w:pos="5580"/>
        </w:tabs>
        <w:jc w:val="left"/>
        <w:outlineLvl w:val="9"/>
        <w:rPr>
          <w:color w:val="auto"/>
          <w:sz w:val="24"/>
          <w:highlight w:val="none"/>
        </w:rPr>
      </w:pPr>
      <w:r>
        <w:rPr>
          <w:rFonts w:hint="eastAsia"/>
          <w:color w:val="auto"/>
          <w:sz w:val="24"/>
          <w:highlight w:val="none"/>
        </w:rPr>
        <w:t>2</w:t>
      </w:r>
      <w:r>
        <w:rPr>
          <w:color w:val="auto"/>
          <w:sz w:val="24"/>
          <w:highlight w:val="none"/>
        </w:rPr>
        <w:t xml:space="preserve">. </w:t>
      </w:r>
      <w:r>
        <w:rPr>
          <w:rFonts w:hint="eastAsia"/>
          <w:color w:val="auto"/>
          <w:sz w:val="24"/>
          <w:highlight w:val="none"/>
        </w:rPr>
        <w:t>“偏离情况”列应</w:t>
      </w:r>
      <w:r>
        <w:rPr>
          <w:color w:val="auto"/>
          <w:sz w:val="24"/>
          <w:highlight w:val="none"/>
        </w:rPr>
        <w:t>据实</w:t>
      </w:r>
      <w:r>
        <w:rPr>
          <w:rFonts w:hint="eastAsia"/>
          <w:color w:val="auto"/>
          <w:sz w:val="24"/>
          <w:highlight w:val="none"/>
        </w:rPr>
        <w:t>填写“正偏离”或“负偏离”。</w:t>
      </w:r>
    </w:p>
    <w:p w14:paraId="241E92BF">
      <w:pPr>
        <w:spacing w:line="360" w:lineRule="auto"/>
        <w:outlineLvl w:val="9"/>
        <w:rPr>
          <w:color w:val="auto"/>
          <w:sz w:val="24"/>
          <w:szCs w:val="20"/>
          <w:highlight w:val="none"/>
        </w:rPr>
      </w:pPr>
    </w:p>
    <w:p w14:paraId="7A634B1C">
      <w:pPr>
        <w:spacing w:before="25" w:after="25" w:line="360" w:lineRule="auto"/>
        <w:outlineLvl w:val="9"/>
        <w:rPr>
          <w:color w:val="auto"/>
          <w:sz w:val="24"/>
          <w:highlight w:val="none"/>
          <w:lang w:val="zh-CN"/>
        </w:rPr>
      </w:pPr>
      <w:r>
        <w:rPr>
          <w:color w:val="auto"/>
          <w:sz w:val="24"/>
          <w:highlight w:val="none"/>
          <w:lang w:val="zh-CN"/>
        </w:rPr>
        <w:t xml:space="preserve">                      </w:t>
      </w:r>
    </w:p>
    <w:p w14:paraId="678882AA">
      <w:pPr>
        <w:spacing w:before="25" w:after="25" w:line="360" w:lineRule="auto"/>
        <w:outlineLvl w:val="9"/>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5CF5F2EE">
      <w:pPr>
        <w:spacing w:before="25" w:after="25" w:line="360" w:lineRule="auto"/>
        <w:outlineLvl w:val="9"/>
        <w:rPr>
          <w:color w:val="auto"/>
          <w:sz w:val="24"/>
          <w:highlight w:val="none"/>
          <w:lang w:val="zh-CN"/>
        </w:rPr>
      </w:pPr>
      <w:r>
        <w:rPr>
          <w:color w:val="auto"/>
          <w:sz w:val="24"/>
          <w:szCs w:val="20"/>
          <w:highlight w:val="none"/>
        </w:rPr>
        <w:t xml:space="preserve">日期：_____年______月______日   </w:t>
      </w:r>
    </w:p>
    <w:p w14:paraId="0AF10297">
      <w:pPr>
        <w:spacing w:line="360" w:lineRule="auto"/>
        <w:outlineLvl w:val="9"/>
        <w:rPr>
          <w:rFonts w:hint="eastAsia" w:eastAsia="宋体"/>
          <w:color w:val="auto"/>
          <w:sz w:val="24"/>
          <w:szCs w:val="20"/>
          <w:highlight w:val="none"/>
          <w:lang w:val="en-US" w:eastAsia="zh-CN"/>
        </w:rPr>
      </w:pPr>
      <w:r>
        <w:rPr>
          <w:color w:val="auto"/>
          <w:sz w:val="24"/>
          <w:szCs w:val="20"/>
          <w:highlight w:val="none"/>
        </w:rPr>
        <w:br w:type="page" w:clear="all"/>
      </w:r>
      <w:r>
        <w:rPr>
          <w:rFonts w:hint="eastAsia"/>
          <w:color w:val="auto"/>
          <w:sz w:val="24"/>
          <w:szCs w:val="20"/>
          <w:highlight w:val="none"/>
          <w:lang w:val="en-US" w:eastAsia="zh-CN"/>
        </w:rPr>
        <w:t>7</w:t>
      </w:r>
      <w:r>
        <w:rPr>
          <w:color w:val="auto"/>
          <w:sz w:val="24"/>
          <w:szCs w:val="20"/>
          <w:highlight w:val="none"/>
        </w:rPr>
        <w:t xml:space="preserve"> </w:t>
      </w:r>
      <w:bookmarkEnd w:id="898"/>
      <w:bookmarkEnd w:id="899"/>
      <w:bookmarkEnd w:id="900"/>
      <w:bookmarkEnd w:id="901"/>
      <w:bookmarkEnd w:id="902"/>
      <w:bookmarkEnd w:id="903"/>
      <w:bookmarkEnd w:id="904"/>
      <w:bookmarkEnd w:id="905"/>
      <w:bookmarkEnd w:id="906"/>
      <w:bookmarkEnd w:id="907"/>
      <w:bookmarkEnd w:id="908"/>
      <w:bookmarkEnd w:id="909"/>
      <w:bookmarkEnd w:id="910"/>
      <w:r>
        <w:rPr>
          <w:color w:val="auto"/>
          <w:sz w:val="24"/>
          <w:szCs w:val="20"/>
          <w:highlight w:val="none"/>
        </w:rPr>
        <w:t>采购需求偏离表</w:t>
      </w:r>
      <w:r>
        <w:rPr>
          <w:rFonts w:hint="eastAsia"/>
          <w:color w:val="auto"/>
          <w:sz w:val="24"/>
          <w:szCs w:val="20"/>
          <w:highlight w:val="none"/>
          <w:lang w:val="en-US" w:eastAsia="zh-CN"/>
        </w:rPr>
        <w:t xml:space="preserve"> </w:t>
      </w:r>
    </w:p>
    <w:p w14:paraId="300FF91A">
      <w:pPr>
        <w:spacing w:line="360" w:lineRule="auto"/>
        <w:jc w:val="center"/>
        <w:outlineLvl w:val="9"/>
        <w:rPr>
          <w:rFonts w:hint="eastAsia"/>
          <w:b/>
          <w:color w:val="auto"/>
          <w:sz w:val="36"/>
          <w:szCs w:val="36"/>
          <w:highlight w:val="none"/>
        </w:rPr>
      </w:pPr>
    </w:p>
    <w:p w14:paraId="6C4F98A4">
      <w:pPr>
        <w:spacing w:line="360" w:lineRule="auto"/>
        <w:jc w:val="center"/>
        <w:outlineLvl w:val="9"/>
        <w:rPr>
          <w:b/>
          <w:color w:val="auto"/>
          <w:sz w:val="36"/>
          <w:szCs w:val="36"/>
          <w:highlight w:val="none"/>
        </w:rPr>
      </w:pPr>
      <w:r>
        <w:rPr>
          <w:rFonts w:hint="eastAsia"/>
          <w:b/>
          <w:color w:val="auto"/>
          <w:sz w:val="36"/>
          <w:szCs w:val="36"/>
          <w:highlight w:val="none"/>
        </w:rPr>
        <w:t>采购需求偏离表</w:t>
      </w:r>
    </w:p>
    <w:p w14:paraId="5AD0216A">
      <w:pPr>
        <w:tabs>
          <w:tab w:val="left" w:pos="1800"/>
          <w:tab w:val="left" w:pos="5580"/>
        </w:tabs>
        <w:spacing w:line="360" w:lineRule="auto"/>
        <w:ind w:firstLine="360"/>
        <w:jc w:val="left"/>
        <w:outlineLvl w:val="9"/>
        <w:rPr>
          <w:color w:val="auto"/>
          <w:sz w:val="24"/>
          <w:highlight w:val="none"/>
          <w:u w:val="single"/>
        </w:rPr>
      </w:pPr>
      <w:r>
        <w:rPr>
          <w:color w:val="auto"/>
          <w:sz w:val="24"/>
          <w:highlight w:val="none"/>
        </w:rPr>
        <w:t>项目编号：_____________________     项目名称：____________</w:t>
      </w:r>
    </w:p>
    <w:tbl>
      <w:tblPr>
        <w:tblStyle w:val="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5445E9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6524F91F">
            <w:pPr>
              <w:jc w:val="center"/>
              <w:outlineLvl w:val="9"/>
              <w:rPr>
                <w:color w:val="auto"/>
                <w:sz w:val="24"/>
                <w:highlight w:val="none"/>
              </w:rPr>
            </w:pPr>
            <w:r>
              <w:rPr>
                <w:color w:val="auto"/>
                <w:sz w:val="24"/>
                <w:highlight w:val="none"/>
              </w:rPr>
              <w:t>序号</w:t>
            </w:r>
          </w:p>
        </w:tc>
        <w:tc>
          <w:tcPr>
            <w:tcW w:w="1482" w:type="dxa"/>
            <w:noWrap w:val="0"/>
            <w:vAlign w:val="center"/>
          </w:tcPr>
          <w:p w14:paraId="765F5273">
            <w:pPr>
              <w:jc w:val="center"/>
              <w:outlineLvl w:val="9"/>
              <w:rPr>
                <w:color w:val="auto"/>
                <w:sz w:val="24"/>
                <w:highlight w:val="none"/>
              </w:rPr>
            </w:pPr>
            <w:r>
              <w:rPr>
                <w:color w:val="auto"/>
                <w:sz w:val="24"/>
                <w:highlight w:val="none"/>
              </w:rPr>
              <w:t>招标文件条目号(页码)</w:t>
            </w:r>
          </w:p>
        </w:tc>
        <w:tc>
          <w:tcPr>
            <w:tcW w:w="2384" w:type="dxa"/>
            <w:noWrap w:val="0"/>
            <w:vAlign w:val="center"/>
          </w:tcPr>
          <w:p w14:paraId="25317F59">
            <w:pPr>
              <w:jc w:val="center"/>
              <w:outlineLvl w:val="9"/>
              <w:rPr>
                <w:color w:val="auto"/>
                <w:sz w:val="24"/>
                <w:highlight w:val="none"/>
              </w:rPr>
            </w:pPr>
            <w:r>
              <w:rPr>
                <w:color w:val="auto"/>
                <w:sz w:val="24"/>
                <w:highlight w:val="none"/>
              </w:rPr>
              <w:t>招标文件要求</w:t>
            </w:r>
          </w:p>
        </w:tc>
        <w:tc>
          <w:tcPr>
            <w:tcW w:w="2126" w:type="dxa"/>
            <w:noWrap w:val="0"/>
            <w:vAlign w:val="center"/>
          </w:tcPr>
          <w:p w14:paraId="00BFD0EF">
            <w:pPr>
              <w:jc w:val="center"/>
              <w:outlineLvl w:val="9"/>
              <w:rPr>
                <w:color w:val="auto"/>
                <w:sz w:val="24"/>
                <w:highlight w:val="none"/>
              </w:rPr>
            </w:pPr>
            <w:r>
              <w:rPr>
                <w:color w:val="auto"/>
                <w:sz w:val="24"/>
                <w:highlight w:val="none"/>
              </w:rPr>
              <w:t>投标响应内容</w:t>
            </w:r>
          </w:p>
        </w:tc>
        <w:tc>
          <w:tcPr>
            <w:tcW w:w="1875" w:type="dxa"/>
            <w:noWrap w:val="0"/>
            <w:vAlign w:val="center"/>
          </w:tcPr>
          <w:p w14:paraId="4FFA4348">
            <w:pPr>
              <w:jc w:val="center"/>
              <w:outlineLvl w:val="9"/>
              <w:rPr>
                <w:color w:val="auto"/>
                <w:sz w:val="24"/>
                <w:highlight w:val="none"/>
              </w:rPr>
            </w:pPr>
            <w:r>
              <w:rPr>
                <w:color w:val="auto"/>
                <w:sz w:val="24"/>
                <w:highlight w:val="none"/>
              </w:rPr>
              <w:t>偏离情况</w:t>
            </w:r>
          </w:p>
        </w:tc>
        <w:tc>
          <w:tcPr>
            <w:tcW w:w="1009" w:type="dxa"/>
            <w:noWrap w:val="0"/>
            <w:vAlign w:val="center"/>
          </w:tcPr>
          <w:p w14:paraId="2FA89B40">
            <w:pPr>
              <w:jc w:val="center"/>
              <w:outlineLvl w:val="9"/>
              <w:rPr>
                <w:color w:val="auto"/>
                <w:sz w:val="24"/>
                <w:highlight w:val="none"/>
              </w:rPr>
            </w:pPr>
            <w:r>
              <w:rPr>
                <w:color w:val="auto"/>
                <w:sz w:val="24"/>
                <w:highlight w:val="none"/>
              </w:rPr>
              <w:t>说明</w:t>
            </w:r>
          </w:p>
        </w:tc>
      </w:tr>
      <w:tr w14:paraId="09A3E1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77F8C141">
            <w:pPr>
              <w:jc w:val="center"/>
              <w:outlineLvl w:val="9"/>
              <w:rPr>
                <w:color w:val="auto"/>
                <w:sz w:val="24"/>
                <w:highlight w:val="none"/>
              </w:rPr>
            </w:pPr>
          </w:p>
        </w:tc>
        <w:tc>
          <w:tcPr>
            <w:tcW w:w="1482" w:type="dxa"/>
            <w:noWrap w:val="0"/>
            <w:vAlign w:val="center"/>
          </w:tcPr>
          <w:p w14:paraId="2E2E2632">
            <w:pPr>
              <w:jc w:val="center"/>
              <w:outlineLvl w:val="9"/>
              <w:rPr>
                <w:color w:val="auto"/>
                <w:sz w:val="24"/>
                <w:highlight w:val="none"/>
              </w:rPr>
            </w:pPr>
          </w:p>
        </w:tc>
        <w:tc>
          <w:tcPr>
            <w:tcW w:w="2384" w:type="dxa"/>
            <w:noWrap w:val="0"/>
            <w:vAlign w:val="center"/>
          </w:tcPr>
          <w:p w14:paraId="1D4D77E9">
            <w:pPr>
              <w:jc w:val="center"/>
              <w:outlineLvl w:val="9"/>
              <w:rPr>
                <w:color w:val="auto"/>
                <w:sz w:val="24"/>
                <w:highlight w:val="none"/>
              </w:rPr>
            </w:pPr>
          </w:p>
        </w:tc>
        <w:tc>
          <w:tcPr>
            <w:tcW w:w="2126" w:type="dxa"/>
            <w:noWrap w:val="0"/>
            <w:vAlign w:val="center"/>
          </w:tcPr>
          <w:p w14:paraId="4D69D560">
            <w:pPr>
              <w:jc w:val="center"/>
              <w:outlineLvl w:val="9"/>
              <w:rPr>
                <w:color w:val="auto"/>
                <w:sz w:val="24"/>
                <w:highlight w:val="none"/>
              </w:rPr>
            </w:pPr>
          </w:p>
        </w:tc>
        <w:tc>
          <w:tcPr>
            <w:tcW w:w="1875" w:type="dxa"/>
            <w:noWrap w:val="0"/>
            <w:vAlign w:val="center"/>
          </w:tcPr>
          <w:p w14:paraId="3332ABD8">
            <w:pPr>
              <w:jc w:val="center"/>
              <w:outlineLvl w:val="9"/>
              <w:rPr>
                <w:color w:val="auto"/>
                <w:sz w:val="24"/>
                <w:highlight w:val="none"/>
              </w:rPr>
            </w:pPr>
          </w:p>
        </w:tc>
        <w:tc>
          <w:tcPr>
            <w:tcW w:w="1009" w:type="dxa"/>
            <w:noWrap w:val="0"/>
            <w:vAlign w:val="center"/>
          </w:tcPr>
          <w:p w14:paraId="49B0EDC5">
            <w:pPr>
              <w:jc w:val="center"/>
              <w:outlineLvl w:val="9"/>
              <w:rPr>
                <w:color w:val="auto"/>
                <w:sz w:val="24"/>
                <w:highlight w:val="none"/>
              </w:rPr>
            </w:pPr>
          </w:p>
        </w:tc>
      </w:tr>
      <w:tr w14:paraId="7ACC6B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0F40D95">
            <w:pPr>
              <w:jc w:val="center"/>
              <w:outlineLvl w:val="9"/>
              <w:rPr>
                <w:color w:val="auto"/>
                <w:sz w:val="24"/>
                <w:highlight w:val="none"/>
              </w:rPr>
            </w:pPr>
          </w:p>
        </w:tc>
        <w:tc>
          <w:tcPr>
            <w:tcW w:w="1482" w:type="dxa"/>
            <w:noWrap w:val="0"/>
            <w:vAlign w:val="center"/>
          </w:tcPr>
          <w:p w14:paraId="4E1F2BB7">
            <w:pPr>
              <w:jc w:val="center"/>
              <w:outlineLvl w:val="9"/>
              <w:rPr>
                <w:color w:val="auto"/>
                <w:sz w:val="24"/>
                <w:highlight w:val="none"/>
              </w:rPr>
            </w:pPr>
          </w:p>
        </w:tc>
        <w:tc>
          <w:tcPr>
            <w:tcW w:w="2384" w:type="dxa"/>
            <w:noWrap w:val="0"/>
            <w:vAlign w:val="center"/>
          </w:tcPr>
          <w:p w14:paraId="512B84A5">
            <w:pPr>
              <w:jc w:val="center"/>
              <w:outlineLvl w:val="9"/>
              <w:rPr>
                <w:color w:val="auto"/>
                <w:sz w:val="24"/>
                <w:highlight w:val="none"/>
              </w:rPr>
            </w:pPr>
          </w:p>
        </w:tc>
        <w:tc>
          <w:tcPr>
            <w:tcW w:w="2126" w:type="dxa"/>
            <w:noWrap w:val="0"/>
            <w:vAlign w:val="center"/>
          </w:tcPr>
          <w:p w14:paraId="2F3644C7">
            <w:pPr>
              <w:jc w:val="center"/>
              <w:outlineLvl w:val="9"/>
              <w:rPr>
                <w:color w:val="auto"/>
                <w:sz w:val="24"/>
                <w:highlight w:val="none"/>
              </w:rPr>
            </w:pPr>
          </w:p>
        </w:tc>
        <w:tc>
          <w:tcPr>
            <w:tcW w:w="1875" w:type="dxa"/>
            <w:noWrap w:val="0"/>
            <w:vAlign w:val="center"/>
          </w:tcPr>
          <w:p w14:paraId="1A3ACD0D">
            <w:pPr>
              <w:jc w:val="center"/>
              <w:outlineLvl w:val="9"/>
              <w:rPr>
                <w:color w:val="auto"/>
                <w:sz w:val="24"/>
                <w:highlight w:val="none"/>
              </w:rPr>
            </w:pPr>
          </w:p>
        </w:tc>
        <w:tc>
          <w:tcPr>
            <w:tcW w:w="1009" w:type="dxa"/>
            <w:noWrap w:val="0"/>
            <w:vAlign w:val="center"/>
          </w:tcPr>
          <w:p w14:paraId="0A53145B">
            <w:pPr>
              <w:jc w:val="center"/>
              <w:outlineLvl w:val="9"/>
              <w:rPr>
                <w:color w:val="auto"/>
                <w:sz w:val="24"/>
                <w:highlight w:val="none"/>
              </w:rPr>
            </w:pPr>
          </w:p>
        </w:tc>
      </w:tr>
      <w:tr w14:paraId="750BF8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63B43872">
            <w:pPr>
              <w:jc w:val="center"/>
              <w:outlineLvl w:val="9"/>
              <w:rPr>
                <w:color w:val="auto"/>
                <w:sz w:val="24"/>
                <w:highlight w:val="none"/>
              </w:rPr>
            </w:pPr>
          </w:p>
        </w:tc>
        <w:tc>
          <w:tcPr>
            <w:tcW w:w="1482" w:type="dxa"/>
            <w:noWrap w:val="0"/>
            <w:vAlign w:val="center"/>
          </w:tcPr>
          <w:p w14:paraId="797912B2">
            <w:pPr>
              <w:jc w:val="center"/>
              <w:outlineLvl w:val="9"/>
              <w:rPr>
                <w:color w:val="auto"/>
                <w:sz w:val="24"/>
                <w:highlight w:val="none"/>
              </w:rPr>
            </w:pPr>
          </w:p>
        </w:tc>
        <w:tc>
          <w:tcPr>
            <w:tcW w:w="2384" w:type="dxa"/>
            <w:noWrap w:val="0"/>
            <w:vAlign w:val="center"/>
          </w:tcPr>
          <w:p w14:paraId="4CEAABB9">
            <w:pPr>
              <w:jc w:val="center"/>
              <w:outlineLvl w:val="9"/>
              <w:rPr>
                <w:color w:val="auto"/>
                <w:sz w:val="24"/>
                <w:highlight w:val="none"/>
              </w:rPr>
            </w:pPr>
          </w:p>
        </w:tc>
        <w:tc>
          <w:tcPr>
            <w:tcW w:w="2126" w:type="dxa"/>
            <w:noWrap w:val="0"/>
            <w:vAlign w:val="center"/>
          </w:tcPr>
          <w:p w14:paraId="4F5E9E32">
            <w:pPr>
              <w:jc w:val="center"/>
              <w:outlineLvl w:val="9"/>
              <w:rPr>
                <w:color w:val="auto"/>
                <w:sz w:val="24"/>
                <w:highlight w:val="none"/>
              </w:rPr>
            </w:pPr>
          </w:p>
        </w:tc>
        <w:tc>
          <w:tcPr>
            <w:tcW w:w="1875" w:type="dxa"/>
            <w:noWrap w:val="0"/>
            <w:vAlign w:val="center"/>
          </w:tcPr>
          <w:p w14:paraId="3D07ED4F">
            <w:pPr>
              <w:jc w:val="center"/>
              <w:outlineLvl w:val="9"/>
              <w:rPr>
                <w:color w:val="auto"/>
                <w:sz w:val="24"/>
                <w:highlight w:val="none"/>
              </w:rPr>
            </w:pPr>
          </w:p>
        </w:tc>
        <w:tc>
          <w:tcPr>
            <w:tcW w:w="1009" w:type="dxa"/>
            <w:noWrap w:val="0"/>
            <w:vAlign w:val="center"/>
          </w:tcPr>
          <w:p w14:paraId="567AB3C8">
            <w:pPr>
              <w:jc w:val="center"/>
              <w:outlineLvl w:val="9"/>
              <w:rPr>
                <w:color w:val="auto"/>
                <w:sz w:val="24"/>
                <w:highlight w:val="none"/>
              </w:rPr>
            </w:pPr>
          </w:p>
        </w:tc>
      </w:tr>
      <w:tr w14:paraId="386F19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4E6C3C36">
            <w:pPr>
              <w:jc w:val="center"/>
              <w:outlineLvl w:val="9"/>
              <w:rPr>
                <w:color w:val="auto"/>
                <w:sz w:val="24"/>
                <w:highlight w:val="none"/>
              </w:rPr>
            </w:pPr>
          </w:p>
        </w:tc>
        <w:tc>
          <w:tcPr>
            <w:tcW w:w="1482" w:type="dxa"/>
            <w:noWrap w:val="0"/>
            <w:vAlign w:val="center"/>
          </w:tcPr>
          <w:p w14:paraId="17D18340">
            <w:pPr>
              <w:jc w:val="center"/>
              <w:outlineLvl w:val="9"/>
              <w:rPr>
                <w:color w:val="auto"/>
                <w:sz w:val="24"/>
                <w:highlight w:val="none"/>
              </w:rPr>
            </w:pPr>
          </w:p>
        </w:tc>
        <w:tc>
          <w:tcPr>
            <w:tcW w:w="2384" w:type="dxa"/>
            <w:noWrap w:val="0"/>
            <w:vAlign w:val="center"/>
          </w:tcPr>
          <w:p w14:paraId="22B0AE87">
            <w:pPr>
              <w:jc w:val="center"/>
              <w:outlineLvl w:val="9"/>
              <w:rPr>
                <w:color w:val="auto"/>
                <w:sz w:val="24"/>
                <w:highlight w:val="none"/>
              </w:rPr>
            </w:pPr>
          </w:p>
        </w:tc>
        <w:tc>
          <w:tcPr>
            <w:tcW w:w="2126" w:type="dxa"/>
            <w:noWrap w:val="0"/>
            <w:vAlign w:val="center"/>
          </w:tcPr>
          <w:p w14:paraId="38F8A4D6">
            <w:pPr>
              <w:jc w:val="center"/>
              <w:outlineLvl w:val="9"/>
              <w:rPr>
                <w:color w:val="auto"/>
                <w:sz w:val="24"/>
                <w:highlight w:val="none"/>
              </w:rPr>
            </w:pPr>
          </w:p>
        </w:tc>
        <w:tc>
          <w:tcPr>
            <w:tcW w:w="1875" w:type="dxa"/>
            <w:noWrap w:val="0"/>
            <w:vAlign w:val="center"/>
          </w:tcPr>
          <w:p w14:paraId="4B77A694">
            <w:pPr>
              <w:jc w:val="center"/>
              <w:outlineLvl w:val="9"/>
              <w:rPr>
                <w:color w:val="auto"/>
                <w:sz w:val="24"/>
                <w:highlight w:val="none"/>
              </w:rPr>
            </w:pPr>
          </w:p>
        </w:tc>
        <w:tc>
          <w:tcPr>
            <w:tcW w:w="1009" w:type="dxa"/>
            <w:noWrap w:val="0"/>
            <w:vAlign w:val="center"/>
          </w:tcPr>
          <w:p w14:paraId="6AB79CCA">
            <w:pPr>
              <w:jc w:val="center"/>
              <w:outlineLvl w:val="9"/>
              <w:rPr>
                <w:color w:val="auto"/>
                <w:sz w:val="24"/>
                <w:highlight w:val="none"/>
              </w:rPr>
            </w:pPr>
          </w:p>
        </w:tc>
      </w:tr>
      <w:tr w14:paraId="292769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23B32FCE">
            <w:pPr>
              <w:jc w:val="center"/>
              <w:outlineLvl w:val="9"/>
              <w:rPr>
                <w:color w:val="auto"/>
                <w:sz w:val="24"/>
                <w:highlight w:val="none"/>
              </w:rPr>
            </w:pPr>
          </w:p>
        </w:tc>
        <w:tc>
          <w:tcPr>
            <w:tcW w:w="1482" w:type="dxa"/>
            <w:noWrap w:val="0"/>
            <w:vAlign w:val="center"/>
          </w:tcPr>
          <w:p w14:paraId="55EDEBEE">
            <w:pPr>
              <w:jc w:val="center"/>
              <w:outlineLvl w:val="9"/>
              <w:rPr>
                <w:color w:val="auto"/>
                <w:sz w:val="24"/>
                <w:highlight w:val="none"/>
              </w:rPr>
            </w:pPr>
          </w:p>
        </w:tc>
        <w:tc>
          <w:tcPr>
            <w:tcW w:w="2384" w:type="dxa"/>
            <w:noWrap w:val="0"/>
            <w:vAlign w:val="center"/>
          </w:tcPr>
          <w:p w14:paraId="4222558C">
            <w:pPr>
              <w:jc w:val="center"/>
              <w:outlineLvl w:val="9"/>
              <w:rPr>
                <w:color w:val="auto"/>
                <w:sz w:val="24"/>
                <w:highlight w:val="none"/>
              </w:rPr>
            </w:pPr>
          </w:p>
        </w:tc>
        <w:tc>
          <w:tcPr>
            <w:tcW w:w="2126" w:type="dxa"/>
            <w:noWrap w:val="0"/>
            <w:vAlign w:val="center"/>
          </w:tcPr>
          <w:p w14:paraId="476BE073">
            <w:pPr>
              <w:jc w:val="center"/>
              <w:outlineLvl w:val="9"/>
              <w:rPr>
                <w:color w:val="auto"/>
                <w:sz w:val="24"/>
                <w:highlight w:val="none"/>
              </w:rPr>
            </w:pPr>
          </w:p>
        </w:tc>
        <w:tc>
          <w:tcPr>
            <w:tcW w:w="1875" w:type="dxa"/>
            <w:noWrap w:val="0"/>
            <w:vAlign w:val="center"/>
          </w:tcPr>
          <w:p w14:paraId="35C48368">
            <w:pPr>
              <w:jc w:val="center"/>
              <w:outlineLvl w:val="9"/>
              <w:rPr>
                <w:color w:val="auto"/>
                <w:sz w:val="24"/>
                <w:highlight w:val="none"/>
              </w:rPr>
            </w:pPr>
          </w:p>
        </w:tc>
        <w:tc>
          <w:tcPr>
            <w:tcW w:w="1009" w:type="dxa"/>
            <w:noWrap w:val="0"/>
            <w:vAlign w:val="center"/>
          </w:tcPr>
          <w:p w14:paraId="77591EB9">
            <w:pPr>
              <w:jc w:val="center"/>
              <w:outlineLvl w:val="9"/>
              <w:rPr>
                <w:color w:val="auto"/>
                <w:sz w:val="24"/>
                <w:highlight w:val="none"/>
              </w:rPr>
            </w:pPr>
          </w:p>
        </w:tc>
      </w:tr>
      <w:tr w14:paraId="1593B6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70FECE04">
            <w:pPr>
              <w:jc w:val="center"/>
              <w:outlineLvl w:val="9"/>
              <w:rPr>
                <w:color w:val="auto"/>
                <w:sz w:val="24"/>
                <w:highlight w:val="none"/>
              </w:rPr>
            </w:pPr>
            <w:r>
              <w:rPr>
                <w:color w:val="auto"/>
                <w:sz w:val="24"/>
                <w:highlight w:val="none"/>
              </w:rPr>
              <w:t>……</w:t>
            </w:r>
          </w:p>
        </w:tc>
        <w:tc>
          <w:tcPr>
            <w:tcW w:w="1482" w:type="dxa"/>
            <w:noWrap w:val="0"/>
            <w:vAlign w:val="center"/>
          </w:tcPr>
          <w:p w14:paraId="0ACF9740">
            <w:pPr>
              <w:jc w:val="center"/>
              <w:outlineLvl w:val="9"/>
              <w:rPr>
                <w:color w:val="auto"/>
                <w:sz w:val="24"/>
                <w:highlight w:val="none"/>
              </w:rPr>
            </w:pPr>
          </w:p>
        </w:tc>
        <w:tc>
          <w:tcPr>
            <w:tcW w:w="2384" w:type="dxa"/>
            <w:noWrap w:val="0"/>
            <w:vAlign w:val="center"/>
          </w:tcPr>
          <w:p w14:paraId="016645BE">
            <w:pPr>
              <w:jc w:val="center"/>
              <w:outlineLvl w:val="9"/>
              <w:rPr>
                <w:color w:val="auto"/>
                <w:sz w:val="24"/>
                <w:highlight w:val="none"/>
              </w:rPr>
            </w:pPr>
          </w:p>
        </w:tc>
        <w:tc>
          <w:tcPr>
            <w:tcW w:w="2126" w:type="dxa"/>
            <w:noWrap w:val="0"/>
            <w:vAlign w:val="center"/>
          </w:tcPr>
          <w:p w14:paraId="301BB1A5">
            <w:pPr>
              <w:jc w:val="center"/>
              <w:outlineLvl w:val="9"/>
              <w:rPr>
                <w:color w:val="auto"/>
                <w:sz w:val="24"/>
                <w:highlight w:val="none"/>
              </w:rPr>
            </w:pPr>
          </w:p>
        </w:tc>
        <w:tc>
          <w:tcPr>
            <w:tcW w:w="1875" w:type="dxa"/>
            <w:noWrap w:val="0"/>
            <w:vAlign w:val="center"/>
          </w:tcPr>
          <w:p w14:paraId="3A99D7D1">
            <w:pPr>
              <w:jc w:val="center"/>
              <w:outlineLvl w:val="9"/>
              <w:rPr>
                <w:color w:val="auto"/>
                <w:sz w:val="24"/>
                <w:highlight w:val="none"/>
              </w:rPr>
            </w:pPr>
          </w:p>
        </w:tc>
        <w:tc>
          <w:tcPr>
            <w:tcW w:w="1009" w:type="dxa"/>
            <w:noWrap w:val="0"/>
            <w:vAlign w:val="center"/>
          </w:tcPr>
          <w:p w14:paraId="6EE3D3A9">
            <w:pPr>
              <w:jc w:val="center"/>
              <w:outlineLvl w:val="9"/>
              <w:rPr>
                <w:color w:val="auto"/>
                <w:sz w:val="24"/>
                <w:highlight w:val="none"/>
              </w:rPr>
            </w:pPr>
          </w:p>
        </w:tc>
      </w:tr>
    </w:tbl>
    <w:p w14:paraId="3B726272">
      <w:pPr>
        <w:tabs>
          <w:tab w:val="left" w:pos="1800"/>
          <w:tab w:val="left" w:pos="5580"/>
        </w:tabs>
        <w:spacing w:line="360" w:lineRule="auto"/>
        <w:ind w:firstLine="360"/>
        <w:jc w:val="left"/>
        <w:outlineLvl w:val="9"/>
        <w:rPr>
          <w:color w:val="auto"/>
          <w:sz w:val="24"/>
          <w:highlight w:val="none"/>
          <w:u w:val="single"/>
        </w:rPr>
      </w:pPr>
    </w:p>
    <w:p w14:paraId="0D20B44C">
      <w:pPr>
        <w:tabs>
          <w:tab w:val="left" w:pos="1800"/>
          <w:tab w:val="left" w:pos="5580"/>
        </w:tabs>
        <w:jc w:val="left"/>
        <w:outlineLvl w:val="9"/>
        <w:rPr>
          <w:color w:val="auto"/>
          <w:sz w:val="24"/>
          <w:highlight w:val="none"/>
        </w:rPr>
      </w:pPr>
      <w:r>
        <w:rPr>
          <w:color w:val="auto"/>
          <w:sz w:val="24"/>
          <w:highlight w:val="none"/>
        </w:rPr>
        <w:t>注：</w:t>
      </w:r>
    </w:p>
    <w:p w14:paraId="7A62D9E5">
      <w:pPr>
        <w:tabs>
          <w:tab w:val="left" w:pos="1800"/>
          <w:tab w:val="left" w:pos="5580"/>
        </w:tabs>
        <w:jc w:val="left"/>
        <w:outlineLvl w:val="9"/>
        <w:rPr>
          <w:color w:val="auto"/>
          <w:sz w:val="24"/>
          <w:highlight w:val="none"/>
        </w:rPr>
      </w:pPr>
      <w:r>
        <w:rPr>
          <w:rFonts w:hint="eastAsia"/>
          <w:color w:val="auto"/>
          <w:sz w:val="24"/>
          <w:highlight w:val="none"/>
        </w:rPr>
        <w:t>1</w:t>
      </w:r>
      <w:r>
        <w:rPr>
          <w:color w:val="auto"/>
          <w:sz w:val="24"/>
          <w:highlight w:val="none"/>
        </w:rPr>
        <w:t>. 对招标文件中的所有商务、技术要求，除本表所列明的所有偏离外，均视作</w:t>
      </w:r>
      <w:r>
        <w:rPr>
          <w:rFonts w:hint="eastAsia"/>
          <w:color w:val="auto"/>
          <w:sz w:val="24"/>
          <w:highlight w:val="none"/>
          <w:lang w:val="en-US" w:eastAsia="zh-CN"/>
        </w:rPr>
        <w:t>投标人</w:t>
      </w:r>
      <w:r>
        <w:rPr>
          <w:color w:val="auto"/>
          <w:sz w:val="24"/>
          <w:highlight w:val="none"/>
        </w:rPr>
        <w:t>已对之理解和</w:t>
      </w:r>
      <w:r>
        <w:rPr>
          <w:rFonts w:hint="eastAsia"/>
          <w:color w:val="auto"/>
          <w:sz w:val="24"/>
          <w:highlight w:val="none"/>
        </w:rPr>
        <w:t>响应</w:t>
      </w:r>
      <w:r>
        <w:rPr>
          <w:color w:val="auto"/>
          <w:sz w:val="24"/>
          <w:highlight w:val="none"/>
        </w:rPr>
        <w:t>。</w:t>
      </w:r>
      <w:r>
        <w:rPr>
          <w:rFonts w:hint="eastAsia"/>
          <w:color w:val="auto"/>
          <w:sz w:val="24"/>
          <w:highlight w:val="none"/>
        </w:rPr>
        <w:t>此表中若无任何文字说明，内容为空白，</w:t>
      </w:r>
      <w:r>
        <w:rPr>
          <w:rFonts w:hint="eastAsia"/>
          <w:b/>
          <w:color w:val="auto"/>
          <w:sz w:val="24"/>
          <w:highlight w:val="none"/>
        </w:rPr>
        <w:t>投标无效。</w:t>
      </w:r>
    </w:p>
    <w:p w14:paraId="6523161C">
      <w:pPr>
        <w:tabs>
          <w:tab w:val="left" w:pos="1800"/>
          <w:tab w:val="left" w:pos="5580"/>
        </w:tabs>
        <w:jc w:val="left"/>
        <w:outlineLvl w:val="9"/>
        <w:rPr>
          <w:color w:val="auto"/>
          <w:sz w:val="24"/>
          <w:highlight w:val="none"/>
        </w:rPr>
      </w:pPr>
      <w:r>
        <w:rPr>
          <w:color w:val="auto"/>
          <w:sz w:val="24"/>
          <w:highlight w:val="none"/>
        </w:rPr>
        <w:t>2.</w:t>
      </w:r>
      <w:r>
        <w:rPr>
          <w:rFonts w:hint="eastAsia"/>
          <w:color w:val="auto"/>
          <w:sz w:val="24"/>
          <w:highlight w:val="none"/>
        </w:rPr>
        <w:t>“偏离情况”列应</w:t>
      </w:r>
      <w:r>
        <w:rPr>
          <w:color w:val="auto"/>
          <w:sz w:val="24"/>
          <w:highlight w:val="none"/>
        </w:rPr>
        <w:t>据实</w:t>
      </w:r>
      <w:r>
        <w:rPr>
          <w:rFonts w:hint="eastAsia"/>
          <w:color w:val="auto"/>
          <w:sz w:val="24"/>
          <w:highlight w:val="none"/>
        </w:rPr>
        <w:t>填写“正偏离”或“负偏离”。</w:t>
      </w:r>
    </w:p>
    <w:p w14:paraId="2510D62A">
      <w:pPr>
        <w:tabs>
          <w:tab w:val="left" w:pos="1800"/>
          <w:tab w:val="left" w:pos="5580"/>
        </w:tabs>
        <w:jc w:val="left"/>
        <w:outlineLvl w:val="9"/>
        <w:rPr>
          <w:color w:val="auto"/>
          <w:sz w:val="24"/>
          <w:highlight w:val="none"/>
        </w:rPr>
      </w:pPr>
    </w:p>
    <w:p w14:paraId="4748370F">
      <w:pPr>
        <w:tabs>
          <w:tab w:val="left" w:pos="1800"/>
          <w:tab w:val="left" w:pos="5580"/>
        </w:tabs>
        <w:jc w:val="left"/>
        <w:outlineLvl w:val="9"/>
        <w:rPr>
          <w:color w:val="auto"/>
          <w:sz w:val="24"/>
          <w:highlight w:val="none"/>
        </w:rPr>
      </w:pPr>
    </w:p>
    <w:p w14:paraId="06A4B449">
      <w:pPr>
        <w:outlineLvl w:val="9"/>
        <w:rPr>
          <w:color w:val="auto"/>
          <w:sz w:val="24"/>
          <w:szCs w:val="20"/>
          <w:highlight w:val="none"/>
        </w:rPr>
      </w:pPr>
    </w:p>
    <w:p w14:paraId="02B3120A">
      <w:pPr>
        <w:spacing w:before="25" w:after="25" w:line="360" w:lineRule="auto"/>
        <w:outlineLvl w:val="9"/>
        <w:rPr>
          <w:color w:val="auto"/>
          <w:sz w:val="24"/>
          <w:highlight w:val="none"/>
          <w:lang w:val="zh-CN"/>
        </w:rPr>
      </w:pPr>
      <w:r>
        <w:rPr>
          <w:color w:val="auto"/>
          <w:sz w:val="24"/>
          <w:highlight w:val="none"/>
          <w:lang w:val="zh-CN"/>
        </w:rPr>
        <w:t xml:space="preserve">                  </w:t>
      </w:r>
    </w:p>
    <w:p w14:paraId="3FACD1F1">
      <w:pPr>
        <w:spacing w:before="25" w:after="25" w:line="360" w:lineRule="auto"/>
        <w:outlineLvl w:val="9"/>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724A94A5">
      <w:pPr>
        <w:spacing w:before="25" w:after="25" w:line="360" w:lineRule="auto"/>
        <w:outlineLvl w:val="9"/>
        <w:rPr>
          <w:color w:val="auto"/>
          <w:sz w:val="24"/>
          <w:highlight w:val="none"/>
          <w:lang w:val="zh-CN"/>
        </w:rPr>
      </w:pPr>
      <w:r>
        <w:rPr>
          <w:color w:val="auto"/>
          <w:sz w:val="24"/>
          <w:szCs w:val="20"/>
          <w:highlight w:val="none"/>
        </w:rPr>
        <w:t xml:space="preserve">日期：_____年______月______日   </w:t>
      </w:r>
    </w:p>
    <w:p w14:paraId="6CA77913">
      <w:pPr>
        <w:outlineLvl w:val="9"/>
        <w:rPr>
          <w:color w:val="auto"/>
          <w:sz w:val="24"/>
          <w:szCs w:val="20"/>
          <w:highlight w:val="none"/>
        </w:rPr>
      </w:pPr>
      <w:r>
        <w:rPr>
          <w:color w:val="auto"/>
          <w:sz w:val="24"/>
          <w:szCs w:val="20"/>
          <w:highlight w:val="none"/>
        </w:rPr>
        <w:br w:type="page" w:clear="all"/>
      </w:r>
      <w:r>
        <w:rPr>
          <w:rFonts w:hint="eastAsia"/>
          <w:color w:val="auto"/>
          <w:sz w:val="24"/>
          <w:szCs w:val="20"/>
          <w:highlight w:val="none"/>
          <w:lang w:val="en-US" w:eastAsia="zh-CN"/>
        </w:rPr>
        <w:t>8</w:t>
      </w:r>
      <w:r>
        <w:rPr>
          <w:color w:val="auto"/>
          <w:sz w:val="24"/>
          <w:szCs w:val="20"/>
          <w:highlight w:val="none"/>
        </w:rPr>
        <w:t xml:space="preserve">  </w:t>
      </w:r>
      <w:r>
        <w:rPr>
          <w:rFonts w:hint="eastAsia"/>
          <w:color w:val="auto"/>
          <w:sz w:val="24"/>
          <w:szCs w:val="20"/>
          <w:highlight w:val="none"/>
        </w:rPr>
        <w:t>项目实施方案等，包括但不限于如下主题：</w:t>
      </w:r>
    </w:p>
    <w:p w14:paraId="08591DE6">
      <w:pPr>
        <w:keepNext w:val="0"/>
        <w:keepLines w:val="0"/>
        <w:pageBreakBefore w:val="0"/>
        <w:widowControl w:val="0"/>
        <w:spacing w:line="360" w:lineRule="auto"/>
        <w:ind w:firstLine="482"/>
        <w:outlineLvl w:val="9"/>
        <w:rPr>
          <w:rFonts w:hint="eastAsia" w:ascii="Times New Roman" w:hAnsi="Times New Roman" w:eastAsia="宋体" w:cs="Times New Roman"/>
          <w:color w:val="auto"/>
          <w:spacing w:val="6"/>
          <w:sz w:val="24"/>
          <w:highlight w:val="none"/>
          <w:lang w:eastAsia="zh-CN"/>
        </w:rPr>
      </w:pPr>
      <w:r>
        <w:rPr>
          <w:rFonts w:hint="eastAsia" w:ascii="Times New Roman" w:hAnsi="Times New Roman" w:eastAsia="宋体" w:cs="Times New Roman"/>
          <w:color w:val="auto"/>
          <w:spacing w:val="6"/>
          <w:sz w:val="24"/>
          <w:highlight w:val="none"/>
          <w:lang w:eastAsia="zh-CN"/>
        </w:rPr>
        <w:t>（</w:t>
      </w:r>
      <w:r>
        <w:rPr>
          <w:rFonts w:hint="eastAsia" w:ascii="Times New Roman" w:hAnsi="Times New Roman" w:eastAsia="宋体" w:cs="Times New Roman"/>
          <w:color w:val="auto"/>
          <w:spacing w:val="6"/>
          <w:sz w:val="24"/>
          <w:highlight w:val="none"/>
          <w:lang w:val="en-US" w:eastAsia="zh-CN"/>
        </w:rPr>
        <w:t>1</w:t>
      </w:r>
      <w:r>
        <w:rPr>
          <w:rFonts w:hint="eastAsia" w:ascii="Times New Roman" w:hAnsi="Times New Roman" w:eastAsia="宋体" w:cs="Times New Roman"/>
          <w:color w:val="auto"/>
          <w:spacing w:val="6"/>
          <w:sz w:val="24"/>
          <w:highlight w:val="none"/>
          <w:lang w:eastAsia="zh-CN"/>
        </w:rPr>
        <w:t>）场地调查方案</w:t>
      </w:r>
    </w:p>
    <w:p w14:paraId="62742207">
      <w:pPr>
        <w:keepNext w:val="0"/>
        <w:keepLines w:val="0"/>
        <w:pageBreakBefore w:val="0"/>
        <w:widowControl w:val="0"/>
        <w:spacing w:line="360" w:lineRule="auto"/>
        <w:ind w:firstLine="482"/>
        <w:outlineLvl w:val="9"/>
        <w:rPr>
          <w:rFonts w:hint="eastAsia" w:ascii="Times New Roman" w:hAnsi="Times New Roman" w:eastAsia="宋体" w:cs="Times New Roman"/>
          <w:color w:val="auto"/>
          <w:spacing w:val="6"/>
          <w:sz w:val="24"/>
          <w:highlight w:val="none"/>
          <w:lang w:eastAsia="zh-CN"/>
        </w:rPr>
      </w:pPr>
      <w:r>
        <w:rPr>
          <w:rFonts w:hint="eastAsia" w:ascii="Times New Roman" w:hAnsi="Times New Roman" w:eastAsia="宋体" w:cs="Times New Roman"/>
          <w:color w:val="auto"/>
          <w:spacing w:val="6"/>
          <w:sz w:val="24"/>
          <w:highlight w:val="none"/>
          <w:lang w:eastAsia="zh-CN"/>
        </w:rPr>
        <w:t>（</w:t>
      </w:r>
      <w:r>
        <w:rPr>
          <w:rFonts w:hint="eastAsia" w:ascii="Times New Roman" w:hAnsi="Times New Roman" w:eastAsia="宋体" w:cs="Times New Roman"/>
          <w:color w:val="auto"/>
          <w:spacing w:val="6"/>
          <w:sz w:val="24"/>
          <w:highlight w:val="none"/>
          <w:lang w:val="en-US" w:eastAsia="zh-CN"/>
        </w:rPr>
        <w:t>2</w:t>
      </w:r>
      <w:r>
        <w:rPr>
          <w:rFonts w:hint="eastAsia" w:ascii="Times New Roman" w:hAnsi="Times New Roman" w:eastAsia="宋体" w:cs="Times New Roman"/>
          <w:color w:val="auto"/>
          <w:spacing w:val="6"/>
          <w:sz w:val="24"/>
          <w:highlight w:val="none"/>
          <w:lang w:eastAsia="zh-CN"/>
        </w:rPr>
        <w:t>）质量保证方案</w:t>
      </w:r>
    </w:p>
    <w:p w14:paraId="1BA1F0BB">
      <w:pPr>
        <w:keepNext w:val="0"/>
        <w:keepLines w:val="0"/>
        <w:pageBreakBefore w:val="0"/>
        <w:widowControl w:val="0"/>
        <w:spacing w:line="360" w:lineRule="auto"/>
        <w:ind w:firstLine="482"/>
        <w:outlineLvl w:val="9"/>
        <w:rPr>
          <w:rFonts w:hint="eastAsia" w:ascii="Times New Roman" w:hAnsi="Times New Roman" w:eastAsia="宋体" w:cs="Times New Roman"/>
          <w:color w:val="auto"/>
          <w:spacing w:val="6"/>
          <w:sz w:val="24"/>
          <w:highlight w:val="none"/>
          <w:lang w:eastAsia="zh-CN"/>
        </w:rPr>
      </w:pPr>
      <w:r>
        <w:rPr>
          <w:rFonts w:hint="eastAsia" w:ascii="Times New Roman" w:hAnsi="Times New Roman" w:eastAsia="宋体" w:cs="Times New Roman"/>
          <w:color w:val="auto"/>
          <w:spacing w:val="6"/>
          <w:sz w:val="24"/>
          <w:highlight w:val="none"/>
          <w:lang w:eastAsia="zh-CN"/>
        </w:rPr>
        <w:t>（</w:t>
      </w:r>
      <w:r>
        <w:rPr>
          <w:rFonts w:hint="eastAsia" w:ascii="Times New Roman" w:hAnsi="Times New Roman" w:eastAsia="宋体" w:cs="Times New Roman"/>
          <w:color w:val="auto"/>
          <w:spacing w:val="6"/>
          <w:sz w:val="24"/>
          <w:highlight w:val="none"/>
          <w:lang w:val="en-US" w:eastAsia="zh-CN"/>
        </w:rPr>
        <w:t>3</w:t>
      </w:r>
      <w:r>
        <w:rPr>
          <w:rFonts w:hint="eastAsia" w:ascii="Times New Roman" w:hAnsi="Times New Roman" w:eastAsia="宋体" w:cs="Times New Roman"/>
          <w:color w:val="auto"/>
          <w:spacing w:val="6"/>
          <w:sz w:val="24"/>
          <w:highlight w:val="none"/>
          <w:lang w:eastAsia="zh-CN"/>
        </w:rPr>
        <w:t>）重点、难点及解决方案</w:t>
      </w:r>
    </w:p>
    <w:p w14:paraId="33C911E4">
      <w:pPr>
        <w:keepNext w:val="0"/>
        <w:keepLines w:val="0"/>
        <w:pageBreakBefore w:val="0"/>
        <w:widowControl w:val="0"/>
        <w:spacing w:line="360" w:lineRule="auto"/>
        <w:ind w:firstLine="482"/>
        <w:outlineLvl w:val="9"/>
        <w:rPr>
          <w:rFonts w:hint="eastAsia" w:ascii="Times New Roman" w:hAnsi="Times New Roman" w:eastAsia="宋体" w:cs="Times New Roman"/>
          <w:color w:val="auto"/>
          <w:spacing w:val="6"/>
          <w:sz w:val="24"/>
          <w:highlight w:val="none"/>
          <w:lang w:eastAsia="zh-CN"/>
        </w:rPr>
      </w:pPr>
      <w:r>
        <w:rPr>
          <w:rFonts w:hint="eastAsia" w:ascii="Times New Roman" w:hAnsi="Times New Roman" w:eastAsia="宋体" w:cs="Times New Roman"/>
          <w:color w:val="auto"/>
          <w:spacing w:val="6"/>
          <w:sz w:val="24"/>
          <w:highlight w:val="none"/>
          <w:lang w:eastAsia="zh-CN"/>
        </w:rPr>
        <w:t>（</w:t>
      </w:r>
      <w:r>
        <w:rPr>
          <w:rFonts w:hint="eastAsia" w:ascii="Times New Roman" w:hAnsi="Times New Roman" w:eastAsia="宋体" w:cs="Times New Roman"/>
          <w:color w:val="auto"/>
          <w:spacing w:val="6"/>
          <w:sz w:val="24"/>
          <w:highlight w:val="none"/>
          <w:lang w:val="en-US" w:eastAsia="zh-CN"/>
        </w:rPr>
        <w:t>4</w:t>
      </w:r>
      <w:r>
        <w:rPr>
          <w:rFonts w:hint="eastAsia" w:ascii="Times New Roman" w:hAnsi="Times New Roman" w:eastAsia="宋体" w:cs="Times New Roman"/>
          <w:color w:val="auto"/>
          <w:spacing w:val="6"/>
          <w:sz w:val="24"/>
          <w:highlight w:val="none"/>
          <w:lang w:eastAsia="zh-CN"/>
        </w:rPr>
        <w:t>）进度计划方案</w:t>
      </w:r>
    </w:p>
    <w:p w14:paraId="542DB574">
      <w:pPr>
        <w:keepNext w:val="0"/>
        <w:keepLines w:val="0"/>
        <w:pageBreakBefore w:val="0"/>
        <w:widowControl w:val="0"/>
        <w:spacing w:line="360" w:lineRule="auto"/>
        <w:ind w:firstLine="482"/>
        <w:outlineLvl w:val="9"/>
        <w:rPr>
          <w:rFonts w:hint="eastAsia" w:ascii="Times New Roman" w:hAnsi="Times New Roman" w:eastAsia="宋体" w:cs="Times New Roman"/>
          <w:color w:val="auto"/>
          <w:spacing w:val="6"/>
          <w:sz w:val="24"/>
          <w:highlight w:val="none"/>
          <w:lang w:eastAsia="zh-CN"/>
        </w:rPr>
      </w:pPr>
      <w:r>
        <w:rPr>
          <w:rFonts w:hint="eastAsia" w:ascii="Times New Roman" w:hAnsi="Times New Roman" w:eastAsia="宋体" w:cs="Times New Roman"/>
          <w:color w:val="auto"/>
          <w:spacing w:val="6"/>
          <w:sz w:val="24"/>
          <w:highlight w:val="none"/>
          <w:lang w:eastAsia="zh-CN"/>
        </w:rPr>
        <w:t>（</w:t>
      </w:r>
      <w:r>
        <w:rPr>
          <w:rFonts w:hint="eastAsia" w:ascii="Times New Roman" w:hAnsi="Times New Roman" w:eastAsia="宋体" w:cs="Times New Roman"/>
          <w:color w:val="auto"/>
          <w:spacing w:val="6"/>
          <w:sz w:val="24"/>
          <w:highlight w:val="none"/>
          <w:lang w:val="en-US" w:eastAsia="zh-CN"/>
        </w:rPr>
        <w:t>5</w:t>
      </w:r>
      <w:r>
        <w:rPr>
          <w:rFonts w:hint="eastAsia" w:ascii="Times New Roman" w:hAnsi="Times New Roman" w:eastAsia="宋体" w:cs="Times New Roman"/>
          <w:color w:val="auto"/>
          <w:spacing w:val="6"/>
          <w:sz w:val="24"/>
          <w:highlight w:val="none"/>
          <w:lang w:eastAsia="zh-CN"/>
        </w:rPr>
        <w:t>）后续服务。</w:t>
      </w:r>
    </w:p>
    <w:p w14:paraId="054BD15D">
      <w:pPr>
        <w:keepNext w:val="0"/>
        <w:keepLines w:val="0"/>
        <w:pageBreakBefore w:val="0"/>
        <w:widowControl w:val="0"/>
        <w:spacing w:line="360" w:lineRule="auto"/>
        <w:ind w:firstLine="480"/>
        <w:outlineLvl w:val="9"/>
        <w:rPr>
          <w:rFonts w:hint="eastAsia"/>
          <w:color w:val="auto"/>
          <w:sz w:val="24"/>
          <w:szCs w:val="20"/>
          <w:highlight w:val="none"/>
          <w:lang w:eastAsia="zh-CN"/>
        </w:rPr>
      </w:pPr>
    </w:p>
    <w:p w14:paraId="704B99D0">
      <w:pPr>
        <w:spacing w:line="360" w:lineRule="auto"/>
        <w:outlineLvl w:val="9"/>
        <w:rPr>
          <w:rFonts w:hint="eastAsia"/>
          <w:color w:val="auto"/>
          <w:sz w:val="24"/>
          <w:szCs w:val="20"/>
          <w:highlight w:val="none"/>
          <w:lang w:eastAsia="zh-CN"/>
        </w:rPr>
      </w:pPr>
    </w:p>
    <w:p w14:paraId="32DD55F2">
      <w:pPr>
        <w:spacing w:line="360" w:lineRule="auto"/>
        <w:outlineLvl w:val="9"/>
        <w:rPr>
          <w:rFonts w:hint="eastAsia" w:eastAsia="宋体"/>
          <w:color w:val="auto"/>
          <w:sz w:val="24"/>
          <w:szCs w:val="20"/>
          <w:highlight w:val="none"/>
          <w:lang w:eastAsia="zh-CN"/>
        </w:rPr>
      </w:pPr>
    </w:p>
    <w:p w14:paraId="4F36922B">
      <w:pPr>
        <w:spacing w:line="360" w:lineRule="auto"/>
        <w:outlineLvl w:val="9"/>
        <w:rPr>
          <w:rFonts w:hint="eastAsia"/>
          <w:color w:val="auto"/>
          <w:sz w:val="24"/>
          <w:szCs w:val="20"/>
          <w:highlight w:val="none"/>
        </w:rPr>
      </w:pPr>
    </w:p>
    <w:p w14:paraId="2360F3E3">
      <w:pPr>
        <w:outlineLvl w:val="9"/>
        <w:rPr>
          <w:rFonts w:hint="eastAsia"/>
          <w:color w:val="auto"/>
          <w:sz w:val="24"/>
          <w:szCs w:val="20"/>
          <w:highlight w:val="none"/>
        </w:rPr>
        <w:sectPr>
          <w:headerReference r:id="rId22" w:type="first"/>
          <w:footerReference r:id="rId24" w:type="first"/>
          <w:headerReference r:id="rId21" w:type="even"/>
          <w:footerReference r:id="rId23" w:type="even"/>
          <w:pgSz w:w="11907" w:h="16840"/>
          <w:pgMar w:top="1418" w:right="1134" w:bottom="1418" w:left="1701" w:header="851" w:footer="851" w:gutter="0"/>
          <w:pgNumType w:fmt="decimal"/>
          <w:cols w:space="1701" w:num="1"/>
          <w:docGrid w:linePitch="360" w:charSpace="0"/>
        </w:sectPr>
      </w:pPr>
    </w:p>
    <w:p w14:paraId="6E215829">
      <w:pPr>
        <w:outlineLvl w:val="9"/>
        <w:rPr>
          <w:color w:val="auto"/>
          <w:sz w:val="24"/>
          <w:szCs w:val="20"/>
          <w:highlight w:val="none"/>
        </w:rPr>
      </w:pPr>
      <w:r>
        <w:rPr>
          <w:rFonts w:hint="eastAsia"/>
          <w:color w:val="auto"/>
          <w:sz w:val="24"/>
          <w:szCs w:val="20"/>
          <w:highlight w:val="none"/>
          <w:lang w:val="en-US" w:eastAsia="zh-CN"/>
        </w:rPr>
        <w:t>9</w:t>
      </w:r>
      <w:r>
        <w:rPr>
          <w:rFonts w:hint="eastAsia"/>
          <w:color w:val="auto"/>
          <w:sz w:val="24"/>
          <w:szCs w:val="20"/>
          <w:highlight w:val="none"/>
        </w:rPr>
        <w:t xml:space="preserve">  参加本项目人员一览表</w:t>
      </w:r>
    </w:p>
    <w:p w14:paraId="4D842337">
      <w:pPr>
        <w:spacing w:line="360" w:lineRule="auto"/>
        <w:jc w:val="center"/>
        <w:outlineLvl w:val="9"/>
        <w:rPr>
          <w:rFonts w:hint="eastAsia" w:ascii="宋体" w:hAnsi="宋体"/>
          <w:b/>
          <w:color w:val="auto"/>
          <w:sz w:val="32"/>
          <w:szCs w:val="32"/>
          <w:highlight w:val="none"/>
        </w:rPr>
      </w:pPr>
    </w:p>
    <w:p w14:paraId="71383481">
      <w:pPr>
        <w:spacing w:line="360" w:lineRule="auto"/>
        <w:jc w:val="center"/>
        <w:outlineLvl w:val="9"/>
        <w:rPr>
          <w:rFonts w:ascii="宋体" w:hAnsi="宋体"/>
          <w:b/>
          <w:color w:val="auto"/>
          <w:sz w:val="32"/>
          <w:szCs w:val="32"/>
          <w:highlight w:val="none"/>
        </w:rPr>
      </w:pPr>
      <w:r>
        <w:rPr>
          <w:rFonts w:hint="eastAsia" w:ascii="宋体" w:hAnsi="宋体"/>
          <w:b/>
          <w:color w:val="auto"/>
          <w:sz w:val="32"/>
          <w:szCs w:val="32"/>
          <w:highlight w:val="none"/>
        </w:rPr>
        <w:t>参加本项目人员一览表</w:t>
      </w:r>
    </w:p>
    <w:p w14:paraId="05E2DECC">
      <w:pPr>
        <w:spacing w:line="360" w:lineRule="auto"/>
        <w:outlineLvl w:val="9"/>
        <w:rPr>
          <w:rFonts w:ascii="宋体" w:hAnsi="宋体"/>
          <w:color w:val="auto"/>
          <w:sz w:val="22"/>
          <w:highlight w:val="none"/>
        </w:rPr>
      </w:pPr>
    </w:p>
    <w:p w14:paraId="4196C1BC">
      <w:pPr>
        <w:spacing w:line="360" w:lineRule="auto"/>
        <w:outlineLvl w:val="9"/>
        <w:rPr>
          <w:rFonts w:ascii="宋体" w:hAnsi="宋体" w:cs="宋体"/>
          <w:color w:val="auto"/>
          <w:sz w:val="24"/>
          <w:highlight w:val="none"/>
        </w:rPr>
      </w:pPr>
      <w:r>
        <w:rPr>
          <w:rFonts w:hint="eastAsia" w:ascii="宋体" w:hAnsi="宋体" w:cs="宋体"/>
          <w:color w:val="auto"/>
          <w:sz w:val="24"/>
          <w:highlight w:val="none"/>
        </w:rPr>
        <w:t>项目编号：</w:t>
      </w:r>
      <w:r>
        <w:rPr>
          <w:rFonts w:hint="eastAsia" w:ascii="宋体" w:hAnsi="宋体" w:cs="宋体"/>
          <w:color w:val="auto"/>
          <w:sz w:val="24"/>
          <w:highlight w:val="none"/>
          <w:u w:val="single"/>
        </w:rPr>
        <w:t xml:space="preserve">                     </w:t>
      </w:r>
    </w:p>
    <w:tbl>
      <w:tblPr>
        <w:tblStyle w:val="33"/>
        <w:tblW w:w="0" w:type="auto"/>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2D7C3643">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center"/>
          </w:tcPr>
          <w:p w14:paraId="62D49FE9">
            <w:pPr>
              <w:tabs>
                <w:tab w:val="left" w:pos="9765"/>
              </w:tabs>
              <w:spacing w:line="360" w:lineRule="auto"/>
              <w:jc w:val="center"/>
              <w:outlineLvl w:val="9"/>
              <w:rPr>
                <w:rFonts w:ascii="宋体" w:hAnsi="宋体" w:cs="宋体"/>
                <w:color w:val="auto"/>
                <w:sz w:val="24"/>
                <w:highlight w:val="none"/>
              </w:rPr>
            </w:pPr>
            <w:r>
              <w:rPr>
                <w:rFonts w:hint="eastAsia" w:ascii="宋体" w:hAnsi="宋体" w:cs="宋体"/>
                <w:color w:val="auto"/>
                <w:sz w:val="24"/>
                <w:highlight w:val="none"/>
              </w:rPr>
              <w:t>序号</w:t>
            </w:r>
          </w:p>
        </w:tc>
        <w:tc>
          <w:tcPr>
            <w:tcW w:w="945" w:type="dxa"/>
            <w:noWrap w:val="0"/>
            <w:vAlign w:val="center"/>
          </w:tcPr>
          <w:p w14:paraId="0C0BEC34">
            <w:pPr>
              <w:tabs>
                <w:tab w:val="left" w:pos="9765"/>
              </w:tabs>
              <w:spacing w:line="360" w:lineRule="auto"/>
              <w:jc w:val="center"/>
              <w:outlineLvl w:val="9"/>
              <w:rPr>
                <w:rFonts w:ascii="宋体" w:hAnsi="宋体" w:cs="宋体"/>
                <w:color w:val="auto"/>
                <w:sz w:val="24"/>
                <w:highlight w:val="none"/>
              </w:rPr>
            </w:pPr>
            <w:r>
              <w:rPr>
                <w:rFonts w:hint="eastAsia" w:ascii="宋体" w:hAnsi="宋体" w:cs="宋体"/>
                <w:color w:val="auto"/>
                <w:sz w:val="24"/>
                <w:highlight w:val="none"/>
              </w:rPr>
              <w:t>姓名</w:t>
            </w:r>
          </w:p>
        </w:tc>
        <w:tc>
          <w:tcPr>
            <w:tcW w:w="945" w:type="dxa"/>
            <w:noWrap w:val="0"/>
            <w:vAlign w:val="center"/>
          </w:tcPr>
          <w:p w14:paraId="5B1FA9BC">
            <w:pPr>
              <w:tabs>
                <w:tab w:val="left" w:pos="9765"/>
              </w:tabs>
              <w:spacing w:line="360" w:lineRule="auto"/>
              <w:jc w:val="center"/>
              <w:outlineLvl w:val="9"/>
              <w:rPr>
                <w:rFonts w:ascii="宋体" w:hAnsi="宋体" w:cs="宋体"/>
                <w:color w:val="auto"/>
                <w:sz w:val="24"/>
                <w:highlight w:val="none"/>
              </w:rPr>
            </w:pPr>
            <w:r>
              <w:rPr>
                <w:rFonts w:hint="eastAsia" w:ascii="宋体" w:hAnsi="宋体" w:cs="宋体"/>
                <w:color w:val="auto"/>
                <w:sz w:val="24"/>
                <w:highlight w:val="none"/>
              </w:rPr>
              <w:t>性别</w:t>
            </w:r>
          </w:p>
        </w:tc>
        <w:tc>
          <w:tcPr>
            <w:tcW w:w="945" w:type="dxa"/>
            <w:noWrap w:val="0"/>
            <w:vAlign w:val="center"/>
          </w:tcPr>
          <w:p w14:paraId="43013DB0">
            <w:pPr>
              <w:tabs>
                <w:tab w:val="left" w:pos="9765"/>
              </w:tabs>
              <w:spacing w:line="360" w:lineRule="auto"/>
              <w:jc w:val="center"/>
              <w:outlineLvl w:val="9"/>
              <w:rPr>
                <w:rFonts w:ascii="宋体" w:hAnsi="宋体" w:cs="宋体"/>
                <w:color w:val="auto"/>
                <w:sz w:val="24"/>
                <w:highlight w:val="none"/>
              </w:rPr>
            </w:pPr>
            <w:r>
              <w:rPr>
                <w:rFonts w:hint="eastAsia" w:ascii="宋体" w:hAnsi="宋体" w:cs="宋体"/>
                <w:color w:val="auto"/>
                <w:sz w:val="24"/>
                <w:highlight w:val="none"/>
              </w:rPr>
              <w:t>年龄</w:t>
            </w:r>
          </w:p>
        </w:tc>
        <w:tc>
          <w:tcPr>
            <w:tcW w:w="945" w:type="dxa"/>
            <w:noWrap w:val="0"/>
            <w:vAlign w:val="center"/>
          </w:tcPr>
          <w:p w14:paraId="1AC3BA0B">
            <w:pPr>
              <w:tabs>
                <w:tab w:val="left" w:pos="9765"/>
              </w:tabs>
              <w:spacing w:line="360" w:lineRule="auto"/>
              <w:jc w:val="center"/>
              <w:outlineLvl w:val="9"/>
              <w:rPr>
                <w:rFonts w:ascii="宋体" w:hAnsi="宋体" w:cs="宋体"/>
                <w:color w:val="auto"/>
                <w:sz w:val="24"/>
                <w:highlight w:val="none"/>
              </w:rPr>
            </w:pPr>
            <w:r>
              <w:rPr>
                <w:rFonts w:hint="eastAsia" w:ascii="宋体" w:hAnsi="宋体" w:cs="宋体"/>
                <w:color w:val="auto"/>
                <w:sz w:val="24"/>
                <w:highlight w:val="none"/>
              </w:rPr>
              <w:t>毕业学校和学历</w:t>
            </w:r>
          </w:p>
        </w:tc>
        <w:tc>
          <w:tcPr>
            <w:tcW w:w="945" w:type="dxa"/>
            <w:noWrap w:val="0"/>
            <w:vAlign w:val="center"/>
          </w:tcPr>
          <w:p w14:paraId="77352216">
            <w:pPr>
              <w:tabs>
                <w:tab w:val="left" w:pos="9765"/>
              </w:tabs>
              <w:spacing w:line="360" w:lineRule="auto"/>
              <w:jc w:val="center"/>
              <w:outlineLvl w:val="9"/>
              <w:rPr>
                <w:rFonts w:ascii="宋体" w:hAnsi="宋体" w:cs="宋体"/>
                <w:color w:val="auto"/>
                <w:sz w:val="24"/>
                <w:highlight w:val="none"/>
              </w:rPr>
            </w:pPr>
            <w:r>
              <w:rPr>
                <w:rFonts w:hint="eastAsia" w:ascii="宋体" w:hAnsi="宋体" w:cs="宋体"/>
                <w:color w:val="auto"/>
                <w:sz w:val="24"/>
                <w:highlight w:val="none"/>
              </w:rPr>
              <w:t>专业</w:t>
            </w:r>
          </w:p>
        </w:tc>
        <w:tc>
          <w:tcPr>
            <w:tcW w:w="945" w:type="dxa"/>
            <w:noWrap w:val="0"/>
            <w:vAlign w:val="center"/>
          </w:tcPr>
          <w:p w14:paraId="7B42ACF3">
            <w:pPr>
              <w:tabs>
                <w:tab w:val="left" w:pos="9765"/>
              </w:tabs>
              <w:spacing w:line="360" w:lineRule="auto"/>
              <w:jc w:val="center"/>
              <w:outlineLvl w:val="9"/>
              <w:rPr>
                <w:rFonts w:ascii="宋体" w:hAnsi="宋体" w:cs="宋体"/>
                <w:color w:val="auto"/>
                <w:sz w:val="24"/>
                <w:highlight w:val="none"/>
              </w:rPr>
            </w:pPr>
            <w:r>
              <w:rPr>
                <w:rFonts w:hint="eastAsia" w:ascii="宋体" w:hAnsi="宋体" w:cs="宋体"/>
                <w:color w:val="auto"/>
                <w:sz w:val="24"/>
                <w:highlight w:val="none"/>
              </w:rPr>
              <w:t>职称</w:t>
            </w:r>
          </w:p>
        </w:tc>
        <w:tc>
          <w:tcPr>
            <w:tcW w:w="945" w:type="dxa"/>
            <w:noWrap w:val="0"/>
            <w:vAlign w:val="center"/>
          </w:tcPr>
          <w:p w14:paraId="110BC37F">
            <w:pPr>
              <w:tabs>
                <w:tab w:val="left" w:pos="9765"/>
              </w:tabs>
              <w:spacing w:line="360" w:lineRule="auto"/>
              <w:jc w:val="center"/>
              <w:outlineLvl w:val="9"/>
              <w:rPr>
                <w:rFonts w:ascii="宋体" w:hAnsi="宋体" w:cs="宋体"/>
                <w:color w:val="auto"/>
                <w:sz w:val="24"/>
                <w:highlight w:val="none"/>
              </w:rPr>
            </w:pPr>
            <w:r>
              <w:rPr>
                <w:rFonts w:hint="eastAsia" w:ascii="宋体" w:hAnsi="宋体" w:cs="宋体"/>
                <w:color w:val="auto"/>
                <w:sz w:val="24"/>
                <w:highlight w:val="none"/>
              </w:rPr>
              <w:t>专业培训及证书</w:t>
            </w:r>
          </w:p>
        </w:tc>
        <w:tc>
          <w:tcPr>
            <w:tcW w:w="945" w:type="dxa"/>
            <w:noWrap w:val="0"/>
            <w:vAlign w:val="center"/>
          </w:tcPr>
          <w:p w14:paraId="0A0A2E22">
            <w:pPr>
              <w:tabs>
                <w:tab w:val="left" w:pos="9765"/>
              </w:tabs>
              <w:spacing w:line="360" w:lineRule="auto"/>
              <w:jc w:val="center"/>
              <w:outlineLvl w:val="9"/>
              <w:rPr>
                <w:rFonts w:ascii="宋体" w:hAnsi="宋体" w:cs="宋体"/>
                <w:color w:val="auto"/>
                <w:sz w:val="24"/>
                <w:highlight w:val="none"/>
              </w:rPr>
            </w:pPr>
            <w:r>
              <w:rPr>
                <w:rFonts w:hint="eastAsia" w:ascii="宋体" w:hAnsi="宋体" w:cs="宋体"/>
                <w:color w:val="auto"/>
                <w:sz w:val="24"/>
                <w:highlight w:val="none"/>
              </w:rPr>
              <w:t>责任</w:t>
            </w:r>
          </w:p>
          <w:p w14:paraId="63122717">
            <w:pPr>
              <w:tabs>
                <w:tab w:val="left" w:pos="9765"/>
              </w:tabs>
              <w:spacing w:line="360" w:lineRule="auto"/>
              <w:jc w:val="center"/>
              <w:outlineLvl w:val="9"/>
              <w:rPr>
                <w:rFonts w:ascii="宋体" w:hAnsi="宋体" w:cs="宋体"/>
                <w:color w:val="auto"/>
                <w:sz w:val="24"/>
                <w:highlight w:val="none"/>
              </w:rPr>
            </w:pPr>
            <w:r>
              <w:rPr>
                <w:rFonts w:hint="eastAsia" w:ascii="宋体" w:hAnsi="宋体" w:cs="宋体"/>
                <w:color w:val="auto"/>
                <w:sz w:val="24"/>
                <w:highlight w:val="none"/>
              </w:rPr>
              <w:t>或分工</w:t>
            </w:r>
          </w:p>
        </w:tc>
        <w:tc>
          <w:tcPr>
            <w:tcW w:w="945" w:type="dxa"/>
            <w:noWrap w:val="0"/>
            <w:vAlign w:val="center"/>
          </w:tcPr>
          <w:p w14:paraId="00FBBF76">
            <w:pPr>
              <w:tabs>
                <w:tab w:val="left" w:pos="9765"/>
              </w:tabs>
              <w:spacing w:line="360" w:lineRule="auto"/>
              <w:jc w:val="center"/>
              <w:outlineLvl w:val="9"/>
              <w:rPr>
                <w:rFonts w:ascii="宋体" w:hAnsi="宋体" w:cs="宋体"/>
                <w:color w:val="auto"/>
                <w:sz w:val="24"/>
                <w:highlight w:val="none"/>
              </w:rPr>
            </w:pPr>
            <w:r>
              <w:rPr>
                <w:rFonts w:hint="eastAsia" w:ascii="宋体" w:hAnsi="宋体" w:cs="宋体"/>
                <w:color w:val="auto"/>
                <w:sz w:val="24"/>
                <w:highlight w:val="none"/>
              </w:rPr>
              <w:t>项目经历或主要工作</w:t>
            </w:r>
          </w:p>
          <w:p w14:paraId="17ACE429">
            <w:pPr>
              <w:tabs>
                <w:tab w:val="left" w:pos="9765"/>
              </w:tabs>
              <w:spacing w:line="360" w:lineRule="auto"/>
              <w:jc w:val="center"/>
              <w:outlineLvl w:val="9"/>
              <w:rPr>
                <w:rFonts w:ascii="宋体" w:hAnsi="宋体" w:cs="宋体"/>
                <w:color w:val="auto"/>
                <w:sz w:val="24"/>
                <w:highlight w:val="none"/>
              </w:rPr>
            </w:pPr>
            <w:r>
              <w:rPr>
                <w:rFonts w:hint="eastAsia" w:ascii="宋体" w:hAnsi="宋体" w:cs="宋体"/>
                <w:color w:val="auto"/>
                <w:sz w:val="24"/>
                <w:highlight w:val="none"/>
              </w:rPr>
              <w:t>业绩</w:t>
            </w:r>
          </w:p>
        </w:tc>
      </w:tr>
      <w:tr w14:paraId="42EEAFA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55799BB8">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4A07BB16">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281B3C83">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2A6FC841">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05377210">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27BAFE40">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0A0CA63F">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40780F9B">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335A16AE">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06E1530D">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r>
      <w:tr w14:paraId="260265E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75C0AED9">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32A4271D">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704C9FA1">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15583D12">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4AD19FC5">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234814BC">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115E538A">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709BA991">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288DEF4E">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58A86B55">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r>
      <w:tr w14:paraId="4480953A">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3B0BB0E2">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0A71E0EA">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02BB9DF5">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40EC422B">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58DFA28B">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43CDDF3F">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16F833E2">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023660BE">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30E0C837">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495D0AE7">
            <w:pPr>
              <w:tabs>
                <w:tab w:val="left" w:pos="9765"/>
              </w:tabs>
              <w:spacing w:line="360" w:lineRule="auto"/>
              <w:outlineLvl w:val="9"/>
              <w:rPr>
                <w:rFonts w:ascii="宋体" w:hAnsi="宋体" w:cs="宋体"/>
                <w:color w:val="auto"/>
                <w:sz w:val="24"/>
                <w:highlight w:val="none"/>
              </w:rPr>
            </w:pPr>
          </w:p>
        </w:tc>
      </w:tr>
      <w:tr w14:paraId="6945368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73F94099">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78CA4B92">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7CC51E2C">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0B14A851">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676D47F9">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04756682">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5A6E4398">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42C22146">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5560AA9B">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6CBA8A85">
            <w:pPr>
              <w:tabs>
                <w:tab w:val="left" w:pos="9765"/>
              </w:tabs>
              <w:spacing w:line="360" w:lineRule="auto"/>
              <w:outlineLvl w:val="9"/>
              <w:rPr>
                <w:rFonts w:ascii="宋体" w:hAnsi="宋体" w:cs="宋体"/>
                <w:color w:val="auto"/>
                <w:sz w:val="24"/>
                <w:highlight w:val="none"/>
              </w:rPr>
            </w:pPr>
          </w:p>
        </w:tc>
      </w:tr>
      <w:tr w14:paraId="0C5FA1B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7385DF2C">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6D8EF5A4">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0C13054B">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441A4DC7">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4C17A61F">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0DA3B836">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03EF7640">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7E258700">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78406DA3">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268FC7AE">
            <w:pPr>
              <w:tabs>
                <w:tab w:val="left" w:pos="9765"/>
              </w:tabs>
              <w:spacing w:line="360" w:lineRule="auto"/>
              <w:outlineLvl w:val="9"/>
              <w:rPr>
                <w:rFonts w:ascii="宋体" w:hAnsi="宋体" w:cs="宋体"/>
                <w:color w:val="auto"/>
                <w:sz w:val="24"/>
                <w:highlight w:val="none"/>
              </w:rPr>
            </w:pPr>
          </w:p>
        </w:tc>
      </w:tr>
      <w:tr w14:paraId="2ECE6A76">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76935C6C">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46626E72">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4C790D04">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4E846B3E">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3922A96A">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6367CE93">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736A60D6">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1863392A">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711B5AE9">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3B387DB2">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r>
    </w:tbl>
    <w:p w14:paraId="7CD4A858">
      <w:pPr>
        <w:tabs>
          <w:tab w:val="left" w:pos="9765"/>
        </w:tabs>
        <w:outlineLvl w:val="9"/>
        <w:rPr>
          <w:rFonts w:ascii="宋体" w:hAnsi="宋体" w:cs="宋体"/>
          <w:b/>
          <w:color w:val="auto"/>
          <w:sz w:val="24"/>
          <w:highlight w:val="none"/>
          <w:lang w:val="zh-CN"/>
        </w:rPr>
      </w:pPr>
    </w:p>
    <w:p w14:paraId="195CBEA5">
      <w:pPr>
        <w:tabs>
          <w:tab w:val="left" w:pos="9765"/>
        </w:tabs>
        <w:spacing w:line="360" w:lineRule="auto"/>
        <w:outlineLvl w:val="9"/>
        <w:rPr>
          <w:rFonts w:ascii="宋体" w:hAnsi="宋体" w:cs="宋体"/>
          <w:b/>
          <w:color w:val="auto"/>
          <w:sz w:val="24"/>
          <w:highlight w:val="none"/>
        </w:rPr>
      </w:pPr>
      <w:r>
        <w:rPr>
          <w:rFonts w:hint="eastAsia" w:ascii="宋体" w:hAnsi="宋体" w:cs="宋体"/>
          <w:b/>
          <w:color w:val="auto"/>
          <w:sz w:val="24"/>
          <w:highlight w:val="none"/>
          <w:lang w:val="zh-CN"/>
        </w:rPr>
        <w:t>注：参加本项目人员须是投标人正式职工。</w:t>
      </w:r>
    </w:p>
    <w:p w14:paraId="67B34FE1">
      <w:pPr>
        <w:spacing w:line="360" w:lineRule="auto"/>
        <w:outlineLvl w:val="9"/>
        <w:rPr>
          <w:rFonts w:ascii="宋体" w:hAnsi="宋体"/>
          <w:color w:val="auto"/>
          <w:sz w:val="24"/>
          <w:highlight w:val="none"/>
        </w:rPr>
      </w:pPr>
    </w:p>
    <w:p w14:paraId="154FBFB8">
      <w:pPr>
        <w:spacing w:before="25" w:after="25" w:line="360" w:lineRule="auto"/>
        <w:outlineLvl w:val="9"/>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21299608">
      <w:pPr>
        <w:spacing w:before="25" w:after="25" w:line="360" w:lineRule="auto"/>
        <w:outlineLvl w:val="9"/>
        <w:rPr>
          <w:color w:val="auto"/>
          <w:sz w:val="24"/>
          <w:highlight w:val="none"/>
          <w:lang w:val="zh-CN"/>
        </w:rPr>
      </w:pPr>
      <w:r>
        <w:rPr>
          <w:color w:val="auto"/>
          <w:sz w:val="24"/>
          <w:szCs w:val="20"/>
          <w:highlight w:val="none"/>
        </w:rPr>
        <w:t xml:space="preserve">日期：_____年______月______日   </w:t>
      </w:r>
    </w:p>
    <w:p w14:paraId="72D98FA7">
      <w:pPr>
        <w:outlineLvl w:val="9"/>
        <w:rPr>
          <w:color w:val="auto"/>
          <w:sz w:val="24"/>
          <w:szCs w:val="20"/>
          <w:highlight w:val="none"/>
        </w:rPr>
      </w:pPr>
      <w:r>
        <w:rPr>
          <w:color w:val="auto"/>
          <w:sz w:val="22"/>
          <w:highlight w:val="none"/>
        </w:rPr>
        <w:br w:type="page" w:clear="all"/>
      </w:r>
      <w:bookmarkStart w:id="911" w:name="_Toc288738839"/>
      <w:bookmarkStart w:id="912" w:name="_Toc288738397"/>
      <w:r>
        <w:rPr>
          <w:rFonts w:hint="eastAsia"/>
          <w:color w:val="auto"/>
          <w:sz w:val="24"/>
          <w:szCs w:val="20"/>
          <w:highlight w:val="none"/>
        </w:rPr>
        <w:t>1</w:t>
      </w:r>
      <w:r>
        <w:rPr>
          <w:rFonts w:hint="eastAsia"/>
          <w:color w:val="auto"/>
          <w:sz w:val="24"/>
          <w:szCs w:val="20"/>
          <w:highlight w:val="none"/>
          <w:lang w:val="en-US" w:eastAsia="zh-CN"/>
        </w:rPr>
        <w:t>0</w:t>
      </w:r>
      <w:r>
        <w:rPr>
          <w:rFonts w:hint="eastAsia"/>
          <w:color w:val="auto"/>
          <w:sz w:val="24"/>
          <w:szCs w:val="20"/>
          <w:highlight w:val="none"/>
        </w:rPr>
        <w:t xml:space="preserve">  相关业绩案例一览表</w:t>
      </w:r>
    </w:p>
    <w:p w14:paraId="2AE59640">
      <w:pPr>
        <w:outlineLvl w:val="9"/>
        <w:rPr>
          <w:color w:val="auto"/>
          <w:sz w:val="24"/>
          <w:szCs w:val="20"/>
          <w:highlight w:val="none"/>
        </w:rPr>
      </w:pPr>
    </w:p>
    <w:p w14:paraId="609029DD">
      <w:pPr>
        <w:jc w:val="center"/>
        <w:outlineLvl w:val="9"/>
        <w:rPr>
          <w:rFonts w:ascii="宋体" w:hAnsi="宋体"/>
          <w:b/>
          <w:color w:val="auto"/>
          <w:sz w:val="32"/>
          <w:szCs w:val="32"/>
          <w:highlight w:val="none"/>
        </w:rPr>
      </w:pPr>
      <w:r>
        <w:rPr>
          <w:rFonts w:hint="eastAsia" w:ascii="宋体" w:hAnsi="宋体"/>
          <w:b/>
          <w:color w:val="auto"/>
          <w:sz w:val="32"/>
          <w:szCs w:val="32"/>
          <w:highlight w:val="none"/>
        </w:rPr>
        <w:t>相关业绩案例一览表</w:t>
      </w:r>
      <w:bookmarkEnd w:id="911"/>
      <w:bookmarkEnd w:id="912"/>
    </w:p>
    <w:p w14:paraId="5D03E6BC">
      <w:pPr>
        <w:spacing w:line="360" w:lineRule="auto"/>
        <w:jc w:val="center"/>
        <w:outlineLvl w:val="9"/>
        <w:rPr>
          <w:rFonts w:ascii="宋体" w:hAnsi="宋体"/>
          <w:b/>
          <w:color w:val="auto"/>
          <w:sz w:val="28"/>
          <w:szCs w:val="30"/>
          <w:highlight w:val="none"/>
        </w:rPr>
      </w:pPr>
    </w:p>
    <w:p w14:paraId="7E74A178">
      <w:pPr>
        <w:spacing w:line="360" w:lineRule="auto"/>
        <w:ind w:firstLine="480"/>
        <w:outlineLvl w:val="9"/>
        <w:rPr>
          <w:rFonts w:ascii="宋体" w:hAnsi="宋体" w:cs="宋体"/>
          <w:color w:val="auto"/>
          <w:sz w:val="24"/>
          <w:highlight w:val="none"/>
        </w:rPr>
      </w:pPr>
      <w:r>
        <w:rPr>
          <w:rFonts w:hint="eastAsia" w:ascii="宋体" w:hAnsi="宋体" w:cs="宋体"/>
          <w:color w:val="auto"/>
          <w:sz w:val="24"/>
          <w:highlight w:val="none"/>
        </w:rPr>
        <w:t>项目编号：</w:t>
      </w:r>
      <w:r>
        <w:rPr>
          <w:rFonts w:hint="eastAsia" w:ascii="宋体" w:hAnsi="宋体" w:cs="宋体"/>
          <w:color w:val="auto"/>
          <w:sz w:val="24"/>
          <w:highlight w:val="none"/>
          <w:u w:val="single"/>
        </w:rPr>
        <w:t xml:space="preserve">                   </w:t>
      </w:r>
    </w:p>
    <w:tbl>
      <w:tblPr>
        <w:tblStyle w:val="33"/>
        <w:tblW w:w="0" w:type="auto"/>
        <w:jc w:val="center"/>
        <w:tblLayout w:type="fixed"/>
        <w:tblCellMar>
          <w:top w:w="0" w:type="dxa"/>
          <w:left w:w="108" w:type="dxa"/>
          <w:bottom w:w="0" w:type="dxa"/>
          <w:right w:w="108" w:type="dxa"/>
        </w:tblCellMar>
      </w:tblPr>
      <w:tblGrid>
        <w:gridCol w:w="1284"/>
        <w:gridCol w:w="1681"/>
        <w:gridCol w:w="1521"/>
        <w:gridCol w:w="1198"/>
        <w:gridCol w:w="1730"/>
        <w:gridCol w:w="1597"/>
      </w:tblGrid>
      <w:tr w14:paraId="70099FD1">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7D241F05">
            <w:pPr>
              <w:tabs>
                <w:tab w:val="left" w:pos="9765"/>
              </w:tabs>
              <w:spacing w:line="360" w:lineRule="auto"/>
              <w:jc w:val="center"/>
              <w:outlineLvl w:val="9"/>
              <w:rPr>
                <w:rFonts w:ascii="宋体" w:hAnsi="宋体" w:cs="宋体"/>
                <w:color w:val="auto"/>
                <w:sz w:val="24"/>
                <w:highlight w:val="none"/>
                <w:lang w:val="zh-CN"/>
              </w:rPr>
            </w:pPr>
            <w:r>
              <w:rPr>
                <w:rFonts w:hint="eastAsia" w:ascii="宋体" w:hAnsi="宋体" w:cs="宋体"/>
                <w:color w:val="auto"/>
                <w:sz w:val="24"/>
                <w:highlight w:val="none"/>
                <w:lang w:val="zh-CN"/>
              </w:rPr>
              <w:t>项目时间</w:t>
            </w: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5D074DA8">
            <w:pPr>
              <w:tabs>
                <w:tab w:val="left" w:pos="9765"/>
              </w:tabs>
              <w:spacing w:line="360" w:lineRule="auto"/>
              <w:jc w:val="center"/>
              <w:outlineLvl w:val="9"/>
              <w:rPr>
                <w:rFonts w:ascii="宋体" w:hAnsi="宋体" w:cs="宋体"/>
                <w:color w:val="auto"/>
                <w:sz w:val="24"/>
                <w:highlight w:val="none"/>
                <w:lang w:val="zh-CN"/>
              </w:rPr>
            </w:pPr>
            <w:r>
              <w:rPr>
                <w:rFonts w:hint="eastAsia" w:ascii="宋体" w:hAnsi="宋体" w:cs="宋体"/>
                <w:color w:val="auto"/>
                <w:sz w:val="24"/>
                <w:highlight w:val="none"/>
                <w:lang w:val="zh-CN"/>
              </w:rPr>
              <w:t>项目甲方单位</w:t>
            </w: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76960E5B">
            <w:pPr>
              <w:tabs>
                <w:tab w:val="left" w:pos="9765"/>
              </w:tabs>
              <w:spacing w:line="360" w:lineRule="auto"/>
              <w:jc w:val="center"/>
              <w:outlineLvl w:val="9"/>
              <w:rPr>
                <w:rFonts w:ascii="宋体" w:hAnsi="宋体" w:cs="宋体"/>
                <w:color w:val="auto"/>
                <w:sz w:val="24"/>
                <w:highlight w:val="none"/>
                <w:lang w:val="zh-CN"/>
              </w:rPr>
            </w:pPr>
            <w:r>
              <w:rPr>
                <w:rFonts w:hint="eastAsia" w:ascii="宋体" w:hAnsi="宋体" w:cs="宋体"/>
                <w:color w:val="auto"/>
                <w:sz w:val="24"/>
                <w:highlight w:val="none"/>
                <w:lang w:val="zh-CN"/>
              </w:rPr>
              <w:t>项目名称</w:t>
            </w: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4668F017">
            <w:pPr>
              <w:tabs>
                <w:tab w:val="left" w:pos="9765"/>
              </w:tabs>
              <w:spacing w:line="360" w:lineRule="auto"/>
              <w:jc w:val="center"/>
              <w:outlineLvl w:val="9"/>
              <w:rPr>
                <w:rFonts w:ascii="宋体" w:hAnsi="宋体" w:cs="宋体"/>
                <w:color w:val="auto"/>
                <w:sz w:val="24"/>
                <w:highlight w:val="none"/>
                <w:lang w:val="zh-CN"/>
              </w:rPr>
            </w:pPr>
            <w:r>
              <w:rPr>
                <w:rFonts w:hint="eastAsia" w:ascii="宋体" w:hAnsi="宋体" w:cs="宋体"/>
                <w:color w:val="auto"/>
                <w:sz w:val="24"/>
                <w:highlight w:val="none"/>
                <w:lang w:val="zh-CN"/>
              </w:rPr>
              <w:t>合同金额</w:t>
            </w: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29AB44E2">
            <w:pPr>
              <w:tabs>
                <w:tab w:val="left" w:pos="9765"/>
              </w:tabs>
              <w:spacing w:line="360" w:lineRule="auto"/>
              <w:jc w:val="center"/>
              <w:outlineLvl w:val="9"/>
              <w:rPr>
                <w:rFonts w:ascii="宋体" w:hAnsi="宋体" w:cs="宋体"/>
                <w:color w:val="auto"/>
                <w:sz w:val="24"/>
                <w:highlight w:val="none"/>
                <w:lang w:val="zh-CN"/>
              </w:rPr>
            </w:pPr>
            <w:r>
              <w:rPr>
                <w:rFonts w:hint="eastAsia" w:ascii="宋体" w:hAnsi="宋体" w:cs="宋体"/>
                <w:color w:val="auto"/>
                <w:sz w:val="24"/>
                <w:highlight w:val="none"/>
                <w:lang w:val="zh-CN"/>
              </w:rPr>
              <w:t>单位地址</w:t>
            </w: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23EE45B1">
            <w:pPr>
              <w:tabs>
                <w:tab w:val="left" w:pos="9765"/>
              </w:tabs>
              <w:spacing w:line="360" w:lineRule="auto"/>
              <w:jc w:val="center"/>
              <w:outlineLvl w:val="9"/>
              <w:rPr>
                <w:rFonts w:ascii="宋体" w:hAnsi="宋体" w:cs="宋体"/>
                <w:color w:val="auto"/>
                <w:sz w:val="24"/>
                <w:highlight w:val="none"/>
                <w:lang w:val="zh-CN"/>
              </w:rPr>
            </w:pPr>
            <w:r>
              <w:rPr>
                <w:rFonts w:hint="eastAsia" w:ascii="宋体" w:hAnsi="宋体" w:cs="宋体"/>
                <w:color w:val="auto"/>
                <w:sz w:val="24"/>
                <w:highlight w:val="none"/>
                <w:lang w:val="zh-CN"/>
              </w:rPr>
              <w:t>联系电话</w:t>
            </w:r>
          </w:p>
        </w:tc>
      </w:tr>
      <w:tr w14:paraId="7B4A323D">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2005F021">
            <w:pPr>
              <w:tabs>
                <w:tab w:val="left" w:pos="9765"/>
              </w:tabs>
              <w:spacing w:line="360" w:lineRule="auto"/>
              <w:jc w:val="center"/>
              <w:outlineLvl w:val="9"/>
              <w:rPr>
                <w:rFonts w:ascii="宋体" w:hAnsi="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5212C627">
            <w:pPr>
              <w:tabs>
                <w:tab w:val="left" w:pos="9765"/>
              </w:tabs>
              <w:spacing w:line="360" w:lineRule="auto"/>
              <w:jc w:val="center"/>
              <w:outlineLvl w:val="9"/>
              <w:rPr>
                <w:rFonts w:ascii="宋体" w:hAnsi="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6F43C73E">
            <w:pPr>
              <w:tabs>
                <w:tab w:val="left" w:pos="9765"/>
              </w:tabs>
              <w:spacing w:line="360" w:lineRule="auto"/>
              <w:jc w:val="center"/>
              <w:outlineLvl w:val="9"/>
              <w:rPr>
                <w:rFonts w:ascii="宋体" w:hAnsi="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6AA32FBF">
            <w:pPr>
              <w:tabs>
                <w:tab w:val="left" w:pos="9765"/>
              </w:tabs>
              <w:spacing w:line="360" w:lineRule="auto"/>
              <w:jc w:val="center"/>
              <w:outlineLvl w:val="9"/>
              <w:rPr>
                <w:rFonts w:ascii="宋体" w:hAnsi="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1FADD9BA">
            <w:pPr>
              <w:tabs>
                <w:tab w:val="left" w:pos="9765"/>
              </w:tabs>
              <w:spacing w:line="360" w:lineRule="auto"/>
              <w:ind w:hanging="523"/>
              <w:jc w:val="center"/>
              <w:outlineLvl w:val="9"/>
              <w:rPr>
                <w:rFonts w:ascii="宋体" w:hAnsi="宋体"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6487685A">
            <w:pPr>
              <w:tabs>
                <w:tab w:val="left" w:pos="9765"/>
              </w:tabs>
              <w:spacing w:line="360" w:lineRule="auto"/>
              <w:ind w:hanging="523"/>
              <w:jc w:val="center"/>
              <w:outlineLvl w:val="9"/>
              <w:rPr>
                <w:rFonts w:ascii="宋体" w:hAnsi="宋体" w:cs="宋体"/>
                <w:color w:val="auto"/>
                <w:sz w:val="24"/>
                <w:highlight w:val="none"/>
              </w:rPr>
            </w:pPr>
          </w:p>
        </w:tc>
      </w:tr>
      <w:tr w14:paraId="4621DC80">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2E933CCF">
            <w:pPr>
              <w:tabs>
                <w:tab w:val="left" w:pos="9765"/>
              </w:tabs>
              <w:spacing w:line="360" w:lineRule="auto"/>
              <w:outlineLvl w:val="9"/>
              <w:rPr>
                <w:rFonts w:ascii="宋体" w:hAnsi="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52BB9AFF">
            <w:pPr>
              <w:tabs>
                <w:tab w:val="left" w:pos="9765"/>
              </w:tabs>
              <w:spacing w:line="360" w:lineRule="auto"/>
              <w:outlineLvl w:val="9"/>
              <w:rPr>
                <w:rFonts w:ascii="宋体" w:hAnsi="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E00E112">
            <w:pPr>
              <w:tabs>
                <w:tab w:val="left" w:pos="9765"/>
              </w:tabs>
              <w:spacing w:line="360" w:lineRule="auto"/>
              <w:outlineLvl w:val="9"/>
              <w:rPr>
                <w:rFonts w:ascii="宋体" w:hAnsi="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71021227">
            <w:pPr>
              <w:tabs>
                <w:tab w:val="left" w:pos="9765"/>
              </w:tabs>
              <w:spacing w:line="360" w:lineRule="auto"/>
              <w:outlineLvl w:val="9"/>
              <w:rPr>
                <w:rFonts w:ascii="宋体" w:hAnsi="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33FF4626">
            <w:pPr>
              <w:tabs>
                <w:tab w:val="left" w:pos="9765"/>
              </w:tabs>
              <w:spacing w:line="360" w:lineRule="auto"/>
              <w:outlineLvl w:val="9"/>
              <w:rPr>
                <w:rFonts w:ascii="宋体" w:hAnsi="宋体"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5E304068">
            <w:pPr>
              <w:tabs>
                <w:tab w:val="left" w:pos="9765"/>
              </w:tabs>
              <w:spacing w:line="360" w:lineRule="auto"/>
              <w:outlineLvl w:val="9"/>
              <w:rPr>
                <w:rFonts w:ascii="宋体" w:hAnsi="宋体" w:cs="宋体"/>
                <w:color w:val="auto"/>
                <w:sz w:val="24"/>
                <w:highlight w:val="none"/>
              </w:rPr>
            </w:pPr>
          </w:p>
        </w:tc>
      </w:tr>
      <w:tr w14:paraId="3931B774">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1E2899A1">
            <w:pPr>
              <w:tabs>
                <w:tab w:val="left" w:pos="9765"/>
              </w:tabs>
              <w:spacing w:line="360" w:lineRule="auto"/>
              <w:outlineLvl w:val="9"/>
              <w:rPr>
                <w:rFonts w:ascii="宋体" w:hAnsi="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6AB6360F">
            <w:pPr>
              <w:tabs>
                <w:tab w:val="left" w:pos="9765"/>
              </w:tabs>
              <w:spacing w:line="360" w:lineRule="auto"/>
              <w:outlineLvl w:val="9"/>
              <w:rPr>
                <w:rFonts w:ascii="宋体" w:hAnsi="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0BA60D91">
            <w:pPr>
              <w:tabs>
                <w:tab w:val="left" w:pos="9765"/>
              </w:tabs>
              <w:spacing w:line="360" w:lineRule="auto"/>
              <w:outlineLvl w:val="9"/>
              <w:rPr>
                <w:rFonts w:ascii="宋体" w:hAnsi="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655AD60D">
            <w:pPr>
              <w:tabs>
                <w:tab w:val="left" w:pos="9765"/>
              </w:tabs>
              <w:spacing w:line="360" w:lineRule="auto"/>
              <w:outlineLvl w:val="9"/>
              <w:rPr>
                <w:rFonts w:ascii="宋体" w:hAnsi="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337C09AA">
            <w:pPr>
              <w:tabs>
                <w:tab w:val="left" w:pos="9765"/>
              </w:tabs>
              <w:spacing w:line="360" w:lineRule="auto"/>
              <w:outlineLvl w:val="9"/>
              <w:rPr>
                <w:rFonts w:ascii="宋体" w:hAnsi="宋体"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3A5BA0B5">
            <w:pPr>
              <w:tabs>
                <w:tab w:val="left" w:pos="9765"/>
              </w:tabs>
              <w:spacing w:line="360" w:lineRule="auto"/>
              <w:outlineLvl w:val="9"/>
              <w:rPr>
                <w:rFonts w:ascii="宋体" w:hAnsi="宋体" w:cs="宋体"/>
                <w:color w:val="auto"/>
                <w:sz w:val="24"/>
                <w:highlight w:val="none"/>
              </w:rPr>
            </w:pPr>
          </w:p>
        </w:tc>
      </w:tr>
      <w:tr w14:paraId="649C2F9F">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3E4B1DA5">
            <w:pPr>
              <w:tabs>
                <w:tab w:val="left" w:pos="9765"/>
              </w:tabs>
              <w:spacing w:line="360" w:lineRule="auto"/>
              <w:outlineLvl w:val="9"/>
              <w:rPr>
                <w:rFonts w:ascii="宋体" w:hAnsi="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5C1623FF">
            <w:pPr>
              <w:tabs>
                <w:tab w:val="left" w:pos="9765"/>
              </w:tabs>
              <w:spacing w:line="360" w:lineRule="auto"/>
              <w:outlineLvl w:val="9"/>
              <w:rPr>
                <w:rFonts w:ascii="宋体" w:hAnsi="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191EF8B">
            <w:pPr>
              <w:tabs>
                <w:tab w:val="left" w:pos="9765"/>
              </w:tabs>
              <w:spacing w:line="360" w:lineRule="auto"/>
              <w:outlineLvl w:val="9"/>
              <w:rPr>
                <w:rFonts w:ascii="宋体" w:hAnsi="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1B27CEA8">
            <w:pPr>
              <w:tabs>
                <w:tab w:val="left" w:pos="9765"/>
              </w:tabs>
              <w:spacing w:line="360" w:lineRule="auto"/>
              <w:outlineLvl w:val="9"/>
              <w:rPr>
                <w:rFonts w:ascii="宋体" w:hAnsi="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1F4A7667">
            <w:pPr>
              <w:tabs>
                <w:tab w:val="left" w:pos="9765"/>
              </w:tabs>
              <w:spacing w:line="360" w:lineRule="auto"/>
              <w:outlineLvl w:val="9"/>
              <w:rPr>
                <w:rFonts w:ascii="宋体" w:hAnsi="宋体"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61540BDF">
            <w:pPr>
              <w:tabs>
                <w:tab w:val="left" w:pos="9765"/>
              </w:tabs>
              <w:spacing w:line="360" w:lineRule="auto"/>
              <w:outlineLvl w:val="9"/>
              <w:rPr>
                <w:rFonts w:ascii="宋体" w:hAnsi="宋体" w:cs="宋体"/>
                <w:color w:val="auto"/>
                <w:sz w:val="24"/>
                <w:highlight w:val="none"/>
              </w:rPr>
            </w:pPr>
          </w:p>
        </w:tc>
      </w:tr>
      <w:tr w14:paraId="16EAE781">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2DD8E868">
            <w:pPr>
              <w:tabs>
                <w:tab w:val="left" w:pos="9765"/>
              </w:tabs>
              <w:spacing w:line="360" w:lineRule="auto"/>
              <w:outlineLvl w:val="9"/>
              <w:rPr>
                <w:rFonts w:ascii="宋体" w:hAnsi="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5323C4A6">
            <w:pPr>
              <w:tabs>
                <w:tab w:val="left" w:pos="9765"/>
              </w:tabs>
              <w:spacing w:line="360" w:lineRule="auto"/>
              <w:outlineLvl w:val="9"/>
              <w:rPr>
                <w:rFonts w:ascii="宋体" w:hAnsi="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0BD3377">
            <w:pPr>
              <w:tabs>
                <w:tab w:val="left" w:pos="9765"/>
              </w:tabs>
              <w:spacing w:line="360" w:lineRule="auto"/>
              <w:outlineLvl w:val="9"/>
              <w:rPr>
                <w:rFonts w:ascii="宋体" w:hAnsi="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76C50FCA">
            <w:pPr>
              <w:tabs>
                <w:tab w:val="left" w:pos="9765"/>
              </w:tabs>
              <w:spacing w:line="360" w:lineRule="auto"/>
              <w:outlineLvl w:val="9"/>
              <w:rPr>
                <w:rFonts w:ascii="宋体" w:hAnsi="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6AC7E433">
            <w:pPr>
              <w:tabs>
                <w:tab w:val="left" w:pos="9765"/>
              </w:tabs>
              <w:spacing w:line="360" w:lineRule="auto"/>
              <w:outlineLvl w:val="9"/>
              <w:rPr>
                <w:rFonts w:ascii="宋体" w:hAnsi="宋体"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4553645A">
            <w:pPr>
              <w:tabs>
                <w:tab w:val="left" w:pos="9765"/>
              </w:tabs>
              <w:spacing w:line="360" w:lineRule="auto"/>
              <w:outlineLvl w:val="9"/>
              <w:rPr>
                <w:rFonts w:ascii="宋体" w:hAnsi="宋体" w:cs="宋体"/>
                <w:color w:val="auto"/>
                <w:sz w:val="24"/>
                <w:highlight w:val="none"/>
              </w:rPr>
            </w:pPr>
          </w:p>
        </w:tc>
      </w:tr>
      <w:tr w14:paraId="1DAA4C31">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55EDF64C">
            <w:pPr>
              <w:tabs>
                <w:tab w:val="left" w:pos="9765"/>
              </w:tabs>
              <w:spacing w:line="360" w:lineRule="auto"/>
              <w:outlineLvl w:val="9"/>
              <w:rPr>
                <w:rFonts w:ascii="宋体" w:hAnsi="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16D48E9B">
            <w:pPr>
              <w:tabs>
                <w:tab w:val="left" w:pos="9765"/>
              </w:tabs>
              <w:spacing w:line="360" w:lineRule="auto"/>
              <w:outlineLvl w:val="9"/>
              <w:rPr>
                <w:rFonts w:ascii="宋体" w:hAnsi="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015602A3">
            <w:pPr>
              <w:tabs>
                <w:tab w:val="left" w:pos="9765"/>
              </w:tabs>
              <w:spacing w:line="360" w:lineRule="auto"/>
              <w:outlineLvl w:val="9"/>
              <w:rPr>
                <w:rFonts w:ascii="宋体" w:hAnsi="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36CF6418">
            <w:pPr>
              <w:tabs>
                <w:tab w:val="left" w:pos="9765"/>
              </w:tabs>
              <w:spacing w:line="360" w:lineRule="auto"/>
              <w:outlineLvl w:val="9"/>
              <w:rPr>
                <w:rFonts w:ascii="宋体" w:hAnsi="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0F6E621B">
            <w:pPr>
              <w:tabs>
                <w:tab w:val="left" w:pos="9765"/>
              </w:tabs>
              <w:spacing w:line="360" w:lineRule="auto"/>
              <w:outlineLvl w:val="9"/>
              <w:rPr>
                <w:rFonts w:ascii="宋体" w:hAnsi="宋体"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2452888C">
            <w:pPr>
              <w:tabs>
                <w:tab w:val="left" w:pos="9765"/>
              </w:tabs>
              <w:spacing w:line="360" w:lineRule="auto"/>
              <w:outlineLvl w:val="9"/>
              <w:rPr>
                <w:rFonts w:ascii="宋体" w:hAnsi="宋体" w:cs="宋体"/>
                <w:color w:val="auto"/>
                <w:sz w:val="24"/>
                <w:highlight w:val="none"/>
              </w:rPr>
            </w:pPr>
          </w:p>
        </w:tc>
      </w:tr>
      <w:tr w14:paraId="2BCB8B6E">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2E5707C4">
            <w:pPr>
              <w:tabs>
                <w:tab w:val="left" w:pos="9765"/>
              </w:tabs>
              <w:spacing w:line="360" w:lineRule="auto"/>
              <w:outlineLvl w:val="9"/>
              <w:rPr>
                <w:rFonts w:ascii="宋体" w:hAnsi="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3AA312CE">
            <w:pPr>
              <w:tabs>
                <w:tab w:val="left" w:pos="9765"/>
              </w:tabs>
              <w:spacing w:line="360" w:lineRule="auto"/>
              <w:outlineLvl w:val="9"/>
              <w:rPr>
                <w:rFonts w:ascii="宋体" w:hAnsi="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47BA529F">
            <w:pPr>
              <w:tabs>
                <w:tab w:val="left" w:pos="9765"/>
              </w:tabs>
              <w:spacing w:line="360" w:lineRule="auto"/>
              <w:outlineLvl w:val="9"/>
              <w:rPr>
                <w:rFonts w:ascii="宋体" w:hAnsi="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75FE2CDF">
            <w:pPr>
              <w:tabs>
                <w:tab w:val="left" w:pos="9765"/>
              </w:tabs>
              <w:spacing w:line="360" w:lineRule="auto"/>
              <w:outlineLvl w:val="9"/>
              <w:rPr>
                <w:rFonts w:ascii="宋体" w:hAnsi="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5DDEF433">
            <w:pPr>
              <w:tabs>
                <w:tab w:val="left" w:pos="9765"/>
              </w:tabs>
              <w:spacing w:line="360" w:lineRule="auto"/>
              <w:outlineLvl w:val="9"/>
              <w:rPr>
                <w:rFonts w:ascii="宋体" w:hAnsi="宋体"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69F85137">
            <w:pPr>
              <w:tabs>
                <w:tab w:val="left" w:pos="9765"/>
              </w:tabs>
              <w:spacing w:line="360" w:lineRule="auto"/>
              <w:outlineLvl w:val="9"/>
              <w:rPr>
                <w:rFonts w:ascii="宋体" w:hAnsi="宋体" w:cs="宋体"/>
                <w:color w:val="auto"/>
                <w:sz w:val="24"/>
                <w:highlight w:val="none"/>
              </w:rPr>
            </w:pPr>
          </w:p>
        </w:tc>
      </w:tr>
      <w:tr w14:paraId="73D9A44F">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6984F2D5">
            <w:pPr>
              <w:tabs>
                <w:tab w:val="left" w:pos="9765"/>
              </w:tabs>
              <w:spacing w:line="360" w:lineRule="auto"/>
              <w:outlineLvl w:val="9"/>
              <w:rPr>
                <w:rFonts w:ascii="宋体" w:hAnsi="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5D3A5387">
            <w:pPr>
              <w:tabs>
                <w:tab w:val="left" w:pos="9765"/>
              </w:tabs>
              <w:spacing w:line="360" w:lineRule="auto"/>
              <w:outlineLvl w:val="9"/>
              <w:rPr>
                <w:rFonts w:ascii="宋体" w:hAnsi="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79FB009A">
            <w:pPr>
              <w:tabs>
                <w:tab w:val="left" w:pos="9765"/>
              </w:tabs>
              <w:spacing w:line="360" w:lineRule="auto"/>
              <w:outlineLvl w:val="9"/>
              <w:rPr>
                <w:rFonts w:ascii="宋体" w:hAnsi="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15B23565">
            <w:pPr>
              <w:tabs>
                <w:tab w:val="left" w:pos="9765"/>
              </w:tabs>
              <w:spacing w:line="360" w:lineRule="auto"/>
              <w:outlineLvl w:val="9"/>
              <w:rPr>
                <w:rFonts w:ascii="宋体" w:hAnsi="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71547044">
            <w:pPr>
              <w:tabs>
                <w:tab w:val="left" w:pos="9765"/>
              </w:tabs>
              <w:spacing w:line="360" w:lineRule="auto"/>
              <w:outlineLvl w:val="9"/>
              <w:rPr>
                <w:rFonts w:ascii="宋体" w:hAnsi="宋体"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45D354E8">
            <w:pPr>
              <w:tabs>
                <w:tab w:val="left" w:pos="9765"/>
              </w:tabs>
              <w:spacing w:line="360" w:lineRule="auto"/>
              <w:outlineLvl w:val="9"/>
              <w:rPr>
                <w:rFonts w:ascii="宋体" w:hAnsi="宋体" w:cs="宋体"/>
                <w:color w:val="auto"/>
                <w:sz w:val="24"/>
                <w:highlight w:val="none"/>
              </w:rPr>
            </w:pPr>
          </w:p>
        </w:tc>
      </w:tr>
      <w:tr w14:paraId="137C5C17">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733BD9CF">
            <w:pPr>
              <w:tabs>
                <w:tab w:val="left" w:pos="9765"/>
              </w:tabs>
              <w:spacing w:line="360" w:lineRule="auto"/>
              <w:outlineLvl w:val="9"/>
              <w:rPr>
                <w:rFonts w:ascii="宋体" w:hAnsi="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70DDEEC6">
            <w:pPr>
              <w:tabs>
                <w:tab w:val="left" w:pos="9765"/>
              </w:tabs>
              <w:spacing w:line="360" w:lineRule="auto"/>
              <w:outlineLvl w:val="9"/>
              <w:rPr>
                <w:rFonts w:ascii="宋体" w:hAnsi="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4CBC5A91">
            <w:pPr>
              <w:tabs>
                <w:tab w:val="left" w:pos="9765"/>
              </w:tabs>
              <w:spacing w:line="360" w:lineRule="auto"/>
              <w:outlineLvl w:val="9"/>
              <w:rPr>
                <w:rFonts w:ascii="宋体" w:hAnsi="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72A261A4">
            <w:pPr>
              <w:tabs>
                <w:tab w:val="left" w:pos="9765"/>
              </w:tabs>
              <w:spacing w:line="360" w:lineRule="auto"/>
              <w:outlineLvl w:val="9"/>
              <w:rPr>
                <w:rFonts w:ascii="宋体" w:hAnsi="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3BD4E3C3">
            <w:pPr>
              <w:tabs>
                <w:tab w:val="left" w:pos="9765"/>
              </w:tabs>
              <w:spacing w:line="360" w:lineRule="auto"/>
              <w:outlineLvl w:val="9"/>
              <w:rPr>
                <w:rFonts w:ascii="宋体" w:hAnsi="宋体"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6BFAD853">
            <w:pPr>
              <w:tabs>
                <w:tab w:val="left" w:pos="9765"/>
              </w:tabs>
              <w:spacing w:line="360" w:lineRule="auto"/>
              <w:outlineLvl w:val="9"/>
              <w:rPr>
                <w:rFonts w:ascii="宋体" w:hAnsi="宋体" w:cs="宋体"/>
                <w:color w:val="auto"/>
                <w:sz w:val="24"/>
                <w:highlight w:val="none"/>
              </w:rPr>
            </w:pPr>
          </w:p>
        </w:tc>
      </w:tr>
    </w:tbl>
    <w:p w14:paraId="61812BCB">
      <w:pPr>
        <w:tabs>
          <w:tab w:val="left" w:pos="9765"/>
        </w:tabs>
        <w:outlineLvl w:val="9"/>
        <w:rPr>
          <w:rFonts w:ascii="宋体" w:hAnsi="宋体" w:cs="宋体"/>
          <w:color w:val="auto"/>
          <w:sz w:val="24"/>
          <w:highlight w:val="none"/>
          <w:lang w:val="zh-CN"/>
        </w:rPr>
      </w:pPr>
    </w:p>
    <w:p w14:paraId="382D1DBF">
      <w:pPr>
        <w:spacing w:line="360" w:lineRule="auto"/>
        <w:outlineLvl w:val="9"/>
        <w:rPr>
          <w:rFonts w:ascii="宋体" w:hAnsi="宋体" w:cs="宋体"/>
          <w:color w:val="auto"/>
          <w:sz w:val="24"/>
          <w:highlight w:val="none"/>
        </w:rPr>
      </w:pPr>
    </w:p>
    <w:p w14:paraId="2C6752CC">
      <w:pPr>
        <w:spacing w:before="25" w:after="25" w:line="360" w:lineRule="auto"/>
        <w:outlineLvl w:val="9"/>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568C61BA">
      <w:pPr>
        <w:spacing w:before="25" w:after="25" w:line="360" w:lineRule="auto"/>
        <w:outlineLvl w:val="9"/>
        <w:rPr>
          <w:color w:val="auto"/>
          <w:sz w:val="24"/>
          <w:highlight w:val="none"/>
          <w:lang w:val="zh-CN"/>
        </w:rPr>
      </w:pPr>
      <w:r>
        <w:rPr>
          <w:color w:val="auto"/>
          <w:sz w:val="24"/>
          <w:szCs w:val="20"/>
          <w:highlight w:val="none"/>
        </w:rPr>
        <w:t xml:space="preserve">日期：_____年______月______日   </w:t>
      </w:r>
    </w:p>
    <w:p w14:paraId="18099905">
      <w:pPr>
        <w:outlineLvl w:val="9"/>
        <w:rPr>
          <w:color w:val="auto"/>
          <w:highlight w:val="none"/>
        </w:rPr>
      </w:pPr>
    </w:p>
    <w:p w14:paraId="67A9D7C6">
      <w:pPr>
        <w:outlineLvl w:val="9"/>
        <w:rPr>
          <w:color w:val="auto"/>
          <w:highlight w:val="none"/>
        </w:rPr>
      </w:pPr>
    </w:p>
    <w:p w14:paraId="1CBC4DD8">
      <w:pPr>
        <w:outlineLvl w:val="9"/>
        <w:rPr>
          <w:color w:val="auto"/>
          <w:highlight w:val="none"/>
        </w:rPr>
      </w:pPr>
    </w:p>
    <w:p w14:paraId="747528A1">
      <w:pPr>
        <w:outlineLvl w:val="9"/>
        <w:rPr>
          <w:color w:val="auto"/>
          <w:highlight w:val="none"/>
        </w:rPr>
      </w:pPr>
    </w:p>
    <w:p w14:paraId="26520A96">
      <w:pPr>
        <w:outlineLvl w:val="9"/>
        <w:rPr>
          <w:color w:val="auto"/>
          <w:highlight w:val="none"/>
        </w:rPr>
      </w:pPr>
    </w:p>
    <w:p w14:paraId="25C6364F">
      <w:pPr>
        <w:spacing w:line="360" w:lineRule="auto"/>
        <w:outlineLvl w:val="9"/>
        <w:rPr>
          <w:rFonts w:hint="eastAsia"/>
          <w:color w:val="auto"/>
          <w:sz w:val="24"/>
          <w:szCs w:val="20"/>
          <w:highlight w:val="none"/>
        </w:rPr>
      </w:pPr>
    </w:p>
    <w:p w14:paraId="2DC4D4D2">
      <w:pPr>
        <w:spacing w:line="360" w:lineRule="auto"/>
        <w:outlineLvl w:val="9"/>
        <w:rPr>
          <w:rFonts w:hint="eastAsia"/>
          <w:color w:val="auto"/>
          <w:sz w:val="24"/>
          <w:szCs w:val="20"/>
          <w:highlight w:val="none"/>
        </w:rPr>
      </w:pPr>
    </w:p>
    <w:p w14:paraId="58D17A09">
      <w:pPr>
        <w:spacing w:line="360" w:lineRule="auto"/>
        <w:outlineLvl w:val="9"/>
        <w:rPr>
          <w:rFonts w:hint="eastAsia"/>
          <w:color w:val="auto"/>
          <w:sz w:val="24"/>
          <w:szCs w:val="20"/>
          <w:highlight w:val="none"/>
        </w:rPr>
      </w:pPr>
    </w:p>
    <w:p w14:paraId="3F264441">
      <w:pPr>
        <w:spacing w:line="360" w:lineRule="auto"/>
        <w:outlineLvl w:val="9"/>
        <w:rPr>
          <w:rFonts w:hint="eastAsia"/>
          <w:color w:val="auto"/>
          <w:sz w:val="24"/>
          <w:szCs w:val="20"/>
          <w:highlight w:val="none"/>
        </w:rPr>
      </w:pPr>
    </w:p>
    <w:p w14:paraId="0BB754C9">
      <w:pPr>
        <w:spacing w:line="360" w:lineRule="auto"/>
        <w:outlineLvl w:val="9"/>
        <w:rPr>
          <w:rFonts w:hint="eastAsia"/>
          <w:color w:val="auto"/>
          <w:sz w:val="24"/>
          <w:szCs w:val="20"/>
          <w:highlight w:val="none"/>
        </w:rPr>
      </w:pPr>
    </w:p>
    <w:p w14:paraId="2EF411BF">
      <w:pPr>
        <w:spacing w:line="360" w:lineRule="auto"/>
        <w:outlineLvl w:val="9"/>
        <w:rPr>
          <w:rFonts w:hint="eastAsia"/>
          <w:color w:val="auto"/>
          <w:sz w:val="24"/>
          <w:szCs w:val="20"/>
          <w:highlight w:val="none"/>
        </w:rPr>
      </w:pPr>
    </w:p>
    <w:p w14:paraId="2130C2F9">
      <w:pPr>
        <w:spacing w:line="360" w:lineRule="auto"/>
        <w:outlineLvl w:val="9"/>
        <w:rPr>
          <w:rFonts w:hint="eastAsia"/>
          <w:color w:val="auto"/>
          <w:sz w:val="24"/>
          <w:szCs w:val="20"/>
          <w:highlight w:val="none"/>
        </w:rPr>
      </w:pPr>
    </w:p>
    <w:p w14:paraId="27A6418E">
      <w:pPr>
        <w:spacing w:line="360" w:lineRule="auto"/>
        <w:outlineLvl w:val="9"/>
        <w:rPr>
          <w:rFonts w:hint="eastAsia"/>
          <w:color w:val="auto"/>
          <w:sz w:val="24"/>
          <w:szCs w:val="20"/>
          <w:highlight w:val="none"/>
        </w:rPr>
      </w:pPr>
    </w:p>
    <w:p w14:paraId="798D2FC8">
      <w:pPr>
        <w:spacing w:line="360" w:lineRule="auto"/>
        <w:outlineLvl w:val="9"/>
        <w:rPr>
          <w:rFonts w:hint="eastAsia"/>
          <w:color w:val="auto"/>
          <w:sz w:val="24"/>
          <w:szCs w:val="20"/>
          <w:highlight w:val="none"/>
        </w:rPr>
      </w:pPr>
    </w:p>
    <w:p w14:paraId="5AEBF01B">
      <w:pPr>
        <w:spacing w:line="360" w:lineRule="auto"/>
        <w:outlineLvl w:val="9"/>
        <w:rPr>
          <w:rFonts w:hint="eastAsia"/>
          <w:color w:val="auto"/>
          <w:sz w:val="24"/>
          <w:szCs w:val="20"/>
          <w:highlight w:val="none"/>
        </w:rPr>
      </w:pPr>
    </w:p>
    <w:p w14:paraId="426860E5">
      <w:pPr>
        <w:spacing w:line="360" w:lineRule="auto"/>
        <w:outlineLvl w:val="9"/>
        <w:rPr>
          <w:color w:val="auto"/>
          <w:sz w:val="24"/>
          <w:szCs w:val="20"/>
          <w:highlight w:val="none"/>
        </w:rPr>
      </w:pPr>
      <w:r>
        <w:rPr>
          <w:rFonts w:hint="eastAsia"/>
          <w:color w:val="auto"/>
          <w:sz w:val="24"/>
          <w:szCs w:val="20"/>
          <w:highlight w:val="none"/>
        </w:rPr>
        <w:t>1</w:t>
      </w:r>
      <w:r>
        <w:rPr>
          <w:rFonts w:hint="eastAsia"/>
          <w:color w:val="auto"/>
          <w:sz w:val="24"/>
          <w:szCs w:val="20"/>
          <w:highlight w:val="none"/>
          <w:lang w:val="en-US" w:eastAsia="zh-CN"/>
        </w:rPr>
        <w:t>1</w:t>
      </w:r>
      <w:r>
        <w:rPr>
          <w:rFonts w:hint="eastAsia"/>
          <w:color w:val="auto"/>
          <w:sz w:val="24"/>
          <w:szCs w:val="20"/>
          <w:highlight w:val="none"/>
        </w:rPr>
        <w:t xml:space="preserve">  </w:t>
      </w:r>
      <w:r>
        <w:rPr>
          <w:color w:val="auto"/>
          <w:sz w:val="24"/>
          <w:szCs w:val="20"/>
          <w:highlight w:val="none"/>
        </w:rPr>
        <w:t>招标文件要求提供或投标人认为应附的其他材料</w:t>
      </w:r>
    </w:p>
    <w:p w14:paraId="0F11BBAB">
      <w:pPr>
        <w:widowControl/>
        <w:jc w:val="left"/>
        <w:outlineLvl w:val="9"/>
        <w:rPr>
          <w:b/>
          <w:color w:val="auto"/>
          <w:sz w:val="36"/>
          <w:szCs w:val="36"/>
          <w:highlight w:val="none"/>
        </w:rPr>
      </w:pPr>
    </w:p>
    <w:sectPr>
      <w:pgSz w:w="11907" w:h="16840"/>
      <w:pgMar w:top="1418" w:right="1134" w:bottom="1418" w:left="1701" w:header="851" w:footer="851" w:gutter="0"/>
      <w:pgNumType w:fmt="decimal"/>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ˎ̥">
    <w:altName w:val="DejaVu Math TeX Gyre"/>
    <w:panose1 w:val="020B0503020202020204"/>
    <w:charset w:val="00"/>
    <w:family w:val="auto"/>
    <w:pitch w:val="default"/>
    <w:sig w:usb0="00000000" w:usb1="00000000" w:usb2="00000000" w:usb3="00000000" w:csb0="00000000" w:csb1="00000000"/>
  </w:font>
  <w:font w:name="XcGJSymbol">
    <w:altName w:val="Segoe UI Symbol"/>
    <w:panose1 w:val="02000500000000000000"/>
    <w:charset w:val="00"/>
    <w:family w:val="auto"/>
    <w:pitch w:val="default"/>
    <w:sig w:usb0="00000000" w:usb1="00000000" w:usb2="00000000" w:usb3="00000000" w:csb0="00000001" w:csb1="00000000"/>
  </w:font>
  <w:font w:name="Arial Unicode MS">
    <w:altName w:val="Arial"/>
    <w:panose1 w:val="020B0604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Tahoma">
    <w:panose1 w:val="020B0604030504040204"/>
    <w:charset w:val="00"/>
    <w:family w:val="auto"/>
    <w:pitch w:val="default"/>
    <w:sig w:usb0="E1002EFF" w:usb1="C000605B" w:usb2="00000029" w:usb3="00000000" w:csb0="200101FF" w:csb1="2028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auto"/>
    <w:pitch w:val="default"/>
    <w:sig w:usb0="00000287" w:usb1="00000000" w:usb2="00000000" w:usb3="00000000" w:csb0="2000009F" w:csb1="DFD70000"/>
  </w:font>
  <w:font w:name="方正仿宋_GB2312">
    <w:altName w:val="仿宋"/>
    <w:panose1 w:val="020B0503020202020204"/>
    <w:charset w:val="00"/>
    <w:family w:val="auto"/>
    <w:pitch w:val="default"/>
    <w:sig w:usb0="00000000" w:usb1="00000000" w:usb2="00000000" w:usb3="00000000" w:csb0="00000000" w:csb1="00000000"/>
  </w:font>
  <w:font w:name="CESI黑体-GB2312">
    <w:altName w:val="黑体"/>
    <w:panose1 w:val="020B0503020202020204"/>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MS PGothic">
    <w:panose1 w:val="020B0600070205080204"/>
    <w:charset w:val="80"/>
    <w:family w:val="auto"/>
    <w:pitch w:val="default"/>
    <w:sig w:usb0="E00002FF" w:usb1="6AC7FDFB" w:usb2="08000012" w:usb3="00000000" w:csb0="4002009F" w:csb1="DFD70000"/>
  </w:font>
  <w:font w:name="KSOF987E8EC0">
    <w:panose1 w:val="020B0704020202020204"/>
    <w:charset w:val="86"/>
    <w:family w:val="auto"/>
    <w:pitch w:val="default"/>
    <w:sig w:usb0="00000001" w:usb1="00000000" w:usb2="00000000" w:usb3="00000000" w:csb0="003E0001" w:csb1="00000000"/>
  </w:font>
  <w:font w:name="KSOFE44F9426">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 w:name="DejaVu Math TeX Gyre">
    <w:panose1 w:val="02000503000000000000"/>
    <w:charset w:val="00"/>
    <w:family w:val="auto"/>
    <w:pitch w:val="default"/>
    <w:sig w:usb0="A10000EF" w:usb1="4201F9EE" w:usb2="02000000" w:usb3="00000000" w:csb0="60000193" w:csb1="0DD40000"/>
  </w:font>
  <w:font w:name="Segoe UI Symbol">
    <w:panose1 w:val="020B0502040204020203"/>
    <w:charset w:val="00"/>
    <w:family w:val="auto"/>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5CBFAD">
    <w:pPr>
      <w:pStyle w:val="22"/>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9B84108">
                          <w:pPr>
                            <w:pStyle w:val="22"/>
                          </w:pPr>
                          <w:r>
                            <w:t xml:space="preserve">第 </w:t>
                          </w:r>
                          <w:r>
                            <w:fldChar w:fldCharType="begin"/>
                          </w:r>
                          <w:r>
                            <w:instrText xml:space="preserve"> PAGE  \* MERGEFORMAT </w:instrText>
                          </w:r>
                          <w:r>
                            <w:fldChar w:fldCharType="separate"/>
                          </w:r>
                          <w:r>
                            <w:t>2</w:t>
                          </w:r>
                          <w:r>
                            <w:fldChar w:fldCharType="end"/>
                          </w:r>
                          <w:r>
                            <w:t xml:space="preserve"> 页</w:t>
                          </w:r>
                        </w:p>
                      </w:txbxContent>
                    </wps:txbx>
                    <wps:bodyPr wrap="none" lIns="0" tIns="0" rIns="0" bIns="0" upright="0">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VjX3ssBAACcAwAADgAAAGRycy9lMm9Eb2MueG1srVPNjtMwEL4j8Q6W&#10;79RpD6sqarraVbUICQHSwgO4jt1Y8p88bpO+ALwBJy7cea4+B2Mn6cJy2QMXZzwz/ma+byab28Ea&#10;cpIRtHcNXS4qSqQTvtXu0NAvnx/erCmBxF3LjXeyoWcJ9Hb7+tWmD7Vc+c6bVkaCIA7qPjS0SynU&#10;jIHopOWw8EE6DCofLU94jQfWRt4jujVsVVU3rPexDdELCYDe3RikE2J8CaBXSgu58+JopUsjapSG&#10;J6QEnQ5At6VbpaRIH5UCmYhpKDJN5cQiaO/zybYbXh8iD50WUwv8JS0842S5dlj0CrXjiZNj1P9A&#10;WS2iB6/SQnjLRiJFEWSxrJ5p89jxIAsXlBrCVXT4f7Diw+lTJLrFTaDEcYsDv3z/dvnx6/LzK1lW&#10;q5usUB+gxsTHgKlpuPdDzp78gM5MfFDR5i9SIhhHfc9XfeWQiMiP1qv1usKQwNh8QRz29DxESG+l&#10;tyQbDY04wKIrP72HNKbOKbma8w/aGPTz2ri/HIiZPSz3PvaYrTTsh6nxvW/PyKfH2TfU4apTYt45&#10;lDavyWzE2djPxjFEfejKHuV6EO6OCZsoveUKI+xUGIdW2E0Llrfiz3vJevqptr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lY197LAQAAnAMAAA4AAAAAAAAAAQAgAAAAHgEAAGRycy9lMm9E&#10;b2MueG1sUEsFBgAAAAAGAAYAWQEAAFsFAAAAAA==&#10;">
              <v:fill on="f" focussize="0,0"/>
              <v:stroke on="f"/>
              <v:imagedata o:title=""/>
              <o:lock v:ext="edit" aspectratio="f"/>
              <v:textbox inset="0mm,0mm,0mm,0mm" style="mso-fit-shape-to-text:t;">
                <w:txbxContent>
                  <w:p w14:paraId="39B84108">
                    <w:pPr>
                      <w:pStyle w:val="22"/>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9FFE36">
    <w:pPr>
      <w:pStyle w:val="22"/>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91B1272">
                          <w:pPr>
                            <w:pStyle w:val="22"/>
                          </w:pPr>
                          <w:r>
                            <w:t xml:space="preserve">第 </w:t>
                          </w:r>
                          <w:r>
                            <w:fldChar w:fldCharType="begin"/>
                          </w:r>
                          <w:r>
                            <w:instrText xml:space="preserve"> PAGE  \* MERGEFORMAT </w:instrText>
                          </w:r>
                          <w:r>
                            <w:fldChar w:fldCharType="separate"/>
                          </w:r>
                          <w:r>
                            <w:t>1</w:t>
                          </w:r>
                          <w:r>
                            <w:fldChar w:fldCharType="end"/>
                          </w:r>
                          <w:r>
                            <w:t xml:space="preserve"> 页</w:t>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kgL3ssBAACcAwAADgAAAGRycy9lMm9Eb2MueG1srVNLbtswEN0XyB0I&#10;7mPKAloYguUggZEiQNAWSHsAmqIsAvyBQ1vyBdobdNVN9z2Xz9EhJTltusmiG2o4M3wz781ofTMY&#10;TY4ygHK2pstFQYm0wjXK7mv65fP99YoSiNw2XDsra3qSQG82V2/Wva9k6TqnGxkIglioel/TLkZf&#10;MQaik4bDwnlpMdi6YHjEa9izJvAe0Y1mZVG8Y70LjQ9OSAD0bscgnRDDawBd2yoht04cjLRxRA1S&#10;84iUoFMe6CZ327ZSxI9tCzISXVNkGvOJRdDepZNt1rzaB+47JaYW+GtaeMHJcGWx6AVqyyMnh6D+&#10;gTJKBAeujQvhDBuJZEWQxbJ4oc1Tx73MXFBq8BfR4f/Big/HT4GopqYlJZYbHPj5+7fzj1/nn1/J&#10;sijfJoV6DxUmPnlMjcOdG3BvZj+gMxEf2mDSFykRjKO+p4u+cohEpEercrUqMCQwNl8Qnz0/9wHi&#10;e+kMSUZNAw4w68qPjxDH1DklVbPuXmmdh6jtXw7ETB6Weh97TFYcdsNEaOeaE/LpcfY1tbjqlOgH&#10;i9KmNZmNMBu72Tj4oPZd3qNUD/ztIWITubdUYYSdCuPQMrtpwdJW/HnPWc8/1eY3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FZIC97LAQAAnAMAAA4AAAAAAAAAAQAgAAAAHgEAAGRycy9lMm9E&#10;b2MueG1sUEsFBgAAAAAGAAYAWQEAAFsFAAAAAA==&#10;">
              <v:fill on="f" focussize="0,0"/>
              <v:stroke on="f"/>
              <v:imagedata o:title=""/>
              <o:lock v:ext="edit" aspectratio="f"/>
              <v:textbox inset="0mm,0mm,0mm,0mm" style="mso-fit-shape-to-text:t;">
                <w:txbxContent>
                  <w:p w14:paraId="491B1272">
                    <w:pPr>
                      <w:pStyle w:val="22"/>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67E5B5">
    <w:pPr>
      <w:pStyle w:val="236"/>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0A612E9">
                          <w:pPr>
                            <w:pStyle w:val="22"/>
                          </w:pPr>
                          <w:r>
                            <w:t xml:space="preserve">第 </w:t>
                          </w:r>
                          <w:r>
                            <w:fldChar w:fldCharType="begin"/>
                          </w:r>
                          <w:r>
                            <w:instrText xml:space="preserve"> PAGE  \* MERGEFORMAT </w:instrText>
                          </w:r>
                          <w:r>
                            <w:fldChar w:fldCharType="separate"/>
                          </w:r>
                          <w:r>
                            <w:t>2</w:t>
                          </w:r>
                          <w:r>
                            <w:fldChar w:fldCharType="end"/>
                          </w:r>
                          <w:r>
                            <w:t xml:space="preserve"> 页</w:t>
                          </w:r>
                        </w:p>
                      </w:txbxContent>
                    </wps:txbx>
                    <wps:bodyPr wrap="none" lIns="0" tIns="0" rIns="0" bIns="0" upright="0">
                      <a:spAutoFit/>
                    </wps:bodyPr>
                  </wps:wsp>
                </a:graphicData>
              </a:graphic>
            </wp:anchor>
          </w:drawing>
        </mc:Choice>
        <mc:Fallback>
          <w:pict>
            <v:shape id="文本框 1028"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HlH38sBAACcAwAADgAAAGRycy9lMm9Eb2MueG1srVNLbtswEN0XyB0I&#10;7mPKLlAIguUggZEiQNAWSHsAmqIsAvyBQ1vyBdobdNVN9z2Xz9EhJTltusmiG2o4M3wz781ofTMY&#10;TY4ygHK2pstFQYm0wjXK7mv65fP9dUkJRG4brp2VNT1JoDebqzfr3ldy5TqnGxkIglioel/TLkZf&#10;MQaik4bDwnlpMdi6YHjEa9izJvAe0Y1mq6J4x3oXGh+ckADo3Y5BOiGG1wC6tlVCbp04GGnjiBqk&#10;5hEpQac80E3utm2liB/bFmQkuqbINOYTi6C9SyfbrHm1D9x3Skwt8Ne08IKT4cpi0QvUlkdODkH9&#10;A2WUCA5cGxfCGTYSyYogi2XxQpunjnuZuaDU4C+iw/+DFR+OnwJRTU3fUmK5wYGfv387//h1/vmV&#10;LItVmRTqPVSY+OQxNQ53bsC9mf2AzkR8aINJX6REMI76ni76yiESkR6Vq7IsMCQwNl8Qnz0/9wHi&#10;e+kMSUZNAw4w68qPjxDH1DklVbPuXmmdh6jtXw7ETB6Weh97TFYcdsNEaOeaE/LpcfY1tbjqlOgH&#10;i9KmNZmNMBu72Tj4oPZd3qNUD/ztIWITubdUYYSdCuPQMrtpwdJW/HnPWc8/1eY3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JB5R9/LAQAAnAMAAA4AAAAAAAAAAQAgAAAAHgEAAGRycy9lMm9E&#10;b2MueG1sUEsFBgAAAAAGAAYAWQEAAFsFAAAAAA==&#10;">
              <v:fill on="f" focussize="0,0"/>
              <v:stroke on="f"/>
              <v:imagedata o:title=""/>
              <o:lock v:ext="edit" aspectratio="f"/>
              <v:textbox inset="0mm,0mm,0mm,0mm" style="mso-fit-shape-to-text:t;">
                <w:txbxContent>
                  <w:p w14:paraId="70A612E9">
                    <w:pPr>
                      <w:pStyle w:val="22"/>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311C58">
    <w:pPr>
      <w:pStyle w:val="236"/>
      <w:rPr>
        <w:rStyle w:val="262"/>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F478A4F">
                          <w:pPr>
                            <w:pStyle w:val="22"/>
                          </w:pPr>
                          <w:r>
                            <w:t xml:space="preserve">第 </w:t>
                          </w:r>
                          <w:r>
                            <w:fldChar w:fldCharType="begin"/>
                          </w:r>
                          <w:r>
                            <w:instrText xml:space="preserve"> PAGE  \* MERGEFORMAT </w:instrText>
                          </w:r>
                          <w:r>
                            <w:fldChar w:fldCharType="separate"/>
                          </w:r>
                          <w:r>
                            <w:t>1</w:t>
                          </w:r>
                          <w:r>
                            <w:fldChar w:fldCharType="end"/>
                          </w:r>
                          <w:r>
                            <w:t xml:space="preserve"> 页</w:t>
                          </w:r>
                        </w:p>
                      </w:txbxContent>
                    </wps:txbx>
                    <wps:bodyPr wrap="none" lIns="0" tIns="0" rIns="0" bIns="0" upright="0">
                      <a:spAutoFit/>
                    </wps:bodyPr>
                  </wps:wsp>
                </a:graphicData>
              </a:graphic>
            </wp:anchor>
          </w:drawing>
        </mc:Choice>
        <mc:Fallback>
          <w:pict>
            <v:shape id="文本框 1027"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Hz+ssoBAACcAwAADgAAAGRycy9lMm9Eb2MueG1srVPNjtMwEL4j8Q6W&#10;79RphaCKmq5A1SIkBEjLPoDr2I0l/8njNukLwBtw4sKd5+pzMHaSLiyXPXBxxjPjb+b7ZrK5Gawh&#10;JxlBe9fQ5aKiRDrhW+0ODb3/cvtiTQkk7lpuvJMNPUugN9vnzzZ9qOXKd960MhIEcVD3oaFdSqFm&#10;DEQnLYeFD9JhUPloecJrPLA28h7RrWGrqnrFeh/bEL2QAOjdjUE6IcanAHqltJA7L45WujSiRml4&#10;QkrQ6QB0W7pVSor0SSmQiZiGItNUTiyC9j6fbLvh9SHy0GkxtcCf0sIjTpZrh0WvUDueODlG/Q+U&#10;1SJ68CothLdsJFIUQRbL6pE2dx0PsnBBqSFcRYf/Bys+nj5HotuGvqTEcYsDv3z/dvnx6/LzK1lW&#10;q9dZoT5AjYl3AVPT8NYPuDezH9CZiQ8q2vxFSgTjqO/5qq8cEhH50Xq1XlcYEhibL4jPHp6HCOmd&#10;9JZko6ERB1h05acPkMbUOSVXc/5WG1OGaNxfDsTMHpZ7H3vMVhr2w0Ro79sz8ulx9g11uOqUmPcO&#10;pc1rMhtxNvazcQxRH7qyR7kehDfHhE2U3nKFEXYqjEMr7KYFy1vx571kPfxU29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bHz+ssoBAACcAwAADgAAAAAAAAABACAAAAAeAQAAZHJzL2Uyb0Rv&#10;Yy54bWxQSwUGAAAAAAYABgBZAQAAWgUAAAAA&#10;">
              <v:fill on="f" focussize="0,0"/>
              <v:stroke on="f"/>
              <v:imagedata o:title=""/>
              <o:lock v:ext="edit" aspectratio="f"/>
              <v:textbox inset="0mm,0mm,0mm,0mm" style="mso-fit-shape-to-text:t;">
                <w:txbxContent>
                  <w:p w14:paraId="7F478A4F">
                    <w:pPr>
                      <w:pStyle w:val="22"/>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p w14:paraId="4ADC69D0">
    <w:pPr>
      <w:pStyle w:val="236"/>
      <w:ind w:right="360"/>
      <w:jc w:val="righ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096763">
    <w:pPr>
      <w:pStyle w:val="236"/>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CA2436F">
                          <w:pPr>
                            <w:pStyle w:val="22"/>
                          </w:pPr>
                          <w:r>
                            <w:t xml:space="preserve">第 </w:t>
                          </w:r>
                          <w:r>
                            <w:fldChar w:fldCharType="begin"/>
                          </w:r>
                          <w:r>
                            <w:instrText xml:space="preserve"> PAGE  \* MERGEFORMAT </w:instrText>
                          </w:r>
                          <w:r>
                            <w:fldChar w:fldCharType="separate"/>
                          </w:r>
                          <w:r>
                            <w:t>31</w:t>
                          </w:r>
                          <w:r>
                            <w:fldChar w:fldCharType="end"/>
                          </w:r>
                          <w:r>
                            <w:t xml:space="preserve"> 页</w:t>
                          </w:r>
                        </w:p>
                      </w:txbxContent>
                    </wps:txbx>
                    <wps:bodyPr wrap="none" lIns="0" tIns="0" rIns="0" bIns="0" upright="0">
                      <a:spAutoFit/>
                    </wps:bodyPr>
                  </wps:wsp>
                </a:graphicData>
              </a:graphic>
            </wp:anchor>
          </w:drawing>
        </mc:Choice>
        <mc:Fallback>
          <w:pict>
            <v:shape id="文本框 1029"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qYJHnsoBAACcAwAADgAAAGRycy9lMm9Eb2MueG1srVPNjtMwEL4j8Q6W&#10;79RpJVCJmq5A1SIkBEjLPoDr2I0l/8njNukLwBtw4sKd5+pzMHaSLiyXPXBxxjPjb+b7ZrK5Gawh&#10;JxlBe9fQ5aKiRDrhW+0ODb3/cvtiTQkk7lpuvJMNPUugN9vnzzZ9qOXKd960MhIEcVD3oaFdSqFm&#10;DEQnLYeFD9JhUPloecJrPLA28h7RrWGrqnrFeh/bEL2QAOjdjUE6IcanAHqltJA7L45WujSiRml4&#10;QkrQ6QB0W7pVSor0SSmQiZiGItNUTiyC9j6fbLvh9SHy0GkxtcCf0sIjTpZrh0WvUDueODlG/Q+U&#10;1SJ68CothLdsJFIUQRbL6pE2dx0PsnBBqSFcRYf/Bys+nj5HotuGvqTEcYsDv3z/dvnx6/LzK1lW&#10;q9dZoT5AjYl3AVPT8NYPuDezH9CZiQ8q2vxFSgTjqO/5qq8cEhH50Xq1XlcYEhibL4jPHp6HCOmd&#10;9JZko6ERB1h05acPkMbUOSVXc/5WG1OGaNxfDsTMHpZ7H3vMVhr2w0Ro79sz8ulx9g11uOqUmPcO&#10;pc1rMhtxNvazcQxRH7qyR7kehDfHhE2U3nKFEXYqjEMr7KYFy1vx571kPfxU29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qYJHnsoBAACcAwAADgAAAAAAAAABACAAAAAeAQAAZHJzL2Uyb0Rv&#10;Yy54bWxQSwUGAAAAAAYABgBZAQAAWgUAAAAA&#10;">
              <v:fill on="f" focussize="0,0"/>
              <v:stroke on="f"/>
              <v:imagedata o:title=""/>
              <o:lock v:ext="edit" aspectratio="f"/>
              <v:textbox inset="0mm,0mm,0mm,0mm" style="mso-fit-shape-to-text:t;">
                <w:txbxContent>
                  <w:p w14:paraId="6CA2436F">
                    <w:pPr>
                      <w:pStyle w:val="22"/>
                    </w:pPr>
                    <w:r>
                      <w:t xml:space="preserve">第 </w:t>
                    </w:r>
                    <w:r>
                      <w:fldChar w:fldCharType="begin"/>
                    </w:r>
                    <w:r>
                      <w:instrText xml:space="preserve"> PAGE  \* MERGEFORMAT </w:instrText>
                    </w:r>
                    <w:r>
                      <w:fldChar w:fldCharType="separate"/>
                    </w:r>
                    <w:r>
                      <w:t>31</w:t>
                    </w:r>
                    <w:r>
                      <w:fldChar w:fldCharType="end"/>
                    </w:r>
                    <w:r>
                      <w:t xml:space="preserve"> 页</w:t>
                    </w:r>
                  </w:p>
                </w:txbxContent>
              </v:textbox>
            </v:shape>
          </w:pict>
        </mc:Fallback>
      </mc:AlternateContent>
    </w:r>
  </w:p>
  <w:p w14:paraId="03E48677">
    <w:pPr>
      <w:pStyle w:val="236"/>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CE68A0">
    <w:pPr>
      <w:pStyle w:val="236"/>
      <w:framePr w:wrap="around" w:vAnchor="text" w:hAnchor="margin" w:xAlign="right" w:y="1"/>
      <w:rPr>
        <w:rStyle w:val="262"/>
      </w:rPr>
    </w:pPr>
    <w:r>
      <w:rPr>
        <w:rStyle w:val="262"/>
      </w:rPr>
      <w:fldChar w:fldCharType="begin"/>
    </w:r>
    <w:r>
      <w:rPr>
        <w:rStyle w:val="262"/>
      </w:rPr>
      <w:instrText xml:space="preserve">PAGE  </w:instrText>
    </w:r>
    <w:r>
      <w:rPr>
        <w:rStyle w:val="262"/>
      </w:rPr>
      <w:fldChar w:fldCharType="end"/>
    </w:r>
  </w:p>
  <w:p w14:paraId="558F5595">
    <w:pPr>
      <w:pStyle w:val="236"/>
      <w:ind w:right="360"/>
    </w:pPr>
  </w:p>
  <w:p w14:paraId="50D4A906"/>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53F7AE">
    <w:pPr>
      <w:pStyle w:val="236"/>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678E61">
    <w:pPr>
      <w:pStyle w:val="236"/>
      <w:framePr w:wrap="around" w:vAnchor="text" w:hAnchor="margin" w:xAlign="right" w:y="1"/>
      <w:rPr>
        <w:rStyle w:val="262"/>
      </w:rPr>
    </w:pPr>
    <w:r>
      <w:rPr>
        <w:rStyle w:val="262"/>
      </w:rPr>
      <w:fldChar w:fldCharType="begin"/>
    </w:r>
    <w:r>
      <w:rPr>
        <w:rStyle w:val="262"/>
      </w:rPr>
      <w:instrText xml:space="preserve">PAGE  </w:instrText>
    </w:r>
    <w:r>
      <w:rPr>
        <w:rStyle w:val="262"/>
      </w:rPr>
      <w:fldChar w:fldCharType="end"/>
    </w:r>
  </w:p>
  <w:p w14:paraId="4C775083">
    <w:pPr>
      <w:pStyle w:val="236"/>
      <w:ind w:right="360"/>
    </w:pPr>
  </w:p>
  <w:p w14:paraId="573EF90C"/>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0BAB25">
    <w:pPr>
      <w:pStyle w:val="236"/>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386798">
    <w:pPr>
      <w:pStyle w:val="236"/>
      <w:framePr w:wrap="around" w:vAnchor="text" w:hAnchor="margin" w:xAlign="right" w:y="1"/>
      <w:rPr>
        <w:rStyle w:val="262"/>
      </w:rPr>
    </w:pPr>
    <w:r>
      <w:rPr>
        <w:rStyle w:val="262"/>
      </w:rPr>
      <w:fldChar w:fldCharType="begin"/>
    </w:r>
    <w:r>
      <w:rPr>
        <w:rStyle w:val="262"/>
      </w:rPr>
      <w:instrText xml:space="preserve">PAGE  </w:instrText>
    </w:r>
    <w:r>
      <w:rPr>
        <w:rStyle w:val="262"/>
      </w:rPr>
      <w:fldChar w:fldCharType="end"/>
    </w:r>
  </w:p>
  <w:p w14:paraId="7BA1D953">
    <w:pPr>
      <w:pStyle w:val="236"/>
      <w:ind w:right="360"/>
    </w:pPr>
  </w:p>
  <w:p w14:paraId="6D054EB7"/>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631CF6">
    <w:pPr>
      <w:pStyle w:val="23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67596E">
    <w:pPr>
      <w:pStyle w:val="238"/>
      <w:pBdr>
        <w:bottom w:val="single" w:color="000000" w:sz="4" w:space="1"/>
      </w:pBdr>
      <w:jc w:val="right"/>
      <w:rPr>
        <w:lang w:val="en-US" w:eastAsia="zh-CN"/>
      </w:rPr>
    </w:pPr>
    <w:r>
      <w:rPr>
        <w:rFonts w:hint="eastAsia" w:cs="Times New Roman"/>
        <w:lang w:val="en-US" w:eastAsia="zh-CN"/>
      </w:rPr>
      <w:t>深化常州市春港化工有限公司原厂址地块土壤污染风险评估项目</w:t>
    </w:r>
    <w:r>
      <w:rPr>
        <w:rFonts w:hint="eastAsia" w:ascii="Times New Roman" w:hAnsi="Times New Roman" w:eastAsia="宋体" w:cs="Times New Roman"/>
        <w:lang w:val="en-US" w:eastAsia="zh-CN"/>
      </w:rPr>
      <w:t>公开招标文</w:t>
    </w:r>
    <w:r>
      <w:rPr>
        <w:rFonts w:hint="eastAsia"/>
        <w:lang w:val="en-US" w:eastAsia="zh-CN"/>
      </w:rPr>
      <w:t>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8F6DD1">
    <w:pPr>
      <w:pStyle w:val="238"/>
      <w:pBdr>
        <w:bottom w:val="single" w:color="000000" w:sz="4" w:space="1"/>
      </w:pBdr>
      <w:jc w:val="right"/>
      <w:rPr>
        <w:lang w:val="en-US" w:eastAsia="zh-CN"/>
      </w:rPr>
    </w:pPr>
    <w:r>
      <w:rPr>
        <w:rFonts w:hint="eastAsia" w:cs="Times New Roman"/>
        <w:lang w:val="en-US" w:eastAsia="zh-CN"/>
      </w:rPr>
      <w:t>深化常州市春港化工有限公司原厂址地块土壤污染风险评估项目</w:t>
    </w:r>
    <w:r>
      <w:rPr>
        <w:rFonts w:hint="eastAsia" w:ascii="Times New Roman" w:hAnsi="Times New Roman" w:eastAsia="宋体" w:cs="Times New Roman"/>
        <w:lang w:val="en-US" w:eastAsia="zh-CN"/>
      </w:rPr>
      <w:t>公开招标</w:t>
    </w:r>
    <w:r>
      <w:rPr>
        <w:rFonts w:hint="eastAsia"/>
        <w:lang w:val="en-US" w:eastAsia="zh-CN"/>
      </w:rPr>
      <w:t>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69622E">
    <w:pPr>
      <w:pStyle w:val="238"/>
      <w:jc w:val="right"/>
    </w:pPr>
    <w:r>
      <w:rPr>
        <w:rFonts w:hint="eastAsia" w:ascii="Times New Roman" w:hAnsi="Times New Roman" w:eastAsia="宋体" w:cs="Times New Roman"/>
        <w:lang w:eastAsia="zh-CN"/>
      </w:rPr>
      <w:t>深化常州市春港化工有限公司原厂址地块土壤污染风险评估项目公开招</w:t>
    </w:r>
    <w:r>
      <w:rPr>
        <w:rFonts w:hint="eastAsia" w:ascii="Times New Roman" w:hAnsi="Times New Roman" w:eastAsia="宋体" w:cs="Times New Roman"/>
      </w:rPr>
      <w:t>标</w:t>
    </w:r>
    <w:r>
      <w:rPr>
        <w:rFonts w:hint="eastAsia"/>
      </w:rPr>
      <w:t>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4606E3">
    <w:pPr>
      <w:pStyle w:val="238"/>
      <w:jc w:val="right"/>
    </w:pPr>
    <w:r>
      <w:rPr>
        <w:rFonts w:hint="eastAsia" w:cs="Times New Roman"/>
        <w:lang w:eastAsia="zh-CN"/>
      </w:rPr>
      <w:t>深化常州市春港化工有限公司原厂址地块土壤污染风险评估项目</w:t>
    </w:r>
    <w:r>
      <w:rPr>
        <w:rFonts w:hint="eastAsia" w:ascii="Times New Roman" w:hAnsi="Times New Roman" w:eastAsia="宋体" w:cs="Times New Roman"/>
        <w:lang w:eastAsia="zh-CN"/>
      </w:rPr>
      <w:t>公开招</w:t>
    </w:r>
    <w:r>
      <w:rPr>
        <w:rFonts w:hint="eastAsia" w:ascii="Times New Roman" w:hAnsi="Times New Roman" w:eastAsia="宋体" w:cs="Times New Roman"/>
      </w:rPr>
      <w:t>标</w:t>
    </w:r>
    <w:r>
      <w:rPr>
        <w:rFonts w:hint="eastAsia"/>
      </w:rPr>
      <w:t>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7A22D1">
    <w:pPr>
      <w:pStyle w:val="238"/>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DF573C">
    <w:pPr>
      <w:pStyle w:val="238"/>
    </w:pPr>
  </w:p>
  <w:p w14:paraId="5217A123"/>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6E4294">
    <w:pPr>
      <w:pStyle w:val="238"/>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AD0FCD">
    <w:pPr>
      <w:pStyle w:val="238"/>
    </w:pPr>
  </w:p>
  <w:p w14:paraId="602FD07F"/>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E3B326">
    <w:pPr>
      <w:pStyle w:val="238"/>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D56B82">
    <w:pPr>
      <w:pStyle w:val="238"/>
    </w:pPr>
  </w:p>
  <w:p w14:paraId="789BAAEA"/>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153321">
    <w:pPr>
      <w:pStyle w:val="23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B5E306ED"/>
    <w:multiLevelType w:val="multilevel"/>
    <w:tmpl w:val="B5E306ED"/>
    <w:lvl w:ilvl="0" w:tentative="0">
      <w:start w:val="1"/>
      <w:numFmt w:val="decimal"/>
      <w:pStyle w:val="360"/>
      <w:lvlText w:val="%1."/>
      <w:lvlJc w:val="left"/>
      <w:pPr>
        <w:tabs>
          <w:tab w:val="left" w:pos="360"/>
        </w:tabs>
        <w:ind w:left="36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1"/>
      <w:numFmt w:val="decimal"/>
      <w:pStyle w:val="347"/>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C8879AEF"/>
    <w:multiLevelType w:val="multilevel"/>
    <w:tmpl w:val="C8879AEF"/>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CF092B84"/>
    <w:multiLevelType w:val="multilevel"/>
    <w:tmpl w:val="CF092B84"/>
    <w:lvl w:ilvl="0" w:tentative="0">
      <w:start w:val="1"/>
      <w:numFmt w:val="decimal"/>
      <w:pStyle w:val="320"/>
      <w:lvlText w:val="%1"/>
      <w:lvlJc w:val="left"/>
      <w:pPr>
        <w:ind w:left="680" w:hanging="680"/>
      </w:pPr>
      <w:rPr>
        <w:rFonts w:hint="eastAsia" w:ascii="宋体" w:hAnsi="宋体" w:eastAsia="宋体"/>
      </w:rPr>
    </w:lvl>
    <w:lvl w:ilvl="1" w:tentative="0">
      <w:start w:val="1"/>
      <w:numFmt w:val="decimal"/>
      <w:pStyle w:val="384"/>
      <w:lvlText w:val="%1.%2"/>
      <w:lvlJc w:val="left"/>
      <w:pPr>
        <w:ind w:left="851" w:hanging="851"/>
      </w:pPr>
      <w:rPr>
        <w:rFonts w:hint="eastAsia" w:ascii="宋体" w:hAnsi="宋体" w:eastAsia="宋体"/>
        <w:color w:val="000000"/>
      </w:rPr>
    </w:lvl>
    <w:lvl w:ilvl="2" w:tentative="0">
      <w:start w:val="1"/>
      <w:numFmt w:val="decimal"/>
      <w:pStyle w:val="351"/>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5">
    <w:nsid w:val="E0D9FA47"/>
    <w:multiLevelType w:val="singleLevel"/>
    <w:tmpl w:val="E0D9FA47"/>
    <w:lvl w:ilvl="0" w:tentative="0">
      <w:start w:val="2"/>
      <w:numFmt w:val="decimal"/>
      <w:lvlText w:val="%1."/>
      <w:lvlJc w:val="left"/>
      <w:pPr>
        <w:tabs>
          <w:tab w:val="left" w:pos="312"/>
        </w:tabs>
      </w:pPr>
    </w:lvl>
  </w:abstractNum>
  <w:abstractNum w:abstractNumId="6">
    <w:nsid w:val="0053208E"/>
    <w:multiLevelType w:val="multilevel"/>
    <w:tmpl w:val="0053208E"/>
    <w:lvl w:ilvl="0" w:tentative="0">
      <w:start w:val="1"/>
      <w:numFmt w:val="decimal"/>
      <w:lvlText w:val="%1．"/>
      <w:lvlJc w:val="left"/>
      <w:pPr>
        <w:tabs>
          <w:tab w:val="left" w:pos="768"/>
        </w:tabs>
        <w:ind w:left="768" w:hanging="360"/>
      </w:pPr>
      <w:rPr>
        <w:rFonts w:hint="eastAsia"/>
      </w:rPr>
    </w:lvl>
    <w:lvl w:ilvl="1" w:tentative="0">
      <w:start w:val="1"/>
      <w:numFmt w:val="decimal"/>
      <w:pStyle w:val="319"/>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7">
    <w:nsid w:val="0248C179"/>
    <w:multiLevelType w:val="multilevel"/>
    <w:tmpl w:val="0248C1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8">
    <w:nsid w:val="03D62ECE"/>
    <w:multiLevelType w:val="multilevel"/>
    <w:tmpl w:val="03D62ECE"/>
    <w:lvl w:ilvl="0" w:tentative="0">
      <w:start w:val="1"/>
      <w:numFmt w:val="decimal"/>
      <w:pStyle w:val="383"/>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10D05E19"/>
    <w:multiLevelType w:val="singleLevel"/>
    <w:tmpl w:val="10D05E19"/>
    <w:lvl w:ilvl="0" w:tentative="0">
      <w:start w:val="1"/>
      <w:numFmt w:val="decimal"/>
      <w:suff w:val="nothing"/>
      <w:lvlText w:val="（%1）"/>
      <w:lvlJc w:val="left"/>
    </w:lvl>
  </w:abstractNum>
  <w:abstractNum w:abstractNumId="10">
    <w:nsid w:val="25B654F3"/>
    <w:multiLevelType w:val="multilevel"/>
    <w:tmpl w:val="25B654F3"/>
    <w:lvl w:ilvl="0" w:tentative="0">
      <w:start w:val="1"/>
      <w:numFmt w:val="lowerLetter"/>
      <w:pStyle w:val="417"/>
      <w:lvlText w:val="%1)"/>
      <w:lvlJc w:val="left"/>
      <w:pPr>
        <w:ind w:left="902" w:hanging="420"/>
      </w:pPr>
      <w:rPr>
        <w:color w:val="000000"/>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11">
    <w:nsid w:val="2A8F537B"/>
    <w:multiLevelType w:val="multilevel"/>
    <w:tmpl w:val="2A8F537B"/>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59ADCABA"/>
    <w:multiLevelType w:val="multilevel"/>
    <w:tmpl w:val="59ADCABA"/>
    <w:lvl w:ilvl="0" w:tentative="0">
      <w:start w:val="1"/>
      <w:numFmt w:val="decimal"/>
      <w:pStyle w:val="327"/>
      <w:suff w:val="nothing"/>
      <w:lvlText w:val="%1　"/>
      <w:lvlJc w:val="left"/>
      <w:pPr>
        <w:ind w:left="-25" w:firstLine="0"/>
      </w:pPr>
      <w:rPr>
        <w:rFonts w:ascii="Times New Roman" w:hAnsi="Times New Roman" w:eastAsia="宋体"/>
        <w:b/>
        <w:i w:val="0"/>
        <w:color w:val="000000"/>
        <w:sz w:val="28"/>
        <w:u w:val="none"/>
      </w:rPr>
    </w:lvl>
    <w:lvl w:ilvl="1" w:tentative="0">
      <w:start w:val="1"/>
      <w:numFmt w:val="decimal"/>
      <w:pStyle w:val="326"/>
      <w:suff w:val="nothing"/>
      <w:lvlText w:val="%1.%2　"/>
      <w:lvlJc w:val="left"/>
      <w:pPr>
        <w:ind w:left="-25" w:firstLine="0"/>
      </w:pPr>
      <w:rPr>
        <w:rFonts w:ascii="Times New Roman" w:hAnsi="Times New Roman" w:eastAsia="宋体"/>
        <w:b/>
        <w:i w:val="0"/>
        <w:color w:val="000000"/>
        <w:spacing w:val="0"/>
        <w:sz w:val="28"/>
        <w:u w:val="none"/>
      </w:rPr>
    </w:lvl>
    <w:lvl w:ilvl="2" w:tentative="0">
      <w:start w:val="1"/>
      <w:numFmt w:val="decimal"/>
      <w:suff w:val="nothing"/>
      <w:lvlText w:val="%1.%2.%3　"/>
      <w:lvlJc w:val="left"/>
      <w:pPr>
        <w:ind w:left="-25" w:firstLine="0"/>
      </w:pPr>
      <w:rPr>
        <w:rFonts w:ascii="Times New Roman" w:hAnsi="Times New Roman" w:eastAsia="黑体"/>
        <w:b/>
        <w:i w:val="0"/>
        <w:sz w:val="28"/>
      </w:rPr>
    </w:lvl>
    <w:lvl w:ilvl="3" w:tentative="0">
      <w:start w:val="1"/>
      <w:numFmt w:val="decimal"/>
      <w:pStyle w:val="414"/>
      <w:suff w:val="nothing"/>
      <w:lvlText w:val="%1.%2.%3.%4　"/>
      <w:lvlJc w:val="left"/>
      <w:pPr>
        <w:ind w:left="-25" w:firstLine="0"/>
      </w:pPr>
      <w:rPr>
        <w:rFonts w:ascii="Times New Roman" w:hAnsi="Times New Roman" w:eastAsia="宋体"/>
        <w:b/>
        <w:i w:val="0"/>
        <w:color w:val="000000"/>
        <w:sz w:val="28"/>
        <w:u w:val="none"/>
      </w:rPr>
    </w:lvl>
    <w:lvl w:ilvl="4" w:tentative="0">
      <w:start w:val="1"/>
      <w:numFmt w:val="decimal"/>
      <w:pStyle w:val="424"/>
      <w:suff w:val="nothing"/>
      <w:lvlText w:val="%1.%2.%3.%4.%5　"/>
      <w:lvlJc w:val="left"/>
      <w:pPr>
        <w:ind w:left="-25" w:firstLine="0"/>
      </w:pPr>
      <w:rPr>
        <w:rFonts w:ascii="Times New Roman" w:hAnsi="Times New Roman" w:eastAsia="宋体"/>
        <w:b/>
        <w:i w:val="0"/>
        <w:color w:val="000000"/>
        <w:sz w:val="28"/>
        <w:u w:val="none"/>
      </w:rPr>
    </w:lvl>
    <w:lvl w:ilvl="5" w:tentative="0">
      <w:start w:val="1"/>
      <w:numFmt w:val="decimal"/>
      <w:pStyle w:val="436"/>
      <w:suff w:val="nothing"/>
      <w:lvlText w:val="%1.%2.%3.%4.%5.%6　"/>
      <w:lvlJc w:val="left"/>
      <w:pPr>
        <w:ind w:left="-25" w:firstLine="0"/>
      </w:pPr>
      <w:rPr>
        <w:rFonts w:ascii="Times New Roman" w:hAnsi="Times New Roman" w:eastAsia="宋体"/>
        <w:b/>
        <w:i w:val="0"/>
        <w:sz w:val="28"/>
      </w:rPr>
    </w:lvl>
    <w:lvl w:ilvl="6" w:tentative="0">
      <w:start w:val="1"/>
      <w:numFmt w:val="lowerLetter"/>
      <w:pStyle w:val="359"/>
      <w:lvlText w:val="%7) "/>
      <w:lvlJc w:val="left"/>
      <w:pPr>
        <w:tabs>
          <w:tab w:val="left" w:pos="635"/>
        </w:tabs>
        <w:ind w:left="-125" w:firstLine="400"/>
      </w:pPr>
      <w:rPr>
        <w:rFonts w:ascii="Times New Roman" w:hAnsi="Times New Roman" w:eastAsia="宋体"/>
        <w:b/>
        <w:i w:val="0"/>
        <w:color w:val="000000"/>
        <w:sz w:val="28"/>
        <w:u w:val="none"/>
      </w:rPr>
    </w:lvl>
    <w:lvl w:ilvl="7" w:tentative="0">
      <w:start w:val="1"/>
      <w:numFmt w:val="decimal"/>
      <w:pStyle w:val="373"/>
      <w:lvlText w:val="%8) "/>
      <w:lvlJc w:val="left"/>
      <w:pPr>
        <w:tabs>
          <w:tab w:val="left" w:pos="860"/>
        </w:tabs>
        <w:ind w:left="500" w:firstLine="0"/>
      </w:pPr>
      <w:rPr>
        <w:rFonts w:ascii="Times New Roman" w:hAnsi="Times New Roman" w:eastAsia="宋体"/>
        <w:b/>
        <w:i w:val="0"/>
        <w:color w:val="000000"/>
        <w:sz w:val="28"/>
        <w:u w:val="none"/>
      </w:rPr>
    </w:lvl>
    <w:lvl w:ilvl="8" w:tentative="0">
      <w:start w:val="1"/>
      <w:numFmt w:val="decimal"/>
      <w:lvlText w:val="%9"/>
      <w:lvlJc w:val="left"/>
      <w:pPr>
        <w:tabs>
          <w:tab w:val="left" w:pos="860"/>
        </w:tabs>
        <w:ind w:left="500" w:firstLine="0"/>
      </w:pPr>
      <w:rPr>
        <w:rFonts w:hint="eastAsia" w:ascii="宋体" w:eastAsia="宋体"/>
        <w:b w:val="0"/>
        <w:i w:val="0"/>
        <w:color w:val="000000"/>
        <w:sz w:val="28"/>
        <w:u w:val="none"/>
      </w:rPr>
    </w:lvl>
  </w:abstractNum>
  <w:abstractNum w:abstractNumId="13">
    <w:nsid w:val="5A241D34"/>
    <w:multiLevelType w:val="multilevel"/>
    <w:tmpl w:val="5A241D34"/>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4">
    <w:nsid w:val="72183CF9"/>
    <w:multiLevelType w:val="multilevel"/>
    <w:tmpl w:val="72183CF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6"/>
  </w:num>
  <w:num w:numId="2">
    <w:abstractNumId w:val="4"/>
  </w:num>
  <w:num w:numId="3">
    <w:abstractNumId w:val="12"/>
  </w:num>
  <w:num w:numId="4">
    <w:abstractNumId w:val="2"/>
  </w:num>
  <w:num w:numId="5">
    <w:abstractNumId w:val="1"/>
  </w:num>
  <w:num w:numId="6">
    <w:abstractNumId w:val="8"/>
  </w:num>
  <w:num w:numId="7">
    <w:abstractNumId w:val="10"/>
  </w:num>
  <w:num w:numId="8">
    <w:abstractNumId w:val="14"/>
  </w:num>
  <w:num w:numId="9">
    <w:abstractNumId w:val="7"/>
  </w:num>
  <w:num w:numId="10">
    <w:abstractNumId w:val="0"/>
  </w:num>
  <w:num w:numId="11">
    <w:abstractNumId w:val="11"/>
  </w:num>
  <w:num w:numId="12">
    <w:abstractNumId w:val="13"/>
  </w:num>
  <w:num w:numId="13">
    <w:abstractNumId w:val="3"/>
  </w:num>
  <w:num w:numId="14">
    <w:abstractNumId w:val="5"/>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3,4"/>
    </o:shapelayout>
  </w:hdrShapeDefault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C30BF9"/>
    <w:rsid w:val="022975BD"/>
    <w:rsid w:val="027433D3"/>
    <w:rsid w:val="039A0E4E"/>
    <w:rsid w:val="03BB115F"/>
    <w:rsid w:val="07153E89"/>
    <w:rsid w:val="07AF230E"/>
    <w:rsid w:val="08422A5C"/>
    <w:rsid w:val="09405867"/>
    <w:rsid w:val="09554A11"/>
    <w:rsid w:val="095D02F2"/>
    <w:rsid w:val="0AAF0151"/>
    <w:rsid w:val="0B7C6285"/>
    <w:rsid w:val="0BE1258C"/>
    <w:rsid w:val="0D444B80"/>
    <w:rsid w:val="0E224A0A"/>
    <w:rsid w:val="0EF556B7"/>
    <w:rsid w:val="0FB23B2D"/>
    <w:rsid w:val="0FFE5DC2"/>
    <w:rsid w:val="10BA5151"/>
    <w:rsid w:val="11856360"/>
    <w:rsid w:val="14A10B0A"/>
    <w:rsid w:val="15DB393A"/>
    <w:rsid w:val="18504D21"/>
    <w:rsid w:val="1C497C82"/>
    <w:rsid w:val="1CBF06C7"/>
    <w:rsid w:val="1D83660F"/>
    <w:rsid w:val="1DC52889"/>
    <w:rsid w:val="1F62491C"/>
    <w:rsid w:val="1FAB6125"/>
    <w:rsid w:val="204562BF"/>
    <w:rsid w:val="21A74B95"/>
    <w:rsid w:val="2385431F"/>
    <w:rsid w:val="23CB4914"/>
    <w:rsid w:val="262275D1"/>
    <w:rsid w:val="26F81F16"/>
    <w:rsid w:val="29451F54"/>
    <w:rsid w:val="2A2453F2"/>
    <w:rsid w:val="2BA375DA"/>
    <w:rsid w:val="2BE60032"/>
    <w:rsid w:val="2D560F91"/>
    <w:rsid w:val="30B324B7"/>
    <w:rsid w:val="31FC184E"/>
    <w:rsid w:val="34241525"/>
    <w:rsid w:val="34EE16F2"/>
    <w:rsid w:val="35DF103A"/>
    <w:rsid w:val="37CD55EE"/>
    <w:rsid w:val="39B46BF1"/>
    <w:rsid w:val="3A2F7A81"/>
    <w:rsid w:val="40D75730"/>
    <w:rsid w:val="41A35612"/>
    <w:rsid w:val="45EA2E6A"/>
    <w:rsid w:val="498975CF"/>
    <w:rsid w:val="49B77EAC"/>
    <w:rsid w:val="50B53F70"/>
    <w:rsid w:val="51A13640"/>
    <w:rsid w:val="5230585A"/>
    <w:rsid w:val="54874745"/>
    <w:rsid w:val="586558F1"/>
    <w:rsid w:val="58690967"/>
    <w:rsid w:val="588B2C30"/>
    <w:rsid w:val="5AA37728"/>
    <w:rsid w:val="5AE06E91"/>
    <w:rsid w:val="5B9A6FA0"/>
    <w:rsid w:val="5DEA21A7"/>
    <w:rsid w:val="5E3B36E2"/>
    <w:rsid w:val="5E98139D"/>
    <w:rsid w:val="5ECF7772"/>
    <w:rsid w:val="5F6179CE"/>
    <w:rsid w:val="5F633388"/>
    <w:rsid w:val="603040BD"/>
    <w:rsid w:val="60800261"/>
    <w:rsid w:val="616F390D"/>
    <w:rsid w:val="624965E4"/>
    <w:rsid w:val="629C0FED"/>
    <w:rsid w:val="63B868A3"/>
    <w:rsid w:val="640329F2"/>
    <w:rsid w:val="65532501"/>
    <w:rsid w:val="67B34206"/>
    <w:rsid w:val="69921BC4"/>
    <w:rsid w:val="69F1073A"/>
    <w:rsid w:val="6A0E7DD9"/>
    <w:rsid w:val="6A355CBF"/>
    <w:rsid w:val="6AFF786B"/>
    <w:rsid w:val="6BAF2C82"/>
    <w:rsid w:val="6BEB449E"/>
    <w:rsid w:val="6D7F4CE1"/>
    <w:rsid w:val="6DE9103C"/>
    <w:rsid w:val="6EFB5212"/>
    <w:rsid w:val="6F06686D"/>
    <w:rsid w:val="6F83245B"/>
    <w:rsid w:val="6FA14511"/>
    <w:rsid w:val="745130F8"/>
    <w:rsid w:val="749C4CB6"/>
    <w:rsid w:val="75866801"/>
    <w:rsid w:val="789F67EE"/>
    <w:rsid w:val="79974BDE"/>
    <w:rsid w:val="79F96C5C"/>
    <w:rsid w:val="7B5338A8"/>
    <w:rsid w:val="7BE14791"/>
    <w:rsid w:val="7C923CDE"/>
    <w:rsid w:val="7D004F21"/>
    <w:rsid w:val="7D3E11B9"/>
    <w:rsid w:val="7EC6236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qFormat="1" w:uiPriority="99"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445"/>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4">
    <w:name w:val="heading 1"/>
    <w:basedOn w:val="1"/>
    <w:next w:val="1"/>
    <w:link w:val="40"/>
    <w:qFormat/>
    <w:uiPriority w:val="9"/>
    <w:pPr>
      <w:keepNext/>
      <w:keepLines/>
      <w:spacing w:before="480" w:after="200"/>
      <w:outlineLvl w:val="0"/>
    </w:pPr>
    <w:rPr>
      <w:rFonts w:ascii="Arial" w:hAnsi="Arial" w:eastAsia="Arial" w:cs="Arial"/>
      <w:sz w:val="40"/>
      <w:szCs w:val="40"/>
    </w:rPr>
  </w:style>
  <w:style w:type="paragraph" w:styleId="5">
    <w:name w:val="heading 2"/>
    <w:basedOn w:val="1"/>
    <w:next w:val="1"/>
    <w:link w:val="41"/>
    <w:unhideWhenUsed/>
    <w:qFormat/>
    <w:uiPriority w:val="9"/>
    <w:pPr>
      <w:keepNext/>
      <w:keepLines/>
      <w:spacing w:before="360" w:after="200"/>
      <w:outlineLvl w:val="1"/>
    </w:pPr>
    <w:rPr>
      <w:rFonts w:ascii="Arial" w:hAnsi="Arial" w:eastAsia="Arial" w:cs="Arial"/>
      <w:sz w:val="34"/>
    </w:rPr>
  </w:style>
  <w:style w:type="paragraph" w:styleId="6">
    <w:name w:val="heading 3"/>
    <w:basedOn w:val="1"/>
    <w:next w:val="1"/>
    <w:link w:val="42"/>
    <w:unhideWhenUsed/>
    <w:qFormat/>
    <w:uiPriority w:val="9"/>
    <w:pPr>
      <w:keepNext/>
      <w:keepLines/>
      <w:spacing w:before="320" w:after="200"/>
      <w:outlineLvl w:val="2"/>
    </w:pPr>
    <w:rPr>
      <w:rFonts w:ascii="Arial" w:hAnsi="Arial" w:eastAsia="Arial" w:cs="Arial"/>
      <w:sz w:val="30"/>
      <w:szCs w:val="30"/>
    </w:rPr>
  </w:style>
  <w:style w:type="paragraph" w:styleId="7">
    <w:name w:val="heading 4"/>
    <w:basedOn w:val="1"/>
    <w:next w:val="1"/>
    <w:link w:val="43"/>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link w:val="44"/>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basedOn w:val="1"/>
    <w:next w:val="1"/>
    <w:link w:val="45"/>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46"/>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47"/>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48"/>
    <w:unhideWhenUsed/>
    <w:qFormat/>
    <w:uiPriority w:val="9"/>
    <w:pPr>
      <w:keepNext/>
      <w:keepLines/>
      <w:spacing w:before="320" w:after="200"/>
      <w:outlineLvl w:val="8"/>
    </w:pPr>
    <w:rPr>
      <w:rFonts w:ascii="Arial" w:hAnsi="Arial" w:eastAsia="Arial" w:cs="Arial"/>
      <w:i/>
      <w:iCs/>
      <w:sz w:val="21"/>
      <w:szCs w:val="21"/>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2">
    <w:name w:val="table of authorities"/>
    <w:next w:val="3"/>
    <w:unhideWhenUsed/>
    <w:qFormat/>
    <w:uiPriority w:val="99"/>
    <w:pPr>
      <w:widowControl w:val="0"/>
      <w:ind w:left="420" w:leftChars="200"/>
      <w:jc w:val="both"/>
    </w:pPr>
    <w:rPr>
      <w:rFonts w:ascii="Calibri" w:hAnsi="Calibri" w:eastAsia="宋体" w:cs="Times New Roman"/>
      <w:kern w:val="2"/>
      <w:sz w:val="21"/>
      <w:szCs w:val="24"/>
      <w:lang w:val="en-US" w:eastAsia="zh-CN" w:bidi="ar-SA"/>
    </w:rPr>
  </w:style>
  <w:style w:type="paragraph" w:customStyle="1" w:styleId="3">
    <w:name w:val="正文 A"/>
    <w:next w:val="2"/>
    <w:qFormat/>
    <w:uiPriority w:val="0"/>
    <w:pPr>
      <w:widowControl w:val="0"/>
      <w:jc w:val="both"/>
    </w:pPr>
    <w:rPr>
      <w:rFonts w:hint="default" w:ascii="Times New Roman" w:hAnsi="Times New Roman" w:eastAsia="Times New Roman" w:cs="Times New Roman"/>
      <w:color w:val="000000"/>
      <w:sz w:val="21"/>
      <w:szCs w:val="21"/>
      <w:u w:val="none"/>
      <w:lang w:val="en-US" w:eastAsia="zh-CN" w:bidi="ar-SA"/>
    </w:rPr>
  </w:style>
  <w:style w:type="paragraph" w:styleId="13">
    <w:name w:val="toc 7"/>
    <w:basedOn w:val="1"/>
    <w:next w:val="1"/>
    <w:unhideWhenUsed/>
    <w:qFormat/>
    <w:uiPriority w:val="39"/>
    <w:pPr>
      <w:spacing w:after="57"/>
      <w:ind w:left="1701" w:right="0" w:firstLine="0"/>
    </w:pPr>
  </w:style>
  <w:style w:type="paragraph" w:styleId="14">
    <w:name w:val="Normal Indent"/>
    <w:basedOn w:val="1"/>
    <w:next w:val="1"/>
    <w:qFormat/>
    <w:uiPriority w:val="0"/>
    <w:pPr>
      <w:autoSpaceDE w:val="0"/>
      <w:autoSpaceDN w:val="0"/>
      <w:adjustRightInd w:val="0"/>
      <w:ind w:firstLine="420"/>
      <w:jc w:val="left"/>
    </w:pPr>
    <w:rPr>
      <w:rFonts w:ascii="宋体"/>
      <w:sz w:val="24"/>
    </w:rPr>
  </w:style>
  <w:style w:type="paragraph" w:styleId="15">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6">
    <w:name w:val="Body Text"/>
    <w:basedOn w:val="1"/>
    <w:qFormat/>
    <w:uiPriority w:val="0"/>
    <w:pPr>
      <w:tabs>
        <w:tab w:val="left" w:pos="567"/>
      </w:tabs>
      <w:spacing w:before="120" w:line="22" w:lineRule="atLeast"/>
    </w:pPr>
    <w:rPr>
      <w:rFonts w:ascii="宋体" w:hAnsi="宋体"/>
      <w:sz w:val="24"/>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Plain Text"/>
    <w:basedOn w:val="1"/>
    <w:next w:val="14"/>
    <w:qFormat/>
    <w:uiPriority w:val="0"/>
    <w:rPr>
      <w:rFonts w:hint="eastAsia" w:ascii="宋体" w:hAnsi="Courier New"/>
      <w:szCs w:val="20"/>
    </w:rPr>
  </w:style>
  <w:style w:type="paragraph" w:styleId="20">
    <w:name w:val="toc 8"/>
    <w:basedOn w:val="1"/>
    <w:next w:val="1"/>
    <w:unhideWhenUsed/>
    <w:qFormat/>
    <w:uiPriority w:val="39"/>
    <w:pPr>
      <w:spacing w:after="57"/>
      <w:ind w:left="1984" w:right="0" w:firstLine="0"/>
    </w:pPr>
  </w:style>
  <w:style w:type="paragraph" w:styleId="21">
    <w:name w:val="endnote text"/>
    <w:basedOn w:val="1"/>
    <w:link w:val="186"/>
    <w:semiHidden/>
    <w:unhideWhenUsed/>
    <w:qFormat/>
    <w:uiPriority w:val="99"/>
    <w:pPr>
      <w:spacing w:after="0" w:line="240" w:lineRule="auto"/>
    </w:pPr>
    <w:rPr>
      <w:sz w:val="20"/>
    </w:rPr>
  </w:style>
  <w:style w:type="paragraph" w:styleId="22">
    <w:name w:val="footer"/>
    <w:basedOn w:val="1"/>
    <w:link w:val="59"/>
    <w:unhideWhenUsed/>
    <w:qFormat/>
    <w:uiPriority w:val="99"/>
    <w:pPr>
      <w:tabs>
        <w:tab w:val="center" w:pos="7143"/>
        <w:tab w:val="right" w:pos="14287"/>
      </w:tabs>
      <w:spacing w:after="0" w:line="240" w:lineRule="auto"/>
    </w:pPr>
  </w:style>
  <w:style w:type="paragraph" w:styleId="23">
    <w:name w:val="header"/>
    <w:basedOn w:val="1"/>
    <w:link w:val="57"/>
    <w:unhideWhenUsed/>
    <w:qFormat/>
    <w:uiPriority w:val="99"/>
    <w:pPr>
      <w:tabs>
        <w:tab w:val="center" w:pos="7143"/>
        <w:tab w:val="right" w:pos="14287"/>
      </w:tabs>
      <w:spacing w:after="0" w:line="240" w:lineRule="auto"/>
    </w:pPr>
  </w:style>
  <w:style w:type="paragraph" w:styleId="24">
    <w:name w:val="toc 1"/>
    <w:basedOn w:val="1"/>
    <w:next w:val="1"/>
    <w:unhideWhenUsed/>
    <w:qFormat/>
    <w:uiPriority w:val="39"/>
    <w:pPr>
      <w:spacing w:after="57"/>
      <w:ind w:left="0" w:right="0" w:firstLine="0"/>
    </w:pPr>
  </w:style>
  <w:style w:type="paragraph" w:styleId="25">
    <w:name w:val="toc 4"/>
    <w:basedOn w:val="1"/>
    <w:next w:val="1"/>
    <w:unhideWhenUsed/>
    <w:qFormat/>
    <w:uiPriority w:val="39"/>
    <w:pPr>
      <w:spacing w:after="57"/>
      <w:ind w:left="850" w:right="0" w:firstLine="0"/>
    </w:pPr>
  </w:style>
  <w:style w:type="paragraph" w:styleId="26">
    <w:name w:val="Subtitle"/>
    <w:basedOn w:val="1"/>
    <w:next w:val="1"/>
    <w:link w:val="52"/>
    <w:qFormat/>
    <w:uiPriority w:val="11"/>
    <w:pPr>
      <w:spacing w:before="200" w:after="200"/>
    </w:pPr>
    <w:rPr>
      <w:sz w:val="24"/>
      <w:szCs w:val="24"/>
    </w:rPr>
  </w:style>
  <w:style w:type="paragraph" w:styleId="27">
    <w:name w:val="footnote text"/>
    <w:basedOn w:val="1"/>
    <w:link w:val="185"/>
    <w:semiHidden/>
    <w:unhideWhenUsed/>
    <w:qFormat/>
    <w:uiPriority w:val="99"/>
    <w:pPr>
      <w:spacing w:after="40" w:line="240" w:lineRule="auto"/>
    </w:pPr>
    <w:rPr>
      <w:sz w:val="18"/>
    </w:rPr>
  </w:style>
  <w:style w:type="paragraph" w:styleId="28">
    <w:name w:val="toc 6"/>
    <w:basedOn w:val="1"/>
    <w:next w:val="1"/>
    <w:unhideWhenUsed/>
    <w:qFormat/>
    <w:uiPriority w:val="39"/>
    <w:pPr>
      <w:spacing w:after="57"/>
      <w:ind w:left="1417" w:right="0" w:firstLine="0"/>
    </w:pPr>
  </w:style>
  <w:style w:type="paragraph" w:styleId="29">
    <w:name w:val="table of figures"/>
    <w:basedOn w:val="1"/>
    <w:next w:val="1"/>
    <w:unhideWhenUsed/>
    <w:qFormat/>
    <w:uiPriority w:val="99"/>
    <w:pPr>
      <w:spacing w:after="0" w:afterAutospacing="0"/>
    </w:pPr>
  </w:style>
  <w:style w:type="paragraph" w:styleId="30">
    <w:name w:val="toc 2"/>
    <w:basedOn w:val="1"/>
    <w:next w:val="1"/>
    <w:unhideWhenUsed/>
    <w:qFormat/>
    <w:uiPriority w:val="39"/>
    <w:pPr>
      <w:spacing w:after="57"/>
      <w:ind w:left="283" w:right="0" w:firstLine="0"/>
    </w:pPr>
  </w:style>
  <w:style w:type="paragraph" w:styleId="31">
    <w:name w:val="toc 9"/>
    <w:basedOn w:val="1"/>
    <w:next w:val="1"/>
    <w:unhideWhenUsed/>
    <w:qFormat/>
    <w:uiPriority w:val="39"/>
    <w:pPr>
      <w:spacing w:after="57"/>
      <w:ind w:left="2268" w:right="0" w:firstLine="0"/>
    </w:pPr>
  </w:style>
  <w:style w:type="paragraph" w:styleId="32">
    <w:name w:val="Title"/>
    <w:basedOn w:val="1"/>
    <w:next w:val="1"/>
    <w:link w:val="51"/>
    <w:qFormat/>
    <w:uiPriority w:val="10"/>
    <w:pPr>
      <w:spacing w:before="300" w:after="200"/>
      <w:contextualSpacing/>
    </w:pPr>
    <w:rPr>
      <w:sz w:val="48"/>
      <w:szCs w:val="48"/>
    </w:rPr>
  </w:style>
  <w:style w:type="table" w:styleId="34">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6">
    <w:name w:val="endnote reference"/>
    <w:semiHidden/>
    <w:unhideWhenUsed/>
    <w:qFormat/>
    <w:uiPriority w:val="99"/>
    <w:rPr>
      <w:vertAlign w:val="superscript"/>
    </w:rPr>
  </w:style>
  <w:style w:type="character" w:styleId="37">
    <w:name w:val="Hyperlink"/>
    <w:unhideWhenUsed/>
    <w:qFormat/>
    <w:uiPriority w:val="99"/>
    <w:rPr>
      <w:color w:val="0000FF" w:themeColor="hyperlink"/>
      <w:u w:val="single"/>
      <w14:textFill>
        <w14:solidFill>
          <w14:schemeClr w14:val="hlink"/>
        </w14:solidFill>
      </w14:textFill>
    </w:rPr>
  </w:style>
  <w:style w:type="character" w:styleId="38">
    <w:name w:val="footnote reference"/>
    <w:unhideWhenUsed/>
    <w:qFormat/>
    <w:uiPriority w:val="99"/>
    <w:rPr>
      <w:vertAlign w:val="superscript"/>
    </w:rPr>
  </w:style>
  <w:style w:type="paragraph" w:customStyle="1" w:styleId="39">
    <w:name w:val="正文文本1"/>
    <w:basedOn w:val="1"/>
    <w:link w:val="200"/>
    <w:qFormat/>
    <w:uiPriority w:val="0"/>
    <w:pPr>
      <w:tabs>
        <w:tab w:val="left" w:pos="567"/>
      </w:tabs>
      <w:spacing w:before="120" w:line="22" w:lineRule="atLeast"/>
    </w:pPr>
    <w:rPr>
      <w:rFonts w:ascii="宋体" w:hAnsi="宋体"/>
      <w:sz w:val="24"/>
    </w:rPr>
  </w:style>
  <w:style w:type="character" w:customStyle="1" w:styleId="40">
    <w:name w:val="Heading 1 Char"/>
    <w:link w:val="4"/>
    <w:qFormat/>
    <w:uiPriority w:val="9"/>
    <w:rPr>
      <w:rFonts w:ascii="Arial" w:hAnsi="Arial" w:eastAsia="Arial" w:cs="Arial"/>
      <w:sz w:val="40"/>
      <w:szCs w:val="40"/>
    </w:rPr>
  </w:style>
  <w:style w:type="character" w:customStyle="1" w:styleId="41">
    <w:name w:val="Heading 2 Char"/>
    <w:link w:val="5"/>
    <w:qFormat/>
    <w:uiPriority w:val="9"/>
    <w:rPr>
      <w:rFonts w:ascii="Arial" w:hAnsi="Arial" w:eastAsia="Arial" w:cs="Arial"/>
      <w:sz w:val="34"/>
    </w:rPr>
  </w:style>
  <w:style w:type="character" w:customStyle="1" w:styleId="42">
    <w:name w:val="Heading 3 Char"/>
    <w:link w:val="6"/>
    <w:qFormat/>
    <w:uiPriority w:val="9"/>
    <w:rPr>
      <w:rFonts w:ascii="Arial" w:hAnsi="Arial" w:eastAsia="Arial" w:cs="Arial"/>
      <w:sz w:val="30"/>
      <w:szCs w:val="30"/>
    </w:rPr>
  </w:style>
  <w:style w:type="character" w:customStyle="1" w:styleId="43">
    <w:name w:val="Heading 4 Char"/>
    <w:link w:val="7"/>
    <w:qFormat/>
    <w:uiPriority w:val="9"/>
    <w:rPr>
      <w:rFonts w:ascii="Arial" w:hAnsi="Arial" w:eastAsia="Arial" w:cs="Arial"/>
      <w:b/>
      <w:bCs/>
      <w:sz w:val="26"/>
      <w:szCs w:val="26"/>
    </w:rPr>
  </w:style>
  <w:style w:type="character" w:customStyle="1" w:styleId="44">
    <w:name w:val="Heading 5 Char"/>
    <w:link w:val="8"/>
    <w:qFormat/>
    <w:uiPriority w:val="9"/>
    <w:rPr>
      <w:rFonts w:ascii="Arial" w:hAnsi="Arial" w:eastAsia="Arial" w:cs="Arial"/>
      <w:b/>
      <w:bCs/>
      <w:sz w:val="24"/>
      <w:szCs w:val="24"/>
    </w:rPr>
  </w:style>
  <w:style w:type="character" w:customStyle="1" w:styleId="45">
    <w:name w:val="Heading 6 Char"/>
    <w:link w:val="9"/>
    <w:qFormat/>
    <w:uiPriority w:val="9"/>
    <w:rPr>
      <w:rFonts w:ascii="Arial" w:hAnsi="Arial" w:eastAsia="Arial" w:cs="Arial"/>
      <w:b/>
      <w:bCs/>
      <w:sz w:val="22"/>
      <w:szCs w:val="22"/>
    </w:rPr>
  </w:style>
  <w:style w:type="character" w:customStyle="1" w:styleId="46">
    <w:name w:val="Heading 7 Char"/>
    <w:link w:val="10"/>
    <w:qFormat/>
    <w:uiPriority w:val="9"/>
    <w:rPr>
      <w:rFonts w:ascii="Arial" w:hAnsi="Arial" w:eastAsia="Arial" w:cs="Arial"/>
      <w:b/>
      <w:bCs/>
      <w:i/>
      <w:iCs/>
      <w:sz w:val="22"/>
      <w:szCs w:val="22"/>
    </w:rPr>
  </w:style>
  <w:style w:type="character" w:customStyle="1" w:styleId="47">
    <w:name w:val="Heading 8 Char"/>
    <w:link w:val="11"/>
    <w:qFormat/>
    <w:uiPriority w:val="9"/>
    <w:rPr>
      <w:rFonts w:ascii="Arial" w:hAnsi="Arial" w:eastAsia="Arial" w:cs="Arial"/>
      <w:i/>
      <w:iCs/>
      <w:sz w:val="22"/>
      <w:szCs w:val="22"/>
    </w:rPr>
  </w:style>
  <w:style w:type="character" w:customStyle="1" w:styleId="48">
    <w:name w:val="Heading 9 Char"/>
    <w:link w:val="12"/>
    <w:qFormat/>
    <w:uiPriority w:val="9"/>
    <w:rPr>
      <w:rFonts w:ascii="Arial" w:hAnsi="Arial" w:eastAsia="Arial" w:cs="Arial"/>
      <w:i/>
      <w:iCs/>
      <w:sz w:val="21"/>
      <w:szCs w:val="21"/>
    </w:rPr>
  </w:style>
  <w:style w:type="paragraph" w:styleId="49">
    <w:name w:val="List Paragraph"/>
    <w:basedOn w:val="1"/>
    <w:qFormat/>
    <w:uiPriority w:val="34"/>
    <w:pPr>
      <w:ind w:left="720"/>
      <w:contextualSpacing/>
    </w:pPr>
  </w:style>
  <w:style w:type="paragraph" w:styleId="50">
    <w:name w:val="No Spacing"/>
    <w:qFormat/>
    <w:uiPriority w:val="1"/>
    <w:pPr>
      <w:spacing w:before="0" w:after="0" w:line="240" w:lineRule="auto"/>
    </w:pPr>
    <w:rPr>
      <w:rFonts w:hint="default" w:ascii="Times New Roman" w:hAnsi="Times New Roman" w:eastAsia="宋体" w:cs="Times New Roman"/>
    </w:rPr>
  </w:style>
  <w:style w:type="character" w:customStyle="1" w:styleId="51">
    <w:name w:val="Title Char"/>
    <w:link w:val="32"/>
    <w:qFormat/>
    <w:uiPriority w:val="10"/>
    <w:rPr>
      <w:sz w:val="48"/>
      <w:szCs w:val="48"/>
    </w:rPr>
  </w:style>
  <w:style w:type="character" w:customStyle="1" w:styleId="52">
    <w:name w:val="Subtitle Char"/>
    <w:link w:val="26"/>
    <w:qFormat/>
    <w:uiPriority w:val="11"/>
    <w:rPr>
      <w:sz w:val="24"/>
      <w:szCs w:val="24"/>
    </w:rPr>
  </w:style>
  <w:style w:type="paragraph" w:styleId="53">
    <w:name w:val="Quote"/>
    <w:basedOn w:val="1"/>
    <w:next w:val="1"/>
    <w:link w:val="54"/>
    <w:qFormat/>
    <w:uiPriority w:val="29"/>
    <w:pPr>
      <w:ind w:left="720" w:right="720"/>
    </w:pPr>
    <w:rPr>
      <w:i/>
    </w:rPr>
  </w:style>
  <w:style w:type="character" w:customStyle="1" w:styleId="54">
    <w:name w:val="Quote Char"/>
    <w:link w:val="53"/>
    <w:qFormat/>
    <w:uiPriority w:val="29"/>
    <w:rPr>
      <w:i/>
    </w:rPr>
  </w:style>
  <w:style w:type="paragraph" w:styleId="55">
    <w:name w:val="Intense Quote"/>
    <w:basedOn w:val="1"/>
    <w:next w:val="1"/>
    <w:link w:val="5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6">
    <w:name w:val="Intense Quote Char"/>
    <w:link w:val="55"/>
    <w:qFormat/>
    <w:uiPriority w:val="30"/>
    <w:rPr>
      <w:i/>
    </w:rPr>
  </w:style>
  <w:style w:type="character" w:customStyle="1" w:styleId="57">
    <w:name w:val="Header Char"/>
    <w:link w:val="23"/>
    <w:qFormat/>
    <w:uiPriority w:val="99"/>
  </w:style>
  <w:style w:type="character" w:customStyle="1" w:styleId="58">
    <w:name w:val="Footer Char"/>
    <w:link w:val="22"/>
    <w:qFormat/>
    <w:uiPriority w:val="99"/>
  </w:style>
  <w:style w:type="character" w:customStyle="1" w:styleId="59">
    <w:name w:val="Caption Char"/>
    <w:link w:val="22"/>
    <w:qFormat/>
    <w:uiPriority w:val="99"/>
  </w:style>
  <w:style w:type="table" w:customStyle="1" w:styleId="60">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1">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2">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3">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7">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8">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9">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0">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1">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2">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3">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5">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6">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7">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8">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9">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0">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2">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3">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4">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5">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6">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7">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9">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0">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1">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2">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3">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4">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5">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6">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7">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8">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9">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0">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1">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2">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3">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4">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5">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6">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7">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8">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9">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0">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1">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2">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3">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4">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5">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6">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7">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8">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9">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0">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1">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2">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3">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4">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5">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6">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7">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8">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9">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0">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1">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2">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3">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4">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5">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6">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7">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8">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9">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0">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1">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2">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3">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4">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5">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6">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7">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8">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9">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0">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1">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2">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3">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4">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5">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6">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7">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8">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9">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0">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1">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2">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3">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4">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5">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6">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7">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8">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9">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0">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1">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3">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4">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5">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6">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7">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8">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9">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0">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1">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2">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3">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4">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5">
    <w:name w:val="Footnote Text Char"/>
    <w:link w:val="27"/>
    <w:qFormat/>
    <w:uiPriority w:val="99"/>
    <w:rPr>
      <w:sz w:val="18"/>
    </w:rPr>
  </w:style>
  <w:style w:type="character" w:customStyle="1" w:styleId="186">
    <w:name w:val="Endnote Text Char"/>
    <w:link w:val="21"/>
    <w:qFormat/>
    <w:uiPriority w:val="99"/>
    <w:rPr>
      <w:sz w:val="20"/>
    </w:rPr>
  </w:style>
  <w:style w:type="paragraph" w:customStyle="1" w:styleId="187">
    <w:name w:val="TOC Heading"/>
    <w:unhideWhenUsed/>
    <w:qFormat/>
    <w:uiPriority w:val="39"/>
    <w:rPr>
      <w:rFonts w:hint="default" w:ascii="Times New Roman" w:hAnsi="Times New Roman" w:eastAsia="宋体" w:cs="Times New Roman"/>
    </w:rPr>
  </w:style>
  <w:style w:type="paragraph" w:customStyle="1" w:styleId="188">
    <w:name w:val="标题 11"/>
    <w:basedOn w:val="1"/>
    <w:next w:val="1"/>
    <w:link w:val="201"/>
    <w:qFormat/>
    <w:uiPriority w:val="0"/>
    <w:pPr>
      <w:keepNext/>
      <w:keepLines/>
      <w:spacing w:before="240" w:after="120" w:line="300" w:lineRule="auto"/>
      <w:jc w:val="center"/>
      <w:outlineLvl w:val="0"/>
    </w:pPr>
    <w:rPr>
      <w:rFonts w:ascii="宋体"/>
      <w:b/>
      <w:sz w:val="32"/>
      <w:szCs w:val="20"/>
    </w:rPr>
  </w:style>
  <w:style w:type="paragraph" w:customStyle="1" w:styleId="189">
    <w:name w:val="标题 21"/>
    <w:basedOn w:val="1"/>
    <w:next w:val="190"/>
    <w:link w:val="202"/>
    <w:qFormat/>
    <w:uiPriority w:val="0"/>
    <w:pPr>
      <w:keepNext/>
      <w:keepLines/>
      <w:spacing w:before="120" w:line="300" w:lineRule="auto"/>
      <w:jc w:val="center"/>
      <w:outlineLvl w:val="1"/>
    </w:pPr>
    <w:rPr>
      <w:rFonts w:ascii="Arial" w:hAnsi="Arial" w:eastAsia="黑体"/>
      <w:b/>
      <w:sz w:val="30"/>
      <w:szCs w:val="20"/>
    </w:rPr>
  </w:style>
  <w:style w:type="paragraph" w:customStyle="1" w:styleId="190">
    <w:name w:val="正文缩进11"/>
    <w:basedOn w:val="1"/>
    <w:next w:val="1"/>
    <w:link w:val="203"/>
    <w:qFormat/>
    <w:uiPriority w:val="0"/>
    <w:pPr>
      <w:ind w:firstLine="420"/>
      <w:jc w:val="left"/>
    </w:pPr>
    <w:rPr>
      <w:rFonts w:ascii="宋体"/>
      <w:sz w:val="24"/>
    </w:rPr>
  </w:style>
  <w:style w:type="paragraph" w:customStyle="1" w:styleId="191">
    <w:name w:val="标题 31"/>
    <w:basedOn w:val="1"/>
    <w:next w:val="1"/>
    <w:link w:val="204"/>
    <w:qFormat/>
    <w:uiPriority w:val="0"/>
    <w:pPr>
      <w:keepNext/>
      <w:keepLines/>
      <w:spacing w:before="360" w:after="120"/>
      <w:jc w:val="left"/>
      <w:outlineLvl w:val="2"/>
    </w:pPr>
    <w:rPr>
      <w:rFonts w:ascii="宋体"/>
      <w:b/>
      <w:sz w:val="24"/>
      <w:szCs w:val="20"/>
      <w:u w:val="single"/>
    </w:rPr>
  </w:style>
  <w:style w:type="paragraph" w:customStyle="1" w:styleId="192">
    <w:name w:val="标题 41"/>
    <w:basedOn w:val="1"/>
    <w:next w:val="1"/>
    <w:link w:val="205"/>
    <w:qFormat/>
    <w:uiPriority w:val="0"/>
    <w:pPr>
      <w:keepNext/>
      <w:keepLines/>
      <w:spacing w:before="280" w:after="290" w:line="376" w:lineRule="atLeast"/>
      <w:outlineLvl w:val="3"/>
    </w:pPr>
    <w:rPr>
      <w:rFonts w:ascii="Arial" w:hAnsi="Arial" w:eastAsia="黑体"/>
      <w:b/>
      <w:sz w:val="28"/>
      <w:szCs w:val="20"/>
    </w:rPr>
  </w:style>
  <w:style w:type="paragraph" w:customStyle="1" w:styleId="193">
    <w:name w:val="标题 51"/>
    <w:basedOn w:val="1"/>
    <w:next w:val="1"/>
    <w:link w:val="206"/>
    <w:qFormat/>
    <w:uiPriority w:val="0"/>
    <w:pPr>
      <w:keepNext/>
      <w:keepLines/>
      <w:spacing w:before="280" w:after="290" w:line="376" w:lineRule="atLeast"/>
      <w:outlineLvl w:val="4"/>
    </w:pPr>
    <w:rPr>
      <w:b/>
      <w:sz w:val="28"/>
      <w:szCs w:val="20"/>
    </w:rPr>
  </w:style>
  <w:style w:type="paragraph" w:customStyle="1" w:styleId="194">
    <w:name w:val="标题 61"/>
    <w:basedOn w:val="1"/>
    <w:next w:val="1"/>
    <w:link w:val="207"/>
    <w:qFormat/>
    <w:uiPriority w:val="0"/>
    <w:pPr>
      <w:keepNext/>
      <w:keepLines/>
      <w:spacing w:before="240" w:after="64" w:line="320" w:lineRule="atLeast"/>
      <w:outlineLvl w:val="5"/>
    </w:pPr>
    <w:rPr>
      <w:rFonts w:ascii="Arial" w:hAnsi="Arial" w:eastAsia="黑体"/>
      <w:b/>
      <w:sz w:val="24"/>
      <w:szCs w:val="20"/>
    </w:rPr>
  </w:style>
  <w:style w:type="paragraph" w:customStyle="1" w:styleId="195">
    <w:name w:val="标题 71"/>
    <w:basedOn w:val="1"/>
    <w:next w:val="1"/>
    <w:link w:val="208"/>
    <w:qFormat/>
    <w:uiPriority w:val="0"/>
    <w:pPr>
      <w:keepNext/>
      <w:keepLines/>
      <w:spacing w:before="240" w:after="64" w:line="320" w:lineRule="atLeast"/>
      <w:outlineLvl w:val="6"/>
    </w:pPr>
    <w:rPr>
      <w:b/>
      <w:sz w:val="24"/>
      <w:szCs w:val="20"/>
    </w:rPr>
  </w:style>
  <w:style w:type="paragraph" w:customStyle="1" w:styleId="196">
    <w:name w:val="标题 81"/>
    <w:basedOn w:val="1"/>
    <w:next w:val="1"/>
    <w:link w:val="209"/>
    <w:qFormat/>
    <w:uiPriority w:val="0"/>
    <w:pPr>
      <w:keepNext/>
      <w:keepLines/>
      <w:spacing w:before="240" w:after="64" w:line="320" w:lineRule="atLeast"/>
      <w:outlineLvl w:val="7"/>
    </w:pPr>
    <w:rPr>
      <w:rFonts w:ascii="Arial" w:hAnsi="Arial" w:eastAsia="黑体"/>
      <w:sz w:val="24"/>
      <w:szCs w:val="20"/>
    </w:rPr>
  </w:style>
  <w:style w:type="paragraph" w:customStyle="1" w:styleId="197">
    <w:name w:val="标题 91"/>
    <w:basedOn w:val="1"/>
    <w:next w:val="1"/>
    <w:link w:val="210"/>
    <w:qFormat/>
    <w:uiPriority w:val="0"/>
    <w:pPr>
      <w:keepNext/>
      <w:keepLines/>
      <w:spacing w:before="240" w:after="64" w:line="320" w:lineRule="atLeast"/>
      <w:outlineLvl w:val="8"/>
    </w:pPr>
    <w:rPr>
      <w:rFonts w:ascii="Arial" w:hAnsi="Arial" w:eastAsia="黑体"/>
      <w:szCs w:val="20"/>
    </w:rPr>
  </w:style>
  <w:style w:type="character" w:customStyle="1" w:styleId="198">
    <w:name w:val="默认段落字体1"/>
    <w:link w:val="1"/>
    <w:unhideWhenUsed/>
    <w:qFormat/>
    <w:uiPriority w:val="1"/>
  </w:style>
  <w:style w:type="table" w:customStyle="1" w:styleId="199">
    <w:name w:val="普通表格1"/>
    <w:unhideWhenUsed/>
    <w:qFormat/>
    <w:uiPriority w:val="99"/>
  </w:style>
  <w:style w:type="character" w:customStyle="1" w:styleId="200">
    <w:name w:val="正文文本 Char"/>
    <w:basedOn w:val="198"/>
    <w:link w:val="39"/>
    <w:qFormat/>
    <w:uiPriority w:val="0"/>
    <w:rPr>
      <w:rFonts w:ascii="宋体" w:hAnsi="宋体"/>
      <w:sz w:val="24"/>
      <w:szCs w:val="24"/>
    </w:rPr>
  </w:style>
  <w:style w:type="character" w:customStyle="1" w:styleId="201">
    <w:name w:val="标题 1 Char"/>
    <w:basedOn w:val="198"/>
    <w:link w:val="188"/>
    <w:qFormat/>
    <w:uiPriority w:val="0"/>
    <w:rPr>
      <w:rFonts w:ascii="宋体"/>
      <w:b/>
      <w:sz w:val="32"/>
    </w:rPr>
  </w:style>
  <w:style w:type="character" w:customStyle="1" w:styleId="202">
    <w:name w:val="标题 2 Char1"/>
    <w:link w:val="189"/>
    <w:qFormat/>
    <w:uiPriority w:val="0"/>
    <w:rPr>
      <w:rFonts w:ascii="Arial" w:hAnsi="Arial" w:eastAsia="黑体"/>
      <w:b/>
      <w:sz w:val="30"/>
      <w:lang w:val="en-US" w:eastAsia="zh-CN" w:bidi="ar-SA"/>
    </w:rPr>
  </w:style>
  <w:style w:type="character" w:customStyle="1" w:styleId="203">
    <w:name w:val="正文缩进 Char1"/>
    <w:link w:val="190"/>
    <w:qFormat/>
    <w:uiPriority w:val="0"/>
    <w:rPr>
      <w:rFonts w:ascii="宋体" w:eastAsia="宋体"/>
      <w:sz w:val="24"/>
      <w:szCs w:val="24"/>
      <w:lang w:val="en-US" w:eastAsia="zh-CN" w:bidi="ar-SA"/>
    </w:rPr>
  </w:style>
  <w:style w:type="character" w:customStyle="1" w:styleId="204">
    <w:name w:val="标题 3 Char1"/>
    <w:link w:val="191"/>
    <w:qFormat/>
    <w:uiPriority w:val="0"/>
    <w:rPr>
      <w:rFonts w:ascii="宋体" w:eastAsia="宋体"/>
      <w:b/>
      <w:sz w:val="24"/>
      <w:u w:val="single"/>
      <w:lang w:val="en-US" w:eastAsia="zh-CN" w:bidi="ar-SA"/>
    </w:rPr>
  </w:style>
  <w:style w:type="character" w:customStyle="1" w:styleId="205">
    <w:name w:val="标题 4 Char"/>
    <w:basedOn w:val="198"/>
    <w:link w:val="192"/>
    <w:qFormat/>
    <w:uiPriority w:val="0"/>
    <w:rPr>
      <w:rFonts w:ascii="Arial" w:hAnsi="Arial" w:eastAsia="黑体"/>
      <w:b/>
      <w:sz w:val="28"/>
    </w:rPr>
  </w:style>
  <w:style w:type="character" w:customStyle="1" w:styleId="206">
    <w:name w:val="标题 5 Char"/>
    <w:basedOn w:val="198"/>
    <w:link w:val="193"/>
    <w:qFormat/>
    <w:uiPriority w:val="0"/>
    <w:rPr>
      <w:b/>
      <w:sz w:val="28"/>
    </w:rPr>
  </w:style>
  <w:style w:type="character" w:customStyle="1" w:styleId="207">
    <w:name w:val="标题 6 Char"/>
    <w:basedOn w:val="198"/>
    <w:link w:val="194"/>
    <w:qFormat/>
    <w:uiPriority w:val="0"/>
    <w:rPr>
      <w:rFonts w:ascii="Arial" w:hAnsi="Arial" w:eastAsia="黑体"/>
      <w:b/>
      <w:sz w:val="24"/>
    </w:rPr>
  </w:style>
  <w:style w:type="character" w:customStyle="1" w:styleId="208">
    <w:name w:val="标题 7 Char"/>
    <w:basedOn w:val="198"/>
    <w:link w:val="195"/>
    <w:qFormat/>
    <w:uiPriority w:val="0"/>
    <w:rPr>
      <w:b/>
      <w:sz w:val="24"/>
    </w:rPr>
  </w:style>
  <w:style w:type="character" w:customStyle="1" w:styleId="209">
    <w:name w:val="标题 8 Char"/>
    <w:basedOn w:val="198"/>
    <w:link w:val="196"/>
    <w:qFormat/>
    <w:uiPriority w:val="0"/>
    <w:rPr>
      <w:rFonts w:ascii="Arial" w:hAnsi="Arial" w:eastAsia="黑体"/>
      <w:sz w:val="24"/>
    </w:rPr>
  </w:style>
  <w:style w:type="character" w:customStyle="1" w:styleId="210">
    <w:name w:val="标题 9 Char"/>
    <w:basedOn w:val="198"/>
    <w:link w:val="197"/>
    <w:qFormat/>
    <w:uiPriority w:val="0"/>
    <w:rPr>
      <w:rFonts w:ascii="Arial" w:hAnsi="Arial" w:eastAsia="黑体"/>
      <w:sz w:val="21"/>
    </w:rPr>
  </w:style>
  <w:style w:type="paragraph" w:customStyle="1" w:styleId="211">
    <w:name w:val="目录 71"/>
    <w:basedOn w:val="1"/>
    <w:next w:val="1"/>
    <w:qFormat/>
    <w:uiPriority w:val="0"/>
    <w:pPr>
      <w:ind w:left="2520"/>
    </w:pPr>
  </w:style>
  <w:style w:type="paragraph" w:customStyle="1" w:styleId="212">
    <w:name w:val="题注1"/>
    <w:basedOn w:val="1"/>
    <w:next w:val="1"/>
    <w:qFormat/>
    <w:uiPriority w:val="0"/>
    <w:pPr>
      <w:spacing w:line="480" w:lineRule="auto"/>
    </w:pPr>
    <w:rPr>
      <w:rFonts w:ascii="华文中宋" w:hAnsi="华文中宋" w:eastAsia="华文中宋"/>
      <w:sz w:val="36"/>
      <w:szCs w:val="20"/>
    </w:rPr>
  </w:style>
  <w:style w:type="paragraph" w:customStyle="1" w:styleId="213">
    <w:name w:val="索引 51"/>
    <w:basedOn w:val="1"/>
    <w:next w:val="1"/>
    <w:unhideWhenUsed/>
    <w:qFormat/>
    <w:uiPriority w:val="99"/>
    <w:pPr>
      <w:ind w:left="800"/>
    </w:pPr>
  </w:style>
  <w:style w:type="paragraph" w:customStyle="1" w:styleId="214">
    <w:name w:val="文档结构图1"/>
    <w:basedOn w:val="1"/>
    <w:link w:val="215"/>
    <w:qFormat/>
    <w:uiPriority w:val="0"/>
    <w:pPr>
      <w:shd w:val="clear" w:color="auto" w:fill="000080"/>
    </w:pPr>
  </w:style>
  <w:style w:type="character" w:customStyle="1" w:styleId="215">
    <w:name w:val="文档结构图 Char"/>
    <w:basedOn w:val="198"/>
    <w:link w:val="214"/>
    <w:qFormat/>
    <w:uiPriority w:val="0"/>
    <w:rPr>
      <w:sz w:val="21"/>
      <w:szCs w:val="24"/>
      <w:shd w:val="clear" w:color="auto" w:fill="000080"/>
    </w:rPr>
  </w:style>
  <w:style w:type="paragraph" w:customStyle="1" w:styleId="216">
    <w:name w:val="批注文字1"/>
    <w:basedOn w:val="1"/>
    <w:link w:val="217"/>
    <w:qFormat/>
    <w:uiPriority w:val="99"/>
    <w:pPr>
      <w:jc w:val="left"/>
    </w:pPr>
  </w:style>
  <w:style w:type="character" w:customStyle="1" w:styleId="217">
    <w:name w:val="批注文字 Char1"/>
    <w:link w:val="216"/>
    <w:qFormat/>
    <w:uiPriority w:val="99"/>
    <w:rPr>
      <w:sz w:val="21"/>
      <w:szCs w:val="24"/>
    </w:rPr>
  </w:style>
  <w:style w:type="paragraph" w:customStyle="1" w:styleId="218">
    <w:name w:val="正文文本 31"/>
    <w:basedOn w:val="1"/>
    <w:link w:val="219"/>
    <w:qFormat/>
    <w:uiPriority w:val="0"/>
    <w:pPr>
      <w:spacing w:after="120"/>
    </w:pPr>
    <w:rPr>
      <w:sz w:val="16"/>
      <w:szCs w:val="16"/>
    </w:rPr>
  </w:style>
  <w:style w:type="character" w:customStyle="1" w:styleId="219">
    <w:name w:val="正文文本 3 Char"/>
    <w:basedOn w:val="198"/>
    <w:link w:val="218"/>
    <w:qFormat/>
    <w:uiPriority w:val="0"/>
    <w:rPr>
      <w:sz w:val="16"/>
      <w:szCs w:val="16"/>
    </w:rPr>
  </w:style>
  <w:style w:type="paragraph" w:customStyle="1" w:styleId="220">
    <w:name w:val="正文文本缩进11"/>
    <w:basedOn w:val="1"/>
    <w:next w:val="221"/>
    <w:link w:val="222"/>
    <w:qFormat/>
    <w:uiPriority w:val="0"/>
    <w:pPr>
      <w:spacing w:line="360" w:lineRule="auto"/>
      <w:ind w:firstLine="570"/>
    </w:pPr>
    <w:rPr>
      <w:sz w:val="24"/>
    </w:rPr>
  </w:style>
  <w:style w:type="paragraph" w:customStyle="1" w:styleId="221">
    <w:name w:val="寄信人地址1"/>
    <w:basedOn w:val="1"/>
    <w:qFormat/>
    <w:uiPriority w:val="0"/>
    <w:rPr>
      <w:rFonts w:ascii="Arial" w:hAnsi="Arial"/>
    </w:rPr>
  </w:style>
  <w:style w:type="character" w:customStyle="1" w:styleId="222">
    <w:name w:val="正文文本缩进 Char2"/>
    <w:link w:val="220"/>
    <w:qFormat/>
    <w:uiPriority w:val="0"/>
    <w:rPr>
      <w:rFonts w:eastAsia="宋体"/>
      <w:sz w:val="24"/>
      <w:szCs w:val="24"/>
      <w:lang w:val="en-US" w:eastAsia="zh-CN" w:bidi="ar-SA"/>
    </w:rPr>
  </w:style>
  <w:style w:type="paragraph" w:customStyle="1" w:styleId="223">
    <w:name w:val="列表 21"/>
    <w:basedOn w:val="1"/>
    <w:qFormat/>
    <w:uiPriority w:val="0"/>
    <w:pPr>
      <w:ind w:left="100" w:hanging="200"/>
    </w:pPr>
  </w:style>
  <w:style w:type="paragraph" w:customStyle="1" w:styleId="224">
    <w:name w:val="文本块1"/>
    <w:basedOn w:val="1"/>
    <w:qFormat/>
    <w:uiPriority w:val="0"/>
    <w:pPr>
      <w:widowControl/>
      <w:ind w:left="480" w:right="-341" w:firstLine="513"/>
    </w:pPr>
    <w:rPr>
      <w:sz w:val="24"/>
      <w:szCs w:val="20"/>
    </w:rPr>
  </w:style>
  <w:style w:type="paragraph" w:customStyle="1" w:styleId="225">
    <w:name w:val="目录 51"/>
    <w:basedOn w:val="1"/>
    <w:next w:val="1"/>
    <w:qFormat/>
    <w:uiPriority w:val="0"/>
    <w:pPr>
      <w:ind w:left="1680"/>
    </w:pPr>
  </w:style>
  <w:style w:type="paragraph" w:customStyle="1" w:styleId="226">
    <w:name w:val="目录 31"/>
    <w:basedOn w:val="1"/>
    <w:next w:val="1"/>
    <w:qFormat/>
    <w:uiPriority w:val="39"/>
    <w:pPr>
      <w:ind w:left="840"/>
    </w:pPr>
  </w:style>
  <w:style w:type="paragraph" w:customStyle="1" w:styleId="227">
    <w:name w:val="纯文本11"/>
    <w:basedOn w:val="1"/>
    <w:next w:val="190"/>
    <w:link w:val="228"/>
    <w:qFormat/>
    <w:uiPriority w:val="0"/>
    <w:rPr>
      <w:rFonts w:hint="eastAsia" w:ascii="宋体" w:hAnsi="Courier New"/>
      <w:szCs w:val="20"/>
    </w:rPr>
  </w:style>
  <w:style w:type="character" w:customStyle="1" w:styleId="228">
    <w:name w:val="纯文本 Char"/>
    <w:basedOn w:val="198"/>
    <w:link w:val="227"/>
    <w:qFormat/>
    <w:uiPriority w:val="0"/>
    <w:rPr>
      <w:rFonts w:hint="eastAsia" w:ascii="宋体" w:hAnsi="Courier New" w:eastAsia="宋体" w:cs="宋体"/>
      <w:sz w:val="21"/>
    </w:rPr>
  </w:style>
  <w:style w:type="paragraph" w:customStyle="1" w:styleId="229">
    <w:name w:val="目录 81"/>
    <w:basedOn w:val="1"/>
    <w:next w:val="1"/>
    <w:qFormat/>
    <w:uiPriority w:val="0"/>
    <w:pPr>
      <w:ind w:left="2940"/>
    </w:pPr>
  </w:style>
  <w:style w:type="paragraph" w:customStyle="1" w:styleId="230">
    <w:name w:val="日期1"/>
    <w:basedOn w:val="1"/>
    <w:next w:val="1"/>
    <w:link w:val="231"/>
    <w:qFormat/>
    <w:uiPriority w:val="0"/>
    <w:pPr>
      <w:ind w:left="100"/>
    </w:pPr>
    <w:rPr>
      <w:rFonts w:ascii="仿宋_GB2312" w:hAnsi="宋体" w:eastAsia="仿宋_GB2312"/>
      <w:color w:val="000000"/>
      <w:sz w:val="24"/>
    </w:rPr>
  </w:style>
  <w:style w:type="character" w:customStyle="1" w:styleId="231">
    <w:name w:val="日期 Char"/>
    <w:basedOn w:val="198"/>
    <w:link w:val="230"/>
    <w:qFormat/>
    <w:uiPriority w:val="0"/>
    <w:rPr>
      <w:rFonts w:ascii="仿宋_GB2312" w:hAnsi="宋体" w:eastAsia="仿宋_GB2312"/>
      <w:color w:val="000000"/>
      <w:sz w:val="24"/>
      <w:szCs w:val="24"/>
    </w:rPr>
  </w:style>
  <w:style w:type="paragraph" w:customStyle="1" w:styleId="232">
    <w:name w:val="正文文本缩进 21"/>
    <w:basedOn w:val="1"/>
    <w:link w:val="233"/>
    <w:qFormat/>
    <w:uiPriority w:val="0"/>
    <w:pPr>
      <w:ind w:firstLine="480"/>
    </w:pPr>
    <w:rPr>
      <w:rFonts w:ascii="仿宋_GB2312" w:eastAsia="仿宋_GB2312"/>
      <w:sz w:val="24"/>
    </w:rPr>
  </w:style>
  <w:style w:type="character" w:customStyle="1" w:styleId="233">
    <w:name w:val="正文文本缩进 2 Char"/>
    <w:basedOn w:val="198"/>
    <w:link w:val="232"/>
    <w:qFormat/>
    <w:uiPriority w:val="0"/>
    <w:rPr>
      <w:rFonts w:ascii="仿宋_GB2312" w:eastAsia="仿宋_GB2312"/>
      <w:sz w:val="24"/>
      <w:szCs w:val="24"/>
    </w:rPr>
  </w:style>
  <w:style w:type="paragraph" w:customStyle="1" w:styleId="234">
    <w:name w:val="批注框文本1"/>
    <w:basedOn w:val="1"/>
    <w:link w:val="235"/>
    <w:qFormat/>
    <w:uiPriority w:val="0"/>
    <w:rPr>
      <w:sz w:val="18"/>
      <w:szCs w:val="18"/>
    </w:rPr>
  </w:style>
  <w:style w:type="character" w:customStyle="1" w:styleId="235">
    <w:name w:val="批注框文本 Char"/>
    <w:basedOn w:val="198"/>
    <w:link w:val="234"/>
    <w:qFormat/>
    <w:uiPriority w:val="0"/>
    <w:rPr>
      <w:sz w:val="18"/>
      <w:szCs w:val="18"/>
    </w:rPr>
  </w:style>
  <w:style w:type="paragraph" w:customStyle="1" w:styleId="236">
    <w:name w:val="页脚1"/>
    <w:basedOn w:val="1"/>
    <w:link w:val="237"/>
    <w:qFormat/>
    <w:uiPriority w:val="99"/>
    <w:pPr>
      <w:tabs>
        <w:tab w:val="center" w:pos="4153"/>
        <w:tab w:val="right" w:pos="8306"/>
      </w:tabs>
      <w:jc w:val="left"/>
    </w:pPr>
    <w:rPr>
      <w:rFonts w:ascii="宋体"/>
      <w:sz w:val="18"/>
      <w:szCs w:val="20"/>
    </w:rPr>
  </w:style>
  <w:style w:type="character" w:customStyle="1" w:styleId="237">
    <w:name w:val="页脚 Char1"/>
    <w:link w:val="236"/>
    <w:qFormat/>
    <w:uiPriority w:val="99"/>
    <w:rPr>
      <w:rFonts w:ascii="宋体" w:eastAsia="宋体"/>
      <w:sz w:val="18"/>
      <w:lang w:val="en-US" w:eastAsia="zh-CN" w:bidi="ar-SA"/>
    </w:rPr>
  </w:style>
  <w:style w:type="paragraph" w:customStyle="1" w:styleId="238">
    <w:name w:val="页眉1"/>
    <w:basedOn w:val="1"/>
    <w:link w:val="239"/>
    <w:qFormat/>
    <w:uiPriority w:val="0"/>
    <w:pPr>
      <w:pBdr>
        <w:bottom w:val="single" w:color="000000" w:sz="6" w:space="1"/>
      </w:pBdr>
      <w:tabs>
        <w:tab w:val="center" w:pos="4153"/>
        <w:tab w:val="right" w:pos="8306"/>
      </w:tabs>
      <w:jc w:val="center"/>
    </w:pPr>
    <w:rPr>
      <w:sz w:val="18"/>
      <w:szCs w:val="18"/>
    </w:rPr>
  </w:style>
  <w:style w:type="character" w:customStyle="1" w:styleId="239">
    <w:name w:val="页眉 Char1"/>
    <w:link w:val="238"/>
    <w:qFormat/>
    <w:uiPriority w:val="0"/>
    <w:rPr>
      <w:rFonts w:eastAsia="宋体"/>
      <w:sz w:val="18"/>
      <w:szCs w:val="18"/>
      <w:lang w:val="en-US" w:eastAsia="zh-CN" w:bidi="ar-SA"/>
    </w:rPr>
  </w:style>
  <w:style w:type="paragraph" w:customStyle="1" w:styleId="240">
    <w:name w:val="目录 11"/>
    <w:basedOn w:val="1"/>
    <w:next w:val="1"/>
    <w:qFormat/>
    <w:uiPriority w:val="39"/>
    <w:pPr>
      <w:tabs>
        <w:tab w:val="left" w:pos="1050"/>
        <w:tab w:val="right" w:leader="dot" w:pos="8937"/>
      </w:tabs>
      <w:spacing w:line="300" w:lineRule="auto"/>
    </w:pPr>
    <w:rPr>
      <w:rFonts w:ascii="宋体" w:hAnsi="宋体"/>
      <w:b/>
      <w:sz w:val="24"/>
    </w:rPr>
  </w:style>
  <w:style w:type="paragraph" w:customStyle="1" w:styleId="241">
    <w:name w:val="目录 41"/>
    <w:basedOn w:val="1"/>
    <w:next w:val="1"/>
    <w:qFormat/>
    <w:uiPriority w:val="0"/>
    <w:pPr>
      <w:ind w:left="1260"/>
    </w:pPr>
  </w:style>
  <w:style w:type="paragraph" w:customStyle="1" w:styleId="242">
    <w:name w:val="脚注文本1"/>
    <w:basedOn w:val="1"/>
    <w:next w:val="213"/>
    <w:qFormat/>
    <w:uiPriority w:val="0"/>
    <w:pPr>
      <w:spacing w:before="120" w:line="360" w:lineRule="auto"/>
      <w:ind w:firstLine="425"/>
      <w:jc w:val="left"/>
    </w:pPr>
    <w:rPr>
      <w:sz w:val="18"/>
      <w:szCs w:val="20"/>
    </w:rPr>
  </w:style>
  <w:style w:type="paragraph" w:customStyle="1" w:styleId="243">
    <w:name w:val="目录 61"/>
    <w:basedOn w:val="1"/>
    <w:next w:val="1"/>
    <w:qFormat/>
    <w:uiPriority w:val="0"/>
    <w:pPr>
      <w:ind w:left="2100"/>
    </w:pPr>
  </w:style>
  <w:style w:type="paragraph" w:customStyle="1" w:styleId="244">
    <w:name w:val="正文文本缩进 31"/>
    <w:basedOn w:val="1"/>
    <w:link w:val="245"/>
    <w:qFormat/>
    <w:uiPriority w:val="0"/>
    <w:pPr>
      <w:spacing w:before="120" w:line="22" w:lineRule="atLeast"/>
      <w:ind w:left="720" w:firstLine="480"/>
      <w:jc w:val="left"/>
    </w:pPr>
    <w:rPr>
      <w:rFonts w:ascii="宋体"/>
      <w:sz w:val="24"/>
      <w:szCs w:val="20"/>
    </w:rPr>
  </w:style>
  <w:style w:type="character" w:customStyle="1" w:styleId="245">
    <w:name w:val="正文文本缩进 3 Char"/>
    <w:basedOn w:val="198"/>
    <w:link w:val="244"/>
    <w:qFormat/>
    <w:uiPriority w:val="0"/>
    <w:rPr>
      <w:rFonts w:ascii="宋体"/>
      <w:sz w:val="24"/>
    </w:rPr>
  </w:style>
  <w:style w:type="paragraph" w:customStyle="1" w:styleId="246">
    <w:name w:val="目录 21"/>
    <w:basedOn w:val="1"/>
    <w:next w:val="1"/>
    <w:qFormat/>
    <w:uiPriority w:val="39"/>
    <w:pPr>
      <w:tabs>
        <w:tab w:val="right" w:leader="dot" w:pos="8937"/>
      </w:tabs>
      <w:spacing w:line="312" w:lineRule="auto"/>
      <w:ind w:left="420"/>
    </w:pPr>
  </w:style>
  <w:style w:type="paragraph" w:customStyle="1" w:styleId="247">
    <w:name w:val="目录 91"/>
    <w:basedOn w:val="1"/>
    <w:next w:val="1"/>
    <w:qFormat/>
    <w:uiPriority w:val="0"/>
    <w:pPr>
      <w:ind w:left="3360"/>
    </w:pPr>
  </w:style>
  <w:style w:type="paragraph" w:customStyle="1" w:styleId="248">
    <w:name w:val="HTML 预设格式1"/>
    <w:basedOn w:val="1"/>
    <w:link w:val="24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character" w:customStyle="1" w:styleId="249">
    <w:name w:val="HTML 预设格式 Char"/>
    <w:basedOn w:val="198"/>
    <w:link w:val="248"/>
    <w:qFormat/>
    <w:uiPriority w:val="0"/>
    <w:rPr>
      <w:rFonts w:ascii="宋体" w:hAnsi="宋体" w:cs="宋体"/>
      <w:sz w:val="24"/>
      <w:szCs w:val="24"/>
    </w:rPr>
  </w:style>
  <w:style w:type="paragraph" w:customStyle="1" w:styleId="250">
    <w:name w:val="普通(网站)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251">
    <w:name w:val="索引 11"/>
    <w:basedOn w:val="1"/>
    <w:next w:val="1"/>
    <w:qFormat/>
    <w:uiPriority w:val="0"/>
    <w:rPr>
      <w:szCs w:val="20"/>
    </w:rPr>
  </w:style>
  <w:style w:type="paragraph" w:customStyle="1" w:styleId="252">
    <w:name w:val="标题1"/>
    <w:basedOn w:val="1"/>
    <w:link w:val="253"/>
    <w:qFormat/>
    <w:uiPriority w:val="0"/>
    <w:pPr>
      <w:jc w:val="center"/>
      <w:outlineLvl w:val="0"/>
    </w:pPr>
    <w:rPr>
      <w:b/>
      <w:sz w:val="32"/>
      <w:szCs w:val="20"/>
    </w:rPr>
  </w:style>
  <w:style w:type="character" w:customStyle="1" w:styleId="253">
    <w:name w:val="标题 Char1"/>
    <w:link w:val="252"/>
    <w:qFormat/>
    <w:uiPriority w:val="0"/>
    <w:rPr>
      <w:b/>
      <w:sz w:val="32"/>
    </w:rPr>
  </w:style>
  <w:style w:type="paragraph" w:customStyle="1" w:styleId="254">
    <w:name w:val="批注主题1"/>
    <w:basedOn w:val="216"/>
    <w:next w:val="216"/>
    <w:link w:val="255"/>
    <w:qFormat/>
    <w:uiPriority w:val="0"/>
    <w:rPr>
      <w:b/>
      <w:bCs/>
    </w:rPr>
  </w:style>
  <w:style w:type="character" w:customStyle="1" w:styleId="255">
    <w:name w:val="批注主题 Char"/>
    <w:basedOn w:val="256"/>
    <w:link w:val="254"/>
    <w:qFormat/>
    <w:uiPriority w:val="0"/>
    <w:rPr>
      <w:rFonts w:ascii="Times New Roman" w:hAnsi="Times New Roman" w:eastAsia="宋体" w:cs="Times New Roman"/>
      <w:b/>
      <w:bCs/>
      <w:sz w:val="21"/>
      <w:szCs w:val="24"/>
      <w:lang w:val="en-US" w:eastAsia="zh-CN" w:bidi="ar-SA"/>
    </w:rPr>
  </w:style>
  <w:style w:type="character" w:customStyle="1" w:styleId="256">
    <w:name w:val="批注文字 字符"/>
    <w:link w:val="1"/>
    <w:qFormat/>
    <w:uiPriority w:val="99"/>
    <w:rPr>
      <w:rFonts w:ascii="Times New Roman" w:hAnsi="Times New Roman" w:eastAsia="宋体" w:cs="Times New Roman"/>
      <w:sz w:val="24"/>
      <w:lang w:val="en-US" w:eastAsia="zh-CN" w:bidi="ar-SA"/>
    </w:rPr>
  </w:style>
  <w:style w:type="paragraph" w:customStyle="1" w:styleId="257">
    <w:name w:val="正文首行缩进 21"/>
    <w:basedOn w:val="220"/>
    <w:next w:val="1"/>
    <w:link w:val="258"/>
    <w:qFormat/>
    <w:uiPriority w:val="0"/>
    <w:pPr>
      <w:spacing w:after="120" w:line="480" w:lineRule="exact"/>
      <w:ind w:left="420" w:firstLine="420"/>
    </w:pPr>
    <w:rPr>
      <w:szCs w:val="20"/>
    </w:rPr>
  </w:style>
  <w:style w:type="character" w:customStyle="1" w:styleId="258">
    <w:name w:val="正文首行缩进 2 Char"/>
    <w:basedOn w:val="222"/>
    <w:link w:val="257"/>
    <w:qFormat/>
    <w:uiPriority w:val="0"/>
    <w:rPr>
      <w:rFonts w:eastAsia="宋体"/>
      <w:sz w:val="24"/>
      <w:szCs w:val="24"/>
      <w:lang w:val="en-US" w:eastAsia="zh-CN" w:bidi="ar-SA"/>
    </w:rPr>
  </w:style>
  <w:style w:type="table" w:customStyle="1" w:styleId="259">
    <w:name w:val="网格型1"/>
    <w:basedOn w:val="199"/>
    <w:qFormat/>
    <w:uiPriority w:val="39"/>
  </w:style>
  <w:style w:type="table" w:customStyle="1" w:styleId="260">
    <w:name w:val="中等深浅网格 1 - 强调文字颜色 21"/>
    <w:basedOn w:val="199"/>
    <w:qFormat/>
    <w:uiPriority w:val="0"/>
    <w:rPr>
      <w:sz w:val="21"/>
      <w:szCs w:val="24"/>
    </w:rPr>
  </w:style>
  <w:style w:type="character" w:customStyle="1" w:styleId="261">
    <w:name w:val="要点1"/>
    <w:link w:val="1"/>
    <w:qFormat/>
    <w:uiPriority w:val="0"/>
    <w:rPr>
      <w:b/>
      <w:bCs/>
    </w:rPr>
  </w:style>
  <w:style w:type="character" w:customStyle="1" w:styleId="262">
    <w:name w:val="页码1"/>
    <w:basedOn w:val="198"/>
    <w:link w:val="1"/>
    <w:qFormat/>
    <w:uiPriority w:val="0"/>
  </w:style>
  <w:style w:type="character" w:customStyle="1" w:styleId="263">
    <w:name w:val="已访问的超链接1"/>
    <w:link w:val="1"/>
    <w:qFormat/>
    <w:uiPriority w:val="0"/>
    <w:rPr>
      <w:color w:val="800080"/>
      <w:u w:val="single"/>
    </w:rPr>
  </w:style>
  <w:style w:type="character" w:customStyle="1" w:styleId="264">
    <w:name w:val="强调1"/>
    <w:link w:val="1"/>
    <w:qFormat/>
    <w:uiPriority w:val="0"/>
    <w:rPr>
      <w:color w:val="CC0033"/>
    </w:rPr>
  </w:style>
  <w:style w:type="character" w:customStyle="1" w:styleId="265">
    <w:name w:val="超链接1"/>
    <w:link w:val="1"/>
    <w:qFormat/>
    <w:uiPriority w:val="99"/>
    <w:rPr>
      <w:color w:val="0000FF"/>
      <w:u w:val="single"/>
    </w:rPr>
  </w:style>
  <w:style w:type="character" w:customStyle="1" w:styleId="266">
    <w:name w:val="批注引用1"/>
    <w:link w:val="1"/>
    <w:qFormat/>
    <w:uiPriority w:val="99"/>
    <w:rPr>
      <w:sz w:val="21"/>
      <w:szCs w:val="21"/>
    </w:rPr>
  </w:style>
  <w:style w:type="character" w:customStyle="1" w:styleId="267">
    <w:name w:val="HTML 引文1"/>
    <w:link w:val="1"/>
    <w:qFormat/>
    <w:uiPriority w:val="0"/>
    <w:rPr>
      <w:i/>
      <w:iCs/>
    </w:rPr>
  </w:style>
  <w:style w:type="paragraph" w:customStyle="1" w:styleId="268">
    <w:name w:val="_Style 3"/>
    <w:qFormat/>
    <w:uiPriority w:val="0"/>
    <w:pPr>
      <w:widowControl w:val="0"/>
      <w:jc w:val="both"/>
    </w:pPr>
    <w:rPr>
      <w:rFonts w:hint="default" w:ascii="Calibri" w:hAnsi="Calibri" w:eastAsia="宋体" w:cs="Times New Roman"/>
      <w:sz w:val="21"/>
      <w:szCs w:val="22"/>
      <w:lang w:val="en-US" w:eastAsia="zh-CN" w:bidi="ar-SA"/>
    </w:rPr>
  </w:style>
  <w:style w:type="character" w:customStyle="1" w:styleId="269">
    <w:name w:val="Char Char111"/>
    <w:link w:val="1"/>
    <w:qFormat/>
    <w:uiPriority w:val="0"/>
    <w:rPr>
      <w:rFonts w:ascii="宋体" w:eastAsia="宋体"/>
      <w:b/>
      <w:sz w:val="24"/>
      <w:u w:val="single"/>
      <w:lang w:val="en-US" w:eastAsia="zh-CN" w:bidi="ar-SA"/>
    </w:rPr>
  </w:style>
  <w:style w:type="character" w:customStyle="1" w:styleId="270">
    <w:name w:val="bjh-p"/>
    <w:link w:val="1"/>
    <w:qFormat/>
    <w:uiPriority w:val="0"/>
  </w:style>
  <w:style w:type="character" w:customStyle="1" w:styleId="271">
    <w:name w:val="纯文本 字符"/>
    <w:link w:val="1"/>
    <w:qFormat/>
    <w:uiPriority w:val="99"/>
    <w:rPr>
      <w:rFonts w:ascii="宋体" w:hAnsi="Courier New" w:eastAsia="宋体" w:cs="Times New Roman"/>
      <w:sz w:val="21"/>
      <w:szCs w:val="21"/>
      <w:lang w:val="en-US" w:eastAsia="zh-CN" w:bidi="ar-SA"/>
    </w:rPr>
  </w:style>
  <w:style w:type="character" w:customStyle="1" w:styleId="272">
    <w:name w:val="正文重点 Char"/>
    <w:link w:val="273"/>
    <w:qFormat/>
    <w:uiPriority w:val="0"/>
    <w:rPr>
      <w:b/>
      <w:sz w:val="24"/>
    </w:rPr>
  </w:style>
  <w:style w:type="paragraph" w:customStyle="1" w:styleId="273">
    <w:name w:val="正文重点"/>
    <w:basedOn w:val="1"/>
    <w:link w:val="272"/>
    <w:qFormat/>
    <w:uiPriority w:val="0"/>
    <w:pPr>
      <w:spacing w:line="360" w:lineRule="auto"/>
      <w:ind w:firstLine="482"/>
      <w:jc w:val="left"/>
    </w:pPr>
    <w:rPr>
      <w:b/>
      <w:sz w:val="24"/>
      <w:szCs w:val="20"/>
    </w:rPr>
  </w:style>
  <w:style w:type="character" w:customStyle="1" w:styleId="274">
    <w:name w:val="Char Char11"/>
    <w:link w:val="1"/>
    <w:qFormat/>
    <w:uiPriority w:val="0"/>
    <w:rPr>
      <w:rFonts w:ascii="宋体" w:eastAsia="宋体"/>
      <w:b/>
      <w:sz w:val="24"/>
      <w:u w:val="single"/>
      <w:lang w:val="en-US" w:eastAsia="zh-CN" w:bidi="ar-SA"/>
    </w:rPr>
  </w:style>
  <w:style w:type="character" w:customStyle="1" w:styleId="275">
    <w:name w:val="chanpin1"/>
    <w:link w:val="1"/>
    <w:qFormat/>
    <w:uiPriority w:val="0"/>
    <w:rPr>
      <w:rFonts w:ascii="ˎ̥" w:hAnsi="ˎ̥"/>
      <w:color w:val="000000"/>
      <w:sz w:val="20"/>
      <w:szCs w:val="20"/>
      <w:u w:val="none"/>
    </w:rPr>
  </w:style>
  <w:style w:type="character" w:customStyle="1" w:styleId="276">
    <w:name w:val="标题 Char"/>
    <w:link w:val="1"/>
    <w:qFormat/>
    <w:uiPriority w:val="0"/>
    <w:rPr>
      <w:b/>
      <w:sz w:val="32"/>
    </w:rPr>
  </w:style>
  <w:style w:type="character" w:customStyle="1" w:styleId="277">
    <w:name w:val="段1 Char"/>
    <w:link w:val="1"/>
    <w:qFormat/>
    <w:uiPriority w:val="0"/>
    <w:rPr>
      <w:rFonts w:ascii="宋体" w:eastAsia="宋体"/>
      <w:sz w:val="24"/>
      <w:lang w:val="en-US" w:eastAsia="zh-CN" w:bidi="ar-SA"/>
    </w:rPr>
  </w:style>
  <w:style w:type="character" w:customStyle="1" w:styleId="278">
    <w:name w:val="页脚 Char"/>
    <w:link w:val="1"/>
    <w:qFormat/>
    <w:uiPriority w:val="0"/>
    <w:rPr>
      <w:rFonts w:ascii="宋体" w:eastAsia="宋体"/>
      <w:sz w:val="18"/>
      <w:lang w:val="en-US" w:eastAsia="zh-CN" w:bidi="ar-SA"/>
    </w:rPr>
  </w:style>
  <w:style w:type="character" w:customStyle="1" w:styleId="279">
    <w:name w:val="c21"/>
    <w:link w:val="1"/>
    <w:qFormat/>
    <w:uiPriority w:val="0"/>
    <w:rPr>
      <w:rFonts w:ascii="ˎ̥" w:hAnsi="ˎ̥"/>
      <w:color w:val="000000"/>
      <w:sz w:val="20"/>
      <w:szCs w:val="20"/>
      <w:u w:val="none"/>
    </w:rPr>
  </w:style>
  <w:style w:type="character" w:customStyle="1" w:styleId="280">
    <w:name w:val="标题 3 Char"/>
    <w:link w:val="1"/>
    <w:qFormat/>
    <w:uiPriority w:val="0"/>
    <w:rPr>
      <w:rFonts w:ascii="宋体" w:eastAsia="宋体"/>
      <w:b/>
      <w:sz w:val="24"/>
      <w:u w:val="single"/>
      <w:lang w:val="en-US" w:eastAsia="zh-CN" w:bidi="ar-SA"/>
    </w:rPr>
  </w:style>
  <w:style w:type="character" w:customStyle="1" w:styleId="281">
    <w:name w:val="正文大标题 Char"/>
    <w:link w:val="282"/>
    <w:qFormat/>
    <w:uiPriority w:val="0"/>
    <w:rPr>
      <w:rFonts w:ascii="宋体" w:hAnsi="宋体"/>
      <w:b/>
      <w:color w:val="000000"/>
      <w:sz w:val="28"/>
      <w:szCs w:val="21"/>
    </w:rPr>
  </w:style>
  <w:style w:type="paragraph" w:customStyle="1" w:styleId="282">
    <w:name w:val="正文大标题"/>
    <w:basedOn w:val="283"/>
    <w:next w:val="190"/>
    <w:link w:val="281"/>
    <w:qFormat/>
    <w:uiPriority w:val="0"/>
    <w:pPr>
      <w:jc w:val="center"/>
    </w:pPr>
    <w:rPr>
      <w:i w:val="0"/>
      <w:color w:val="000000"/>
      <w:sz w:val="28"/>
      <w:szCs w:val="21"/>
    </w:rPr>
  </w:style>
  <w:style w:type="paragraph" w:customStyle="1" w:styleId="283">
    <w:name w:val="正文小标题"/>
    <w:basedOn w:val="1"/>
    <w:next w:val="190"/>
    <w:link w:val="284"/>
    <w:qFormat/>
    <w:uiPriority w:val="0"/>
    <w:pPr>
      <w:spacing w:before="312" w:after="312"/>
      <w:ind w:firstLine="482"/>
      <w:jc w:val="left"/>
    </w:pPr>
    <w:rPr>
      <w:rFonts w:ascii="宋体" w:hAnsi="宋体"/>
      <w:b/>
      <w:i/>
      <w:color w:val="FF0000"/>
      <w:sz w:val="24"/>
      <w:szCs w:val="20"/>
    </w:rPr>
  </w:style>
  <w:style w:type="character" w:customStyle="1" w:styleId="284">
    <w:name w:val="正文小标题 Char"/>
    <w:link w:val="283"/>
    <w:qFormat/>
    <w:uiPriority w:val="0"/>
    <w:rPr>
      <w:rFonts w:ascii="宋体" w:hAnsi="宋体"/>
      <w:b/>
      <w:i/>
      <w:color w:val="FF0000"/>
      <w:sz w:val="24"/>
    </w:rPr>
  </w:style>
  <w:style w:type="character" w:customStyle="1" w:styleId="285">
    <w:name w:val="正文格式 Char"/>
    <w:link w:val="286"/>
    <w:qFormat/>
    <w:uiPriority w:val="0"/>
    <w:rPr>
      <w:rFonts w:ascii="宋体" w:hAnsi="宋体"/>
      <w:sz w:val="24"/>
      <w:szCs w:val="24"/>
      <w:lang w:val="en-GB"/>
    </w:rPr>
  </w:style>
  <w:style w:type="paragraph" w:customStyle="1" w:styleId="286">
    <w:name w:val="正文格式"/>
    <w:basedOn w:val="1"/>
    <w:link w:val="285"/>
    <w:qFormat/>
    <w:uiPriority w:val="0"/>
    <w:pPr>
      <w:spacing w:line="360" w:lineRule="auto"/>
      <w:ind w:firstLine="480"/>
    </w:pPr>
    <w:rPr>
      <w:rFonts w:ascii="宋体" w:hAnsi="宋体"/>
      <w:sz w:val="24"/>
      <w:lang w:val="en-GB"/>
    </w:rPr>
  </w:style>
  <w:style w:type="character" w:customStyle="1" w:styleId="287">
    <w:name w:val="中等深浅网格 1 - 强调文字颜色 2 Char"/>
    <w:link w:val="288"/>
    <w:qFormat/>
    <w:uiPriority w:val="0"/>
    <w:rPr>
      <w:sz w:val="21"/>
      <w:szCs w:val="24"/>
      <w:lang w:val="zh-CN" w:eastAsia="zh-CN" w:bidi="ar-SA"/>
    </w:rPr>
  </w:style>
  <w:style w:type="paragraph" w:customStyle="1" w:styleId="288">
    <w:name w:val="1"/>
    <w:link w:val="287"/>
    <w:qFormat/>
    <w:uiPriority w:val="0"/>
    <w:rPr>
      <w:rFonts w:hint="default" w:ascii="Times New Roman" w:hAnsi="Times New Roman" w:eastAsia="宋体" w:cs="Times New Roman"/>
      <w:sz w:val="21"/>
      <w:szCs w:val="24"/>
      <w:lang w:val="zh-CN" w:eastAsia="zh-CN" w:bidi="ar-SA"/>
    </w:rPr>
  </w:style>
  <w:style w:type="character" w:customStyle="1" w:styleId="289">
    <w:name w:val="locality"/>
    <w:basedOn w:val="198"/>
    <w:link w:val="1"/>
    <w:qFormat/>
    <w:uiPriority w:val="0"/>
  </w:style>
  <w:style w:type="character" w:customStyle="1" w:styleId="290">
    <w:name w:val="批注文字 Char"/>
    <w:link w:val="1"/>
    <w:qFormat/>
    <w:uiPriority w:val="99"/>
    <w:rPr>
      <w:sz w:val="21"/>
      <w:szCs w:val="24"/>
    </w:rPr>
  </w:style>
  <w:style w:type="character" w:customStyle="1" w:styleId="291">
    <w:name w:val="正文表格 Char"/>
    <w:link w:val="292"/>
    <w:qFormat/>
    <w:uiPriority w:val="0"/>
    <w:rPr>
      <w:rFonts w:ascii="宋体" w:hAnsi="宋体"/>
      <w:color w:val="000000"/>
      <w:sz w:val="21"/>
      <w:szCs w:val="21"/>
    </w:rPr>
  </w:style>
  <w:style w:type="paragraph" w:customStyle="1" w:styleId="292">
    <w:name w:val="正文表格"/>
    <w:basedOn w:val="1"/>
    <w:link w:val="291"/>
    <w:qFormat/>
    <w:uiPriority w:val="0"/>
    <w:pPr>
      <w:jc w:val="left"/>
    </w:pPr>
    <w:rPr>
      <w:rFonts w:ascii="宋体" w:hAnsi="宋体"/>
      <w:color w:val="000000"/>
      <w:szCs w:val="21"/>
    </w:rPr>
  </w:style>
  <w:style w:type="character" w:customStyle="1" w:styleId="293">
    <w:name w:val="纯文本 字符1"/>
    <w:link w:val="1"/>
    <w:qFormat/>
    <w:uiPriority w:val="0"/>
    <w:rPr>
      <w:rFonts w:ascii="宋体" w:hAnsi="Courier New"/>
    </w:rPr>
  </w:style>
  <w:style w:type="character" w:customStyle="1" w:styleId="294">
    <w:name w:val="纯文本 Char1"/>
    <w:link w:val="1"/>
    <w:qFormat/>
    <w:uiPriority w:val="0"/>
    <w:rPr>
      <w:rFonts w:ascii="宋体" w:hAnsi="Courier New" w:eastAsia="宋体"/>
      <w:sz w:val="21"/>
      <w:lang w:val="en-US" w:eastAsia="zh-CN" w:bidi="ar-SA"/>
    </w:rPr>
  </w:style>
  <w:style w:type="character" w:customStyle="1" w:styleId="295">
    <w:name w:val="street-address"/>
    <w:basedOn w:val="198"/>
    <w:link w:val="1"/>
    <w:qFormat/>
    <w:uiPriority w:val="0"/>
  </w:style>
  <w:style w:type="character" w:customStyle="1" w:styleId="296">
    <w:name w:val="列出段落 Char1"/>
    <w:link w:val="297"/>
    <w:qFormat/>
    <w:uiPriority w:val="34"/>
    <w:rPr>
      <w:rFonts w:ascii="Calibri" w:hAnsi="Calibri" w:eastAsia="宋体"/>
      <w:sz w:val="21"/>
      <w:szCs w:val="22"/>
      <w:lang w:val="en-US" w:eastAsia="zh-CN" w:bidi="ar-SA"/>
    </w:rPr>
  </w:style>
  <w:style w:type="paragraph" w:customStyle="1" w:styleId="297">
    <w:name w:val="列出段落"/>
    <w:basedOn w:val="1"/>
    <w:link w:val="296"/>
    <w:qFormat/>
    <w:uiPriority w:val="34"/>
    <w:pPr>
      <w:ind w:firstLine="420"/>
    </w:pPr>
    <w:rPr>
      <w:rFonts w:ascii="Calibri" w:hAnsi="Calibri"/>
      <w:szCs w:val="22"/>
    </w:rPr>
  </w:style>
  <w:style w:type="character" w:customStyle="1" w:styleId="298">
    <w:name w:val="txt"/>
    <w:basedOn w:val="198"/>
    <w:link w:val="1"/>
    <w:qFormat/>
    <w:uiPriority w:val="0"/>
  </w:style>
  <w:style w:type="character" w:customStyle="1" w:styleId="299">
    <w:name w:val="列出段落 Char"/>
    <w:link w:val="1"/>
    <w:qFormat/>
    <w:uiPriority w:val="0"/>
    <w:rPr>
      <w:rFonts w:ascii="Calibri" w:hAnsi="Calibri" w:eastAsia="宋体"/>
      <w:sz w:val="21"/>
      <w:szCs w:val="22"/>
      <w:lang w:val="en-US" w:eastAsia="zh-CN" w:bidi="ar-SA"/>
    </w:rPr>
  </w:style>
  <w:style w:type="character" w:customStyle="1" w:styleId="300">
    <w:name w:val="black1"/>
    <w:link w:val="1"/>
    <w:qFormat/>
    <w:uiPriority w:val="0"/>
    <w:rPr>
      <w:color w:val="000000"/>
    </w:rPr>
  </w:style>
  <w:style w:type="character" w:customStyle="1" w:styleId="301">
    <w:name w:val="正文文本缩进 Char"/>
    <w:link w:val="1"/>
    <w:qFormat/>
    <w:uiPriority w:val="0"/>
    <w:rPr>
      <w:rFonts w:eastAsia="宋体"/>
      <w:sz w:val="24"/>
      <w:szCs w:val="24"/>
      <w:lang w:val="en-US" w:eastAsia="zh-CN" w:bidi="ar-SA"/>
    </w:rPr>
  </w:style>
  <w:style w:type="character" w:customStyle="1" w:styleId="302">
    <w:name w:val="正文缩进 Char Char"/>
    <w:link w:val="303"/>
    <w:qFormat/>
    <w:uiPriority w:val="0"/>
    <w:rPr>
      <w:rFonts w:ascii="宋体" w:eastAsia="宋体"/>
      <w:color w:val="000000"/>
      <w:sz w:val="28"/>
      <w:lang w:bidi="ar-SA"/>
    </w:rPr>
  </w:style>
  <w:style w:type="paragraph" w:customStyle="1" w:styleId="303">
    <w:name w:val="正文缩进1"/>
    <w:basedOn w:val="1"/>
    <w:link w:val="302"/>
    <w:qFormat/>
    <w:uiPriority w:val="0"/>
    <w:pPr>
      <w:widowControl/>
      <w:spacing w:line="480" w:lineRule="exact"/>
      <w:ind w:firstLine="567"/>
    </w:pPr>
    <w:rPr>
      <w:rFonts w:ascii="宋体"/>
      <w:color w:val="000000"/>
      <w:sz w:val="28"/>
      <w:szCs w:val="20"/>
    </w:rPr>
  </w:style>
  <w:style w:type="character" w:customStyle="1" w:styleId="304">
    <w:name w:val="标题 2 Char Char"/>
    <w:link w:val="1"/>
    <w:qFormat/>
    <w:uiPriority w:val="0"/>
    <w:rPr>
      <w:rFonts w:ascii="Arial" w:hAnsi="Arial" w:eastAsia="黑体"/>
      <w:b/>
      <w:bCs/>
      <w:sz w:val="32"/>
      <w:szCs w:val="32"/>
      <w:lang w:val="en-US" w:eastAsia="zh-CN" w:bidi="ar-SA"/>
    </w:rPr>
  </w:style>
  <w:style w:type="character" w:customStyle="1" w:styleId="305">
    <w:name w:val="正文缩进 Char"/>
    <w:link w:val="1"/>
    <w:qFormat/>
    <w:uiPriority w:val="0"/>
    <w:rPr>
      <w:rFonts w:ascii="宋体" w:eastAsia="宋体"/>
      <w:sz w:val="24"/>
      <w:szCs w:val="24"/>
      <w:lang w:val="en-US" w:eastAsia="zh-CN" w:bidi="ar-SA"/>
    </w:rPr>
  </w:style>
  <w:style w:type="character" w:customStyle="1" w:styleId="306">
    <w:name w:val="普通文字1 Char1"/>
    <w:link w:val="1"/>
    <w:qFormat/>
    <w:uiPriority w:val="0"/>
    <w:rPr>
      <w:rFonts w:ascii="宋体" w:hAnsi="Courier New" w:eastAsia="宋体"/>
      <w:sz w:val="21"/>
      <w:lang w:val="en-US" w:eastAsia="zh-CN" w:bidi="ar-SA"/>
    </w:rPr>
  </w:style>
  <w:style w:type="character" w:customStyle="1" w:styleId="307">
    <w:name w:val="页眉 Char"/>
    <w:link w:val="1"/>
    <w:qFormat/>
    <w:uiPriority w:val="0"/>
    <w:rPr>
      <w:rFonts w:eastAsia="宋体"/>
      <w:sz w:val="18"/>
      <w:szCs w:val="18"/>
      <w:lang w:val="en-US" w:eastAsia="zh-CN" w:bidi="ar-SA"/>
    </w:rPr>
  </w:style>
  <w:style w:type="character" w:customStyle="1" w:styleId="308">
    <w:name w:val="注释 Char"/>
    <w:link w:val="309"/>
    <w:qFormat/>
    <w:uiPriority w:val="0"/>
    <w:rPr>
      <w:rFonts w:ascii="宋体" w:hAnsi="宋体"/>
      <w:sz w:val="21"/>
      <w:szCs w:val="21"/>
    </w:rPr>
  </w:style>
  <w:style w:type="paragraph" w:customStyle="1" w:styleId="309">
    <w:name w:val="注释"/>
    <w:basedOn w:val="1"/>
    <w:link w:val="308"/>
    <w:qFormat/>
    <w:uiPriority w:val="0"/>
    <w:pPr>
      <w:ind w:left="420" w:hanging="420"/>
      <w:jc w:val="left"/>
    </w:pPr>
    <w:rPr>
      <w:rFonts w:ascii="宋体" w:hAnsi="宋体"/>
      <w:szCs w:val="21"/>
    </w:rPr>
  </w:style>
  <w:style w:type="character" w:customStyle="1" w:styleId="310">
    <w:name w:val="成文日期 Char"/>
    <w:link w:val="311"/>
    <w:qFormat/>
    <w:uiPriority w:val="0"/>
    <w:rPr>
      <w:rFonts w:ascii="仿宋_GB2312" w:eastAsia="仿宋_GB2312"/>
      <w:sz w:val="32"/>
    </w:rPr>
  </w:style>
  <w:style w:type="paragraph" w:customStyle="1" w:styleId="311">
    <w:name w:val="成文日期"/>
    <w:basedOn w:val="1"/>
    <w:link w:val="310"/>
    <w:qFormat/>
    <w:uiPriority w:val="0"/>
    <w:pPr>
      <w:spacing w:line="570" w:lineRule="exact"/>
      <w:ind w:right="400" w:firstLine="200"/>
      <w:jc w:val="right"/>
    </w:pPr>
    <w:rPr>
      <w:rFonts w:ascii="仿宋_GB2312" w:eastAsia="仿宋_GB2312"/>
      <w:sz w:val="32"/>
      <w:szCs w:val="20"/>
    </w:rPr>
  </w:style>
  <w:style w:type="character" w:customStyle="1" w:styleId="312">
    <w:name w:val="apple-style-span"/>
    <w:link w:val="1"/>
    <w:qFormat/>
    <w:uiPriority w:val="0"/>
    <w:rPr>
      <w:rFonts w:cs="Times New Roman"/>
    </w:rPr>
  </w:style>
  <w:style w:type="character" w:customStyle="1" w:styleId="313">
    <w:name w:val="title4"/>
    <w:link w:val="1"/>
    <w:qFormat/>
    <w:uiPriority w:val="0"/>
    <w:rPr>
      <w:b/>
      <w:bCs/>
      <w:color w:val="1D87B3"/>
      <w:sz w:val="15"/>
      <w:szCs w:val="15"/>
    </w:rPr>
  </w:style>
  <w:style w:type="character" w:customStyle="1" w:styleId="314">
    <w:name w:val="标题 2 Char"/>
    <w:link w:val="1"/>
    <w:qFormat/>
    <w:uiPriority w:val="0"/>
    <w:rPr>
      <w:rFonts w:ascii="Arial" w:hAnsi="Arial" w:eastAsia="黑体"/>
      <w:b/>
      <w:sz w:val="30"/>
      <w:lang w:val="en-US" w:eastAsia="zh-CN" w:bidi="ar-SA"/>
    </w:rPr>
  </w:style>
  <w:style w:type="character" w:customStyle="1" w:styleId="315">
    <w:name w:val="标题 3 Char Char"/>
    <w:link w:val="1"/>
    <w:qFormat/>
    <w:uiPriority w:val="0"/>
    <w:rPr>
      <w:rFonts w:eastAsia="宋体"/>
      <w:b/>
      <w:bCs/>
      <w:sz w:val="32"/>
      <w:szCs w:val="32"/>
      <w:lang w:val="en-US" w:eastAsia="zh-CN" w:bidi="ar-SA"/>
    </w:rPr>
  </w:style>
  <w:style w:type="character" w:customStyle="1" w:styleId="316">
    <w:name w:val="正文文本缩进 Char1"/>
    <w:link w:val="317"/>
    <w:qFormat/>
    <w:uiPriority w:val="0"/>
    <w:rPr>
      <w:rFonts w:ascii="宋体" w:hAnsi="宋体" w:eastAsia="宋体"/>
      <w:sz w:val="24"/>
      <w:szCs w:val="24"/>
      <w:lang w:bidi="ar-SA"/>
    </w:rPr>
  </w:style>
  <w:style w:type="paragraph" w:customStyle="1" w:styleId="317">
    <w:name w:val="正文文本缩进1"/>
    <w:basedOn w:val="1"/>
    <w:link w:val="316"/>
    <w:qFormat/>
    <w:uiPriority w:val="0"/>
    <w:pPr>
      <w:spacing w:line="480" w:lineRule="exact"/>
      <w:ind w:firstLine="480"/>
    </w:pPr>
    <w:rPr>
      <w:rFonts w:ascii="宋体" w:hAnsi="宋体"/>
      <w:sz w:val="24"/>
    </w:rPr>
  </w:style>
  <w:style w:type="character" w:customStyle="1" w:styleId="318">
    <w:name w:val="chanpin拷贝"/>
    <w:basedOn w:val="198"/>
    <w:link w:val="1"/>
    <w:qFormat/>
    <w:uiPriority w:val="0"/>
  </w:style>
  <w:style w:type="paragraph" w:customStyle="1" w:styleId="319">
    <w:name w:val="样式 标题 2 + 宋体 五号 行距: 单倍行距"/>
    <w:basedOn w:val="189"/>
    <w:qFormat/>
    <w:uiPriority w:val="0"/>
    <w:pPr>
      <w:numPr>
        <w:ilvl w:val="1"/>
        <w:numId w:val="1"/>
      </w:numPr>
      <w:spacing w:before="260" w:after="260" w:line="240" w:lineRule="auto"/>
      <w:jc w:val="left"/>
    </w:pPr>
    <w:rPr>
      <w:rFonts w:ascii="宋体" w:hAnsi="宋体" w:eastAsia="宋体"/>
      <w:bCs/>
      <w:sz w:val="21"/>
    </w:rPr>
  </w:style>
  <w:style w:type="paragraph" w:customStyle="1" w:styleId="320">
    <w:name w:val="正文须知-1级"/>
    <w:basedOn w:val="1"/>
    <w:next w:val="1"/>
    <w:qFormat/>
    <w:uiPriority w:val="0"/>
    <w:pPr>
      <w:numPr>
        <w:ilvl w:val="0"/>
        <w:numId w:val="2"/>
      </w:numPr>
      <w:spacing w:line="300" w:lineRule="auto"/>
    </w:pPr>
    <w:rPr>
      <w:rFonts w:ascii="宋体" w:hAnsi="Calibri"/>
      <w:sz w:val="24"/>
      <w:szCs w:val="21"/>
    </w:rPr>
  </w:style>
  <w:style w:type="paragraph" w:customStyle="1" w:styleId="321">
    <w:name w:val="background1"/>
    <w:basedOn w:val="1"/>
    <w:qFormat/>
    <w:uiPriority w:val="0"/>
    <w:pPr>
      <w:widowControl/>
      <w:spacing w:before="100" w:beforeAutospacing="1" w:after="100" w:afterAutospacing="1"/>
      <w:jc w:val="left"/>
    </w:pPr>
    <w:rPr>
      <w:rFonts w:ascii="宋体" w:hAnsi="宋体" w:cs="宋体"/>
      <w:sz w:val="24"/>
    </w:rPr>
  </w:style>
  <w:style w:type="paragraph" w:customStyle="1" w:styleId="322">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23">
    <w:name w:val="纯文本1"/>
    <w:qFormat/>
    <w:uiPriority w:val="0"/>
    <w:pPr>
      <w:widowControl w:val="0"/>
      <w:jc w:val="both"/>
    </w:pPr>
    <w:rPr>
      <w:rFonts w:hint="default" w:ascii="宋体" w:hAnsi="宋体" w:eastAsia="宋体" w:cs="Times New Roman"/>
      <w:sz w:val="26"/>
      <w:lang w:val="en-US" w:eastAsia="zh-CN" w:bidi="ar-SA"/>
    </w:rPr>
  </w:style>
  <w:style w:type="paragraph" w:customStyle="1" w:styleId="324">
    <w:name w:val="Revision"/>
    <w:qFormat/>
    <w:uiPriority w:val="0"/>
    <w:rPr>
      <w:rFonts w:hint="default" w:ascii="Times New Roman" w:hAnsi="Times New Roman" w:eastAsia="宋体" w:cs="Times New Roman"/>
      <w:sz w:val="21"/>
      <w:szCs w:val="24"/>
      <w:lang w:val="en-US" w:eastAsia="zh-CN" w:bidi="ar-SA"/>
    </w:rPr>
  </w:style>
  <w:style w:type="paragraph" w:customStyle="1" w:styleId="325">
    <w:name w:val="二级条标题"/>
    <w:basedOn w:val="326"/>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326">
    <w:name w:val="一级条标题"/>
    <w:basedOn w:val="327"/>
    <w:next w:val="1"/>
    <w:qFormat/>
    <w:uiPriority w:val="0"/>
    <w:pPr>
      <w:numPr>
        <w:ilvl w:val="1"/>
      </w:numPr>
      <w:tabs>
        <w:tab w:val="left" w:pos="360"/>
        <w:tab w:val="left" w:pos="840"/>
      </w:tabs>
      <w:ind w:left="0" w:hanging="840"/>
      <w:outlineLvl w:val="1"/>
    </w:pPr>
  </w:style>
  <w:style w:type="paragraph" w:customStyle="1" w:styleId="327">
    <w:name w:val="章标题"/>
    <w:next w:val="1"/>
    <w:qFormat/>
    <w:uiPriority w:val="0"/>
    <w:pPr>
      <w:numPr>
        <w:ilvl w:val="0"/>
        <w:numId w:val="3"/>
      </w:numPr>
      <w:spacing w:before="156" w:after="156" w:line="460" w:lineRule="exact"/>
      <w:ind w:left="0"/>
      <w:jc w:val="both"/>
      <w:outlineLvl w:val="0"/>
    </w:pPr>
    <w:rPr>
      <w:rFonts w:hint="default" w:ascii="黑体" w:hAnsi="Times New Roman" w:eastAsia="黑体" w:cs="Times New Roman"/>
      <w:b/>
      <w:sz w:val="28"/>
      <w:lang w:val="en-US" w:eastAsia="zh-CN" w:bidi="ar-SA"/>
    </w:rPr>
  </w:style>
  <w:style w:type="paragraph" w:customStyle="1" w:styleId="328">
    <w:name w:val="Char Char1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29">
    <w:name w:val="Char Char Char1 Char"/>
    <w:basedOn w:val="1"/>
    <w:qFormat/>
    <w:uiPriority w:val="0"/>
    <w:rPr>
      <w:rFonts w:ascii="Tahoma" w:hAnsi="Tahoma"/>
      <w:sz w:val="24"/>
      <w:szCs w:val="20"/>
    </w:rPr>
  </w:style>
  <w:style w:type="paragraph" w:customStyle="1" w:styleId="330">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b/>
      <w:bCs/>
      <w:color w:val="000000"/>
      <w:sz w:val="20"/>
      <w:szCs w:val="20"/>
    </w:rPr>
  </w:style>
  <w:style w:type="paragraph" w:customStyle="1" w:styleId="331">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32">
    <w:name w:val="Char2 Char Char Char Char Char Char"/>
    <w:basedOn w:val="1"/>
    <w:qFormat/>
    <w:uiPriority w:val="0"/>
    <w:pPr>
      <w:widowControl/>
      <w:spacing w:line="400" w:lineRule="exact"/>
      <w:jc w:val="center"/>
    </w:pPr>
  </w:style>
  <w:style w:type="paragraph" w:customStyle="1" w:styleId="333">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34">
    <w:name w:val="1 Char Char Char Char"/>
    <w:basedOn w:val="1"/>
    <w:qFormat/>
    <w:uiPriority w:val="0"/>
    <w:rPr>
      <w:rFonts w:ascii="Tahoma" w:hAnsi="Tahoma"/>
      <w:sz w:val="24"/>
      <w:szCs w:val="20"/>
    </w:rPr>
  </w:style>
  <w:style w:type="paragraph" w:customStyle="1" w:styleId="335">
    <w:name w:val="xl4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36">
    <w:name w:val="字元 字元"/>
    <w:basedOn w:val="1"/>
    <w:qFormat/>
    <w:uiPriority w:val="0"/>
    <w:rPr>
      <w:rFonts w:ascii="Tahoma" w:hAnsi="Tahoma"/>
      <w:sz w:val="24"/>
      <w:szCs w:val="20"/>
    </w:rPr>
  </w:style>
  <w:style w:type="paragraph" w:customStyle="1" w:styleId="337">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338">
    <w:name w:val="Char Char1 Char Char Char Char Char Char1"/>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39">
    <w:name w:val="字元 字元1"/>
    <w:basedOn w:val="1"/>
    <w:qFormat/>
    <w:uiPriority w:val="0"/>
    <w:rPr>
      <w:rFonts w:ascii="Tahoma" w:hAnsi="Tahoma"/>
      <w:sz w:val="24"/>
      <w:szCs w:val="20"/>
    </w:rPr>
  </w:style>
  <w:style w:type="paragraph" w:customStyle="1" w:styleId="340">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41">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2"/>
      <w:szCs w:val="22"/>
    </w:rPr>
  </w:style>
  <w:style w:type="paragraph" w:customStyle="1" w:styleId="342">
    <w:name w:val="font8"/>
    <w:basedOn w:val="1"/>
    <w:qFormat/>
    <w:uiPriority w:val="0"/>
    <w:pPr>
      <w:widowControl/>
      <w:spacing w:before="100" w:beforeAutospacing="1" w:after="100" w:afterAutospacing="1"/>
      <w:jc w:val="left"/>
    </w:pPr>
    <w:rPr>
      <w:sz w:val="36"/>
      <w:szCs w:val="36"/>
    </w:rPr>
  </w:style>
  <w:style w:type="paragraph" w:customStyle="1" w:styleId="343">
    <w:name w:val="Char Char41"/>
    <w:basedOn w:val="1"/>
    <w:qFormat/>
    <w:uiPriority w:val="0"/>
    <w:pPr>
      <w:widowControl/>
      <w:spacing w:line="400" w:lineRule="exact"/>
      <w:jc w:val="center"/>
    </w:pPr>
  </w:style>
  <w:style w:type="paragraph" w:customStyle="1" w:styleId="344">
    <w:name w:val="Char2"/>
    <w:basedOn w:val="1"/>
    <w:qFormat/>
    <w:uiPriority w:val="0"/>
    <w:rPr>
      <w:rFonts w:ascii="Tahoma" w:hAnsi="Tahoma"/>
      <w:sz w:val="24"/>
      <w:szCs w:val="20"/>
    </w:rPr>
  </w:style>
  <w:style w:type="paragraph" w:customStyle="1" w:styleId="345">
    <w:name w:val="正文文本样式 加粗"/>
    <w:basedOn w:val="346"/>
    <w:qFormat/>
    <w:uiPriority w:val="0"/>
    <w:rPr>
      <w:b/>
    </w:rPr>
  </w:style>
  <w:style w:type="paragraph" w:customStyle="1" w:styleId="346">
    <w:name w:val="正文文本样式"/>
    <w:basedOn w:val="1"/>
    <w:qFormat/>
    <w:uiPriority w:val="0"/>
    <w:pPr>
      <w:spacing w:line="360" w:lineRule="auto"/>
      <w:ind w:firstLine="482"/>
    </w:pPr>
    <w:rPr>
      <w:rFonts w:cs="宋体"/>
      <w:sz w:val="24"/>
      <w:szCs w:val="20"/>
    </w:rPr>
  </w:style>
  <w:style w:type="paragraph" w:customStyle="1" w:styleId="347">
    <w:name w:val="项目编号1"/>
    <w:basedOn w:val="1"/>
    <w:qFormat/>
    <w:uiPriority w:val="0"/>
    <w:pPr>
      <w:numPr>
        <w:ilvl w:val="0"/>
        <w:numId w:val="4"/>
      </w:numPr>
      <w:spacing w:before="100" w:beforeAutospacing="1" w:after="100" w:afterAutospacing="1" w:line="360" w:lineRule="auto"/>
    </w:pPr>
    <w:rPr>
      <w:sz w:val="24"/>
    </w:rPr>
  </w:style>
  <w:style w:type="paragraph" w:customStyle="1" w:styleId="348">
    <w:name w:val="xl23"/>
    <w:basedOn w:val="1"/>
    <w:qFormat/>
    <w:uiPriority w:val="0"/>
    <w:pPr>
      <w:widowControl/>
      <w:spacing w:before="100" w:beforeAutospacing="1" w:after="100" w:afterAutospacing="1" w:line="360" w:lineRule="auto"/>
    </w:pPr>
    <w:rPr>
      <w:sz w:val="24"/>
      <w:szCs w:val="20"/>
    </w:rPr>
  </w:style>
  <w:style w:type="paragraph" w:customStyle="1" w:styleId="349">
    <w:name w:val="_Style 15"/>
    <w:basedOn w:val="1"/>
    <w:next w:val="1"/>
    <w:qFormat/>
    <w:uiPriority w:val="0"/>
    <w:pPr>
      <w:spacing w:after="120"/>
      <w:ind w:left="420" w:firstLine="420"/>
    </w:pPr>
    <w:rPr>
      <w:szCs w:val="22"/>
    </w:rPr>
  </w:style>
  <w:style w:type="paragraph" w:customStyle="1" w:styleId="350">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color w:val="000000"/>
      <w:sz w:val="20"/>
      <w:szCs w:val="20"/>
    </w:rPr>
  </w:style>
  <w:style w:type="paragraph" w:customStyle="1" w:styleId="351">
    <w:name w:val="正文须知-3级"/>
    <w:basedOn w:val="1"/>
    <w:qFormat/>
    <w:uiPriority w:val="0"/>
    <w:pPr>
      <w:numPr>
        <w:ilvl w:val="2"/>
        <w:numId w:val="2"/>
      </w:numPr>
      <w:spacing w:line="300" w:lineRule="auto"/>
      <w:ind w:hanging="355"/>
    </w:pPr>
    <w:rPr>
      <w:rFonts w:ascii="宋体" w:hAnsi="Calibri"/>
      <w:sz w:val="24"/>
      <w:szCs w:val="21"/>
    </w:rPr>
  </w:style>
  <w:style w:type="paragraph" w:customStyle="1" w:styleId="352">
    <w:name w:val="标题1-附件"/>
    <w:basedOn w:val="188"/>
    <w:qFormat/>
    <w:uiPriority w:val="0"/>
    <w:pPr>
      <w:jc w:val="left"/>
    </w:pPr>
    <w:rPr>
      <w:sz w:val="24"/>
      <w:szCs w:val="24"/>
    </w:rPr>
  </w:style>
  <w:style w:type="paragraph" w:customStyle="1" w:styleId="353">
    <w:name w:val="Char3"/>
    <w:basedOn w:val="1"/>
    <w:qFormat/>
    <w:uiPriority w:val="0"/>
    <w:pPr>
      <w:tabs>
        <w:tab w:val="left" w:pos="360"/>
      </w:tabs>
    </w:pPr>
    <w:rPr>
      <w:sz w:val="24"/>
    </w:rPr>
  </w:style>
  <w:style w:type="paragraph" w:customStyle="1" w:styleId="354">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color w:val="000000"/>
      <w:sz w:val="20"/>
      <w:szCs w:val="20"/>
    </w:rPr>
  </w:style>
  <w:style w:type="paragraph" w:customStyle="1" w:styleId="355">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0"/>
      <w:szCs w:val="20"/>
    </w:rPr>
  </w:style>
  <w:style w:type="paragraph" w:customStyle="1" w:styleId="356">
    <w:name w:val="font6"/>
    <w:basedOn w:val="1"/>
    <w:qFormat/>
    <w:uiPriority w:val="0"/>
    <w:pPr>
      <w:widowControl/>
      <w:spacing w:before="100" w:beforeAutospacing="1" w:after="100" w:afterAutospacing="1"/>
      <w:jc w:val="left"/>
    </w:pPr>
    <w:rPr>
      <w:rFonts w:ascii="宋体" w:hAnsi="宋体" w:cs="宋体"/>
      <w:sz w:val="20"/>
      <w:szCs w:val="20"/>
    </w:rPr>
  </w:style>
  <w:style w:type="paragraph" w:customStyle="1" w:styleId="357">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58">
    <w:name w:val="Char Char Char1 Char2"/>
    <w:basedOn w:val="1"/>
    <w:qFormat/>
    <w:uiPriority w:val="0"/>
    <w:rPr>
      <w:rFonts w:ascii="Tahoma" w:hAnsi="Tahoma"/>
      <w:sz w:val="24"/>
      <w:szCs w:val="20"/>
    </w:rPr>
  </w:style>
  <w:style w:type="paragraph" w:customStyle="1" w:styleId="359">
    <w:name w:val="正文列项_字母"/>
    <w:basedOn w:val="1"/>
    <w:qFormat/>
    <w:uiPriority w:val="0"/>
    <w:pPr>
      <w:numPr>
        <w:ilvl w:val="6"/>
        <w:numId w:val="3"/>
      </w:numPr>
      <w:tabs>
        <w:tab w:val="clear" w:pos="635"/>
      </w:tabs>
      <w:spacing w:line="460" w:lineRule="exact"/>
      <w:ind w:left="480" w:hanging="180"/>
      <w:outlineLvl w:val="6"/>
    </w:pPr>
    <w:rPr>
      <w:rFonts w:ascii="宋体"/>
      <w:sz w:val="28"/>
      <w:szCs w:val="20"/>
    </w:rPr>
  </w:style>
  <w:style w:type="paragraph" w:customStyle="1" w:styleId="360">
    <w:name w:val="1名"/>
    <w:basedOn w:val="1"/>
    <w:qFormat/>
    <w:uiPriority w:val="0"/>
    <w:pPr>
      <w:numPr>
        <w:ilvl w:val="0"/>
        <w:numId w:val="5"/>
      </w:numPr>
      <w:spacing w:before="120"/>
    </w:pPr>
    <w:rPr>
      <w:rFonts w:ascii="宋体"/>
      <w:sz w:val="28"/>
      <w:szCs w:val="20"/>
    </w:rPr>
  </w:style>
  <w:style w:type="paragraph" w:customStyle="1" w:styleId="361">
    <w:name w:val="样式 宋体 五号 行距: 单倍行距"/>
    <w:basedOn w:val="1"/>
    <w:qFormat/>
    <w:uiPriority w:val="0"/>
    <w:pPr>
      <w:jc w:val="left"/>
    </w:pPr>
    <w:rPr>
      <w:rFonts w:ascii="宋体" w:hAnsi="宋体"/>
      <w:szCs w:val="20"/>
    </w:rPr>
  </w:style>
  <w:style w:type="paragraph" w:customStyle="1" w:styleId="362">
    <w:name w:val="表格1"/>
    <w:basedOn w:val="1"/>
    <w:qFormat/>
    <w:uiPriority w:val="0"/>
    <w:pPr>
      <w:ind w:firstLine="480"/>
      <w:jc w:val="center"/>
    </w:pPr>
    <w:rPr>
      <w:sz w:val="24"/>
      <w:szCs w:val="20"/>
    </w:rPr>
  </w:style>
  <w:style w:type="paragraph" w:customStyle="1" w:styleId="363">
    <w:name w:val="字元 字元2"/>
    <w:basedOn w:val="1"/>
    <w:qFormat/>
    <w:uiPriority w:val="0"/>
    <w:rPr>
      <w:rFonts w:ascii="Tahoma" w:hAnsi="Tahoma"/>
      <w:sz w:val="24"/>
      <w:szCs w:val="20"/>
    </w:rPr>
  </w:style>
  <w:style w:type="paragraph" w:customStyle="1" w:styleId="364">
    <w:name w:val="文档正文"/>
    <w:basedOn w:val="1"/>
    <w:qFormat/>
    <w:uiPriority w:val="0"/>
    <w:pPr>
      <w:spacing w:before="120" w:after="120" w:line="180" w:lineRule="auto"/>
    </w:pPr>
    <w:rPr>
      <w:rFonts w:ascii="Arial" w:hAnsi="Arial"/>
      <w:szCs w:val="20"/>
    </w:rPr>
  </w:style>
  <w:style w:type="paragraph" w:customStyle="1" w:styleId="365">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2"/>
      <w:szCs w:val="22"/>
    </w:rPr>
  </w:style>
  <w:style w:type="paragraph" w:customStyle="1" w:styleId="366">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367">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68">
    <w:name w:val="Char1 Char Char Char1"/>
    <w:basedOn w:val="1"/>
    <w:qFormat/>
    <w:uiPriority w:val="0"/>
    <w:rPr>
      <w:rFonts w:ascii="Tahoma" w:hAnsi="Tahoma" w:cs="仿宋_GB2312"/>
      <w:sz w:val="24"/>
      <w:szCs w:val="28"/>
    </w:rPr>
  </w:style>
  <w:style w:type="paragraph" w:customStyle="1" w:styleId="369">
    <w:name w:val="图例"/>
    <w:basedOn w:val="1"/>
    <w:qFormat/>
    <w:uiPriority w:val="0"/>
    <w:pPr>
      <w:spacing w:before="120" w:after="120" w:line="360" w:lineRule="auto"/>
      <w:jc w:val="center"/>
    </w:pPr>
    <w:rPr>
      <w:rFonts w:eastAsia="仿宋_GB2312"/>
      <w:b/>
      <w:sz w:val="24"/>
      <w:szCs w:val="20"/>
    </w:rPr>
  </w:style>
  <w:style w:type="paragraph" w:customStyle="1" w:styleId="370">
    <w:name w:val="Char Char1"/>
    <w:basedOn w:val="214"/>
    <w:qFormat/>
    <w:uiPriority w:val="0"/>
    <w:rPr>
      <w:rFonts w:ascii="Tahoma" w:hAnsi="Tahoma"/>
      <w:sz w:val="24"/>
    </w:rPr>
  </w:style>
  <w:style w:type="paragraph" w:customStyle="1" w:styleId="371">
    <w:name w:val="Char Char Char Char Char Char Char Char Char Char Char Char Char Char Char Char"/>
    <w:basedOn w:val="1"/>
    <w:qFormat/>
    <w:uiPriority w:val="0"/>
    <w:pPr>
      <w:widowControl/>
      <w:spacing w:after="160" w:line="240" w:lineRule="exact"/>
      <w:jc w:val="center"/>
    </w:pPr>
    <w:rPr>
      <w:rFonts w:ascii="宋体" w:hAnsi="宋体"/>
      <w:b/>
      <w:sz w:val="30"/>
      <w:szCs w:val="30"/>
      <w:lang w:eastAsia="en-US"/>
    </w:rPr>
  </w:style>
  <w:style w:type="paragraph" w:customStyle="1" w:styleId="372">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73">
    <w:name w:val="正文列项_数字"/>
    <w:basedOn w:val="1"/>
    <w:qFormat/>
    <w:uiPriority w:val="0"/>
    <w:pPr>
      <w:numPr>
        <w:ilvl w:val="7"/>
        <w:numId w:val="3"/>
      </w:numPr>
      <w:tabs>
        <w:tab w:val="clear" w:pos="860"/>
      </w:tabs>
      <w:spacing w:line="460" w:lineRule="exact"/>
      <w:ind w:left="680" w:hanging="150"/>
      <w:outlineLvl w:val="7"/>
    </w:pPr>
    <w:rPr>
      <w:rFonts w:ascii="宋体"/>
      <w:sz w:val="28"/>
      <w:szCs w:val="20"/>
    </w:rPr>
  </w:style>
  <w:style w:type="paragraph" w:customStyle="1" w:styleId="374">
    <w:name w:val="默认段落字体 Para Char Char Char Char"/>
    <w:basedOn w:val="1"/>
    <w:qFormat/>
    <w:uiPriority w:val="0"/>
    <w:rPr>
      <w:rFonts w:ascii="Arial" w:hAnsi="Arial" w:cs="Arial"/>
      <w:szCs w:val="21"/>
    </w:rPr>
  </w:style>
  <w:style w:type="paragraph" w:customStyle="1" w:styleId="375">
    <w:name w:val="xl4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sz w:val="24"/>
    </w:rPr>
  </w:style>
  <w:style w:type="paragraph" w:customStyle="1" w:styleId="376">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377">
    <w:name w:val="font9"/>
    <w:basedOn w:val="1"/>
    <w:qFormat/>
    <w:uiPriority w:val="0"/>
    <w:pPr>
      <w:widowControl/>
      <w:spacing w:before="100" w:beforeAutospacing="1" w:after="100" w:afterAutospacing="1"/>
      <w:jc w:val="left"/>
    </w:pPr>
    <w:rPr>
      <w:rFonts w:hint="eastAsia" w:ascii="宋体" w:hAnsi="宋体" w:cs="Arial Unicode MS"/>
      <w:color w:val="000000"/>
      <w:sz w:val="20"/>
      <w:szCs w:val="20"/>
    </w:rPr>
  </w:style>
  <w:style w:type="paragraph" w:customStyle="1" w:styleId="378">
    <w:name w:val="Char Char Char Char Char Char Char1"/>
    <w:basedOn w:val="1"/>
    <w:qFormat/>
    <w:uiPriority w:val="0"/>
    <w:pPr>
      <w:spacing w:line="360" w:lineRule="auto"/>
      <w:ind w:firstLine="200"/>
    </w:pPr>
    <w:rPr>
      <w:rFonts w:eastAsia="仿宋_GB2312"/>
      <w:sz w:val="24"/>
    </w:rPr>
  </w:style>
  <w:style w:type="paragraph" w:customStyle="1" w:styleId="379">
    <w:name w:val="Char Char4"/>
    <w:basedOn w:val="1"/>
    <w:qFormat/>
    <w:uiPriority w:val="0"/>
    <w:pPr>
      <w:widowControl/>
      <w:spacing w:line="400" w:lineRule="exact"/>
      <w:jc w:val="center"/>
    </w:pPr>
  </w:style>
  <w:style w:type="paragraph" w:customStyle="1" w:styleId="380">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32"/>
      <w:szCs w:val="32"/>
    </w:rPr>
  </w:style>
  <w:style w:type="paragraph" w:customStyle="1" w:styleId="381">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16"/>
      <w:szCs w:val="16"/>
    </w:rPr>
  </w:style>
  <w:style w:type="paragraph" w:customStyle="1" w:styleId="382">
    <w:name w:val="Char Char Char"/>
    <w:basedOn w:val="1"/>
    <w:qFormat/>
    <w:uiPriority w:val="0"/>
    <w:rPr>
      <w:rFonts w:ascii="Tahoma" w:hAnsi="Tahoma"/>
      <w:sz w:val="24"/>
      <w:szCs w:val="20"/>
    </w:rPr>
  </w:style>
  <w:style w:type="paragraph" w:customStyle="1" w:styleId="383">
    <w:name w:val="项目编号2"/>
    <w:basedOn w:val="347"/>
    <w:qFormat/>
    <w:uiPriority w:val="0"/>
    <w:pPr>
      <w:numPr>
        <w:numId w:val="6"/>
      </w:numPr>
    </w:pPr>
  </w:style>
  <w:style w:type="paragraph" w:customStyle="1" w:styleId="384">
    <w:name w:val="正文须知-2级"/>
    <w:basedOn w:val="1"/>
    <w:qFormat/>
    <w:uiPriority w:val="0"/>
    <w:pPr>
      <w:numPr>
        <w:ilvl w:val="1"/>
        <w:numId w:val="2"/>
      </w:numPr>
      <w:spacing w:line="300" w:lineRule="auto"/>
    </w:pPr>
    <w:rPr>
      <w:rFonts w:ascii="宋体" w:hAnsi="Calibri"/>
      <w:sz w:val="24"/>
      <w:szCs w:val="21"/>
    </w:rPr>
  </w:style>
  <w:style w:type="paragraph" w:customStyle="1" w:styleId="385">
    <w:name w:val="Char Char Char Char Char Char Char2"/>
    <w:basedOn w:val="1"/>
    <w:qFormat/>
    <w:uiPriority w:val="0"/>
    <w:pPr>
      <w:spacing w:line="360" w:lineRule="auto"/>
      <w:ind w:firstLine="200"/>
    </w:pPr>
    <w:rPr>
      <w:rFonts w:eastAsia="仿宋_GB2312"/>
      <w:sz w:val="24"/>
    </w:rPr>
  </w:style>
  <w:style w:type="paragraph" w:customStyle="1" w:styleId="386">
    <w:name w:val="??"/>
    <w:qFormat/>
    <w:uiPriority w:val="0"/>
    <w:pPr>
      <w:widowControl w:val="0"/>
      <w:jc w:val="both"/>
    </w:pPr>
    <w:rPr>
      <w:rFonts w:hint="default" w:ascii="Times New Roman" w:hAnsi="Times New Roman" w:eastAsia="宋体" w:cs="Times New Roman"/>
      <w:sz w:val="21"/>
      <w:lang w:val="en-US" w:eastAsia="en-US" w:bidi="ar-SA"/>
    </w:rPr>
  </w:style>
  <w:style w:type="paragraph" w:customStyle="1" w:styleId="387">
    <w:name w:val="Char Char Char2"/>
    <w:basedOn w:val="1"/>
    <w:qFormat/>
    <w:uiPriority w:val="0"/>
    <w:rPr>
      <w:rFonts w:ascii="Tahoma" w:hAnsi="Tahoma"/>
      <w:sz w:val="24"/>
      <w:szCs w:val="20"/>
    </w:rPr>
  </w:style>
  <w:style w:type="paragraph" w:customStyle="1" w:styleId="388">
    <w:name w:val="修订"/>
    <w:unhideWhenUsed/>
    <w:qFormat/>
    <w:uiPriority w:val="99"/>
    <w:rPr>
      <w:rFonts w:hint="default" w:ascii="Times New Roman" w:hAnsi="Times New Roman" w:eastAsia="宋体" w:cs="Times New Roman"/>
      <w:sz w:val="21"/>
      <w:szCs w:val="24"/>
      <w:lang w:val="en-US" w:eastAsia="zh-CN" w:bidi="ar-SA"/>
    </w:rPr>
  </w:style>
  <w:style w:type="paragraph" w:customStyle="1" w:styleId="389">
    <w:name w:val="xl4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90">
    <w:name w:val="列出段落2"/>
    <w:basedOn w:val="1"/>
    <w:qFormat/>
    <w:uiPriority w:val="0"/>
    <w:pPr>
      <w:ind w:firstLine="420"/>
    </w:pPr>
    <w:rPr>
      <w:rFonts w:ascii="Calibri" w:hAnsi="Calibri"/>
      <w:szCs w:val="22"/>
    </w:rPr>
  </w:style>
  <w:style w:type="paragraph" w:customStyle="1" w:styleId="391">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92">
    <w:name w:val="图中文字"/>
    <w:basedOn w:val="1"/>
    <w:qFormat/>
    <w:uiPriority w:val="0"/>
    <w:pPr>
      <w:spacing w:line="0" w:lineRule="atLeast"/>
      <w:jc w:val="center"/>
    </w:pPr>
    <w:rPr>
      <w:sz w:val="24"/>
      <w:szCs w:val="20"/>
    </w:rPr>
  </w:style>
  <w:style w:type="paragraph" w:customStyle="1" w:styleId="393">
    <w:name w:val="Table Paragraph"/>
    <w:basedOn w:val="1"/>
    <w:qFormat/>
    <w:uiPriority w:val="1"/>
    <w:pPr>
      <w:jc w:val="left"/>
    </w:pPr>
    <w:rPr>
      <w:rFonts w:ascii="宋体" w:hAnsi="宋体" w:cs="宋体"/>
      <w:sz w:val="22"/>
      <w:szCs w:val="22"/>
      <w:lang w:eastAsia="en-US"/>
    </w:rPr>
  </w:style>
  <w:style w:type="paragraph" w:customStyle="1" w:styleId="394">
    <w:name w:val="正文 + 楷体_GB2312"/>
    <w:basedOn w:val="1"/>
    <w:qFormat/>
    <w:uiPriority w:val="0"/>
    <w:pPr>
      <w:widowControl/>
      <w:jc w:val="left"/>
    </w:pPr>
    <w:rPr>
      <w:rFonts w:ascii="楷体_GB2312" w:eastAsia="楷体_GB2312" w:cs="Arial"/>
      <w:sz w:val="24"/>
    </w:rPr>
  </w:style>
  <w:style w:type="paragraph" w:customStyle="1" w:styleId="395">
    <w:name w:val="缺省文本"/>
    <w:basedOn w:val="1"/>
    <w:qFormat/>
    <w:uiPriority w:val="0"/>
    <w:pPr>
      <w:jc w:val="left"/>
    </w:pPr>
    <w:rPr>
      <w:sz w:val="24"/>
    </w:rPr>
  </w:style>
  <w:style w:type="paragraph" w:customStyle="1" w:styleId="396">
    <w:name w:val="样式2"/>
    <w:basedOn w:val="251"/>
    <w:qFormat/>
    <w:uiPriority w:val="0"/>
    <w:pPr>
      <w:spacing w:line="360" w:lineRule="auto"/>
      <w:jc w:val="center"/>
    </w:pPr>
    <w:rPr>
      <w:sz w:val="24"/>
    </w:rPr>
  </w:style>
  <w:style w:type="paragraph" w:customStyle="1" w:styleId="397">
    <w:name w:val="_Style 11"/>
    <w:basedOn w:val="1"/>
    <w:next w:val="1"/>
    <w:qFormat/>
    <w:uiPriority w:val="0"/>
    <w:pPr>
      <w:spacing w:after="120"/>
      <w:ind w:left="420" w:firstLine="420"/>
    </w:pPr>
    <w:rPr>
      <w:rFonts w:ascii="Times New Roman" w:hAnsi="Times New Roman"/>
    </w:rPr>
  </w:style>
  <w:style w:type="paragraph" w:customStyle="1" w:styleId="398">
    <w:name w:val="图文"/>
    <w:basedOn w:val="1"/>
    <w:qFormat/>
    <w:uiPriority w:val="0"/>
    <w:pPr>
      <w:spacing w:after="50" w:line="360" w:lineRule="auto"/>
    </w:pPr>
    <w:rPr>
      <w:sz w:val="24"/>
    </w:rPr>
  </w:style>
  <w:style w:type="paragraph" w:customStyle="1" w:styleId="399">
    <w:name w:val="Char2 Char Char Char Char Char Char1"/>
    <w:basedOn w:val="1"/>
    <w:qFormat/>
    <w:uiPriority w:val="0"/>
    <w:pPr>
      <w:widowControl/>
      <w:spacing w:line="400" w:lineRule="exact"/>
      <w:jc w:val="center"/>
    </w:pPr>
  </w:style>
  <w:style w:type="paragraph" w:customStyle="1" w:styleId="400">
    <w:name w:val="Char Char Char Char Char Char Char Char Char Char1"/>
    <w:basedOn w:val="1"/>
    <w:qFormat/>
    <w:uiPriority w:val="0"/>
    <w:rPr>
      <w:rFonts w:ascii="宋体" w:hAnsi="宋体" w:cs="Courier New"/>
      <w:sz w:val="32"/>
      <w:szCs w:val="32"/>
    </w:rPr>
  </w:style>
  <w:style w:type="paragraph" w:customStyle="1" w:styleId="401">
    <w:name w:val="Char3 Char Char Char2"/>
    <w:basedOn w:val="1"/>
    <w:qFormat/>
    <w:uiPriority w:val="0"/>
    <w:rPr>
      <w:rFonts w:ascii="Tahoma" w:hAnsi="Tahoma"/>
      <w:sz w:val="24"/>
      <w:szCs w:val="20"/>
    </w:rPr>
  </w:style>
  <w:style w:type="paragraph" w:customStyle="1" w:styleId="402">
    <w:name w:val="Char1"/>
    <w:basedOn w:val="1"/>
    <w:qFormat/>
    <w:uiPriority w:val="0"/>
    <w:pPr>
      <w:tabs>
        <w:tab w:val="left" w:pos="360"/>
      </w:tabs>
    </w:pPr>
    <w:rPr>
      <w:sz w:val="24"/>
    </w:rPr>
  </w:style>
  <w:style w:type="paragraph" w:customStyle="1" w:styleId="403">
    <w:name w:val="Char Char Char1"/>
    <w:basedOn w:val="1"/>
    <w:qFormat/>
    <w:uiPriority w:val="0"/>
    <w:rPr>
      <w:rFonts w:ascii="Tahoma" w:hAnsi="Tahoma"/>
      <w:sz w:val="24"/>
      <w:szCs w:val="20"/>
    </w:rPr>
  </w:style>
  <w:style w:type="paragraph" w:customStyle="1" w:styleId="404">
    <w:name w:val="xl46"/>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405">
    <w:name w:val="_Style 160"/>
    <w:qFormat/>
    <w:uiPriority w:val="0"/>
    <w:rPr>
      <w:rFonts w:hint="default" w:ascii="Times New Roman" w:hAnsi="Times New Roman" w:eastAsia="宋体" w:cs="Times New Roman"/>
      <w:sz w:val="21"/>
      <w:szCs w:val="24"/>
      <w:lang w:val="en-US" w:eastAsia="zh-CN" w:bidi="ar-SA"/>
    </w:rPr>
  </w:style>
  <w:style w:type="paragraph" w:customStyle="1" w:styleId="406">
    <w:name w:val="无标题条"/>
    <w:next w:val="1"/>
    <w:qFormat/>
    <w:uiPriority w:val="0"/>
    <w:pPr>
      <w:jc w:val="both"/>
    </w:pPr>
    <w:rPr>
      <w:rFonts w:hint="default" w:ascii="Times New Roman" w:hAnsi="Times New Roman" w:eastAsia="宋体" w:cs="Times New Roman"/>
      <w:sz w:val="21"/>
      <w:lang w:val="en-US" w:eastAsia="zh-CN" w:bidi="ar-SA"/>
    </w:rPr>
  </w:style>
  <w:style w:type="paragraph" w:customStyle="1" w:styleId="407">
    <w:name w:val="Char Char Char Char Char Char Char Char Char Char"/>
    <w:basedOn w:val="1"/>
    <w:qFormat/>
    <w:uiPriority w:val="0"/>
  </w:style>
  <w:style w:type="paragraph" w:customStyle="1" w:styleId="408">
    <w:name w:val="列出段落1"/>
    <w:basedOn w:val="1"/>
    <w:qFormat/>
    <w:uiPriority w:val="0"/>
    <w:pPr>
      <w:ind w:firstLine="420"/>
    </w:pPr>
    <w:rPr>
      <w:rFonts w:ascii="Calibri" w:hAnsi="Calibri"/>
      <w:szCs w:val="22"/>
    </w:rPr>
  </w:style>
  <w:style w:type="paragraph" w:customStyle="1" w:styleId="409">
    <w:name w:val="xl4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410">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16"/>
      <w:szCs w:val="16"/>
    </w:rPr>
  </w:style>
  <w:style w:type="paragraph" w:customStyle="1" w:styleId="411">
    <w:name w:val="Char Char Char Char Char Char Char Char Char Char2"/>
    <w:basedOn w:val="1"/>
    <w:qFormat/>
    <w:uiPriority w:val="0"/>
    <w:rPr>
      <w:rFonts w:ascii="宋体" w:hAnsi="宋体" w:cs="Courier New"/>
      <w:sz w:val="32"/>
      <w:szCs w:val="32"/>
    </w:rPr>
  </w:style>
  <w:style w:type="paragraph" w:customStyle="1" w:styleId="412">
    <w:name w:val="Char Char Char Char Char Char Char Char Char Char Char Char Char Char Char Char1"/>
    <w:basedOn w:val="1"/>
    <w:qFormat/>
    <w:uiPriority w:val="0"/>
    <w:pPr>
      <w:widowControl/>
      <w:spacing w:after="160" w:line="240" w:lineRule="exact"/>
      <w:jc w:val="center"/>
    </w:pPr>
    <w:rPr>
      <w:rFonts w:ascii="宋体" w:hAnsi="宋体"/>
      <w:b/>
      <w:sz w:val="30"/>
      <w:szCs w:val="30"/>
      <w:lang w:eastAsia="en-US"/>
    </w:rPr>
  </w:style>
  <w:style w:type="paragraph" w:customStyle="1" w:styleId="413">
    <w:name w:val="Char Char Char Char Char Char Char"/>
    <w:basedOn w:val="1"/>
    <w:qFormat/>
    <w:uiPriority w:val="0"/>
    <w:pPr>
      <w:spacing w:line="360" w:lineRule="auto"/>
      <w:ind w:firstLine="200"/>
    </w:pPr>
    <w:rPr>
      <w:rFonts w:eastAsia="仿宋_GB2312"/>
      <w:sz w:val="24"/>
    </w:rPr>
  </w:style>
  <w:style w:type="paragraph" w:customStyle="1" w:styleId="414">
    <w:name w:val="三级条标题"/>
    <w:basedOn w:val="325"/>
    <w:next w:val="1"/>
    <w:qFormat/>
    <w:uiPriority w:val="0"/>
    <w:pPr>
      <w:numPr>
        <w:ilvl w:val="3"/>
        <w:numId w:val="3"/>
      </w:numPr>
      <w:ind w:left="0" w:hanging="840"/>
      <w:outlineLvl w:val="3"/>
    </w:pPr>
  </w:style>
  <w:style w:type="paragraph" w:customStyle="1" w:styleId="415">
    <w:name w:val="正文缩进2"/>
    <w:basedOn w:val="1"/>
    <w:qFormat/>
    <w:uiPriority w:val="0"/>
    <w:pPr>
      <w:widowControl/>
      <w:spacing w:line="480" w:lineRule="exact"/>
      <w:ind w:firstLine="567"/>
    </w:pPr>
    <w:rPr>
      <w:rFonts w:ascii="宋体"/>
      <w:color w:val="000000"/>
      <w:sz w:val="28"/>
      <w:szCs w:val="20"/>
      <w:lang w:val="zh-CN" w:eastAsia="zh-CN"/>
    </w:rPr>
  </w:style>
  <w:style w:type="paragraph" w:customStyle="1" w:styleId="416">
    <w:name w:val="正文 + 宋体"/>
    <w:basedOn w:val="1"/>
    <w:qFormat/>
    <w:uiPriority w:val="0"/>
    <w:pPr>
      <w:widowControl/>
      <w:ind w:left="360" w:hanging="360"/>
      <w:jc w:val="left"/>
    </w:pPr>
    <w:rPr>
      <w:rFonts w:ascii="宋体" w:hAnsi="宋体" w:cs="宋体"/>
      <w:b/>
      <w:bCs/>
      <w:color w:val="000000"/>
      <w:sz w:val="18"/>
      <w:szCs w:val="18"/>
    </w:rPr>
  </w:style>
  <w:style w:type="paragraph" w:customStyle="1" w:styleId="417">
    <w:name w:val="项目编号3"/>
    <w:basedOn w:val="346"/>
    <w:qFormat/>
    <w:uiPriority w:val="0"/>
    <w:pPr>
      <w:numPr>
        <w:ilvl w:val="0"/>
        <w:numId w:val="7"/>
      </w:numPr>
    </w:pPr>
  </w:style>
  <w:style w:type="paragraph" w:customStyle="1" w:styleId="418">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0"/>
      <w:szCs w:val="20"/>
    </w:rPr>
  </w:style>
  <w:style w:type="paragraph" w:customStyle="1" w:styleId="419">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420">
    <w:name w:val="正文文本缩进2"/>
    <w:basedOn w:val="1"/>
    <w:qFormat/>
    <w:uiPriority w:val="0"/>
    <w:pPr>
      <w:spacing w:line="480" w:lineRule="exact"/>
      <w:ind w:firstLine="480"/>
    </w:pPr>
    <w:rPr>
      <w:rFonts w:ascii="宋体" w:hAnsi="宋体"/>
      <w:sz w:val="24"/>
      <w:lang w:val="zh-CN" w:eastAsia="zh-CN"/>
    </w:rPr>
  </w:style>
  <w:style w:type="paragraph" w:customStyle="1" w:styleId="421">
    <w:name w:val="Char3 Char Char Char"/>
    <w:basedOn w:val="1"/>
    <w:qFormat/>
    <w:uiPriority w:val="0"/>
    <w:rPr>
      <w:rFonts w:ascii="Tahoma" w:hAnsi="Tahoma"/>
      <w:sz w:val="24"/>
      <w:szCs w:val="20"/>
    </w:rPr>
  </w:style>
  <w:style w:type="paragraph" w:customStyle="1" w:styleId="422">
    <w:name w:val="Char21"/>
    <w:basedOn w:val="1"/>
    <w:qFormat/>
    <w:uiPriority w:val="0"/>
    <w:rPr>
      <w:rFonts w:ascii="Tahoma" w:hAnsi="Tahoma"/>
      <w:sz w:val="24"/>
      <w:szCs w:val="20"/>
    </w:rPr>
  </w:style>
  <w:style w:type="paragraph" w:customStyle="1" w:styleId="423">
    <w:name w:val="List Paragraph1"/>
    <w:basedOn w:val="1"/>
    <w:qFormat/>
    <w:uiPriority w:val="0"/>
    <w:pPr>
      <w:ind w:firstLine="420"/>
    </w:pPr>
    <w:rPr>
      <w:rFonts w:ascii="Calibri" w:hAnsi="Calibri"/>
      <w:szCs w:val="22"/>
    </w:rPr>
  </w:style>
  <w:style w:type="paragraph" w:customStyle="1" w:styleId="424">
    <w:name w:val="四级条标题"/>
    <w:basedOn w:val="414"/>
    <w:next w:val="1"/>
    <w:qFormat/>
    <w:uiPriority w:val="0"/>
    <w:pPr>
      <w:numPr>
        <w:ilvl w:val="4"/>
      </w:numPr>
      <w:ind w:left="0" w:hanging="840"/>
      <w:outlineLvl w:val="4"/>
    </w:pPr>
  </w:style>
  <w:style w:type="paragraph" w:customStyle="1" w:styleId="425">
    <w:name w:val="无间隔"/>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26">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2"/>
      <w:szCs w:val="22"/>
    </w:rPr>
  </w:style>
  <w:style w:type="paragraph" w:customStyle="1" w:styleId="427">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428">
    <w:name w:val="Char Char Char1 Char1"/>
    <w:basedOn w:val="1"/>
    <w:qFormat/>
    <w:uiPriority w:val="0"/>
    <w:rPr>
      <w:rFonts w:ascii="Tahoma" w:hAnsi="Tahoma"/>
      <w:sz w:val="24"/>
      <w:szCs w:val="20"/>
    </w:rPr>
  </w:style>
  <w:style w:type="paragraph" w:customStyle="1" w:styleId="429">
    <w:name w:val="Default"/>
    <w:qFormat/>
    <w:uiPriority w:val="0"/>
    <w:pPr>
      <w:widowControl w:val="0"/>
    </w:pPr>
    <w:rPr>
      <w:rFonts w:hint="default" w:ascii="Symbol" w:hAnsi="Symbol" w:eastAsia="宋体" w:cs="Symbol"/>
      <w:color w:val="000000"/>
      <w:sz w:val="24"/>
      <w:szCs w:val="24"/>
      <w:lang w:val="en-US" w:eastAsia="zh-CN" w:bidi="ar-SA"/>
    </w:rPr>
  </w:style>
  <w:style w:type="paragraph" w:customStyle="1" w:styleId="430">
    <w:name w:val="项目符号1"/>
    <w:basedOn w:val="346"/>
    <w:qFormat/>
    <w:uiPriority w:val="0"/>
    <w:pPr>
      <w:ind w:left="-25" w:firstLine="0"/>
    </w:pPr>
  </w:style>
  <w:style w:type="paragraph" w:customStyle="1" w:styleId="431">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432">
    <w:name w:val="22222222222222"/>
    <w:basedOn w:val="1"/>
    <w:qFormat/>
    <w:uiPriority w:val="0"/>
    <w:pPr>
      <w:widowControl/>
      <w:spacing w:line="360" w:lineRule="auto"/>
      <w:ind w:firstLine="480"/>
      <w:jc w:val="left"/>
    </w:pPr>
    <w:rPr>
      <w:color w:val="FF0000"/>
      <w:sz w:val="24"/>
      <w:szCs w:val="20"/>
    </w:rPr>
  </w:style>
  <w:style w:type="paragraph" w:customStyle="1" w:styleId="433">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color w:val="FF6600"/>
      <w:sz w:val="20"/>
      <w:szCs w:val="20"/>
    </w:rPr>
  </w:style>
  <w:style w:type="paragraph" w:customStyle="1" w:styleId="434">
    <w:name w:val="Char22"/>
    <w:basedOn w:val="1"/>
    <w:qFormat/>
    <w:uiPriority w:val="0"/>
    <w:rPr>
      <w:rFonts w:ascii="Tahoma" w:hAnsi="Tahoma"/>
      <w:sz w:val="24"/>
      <w:szCs w:val="20"/>
    </w:rPr>
  </w:style>
  <w:style w:type="paragraph" w:customStyle="1" w:styleId="435">
    <w:name w:val="Char3 Char Char Char1"/>
    <w:basedOn w:val="1"/>
    <w:qFormat/>
    <w:uiPriority w:val="0"/>
    <w:rPr>
      <w:rFonts w:ascii="Tahoma" w:hAnsi="Tahoma"/>
      <w:sz w:val="24"/>
      <w:szCs w:val="20"/>
    </w:rPr>
  </w:style>
  <w:style w:type="paragraph" w:customStyle="1" w:styleId="436">
    <w:name w:val="五级条标题"/>
    <w:basedOn w:val="424"/>
    <w:next w:val="1"/>
    <w:qFormat/>
    <w:uiPriority w:val="0"/>
    <w:pPr>
      <w:numPr>
        <w:ilvl w:val="5"/>
      </w:numPr>
      <w:ind w:left="0" w:hanging="840"/>
      <w:outlineLvl w:val="5"/>
    </w:pPr>
  </w:style>
  <w:style w:type="paragraph" w:customStyle="1" w:styleId="437">
    <w:name w:val="表格文字"/>
    <w:basedOn w:val="220"/>
    <w:qFormat/>
    <w:uiPriority w:val="0"/>
    <w:pPr>
      <w:spacing w:before="20" w:after="20" w:line="240" w:lineRule="auto"/>
      <w:ind w:firstLine="0"/>
    </w:pPr>
    <w:rPr>
      <w:rFonts w:ascii="Century Gothic" w:hAnsi="Century Gothic"/>
      <w:sz w:val="20"/>
      <w:szCs w:val="20"/>
    </w:rPr>
  </w:style>
  <w:style w:type="paragraph" w:customStyle="1" w:styleId="438">
    <w:name w:val="default"/>
    <w:basedOn w:val="1"/>
    <w:qFormat/>
    <w:uiPriority w:val="0"/>
    <w:pPr>
      <w:widowControl/>
      <w:spacing w:before="100" w:beforeAutospacing="1" w:after="100" w:afterAutospacing="1"/>
      <w:jc w:val="left"/>
    </w:pPr>
    <w:rPr>
      <w:rFonts w:ascii="宋体" w:hAnsi="宋体" w:cs="宋体"/>
      <w:sz w:val="24"/>
    </w:rPr>
  </w:style>
  <w:style w:type="paragraph" w:customStyle="1" w:styleId="439">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440">
    <w:name w:val="一级无"/>
    <w:basedOn w:val="1"/>
    <w:qFormat/>
    <w:uiPriority w:val="0"/>
    <w:pPr>
      <w:widowControl/>
      <w:jc w:val="left"/>
      <w:outlineLvl w:val="2"/>
    </w:pPr>
    <w:rPr>
      <w:rFonts w:ascii="宋体" w:hAnsi="Times New Roman" w:eastAsia="宋体" w:cs="Times New Roman"/>
      <w:szCs w:val="21"/>
    </w:rPr>
  </w:style>
  <w:style w:type="paragraph" w:customStyle="1" w:styleId="441">
    <w:name w:val="Char"/>
    <w:basedOn w:val="1"/>
    <w:qFormat/>
    <w:uiPriority w:val="0"/>
    <w:pPr>
      <w:tabs>
        <w:tab w:val="left" w:pos="360"/>
      </w:tabs>
    </w:pPr>
    <w:rPr>
      <w:sz w:val="24"/>
    </w:rPr>
  </w:style>
  <w:style w:type="paragraph" w:customStyle="1" w:styleId="442">
    <w:name w:val="xl4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table" w:customStyle="1" w:styleId="443">
    <w:name w:val="Table Normal"/>
    <w:unhideWhenUsed/>
    <w:qFormat/>
    <w:uiPriority w:val="2"/>
    <w:pPr>
      <w:widowControl w:val="0"/>
    </w:pPr>
    <w:rPr>
      <w:rFonts w:ascii="Calibri" w:hAnsi="Calibri"/>
      <w:sz w:val="22"/>
      <w:szCs w:val="22"/>
      <w:lang w:val="en-US" w:eastAsia="en-US" w:bidi="ar-SA"/>
    </w:rPr>
  </w:style>
  <w:style w:type="character" w:customStyle="1" w:styleId="444">
    <w:name w:val="NormalCharacter1"/>
    <w:link w:val="1"/>
    <w:qFormat/>
    <w:uiPriority w:val="0"/>
    <w:rPr>
      <w:rFonts w:ascii="Calibri" w:hAnsi="Calibri" w:eastAsia="宋体" w:cs="Times New Roman"/>
      <w:sz w:val="21"/>
      <w:szCs w:val="22"/>
      <w:lang w:val="en-US" w:eastAsia="zh-CN" w:bidi="ar-SA"/>
    </w:rPr>
  </w:style>
  <w:style w:type="character" w:customStyle="1" w:styleId="445">
    <w:name w:val="font11"/>
    <w:link w:val="1"/>
    <w:qFormat/>
    <w:uiPriority w:val="0"/>
    <w:rPr>
      <w:rFonts w:hint="eastAsia" w:ascii="仿宋_GB2312" w:eastAsia="仿宋_GB2312" w:cs="仿宋_GB2312"/>
      <w:color w:val="000000"/>
      <w:sz w:val="24"/>
      <w:szCs w:val="24"/>
      <w:u w:val="none"/>
    </w:rPr>
  </w:style>
  <w:style w:type="paragraph" w:customStyle="1" w:styleId="446">
    <w:name w:val="表"/>
    <w:basedOn w:val="1"/>
    <w:qFormat/>
    <w:uiPriority w:val="0"/>
    <w:pPr>
      <w:spacing w:line="240" w:lineRule="auto"/>
      <w:ind w:firstLine="0"/>
      <w:jc w:val="center"/>
    </w:pPr>
    <w:rPr>
      <w:rFonts w:hint="eastAsia" w:ascii="Times New Roman" w:hAnsi="Times New Roman" w:eastAsia="宋体" w:cs="方正仿宋_GB2312"/>
      <w:sz w:val="24"/>
      <w:szCs w:val="22"/>
      <w:lang w:val="zh-CN" w:bidi="zh-CN"/>
    </w:rPr>
  </w:style>
  <w:style w:type="paragraph" w:customStyle="1" w:styleId="447">
    <w:name w:val="null3"/>
    <w:qFormat/>
    <w:uiPriority w:val="0"/>
    <w:rPr>
      <w:rFonts w:hint="eastAsia" w:ascii="Calibri" w:hAnsi="Calibri" w:eastAsia="宋体" w:cs="Times New Roman"/>
      <w:lang w:val="en-US" w:eastAsia="zh-CN" w:bidi="ar-SA"/>
    </w:rPr>
  </w:style>
  <w:style w:type="paragraph" w:customStyle="1" w:styleId="448">
    <w:name w:val="正文_1"/>
    <w:autoRedefine/>
    <w:qFormat/>
    <w:uiPriority w:val="0"/>
    <w:pPr>
      <w:widowControl w:val="0"/>
      <w:jc w:val="both"/>
    </w:pPr>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8" Type="http://schemas.openxmlformats.org/officeDocument/2006/relationships/fontTable" Target="fontTable.xml"/><Relationship Id="rId27" Type="http://schemas.openxmlformats.org/officeDocument/2006/relationships/numbering" Target="numbering.xml"/><Relationship Id="rId26" Type="http://schemas.openxmlformats.org/officeDocument/2006/relationships/customXml" Target="../customXml/item1.xml"/><Relationship Id="rId25" Type="http://schemas.openxmlformats.org/officeDocument/2006/relationships/theme" Target="theme/theme1.xml"/><Relationship Id="rId24" Type="http://schemas.openxmlformats.org/officeDocument/2006/relationships/footer" Target="footer11.xml"/><Relationship Id="rId23" Type="http://schemas.openxmlformats.org/officeDocument/2006/relationships/footer" Target="footer10.xml"/><Relationship Id="rId22" Type="http://schemas.openxmlformats.org/officeDocument/2006/relationships/header" Target="header11.xml"/><Relationship Id="rId21" Type="http://schemas.openxmlformats.org/officeDocument/2006/relationships/header" Target="header10.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header" Target="header9.xml"/><Relationship Id="rId17" Type="http://schemas.openxmlformats.org/officeDocument/2006/relationships/header" Target="header8.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60</Pages>
  <Words>24248</Words>
  <Characters>25101</Characters>
  <TotalTime>94</TotalTime>
  <ScaleCrop>false</ScaleCrop>
  <LinksUpToDate>false</LinksUpToDate>
  <CharactersWithSpaces>26157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2022-05-30T08:08:00Z</dcterms:created>
  <dc:creator>尹</dc:creator>
  <cp:lastModifiedBy>许小俊</cp:lastModifiedBy>
  <cp:lastPrinted>2026-08-05T07:10:00Z</cp:lastPrinted>
  <dcterms:modified xsi:type="dcterms:W3CDTF">2026-08-18T08:38:28Z</dcterms:modified>
  <dc:title>02年杜</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eyJoZGlkIjoiNzIyNTI4ZjgyYzdlYjczM2E4NjliNjEzYmY4NTM3ZWQiLCJ1c2VySWQiOiI4Mzk2NDE4MzMifQ==</vt:lpwstr>
  </property>
  <property fmtid="{D5CDD505-2E9C-101B-9397-08002B2CF9AE}" pid="3" name="KSOProductBuildVer">
    <vt:lpwstr>2052-12.1.0.26895</vt:lpwstr>
  </property>
  <property fmtid="{D5CDD505-2E9C-101B-9397-08002B2CF9AE}" pid="4" name="ICV">
    <vt:lpwstr>D41C440A8A864D798E6302E123C54D69_13</vt:lpwstr>
  </property>
</Properties>
</file>