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丁蜀镇2026年污水提升井日常运维服务</w:t>
      </w:r>
      <w:r/>
    </w:p>
    <w:p>
      <w:pPr>
        <w:ind w:firstLine="1920"/>
        <w:jc w:val="left"/>
        <w:spacing w:line="360" w:lineRule="auto"/>
        <w:rPr>
          <w:rFonts w:hint="default" w:ascii="宋体" w:hAnsi="宋体" w:eastAsia="宋体" w:cs="宋体"/>
          <w:color w:val="auto"/>
          <w:sz w:val="32"/>
          <w:szCs w:val="32"/>
          <w:highlight w:val="none"/>
          <w:lang w:val="en-US" w:eastAsia="zh-CN"/>
        </w:rPr>
      </w:pPr>
      <w:r/>
      <w:bookmarkStart w:id="0" w:name="_Hlk161057808"/>
      <w:r>
        <w:rPr>
          <w:rFonts w:hint="eastAsia" w:ascii="宋体" w:hAnsi="宋体" w:cs="宋体"/>
          <w:color w:val="auto"/>
          <w:sz w:val="32"/>
          <w:szCs w:val="32"/>
          <w:highlight w:val="none"/>
        </w:rPr>
        <w:t xml:space="preserve">项目编号：</w:t>
      </w:r>
      <w:bookmarkEnd w:id="0"/>
      <w:r>
        <w:rPr>
          <w:rFonts w:hint="eastAsia" w:ascii="宋体" w:hAnsi="宋体" w:cs="宋体"/>
          <w:color w:val="auto"/>
          <w:sz w:val="32"/>
          <w:szCs w:val="32"/>
          <w:highlight w:val="none"/>
          <w:lang w:eastAsia="zh-CN"/>
        </w:rPr>
        <w:t xml:space="preserve">JSZC-320282-JSDZ-G2026-0060</w:t>
      </w:r>
      <w:r/>
    </w:p>
    <w:p>
      <w:pPr>
        <w:ind w:firstLine="192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宜兴市丁蜀镇人民政府</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大洲设计咨询集团有限公司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w:t>
      </w:r>
      <w:r>
        <w:rPr>
          <w:rFonts w:hint="eastAsia" w:ascii="宋体" w:hAnsi="宋体" w:cs="宋体"/>
          <w:color w:val="auto"/>
          <w:sz w:val="32"/>
          <w:szCs w:val="32"/>
          <w:highlight w:val="none"/>
          <w:lang w:val="en-US" w:eastAsia="zh-CN"/>
        </w:rPr>
        <w:t xml:space="preserve">8</w:t>
      </w:r>
      <w:r>
        <w:rPr>
          <w:rFonts w:hint="eastAsia" w:ascii="宋体" w:hAnsi="宋体" w:cs="宋体"/>
          <w:color w:val="auto"/>
          <w:sz w:val="32"/>
          <w:szCs w:val="32"/>
          <w:highlight w:val="none"/>
        </w:rPr>
        <w:t xml:space="preserve">月</w:t>
      </w:r>
      <w:r/>
    </w:p>
    <w:p>
      <w:pPr>
        <w:rPr>
          <w:rStyle w:val="777"/>
          <w:rFonts w:eastAsia="黑体"/>
          <w:bCs/>
          <w:color w:val="auto"/>
          <w:sz w:val="48"/>
          <w:highlight w:val="none"/>
        </w:rPr>
        <w:sectPr>
          <w:headerReference w:type="even" r:id="rId9"/>
          <w:footerReference w:type="default" r:id="rId10"/>
          <w:footerReference w:type="even" r:id="rId11"/>
          <w:footerReference w:type="first" r:id="rId12"/>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color w:val="auto"/>
          <w:sz w:val="48"/>
          <w:highlight w:val="none"/>
        </w:rPr>
      </w:r>
      <w:r/>
    </w:p>
    <w:p>
      <w:pPr>
        <w:jc w:val="center"/>
        <w:rPr>
          <w:rStyle w:val="777"/>
          <w:rFonts w:eastAsia="黑体"/>
          <w:bCs/>
          <w:color w:val="auto"/>
          <w:sz w:val="48"/>
          <w:highlight w:val="none"/>
        </w:rPr>
      </w:pPr>
      <w:r>
        <w:rPr>
          <w:rFonts w:eastAsia="黑体"/>
          <w:bCs/>
          <w:color w:val="auto"/>
          <w:sz w:val="48"/>
          <w:highlight w:val="none"/>
        </w:rPr>
      </w:r>
      <w:r/>
    </w:p>
    <w:p>
      <w:pPr>
        <w:jc w:val="center"/>
        <w:rPr>
          <w:rStyle w:val="777"/>
          <w:rFonts w:eastAsia="黑体"/>
          <w:bCs/>
          <w:color w:val="auto"/>
          <w:sz w:val="48"/>
          <w:highlight w:val="none"/>
        </w:rPr>
      </w:pPr>
      <w:r>
        <w:rPr>
          <w:rFonts w:eastAsia="黑体"/>
          <w:bCs/>
          <w:color w:val="auto"/>
          <w:sz w:val="48"/>
          <w:highlight w:val="none"/>
        </w:rPr>
      </w:r>
      <w:r/>
    </w:p>
    <w:p>
      <w:pPr>
        <w:jc w:val="center"/>
        <w:rPr>
          <w:rStyle w:val="777"/>
          <w:rFonts w:eastAsia="黑体"/>
          <w:bCs/>
          <w:color w:val="auto"/>
          <w:sz w:val="48"/>
          <w:highlight w:val="none"/>
        </w:rPr>
      </w:pPr>
      <w:r>
        <w:rPr>
          <w:rStyle w:val="777"/>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73"/>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778"/>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773"/>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778"/>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73"/>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778"/>
          <w:rFonts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color w:val="auto"/>
          <w:sz w:val="32"/>
          <w:szCs w:val="32"/>
          <w:highlight w:val="none"/>
        </w:rPr>
        <w:fldChar w:fldCharType="end"/>
      </w:r>
      <w:r>
        <w:rPr>
          <w:rFonts w:hint="eastAsia"/>
          <w:color w:val="auto"/>
          <w:sz w:val="32"/>
          <w:szCs w:val="32"/>
          <w:highlight w:val="none"/>
          <w:lang w:val="en-US" w:eastAsia="zh-CN"/>
        </w:rPr>
        <w:t xml:space="preserve">7</w:t>
      </w:r>
      <w:r/>
    </w:p>
    <w:p>
      <w:pPr>
        <w:pStyle w:val="773"/>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778"/>
          <w:rFonts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1</w:t>
      </w:r>
      <w:r/>
    </w:p>
    <w:p>
      <w:pPr>
        <w:pStyle w:val="773"/>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778"/>
          <w:rFonts w:ascii="黑体" w:hAnsi="黑体" w:eastAsia="黑体"/>
          <w:color w:val="auto"/>
          <w:sz w:val="32"/>
          <w:szCs w:val="32"/>
          <w:highlight w:val="none"/>
        </w:rPr>
        <w:t xml:space="preserve">第五章 政府采购合同（格式）</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8</w:t>
      </w:r>
      <w:r/>
    </w:p>
    <w:p>
      <w:pPr>
        <w:pStyle w:val="773"/>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778"/>
          <w:rFonts w:ascii="黑体" w:hAnsi="黑体" w:eastAsia="黑体"/>
          <w:color w:val="auto"/>
          <w:sz w:val="32"/>
          <w:szCs w:val="32"/>
          <w:highlight w:val="none"/>
        </w:rPr>
        <w:t xml:space="preserve">第六章 投标文件</w:t>
      </w:r>
      <w:r>
        <w:rPr>
          <w:rStyle w:val="778"/>
          <w:rFonts w:hint="eastAsia" w:ascii="黑体" w:hAnsi="黑体" w:eastAsia="黑体"/>
          <w:color w:val="auto"/>
          <w:sz w:val="32"/>
          <w:szCs w:val="32"/>
          <w:highlight w:val="none"/>
        </w:rPr>
        <w:t xml:space="preserve">内容与格式</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7</w:t>
      </w:r>
      <w:r/>
    </w:p>
    <w:p>
      <w:pPr>
        <w:spacing w:line="360" w:lineRule="auto"/>
        <w:rPr>
          <w:rFonts w:ascii="黑体" w:hAnsi="黑体" w:eastAsia="黑体" w:cs="黑体"/>
          <w:color w:val="auto"/>
          <w:sz w:val="32"/>
          <w:szCs w:val="32"/>
          <w:highlight w:val="none"/>
        </w:rPr>
        <w:sectPr>
          <w:footerReference w:type="default" r:id="rId13"/>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宜兴市丁蜀镇人民政府</w:t>
      </w:r>
      <w:r>
        <w:rPr>
          <w:rFonts w:hint="eastAsia" w:ascii="宋体" w:hAnsi="宋体"/>
          <w:color w:val="auto"/>
          <w:sz w:val="24"/>
          <w:szCs w:val="28"/>
          <w:highlight w:val="none"/>
        </w:rPr>
        <w:t xml:space="preserve">委托，</w:t>
      </w:r>
      <w:r>
        <w:rPr>
          <w:rFonts w:hint="eastAsia" w:ascii="宋体" w:hAnsi="宋体"/>
          <w:color w:val="auto"/>
          <w:sz w:val="24"/>
          <w:szCs w:val="28"/>
          <w:highlight w:val="none"/>
          <w:lang w:eastAsia="zh-CN"/>
        </w:rPr>
        <w:t xml:space="preserve">大洲设计咨询集团有限公司</w:t>
      </w:r>
      <w:r>
        <w:rPr>
          <w:rFonts w:hint="eastAsia" w:ascii="宋体" w:hAnsi="宋体"/>
          <w:color w:val="auto"/>
          <w:sz w:val="24"/>
          <w:szCs w:val="28"/>
          <w:highlight w:val="none"/>
        </w:rPr>
        <w:t xml:space="preserve">就</w:t>
      </w:r>
      <w:r>
        <w:rPr>
          <w:rFonts w:hint="eastAsia" w:ascii="宋体" w:hAnsi="宋体"/>
          <w:color w:val="auto"/>
          <w:sz w:val="24"/>
          <w:szCs w:val="28"/>
          <w:highlight w:val="none"/>
          <w:lang w:eastAsia="zh-CN"/>
        </w:rPr>
        <w:t xml:space="preserve">丁蜀镇2026年污水提升井日常运维服务</w:t>
      </w:r>
      <w:r>
        <w:rPr>
          <w:rFonts w:hint="eastAsia" w:ascii="宋体" w:hAnsi="宋体"/>
          <w:color w:val="auto"/>
          <w:sz w:val="24"/>
          <w:szCs w:val="28"/>
          <w:highlight w:val="none"/>
        </w:rPr>
        <w:t xml:space="preserve">（</w:t>
      </w:r>
      <w:r>
        <w:rPr>
          <w:rFonts w:hint="eastAsia" w:ascii="宋体" w:hAnsi="宋体"/>
          <w:bCs/>
          <w:color w:val="auto"/>
          <w:sz w:val="24"/>
          <w:szCs w:val="24"/>
          <w:highlight w:val="none"/>
          <w:lang w:eastAsia="zh-CN"/>
        </w:rPr>
        <w:t xml:space="preserve">JSZC-320282-JSDZ-G2026-0060</w:t>
      </w:r>
      <w:r>
        <w:rPr>
          <w:rFonts w:hint="eastAsia" w:ascii="宋体" w:hAnsi="宋体"/>
          <w:color w:val="auto"/>
          <w:sz w:val="24"/>
          <w:szCs w:val="28"/>
          <w:highlight w:val="none"/>
        </w:rPr>
        <w:t xml:space="preserve">）进行公开招标采购，欢迎符合条件的供应商参与投标。</w:t>
      </w:r>
      <w:r/>
    </w:p>
    <w:tbl>
      <w:tblPr>
        <w:tblStyle w:val="76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jc w:val="left"/>
              <w:rPr>
                <w:rFonts w:hint="eastAsia" w:ascii="宋体" w:hAnsi="宋体" w:eastAsia="宋体"/>
                <w:bCs/>
                <w:color w:val="auto"/>
                <w:sz w:val="24"/>
                <w:szCs w:val="24"/>
                <w:highlight w:val="none"/>
                <w:lang w:eastAsia="zh-CN"/>
              </w:rPr>
            </w:pPr>
            <w:r/>
            <w:bookmarkStart w:id="6" w:name="OLE_LINK192"/>
            <w:r>
              <w:rPr>
                <w:rFonts w:hint="eastAsia" w:ascii="宋体" w:hAnsi="宋体"/>
                <w:bCs/>
                <w:color w:val="auto"/>
                <w:sz w:val="24"/>
                <w:szCs w:val="24"/>
                <w:highlight w:val="none"/>
              </w:rPr>
              <w:t xml:space="preserve">1.项目名称：</w:t>
            </w:r>
            <w:r>
              <w:rPr>
                <w:rFonts w:hint="eastAsia" w:ascii="宋体" w:hAnsi="宋体"/>
                <w:bCs/>
                <w:color w:val="auto"/>
                <w:sz w:val="24"/>
                <w:szCs w:val="24"/>
                <w:highlight w:val="none"/>
                <w:lang w:eastAsia="zh-CN"/>
              </w:rPr>
              <w:t xml:space="preserve">丁蜀镇2026年污水提升井日常运维服务</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 xml:space="preserve">JSZC-320282-JSDZ-G2026-0060</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采购</w:t>
            </w:r>
            <w:r>
              <w:rPr>
                <w:rFonts w:hint="eastAsia" w:ascii="宋体" w:hAnsi="宋体"/>
                <w:bCs/>
                <w:color w:val="auto"/>
                <w:sz w:val="24"/>
                <w:szCs w:val="24"/>
                <w:highlight w:val="none"/>
                <w:lang w:val="en-US" w:eastAsia="zh-CN"/>
              </w:rPr>
              <w:t xml:space="preserve">方式</w:t>
            </w:r>
            <w:r>
              <w:rPr>
                <w:rFonts w:hint="eastAsia" w:ascii="宋体" w:hAnsi="宋体"/>
                <w:bCs/>
                <w:color w:val="auto"/>
                <w:sz w:val="24"/>
                <w:szCs w:val="24"/>
                <w:highlight w:val="none"/>
              </w:rPr>
              <w:t xml:space="preserve">：公开招标</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4.评标方法：综合评分法</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5.预算金额：</w:t>
            </w:r>
            <w:r>
              <w:rPr>
                <w:rFonts w:hint="eastAsia" w:ascii="宋体" w:hAnsi="宋体"/>
                <w:bCs/>
                <w:color w:val="auto"/>
                <w:sz w:val="24"/>
                <w:szCs w:val="24"/>
                <w:highlight w:val="none"/>
                <w:lang w:val="en-US" w:eastAsia="zh-CN"/>
              </w:rPr>
              <w:t xml:space="preserve">358.69万</w:t>
            </w:r>
            <w:r>
              <w:rPr>
                <w:rFonts w:hint="eastAsia" w:ascii="宋体" w:hAnsi="宋体"/>
                <w:bCs/>
                <w:color w:val="auto"/>
                <w:sz w:val="24"/>
                <w:szCs w:val="24"/>
                <w:highlight w:val="none"/>
              </w:rPr>
              <w:t xml:space="preserve">元</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7.项目类型：服务类</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8.本项目不接受联合体，不接受分包。</w:t>
            </w:r>
            <w:bookmarkEnd w:id="6"/>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9.集中考察或答疑：无</w:t>
            </w:r>
            <w:r/>
          </w:p>
        </w:tc>
      </w:tr>
      <w:tr>
        <w:trPr>
          <w:jc w:val="center"/>
          <w:trHeight w:val="162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779"/>
              <w:jc w:val="center"/>
              <w:spacing w:line="276" w:lineRule="auto"/>
              <w:rPr>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779"/>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2.1中小企业政策：本项目专门面向中小企业采购；</w:t>
            </w:r>
            <w:r/>
          </w:p>
          <w:p>
            <w:pPr>
              <w:ind w:firstLine="240"/>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bookmarkEnd w:id="9"/>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r/>
          </w:p>
          <w:p>
            <w:pPr>
              <w:jc w:val="left"/>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7"/>
            <w:r/>
            <w:r/>
          </w:p>
        </w:tc>
      </w:tr>
      <w:tr>
        <w:trPr>
          <w:jc w:val="center"/>
          <w:trHeight w:val="415"/>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7908" w:type="dxa"/>
            <w:vAlign w:val="top"/>
            <w:textDirection w:val="lrTb"/>
            <w:noWrap w:val="false"/>
          </w:tcPr>
          <w:p>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779"/>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779"/>
              <w:jc w:val="center"/>
              <w:rPr>
                <w:b/>
                <w:bCs/>
                <w:color w:val="auto"/>
                <w:szCs w:val="22"/>
                <w:highlight w:val="none"/>
              </w:rPr>
            </w:pPr>
            <w:r>
              <w:rPr>
                <w:rFonts w:hint="eastAsia"/>
                <w:b/>
                <w:bCs/>
                <w:color w:val="auto"/>
                <w:szCs w:val="22"/>
                <w:highlight w:val="none"/>
              </w:rPr>
              <w:t xml:space="preserve">限制</w:t>
            </w:r>
            <w:r/>
          </w:p>
          <w:p>
            <w:pPr>
              <w:pStyle w:val="779"/>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949"/>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51" w:type="dxa"/>
            <w:vAlign w:val="center"/>
            <w:textDirection w:val="lrTb"/>
            <w:noWrap w:val="false"/>
          </w:tcPr>
          <w:p>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宜兴市丁蜀镇人民政府</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联系人：</w:t>
            </w:r>
            <w:r>
              <w:rPr>
                <w:rFonts w:hint="eastAsia" w:ascii="Arial" w:hAnsi="Arial" w:eastAsia="Arial"/>
                <w:bCs/>
                <w:color w:val="auto"/>
                <w:sz w:val="24"/>
                <w:szCs w:val="24"/>
                <w:highlight w:val="none"/>
                <w:lang w:val="en-US" w:eastAsia="zh-CN"/>
              </w:rPr>
              <w:t xml:space="preserve">曹女士</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w:t>
            </w:r>
            <w:r>
              <w:rPr>
                <w:rFonts w:hint="eastAsia" w:ascii="Arial" w:hAnsi="Arial" w:eastAsia="Arial"/>
                <w:bCs/>
                <w:color w:val="auto"/>
                <w:sz w:val="24"/>
                <w:szCs w:val="24"/>
                <w:highlight w:val="none"/>
                <w:lang w:val="en-US" w:eastAsia="zh-CN"/>
              </w:rPr>
              <w:t xml:space="preserve">0510-87401112</w:t>
            </w:r>
            <w:r/>
          </w:p>
        </w:tc>
      </w:tr>
      <w:tr>
        <w:trPr>
          <w:jc w:val="center"/>
          <w:trHeight w:val="549"/>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Align w:val="top"/>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51" w:type="dxa"/>
            <w:vAlign w:val="center"/>
            <w:textDirection w:val="lrTb"/>
            <w:noWrap w:val="false"/>
          </w:tcPr>
          <w:p>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大洲设计咨询集团有限公司</w:t>
            </w:r>
            <w:r/>
          </w:p>
          <w:p>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单位地址</w:t>
            </w:r>
            <w:r>
              <w:rPr>
                <w:rFonts w:hint="eastAsia" w:ascii="宋体" w:hAnsi="宋体"/>
                <w:bCs/>
                <w:color w:val="auto"/>
                <w:sz w:val="24"/>
                <w:szCs w:val="24"/>
                <w:highlight w:val="none"/>
                <w:lang w:eastAsia="zh-CN"/>
              </w:rPr>
              <w:t xml:space="preserve">：宜兴市新街街道南岳路1号联东U谷产业园36栋62号电梯口202</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许</w:t>
            </w:r>
            <w:r>
              <w:rPr>
                <w:rFonts w:hint="eastAsia" w:ascii="宋体" w:hAnsi="宋体"/>
                <w:bCs/>
                <w:color w:val="auto"/>
                <w:sz w:val="24"/>
                <w:szCs w:val="24"/>
                <w:highlight w:val="none"/>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联系电话：0510-</w:t>
            </w:r>
            <w:r>
              <w:rPr>
                <w:rFonts w:hint="eastAsia" w:ascii="宋体" w:hAnsi="宋体"/>
                <w:bCs/>
                <w:color w:val="auto"/>
                <w:sz w:val="24"/>
                <w:szCs w:val="24"/>
                <w:highlight w:val="none"/>
                <w:lang w:val="en-US" w:eastAsia="zh-CN"/>
              </w:rPr>
              <w:t xml:space="preserve">89559999</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Align w:val="top"/>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Align w:val="top"/>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451" w:type="dxa"/>
            <w:vAlign w:val="top"/>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r/>
    </w:p>
    <w:p>
      <w:pPr>
        <w:jc w:val="left"/>
        <w:spacing w:line="360" w:lineRule="auto"/>
        <w:rPr>
          <w:rFonts w:ascii="宋体" w:hAnsi="宋体"/>
          <w:b/>
          <w:color w:val="auto"/>
          <w:sz w:val="28"/>
          <w:szCs w:val="28"/>
          <w:highlight w:val="none"/>
          <w:lang w:val="zh-CN"/>
        </w:rPr>
      </w:pPr>
      <w:r/>
      <w:bookmarkStart w:id="17" w:name="OLE_LINK269"/>
      <w:r/>
      <w:bookmarkStart w:id="18" w:name="OLE_LINK217"/>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default" w:ascii="宋体" w:hAnsi="宋体" w:eastAsia="宋体"/>
          <w:bCs/>
          <w:color w:val="ff0000"/>
          <w:sz w:val="24"/>
          <w:szCs w:val="24"/>
          <w:highlight w:val="none"/>
          <w:lang w:val="en-US" w:eastAsia="zh-CN"/>
        </w:rPr>
      </w:pPr>
      <w:r/>
      <w:bookmarkStart w:id="23" w:name="OLE_LINK107"/>
      <w:r/>
      <w:bookmarkStart w:id="24" w:name="OLE_LINK88"/>
      <w:r>
        <w:rPr>
          <w:rFonts w:hint="eastAsia" w:ascii="宋体" w:hAnsi="宋体"/>
          <w:bCs/>
          <w:color w:val="ff0000"/>
          <w:sz w:val="24"/>
          <w:szCs w:val="24"/>
          <w:highlight w:val="none"/>
        </w:rPr>
        <w:t xml:space="preserve">4.2 </w:t>
      </w:r>
      <w:bookmarkEnd w:id="23"/>
      <w:r/>
      <w:bookmarkEnd w:id="24"/>
      <w:r>
        <w:rPr>
          <w:rFonts w:hint="eastAsia" w:ascii="宋体" w:hAnsi="宋体"/>
          <w:bCs/>
          <w:color w:val="ff0000"/>
          <w:sz w:val="24"/>
          <w:szCs w:val="24"/>
          <w:highlight w:val="none"/>
        </w:rPr>
        <w:t xml:space="preserve">代理服务费：</w:t>
      </w:r>
      <w:r>
        <w:rPr>
          <w:rFonts w:hint="eastAsia" w:ascii="宋体" w:hAnsi="宋体"/>
          <w:bCs/>
          <w:color w:val="ff0000"/>
          <w:sz w:val="24"/>
          <w:szCs w:val="24"/>
          <w:highlight w:val="none"/>
          <w:lang w:val="en-US" w:eastAsia="zh-CN"/>
        </w:rPr>
        <w:t xml:space="preserve">本项目代理费由采购人支付。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26" w:name="OLE_LINK16"/>
      <w:r/>
      <w:bookmarkStart w:id="27" w:name="_Hlk151557699"/>
      <w:r/>
      <w:bookmarkStart w:id="28"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29" w:name="OLE_LINK62"/>
      <w:r>
        <w:rPr>
          <w:rFonts w:hint="eastAsia" w:ascii="宋体" w:hAnsi="宋体"/>
          <w:b/>
          <w:color w:val="auto"/>
          <w:sz w:val="28"/>
          <w:szCs w:val="28"/>
          <w:highlight w:val="none"/>
          <w:lang w:val="zh-CN"/>
        </w:rPr>
        <w:t xml:space="preserve">投标文件的组成</w:t>
      </w:r>
      <w:bookmarkEnd w:id="26"/>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8.2投标人所须提供的相关证明文件和要求以及投标文件的部分格式要求，详见“第六章 投标文件内容与格式”。</w:t>
      </w:r>
      <w:bookmarkEnd w:id="27"/>
      <w:r/>
      <w:bookmarkEnd w:id="29"/>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0" w:name="_Toc19624"/>
      <w:r/>
      <w:bookmarkStart w:id="31" w:name="_Toc515647770"/>
      <w:r/>
      <w:bookmarkStart w:id="32" w:name="_Toc2248"/>
      <w:r/>
      <w:bookmarkStart w:id="33" w:name="_Toc23231"/>
      <w:r/>
      <w:bookmarkStart w:id="34" w:name="_Toc520356155"/>
      <w:r>
        <w:rPr>
          <w:rFonts w:hint="eastAsia" w:ascii="宋体" w:hAnsi="宋体"/>
          <w:b/>
          <w:color w:val="auto"/>
          <w:sz w:val="28"/>
          <w:szCs w:val="28"/>
          <w:highlight w:val="none"/>
          <w:lang w:val="zh-CN"/>
        </w:rPr>
        <w:t xml:space="preserve">投标报价</w:t>
      </w:r>
      <w:bookmarkEnd w:id="28"/>
      <w:r/>
      <w:bookmarkEnd w:id="30"/>
      <w:r/>
      <w:bookmarkEnd w:id="31"/>
      <w:r/>
      <w:bookmarkEnd w:id="32"/>
      <w:r/>
      <w:bookmarkEnd w:id="33"/>
      <w:r/>
      <w:bookmarkEnd w:id="3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.1所有投标均以人民币报价</w:t>
      </w:r>
      <w:bookmarkStart w:id="35" w:name="OLE_LINK204"/>
      <w:r>
        <w:rPr>
          <w:rFonts w:hint="eastAsia"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36"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37"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3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38"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eastAsia="zh-CN"/>
        </w:rPr>
        <w:t xml:space="preserve">大洲设计咨询集团有限公司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jc w:val="left"/>
        <w:spacing w:line="360" w:lineRule="auto"/>
        <w:rPr>
          <w:rFonts w:ascii="宋体" w:hAnsi="宋体"/>
          <w:b/>
          <w:color w:val="auto"/>
          <w:sz w:val="28"/>
          <w:szCs w:val="28"/>
          <w:highlight w:val="none"/>
          <w:lang w:val="zh-CN"/>
        </w:rPr>
      </w:pPr>
      <w:r/>
      <w:bookmarkStart w:id="39"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36"/>
      <w:r/>
      <w:bookmarkEnd w:id="38"/>
      <w:r/>
      <w:bookmarkEnd w:id="39"/>
      <w:r/>
      <w:bookmarkStart w:id="40" w:name="_Hlk151449127"/>
      <w:r/>
      <w:bookmarkStart w:id="41"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 xml:space="preserve">如</w:t>
      </w:r>
      <w:bookmarkStart w:id="43" w:name="OLE_LINK45"/>
      <w:r>
        <w:rPr>
          <w:rFonts w:hint="eastAsia" w:ascii="宋体" w:hAnsi="宋体"/>
          <w:bCs/>
          <w:color w:val="auto"/>
          <w:sz w:val="24"/>
          <w:szCs w:val="28"/>
          <w:highlight w:val="none"/>
        </w:rPr>
        <w:t xml:space="preserve">采购人、</w:t>
      </w:r>
      <w:bookmarkEnd w:id="43"/>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1"/>
      <w:r/>
      <w:bookmarkEnd w:id="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4" w:name="OLE_LINK260"/>
      <w:r>
        <w:rPr>
          <w:rFonts w:hint="eastAsia" w:ascii="宋体" w:hAnsi="宋体"/>
          <w:b/>
          <w:color w:val="auto"/>
          <w:sz w:val="28"/>
          <w:szCs w:val="28"/>
          <w:highlight w:val="none"/>
          <w:lang w:val="zh-CN"/>
        </w:rPr>
        <w:t xml:space="preserve">撤回</w:t>
      </w:r>
      <w:bookmarkEnd w:id="44"/>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投标人主动对其投标文件做任何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8" w:name="_Hlk160719794"/>
      <w:r>
        <w:rPr>
          <w:rFonts w:hint="eastAsia" w:ascii="宋体" w:hAnsi="宋体" w:cs="宋体"/>
          <w:bCs/>
          <w:color w:val="auto"/>
          <w:sz w:val="24"/>
          <w:szCs w:val="24"/>
          <w:highlight w:val="none"/>
        </w:rPr>
        <w:t xml:space="preserve">投标文件未按招标文件</w:t>
      </w:r>
      <w:bookmarkStart w:id="49" w:name="_Hlk160720909"/>
      <w:r>
        <w:rPr>
          <w:rFonts w:hint="eastAsia" w:ascii="宋体" w:hAnsi="宋体" w:cs="宋体"/>
          <w:bCs/>
          <w:color w:val="auto"/>
          <w:sz w:val="24"/>
          <w:szCs w:val="24"/>
          <w:highlight w:val="none"/>
        </w:rPr>
        <w:t xml:space="preserve">规定签署或盖章的；</w:t>
      </w:r>
      <w:bookmarkEnd w:id="48"/>
      <w:r/>
      <w:bookmarkEnd w:id="49"/>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0"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0"/>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1" w:name="OLE_LINK137"/>
      <w:r>
        <w:rPr>
          <w:rFonts w:hint="eastAsia" w:ascii="宋体" w:hAnsi="宋体" w:cs="宋体"/>
          <w:bCs/>
          <w:color w:val="auto"/>
          <w:sz w:val="24"/>
          <w:szCs w:val="24"/>
          <w:highlight w:val="none"/>
          <w:lang w:val="zh-CN"/>
        </w:rPr>
        <w:t xml:space="preserve">（含虚假承诺）</w:t>
      </w:r>
      <w:bookmarkEnd w:id="51"/>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2" w:name="_Hlk162444294"/>
      <w:r>
        <w:rPr>
          <w:rFonts w:hint="eastAsia" w:ascii="宋体" w:hAnsi="宋体" w:cs="宋体"/>
          <w:bCs/>
          <w:color w:val="auto"/>
          <w:sz w:val="24"/>
          <w:szCs w:val="24"/>
          <w:highlight w:val="none"/>
          <w:lang w:val="zh-CN"/>
        </w:rPr>
        <w:t xml:space="preserve">投标文件内容不全</w:t>
      </w:r>
      <w:bookmarkStart w:id="53"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2"/>
      <w:r/>
      <w:bookmarkEnd w:id="53"/>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4"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56"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5"/>
      <w:r/>
      <w:bookmarkStart w:id="57" w:name="OLE_LINK127"/>
      <w:r/>
      <w:bookmarkStart w:id="58" w:name="OLE_LINK63"/>
      <w:r/>
      <w:bookmarkStart w:id="5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5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5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9"/>
      <w:r/>
      <w:bookmarkEnd w:id="6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3"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3"/>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r/>
      <w:bookmarkEnd w:id="6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4" w:name="OLE_LINK18"/>
      <w:r>
        <w:rPr>
          <w:rFonts w:hint="eastAsia" w:ascii="宋体" w:hAnsi="宋体"/>
          <w:b/>
          <w:color w:val="auto"/>
          <w:sz w:val="28"/>
          <w:szCs w:val="28"/>
          <w:highlight w:val="none"/>
          <w:lang w:val="zh-CN"/>
        </w:rPr>
        <w:t xml:space="preserve">22、评标</w:t>
      </w:r>
      <w:bookmarkEnd w:id="6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5"/>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auto"/>
          <w:sz w:val="24"/>
          <w:highlight w:val="none"/>
        </w:rPr>
      </w:pPr>
      <w:r/>
      <w:bookmarkStart w:id="66"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66"/>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67" w:name="OLE_LINK129"/>
      <w:r/>
      <w:bookmarkStart w:id="68"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6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w:t>
      </w:r>
      <w:bookmarkStart w:id="69"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 xml:space="preserve">。</w:t>
      </w:r>
      <w:bookmarkEnd w:id="70"/>
      <w:r/>
      <w:bookmarkEnd w:id="7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2" w:name="OLE_LINK100"/>
      <w:r/>
      <w:bookmarkStart w:id="73"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4" w:name="_Hlk164153176"/>
      <w:r>
        <w:rPr>
          <w:rFonts w:hint="eastAsia" w:ascii="宋体" w:hAnsi="宋体"/>
          <w:bCs/>
          <w:color w:val="auto"/>
          <w:sz w:val="24"/>
          <w:szCs w:val="24"/>
          <w:highlight w:val="none"/>
          <w:lang w:val="zh-CN"/>
        </w:rPr>
        <w:t xml:space="preserve">31.2采购代理机构不负责向任何投标人解释评审情况。</w:t>
      </w:r>
      <w:bookmarkEnd w:id="74"/>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5" w:name="_Hlk131935115"/>
      <w:r/>
      <w:bookmarkStart w:id="76" w:name="OLE_LINK139"/>
      <w:r/>
      <w:bookmarkStart w:id="77"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5"/>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2"/>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765"/>
        <w:numPr>
          <w:ilvl w:val="0"/>
          <w:numId w:val="6"/>
        </w:numPr>
        <w:jc w:val="center"/>
        <w:spacing w:before="0" w:after="0" w:line="579" w:lineRule="auto"/>
        <w:rPr>
          <w:rFonts w:hint="eastAsia" w:ascii="黑体" w:hAnsi="黑体" w:eastAsia="黑体"/>
          <w:b w:val="0"/>
          <w:bCs w:val="0"/>
          <w:color w:val="auto"/>
          <w:sz w:val="36"/>
          <w:szCs w:val="36"/>
          <w:highlight w:val="none"/>
        </w:rPr>
      </w:pPr>
      <w:r>
        <w:rPr>
          <w:rFonts w:ascii="黑体" w:hAnsi="黑体" w:eastAsia="黑体"/>
          <w:color w:val="auto"/>
          <w:sz w:val="28"/>
          <w:highlight w:val="none"/>
        </w:rPr>
        <w:br w:type="page" w:clear="all"/>
      </w:r>
      <w:bookmarkStart w:id="83" w:name="_Hlk160614525"/>
      <w:r/>
      <w:bookmarkStart w:id="84" w:name="_Toc157174690"/>
      <w:r>
        <w:rPr>
          <w:rFonts w:hint="eastAsia" w:ascii="黑体" w:hAnsi="黑体" w:eastAsia="黑体"/>
          <w:b w:val="0"/>
          <w:bCs w:val="0"/>
          <w:color w:val="auto"/>
          <w:sz w:val="36"/>
          <w:szCs w:val="36"/>
          <w:highlight w:val="none"/>
        </w:rPr>
        <w:t xml:space="preserve">项目技术要求和有关说明</w:t>
      </w:r>
      <w:bookmarkEnd w:id="73"/>
      <w:r/>
      <w:bookmarkEnd w:id="83"/>
      <w:r/>
      <w:bookmarkEnd w:id="84"/>
      <w:r/>
      <w:bookmarkStart w:id="85" w:name="OLE_LINK104"/>
      <w:r/>
      <w:r/>
    </w:p>
    <w:p>
      <w:pPr>
        <w:pStyle w:val="765"/>
        <w:numPr>
          <w:ilvl w:val="0"/>
          <w:numId w:val="7"/>
        </w:numPr>
        <w:ind w:firstLine="482"/>
        <w:jc w:val="both"/>
        <w:spacing w:before="0" w:after="0" w:line="579"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 xml:space="preserve">项目概况</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本项目为丁蜀镇农村污水提升井日常运维服务项目，为提升污水处理系统收集处理效能，降低长期成本，稳固市政污水管网和地块污水管网改造成果，不断提升镇区整体排水系统的安全能级，现需对丁蜀镇13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只污水提升井日常运维进行采购，服务包括日常巡检维护、现场应急抢修作业、设备维修保养等工作。运维时具体要求如下，供应商为须提供满足以下要求的设备和服务，不得有负偏离。</w:t>
      </w:r>
      <w:r/>
    </w:p>
    <w:tbl>
      <w:tblPr>
        <w:tblStyle w:val="767"/>
        <w:tblW w:w="9075" w:type="dxa"/>
        <w:tblInd w:w="45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2"/>
        <w:gridCol w:w="5250"/>
        <w:gridCol w:w="2563"/>
      </w:tblGrid>
      <w:tr>
        <w:trPr>
          <w:trHeight w:val="720"/>
        </w:trPr>
        <w:tc>
          <w:tcPr>
            <w:gridSpan w:val="3"/>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丁蜀镇农村污水泵坑运维站点</w:t>
            </w:r>
            <w:r>
              <w:rPr>
                <w:rFonts w:hint="eastAsia" w:ascii="宋体" w:hAnsi="宋体" w:cs="宋体"/>
                <w:i w:val="0"/>
                <w:iCs w:val="0"/>
                <w:color w:val="000000"/>
                <w:sz w:val="28"/>
                <w:szCs w:val="28"/>
                <w:u w:val="none"/>
                <w:lang w:val="en-US" w:eastAsia="zh-CN" w:bidi="ar"/>
              </w:rPr>
              <w:t xml:space="preserve">统计表</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站点编号</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站点名称</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备注</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大中街-4</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大中街-5</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大中街-6</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万安小区-1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万安小区-2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南河浜-1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南河浜-2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南河浜-3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陈氏宗祠东南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东贤桥桥东</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东贤花园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潘家村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两台防洪排涝泵</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红星桥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纺织小区-1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两台防洪排涝泵及污水提升泵</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纺织小区-2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两台防洪排涝泵及污水提升泵</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紫砂宾馆</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蛇墩桥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紫藤新村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青龙山公园（南）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青龙山公园（北）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英伦尊邸</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黄龙桥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新城嘉苑-1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新城嘉苑-2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新城嘉苑-3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东方嘉园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便民中心</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丁山实验小学</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紫砂之源广场</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口袋公园-1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口袋公园-2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丁蜀镇化机厂</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红卫新村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西山菜场</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丁山大桥桥北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均陶幼儿园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任墅</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工化营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川查河查林大桥东南侧</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川查河查林大桥西南侧</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川埠幼儿园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川埠百家沟</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川埠中桥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川埠新桥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紫砂村景舟路</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木石桥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圩庄桥桥东</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圩庄桥桥西</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湖光东路南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湖光东路</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江家桥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南航弄</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南街-1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南街-2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南街-3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红阳桥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该点位为负压泵站，运维范围包含泵站、压力管、收集箱、沿河架管及相关附属配套系统</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东坡路</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东坡中学</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新安村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non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丁蜀高中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ff0000"/>
                <w:sz w:val="22"/>
                <w:szCs w:val="22"/>
                <w:u w:val="none"/>
                <w:lang w:val="en-US" w:eastAsia="zh-CN" w:bidi="ar"/>
              </w:rPr>
              <w:t xml:space="preserve">龙溪公园-1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龙溪公园-2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龙溪公园-3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陶丰园</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龙溪花苑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紫荆新村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紫荆东风苑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湖光小区</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37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周墅社区居民委员会</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32"/>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陶都中专东侧</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陶都中专</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天璐大酒店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两台防洪排涝泵</w:t>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金碧苑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红光桥桥南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民主路</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陶都中学门口</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汤渡（河北）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汤渡（河南）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旧柴渎桥桥西</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新柴渎桥桥北-1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新柴渎桥桥北-2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建新村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陈东港</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方钱村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大浦桥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大浦村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浦东新苑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大浦新村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浦南厚和-1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浦南厚和-2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浦南厚和-3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阅湖房车露营地</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太湖农业小镇-3</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太湖农业小镇-4</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太湖农业小镇-5</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太湖农业小镇-6</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太湖农业小镇-7</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太湖农业小镇-8</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太湖农业小镇-9</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庙塘埂-1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庙塘埂-2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河渎</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河渎桥西北</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林义渎-1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林义渎-2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水产上村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渭读村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朱渎</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洋岸</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双庙-1</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双庙-2</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镔润建设</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收费站边</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科源特种陶瓷</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环湖电器厂</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4"/>
                <w:szCs w:val="24"/>
                <w:u w:val="none"/>
                <w:lang w:val="en-US" w:eastAsia="zh-CN" w:bidi="ar"/>
              </w:rPr>
              <w:t xml:space="preserve">新威公寓A</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元帆村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国泰楼</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洑东中学</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洑东村村民委员会</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白泥村</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天成环保厂</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陶醉园民宿</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三洞桥</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沁和农庄东南侧农田</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t xml:space="preserve">大港田舍</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none" w:color="000000" w:sz="4" w:space="0"/>
            </w:tcBorders>
            <w:tcW w:w="1262" w:type="dxa"/>
            <w:vAlign w:val="center"/>
            <w:textDirection w:val="lrTb"/>
            <w:noWrap w:val="false"/>
          </w:tcPr>
          <w:p>
            <w:pPr>
              <w:jc w:val="center"/>
              <w:keepLines w:val="0"/>
              <w:keepNext w:val="0"/>
              <w:widowControl/>
              <w:rPr>
                <w:rFonts w:hint="default"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t xml:space="preserve">大港边湖</w:t>
            </w:r>
            <w:r/>
          </w:p>
        </w:tc>
        <w:tc>
          <w:tcPr>
            <w:tcBorders>
              <w:top w:val="single" w:color="000000" w:sz="4" w:space="0"/>
              <w:left w:val="single" w:color="000000" w:sz="4" w:space="0"/>
              <w:bottom w:val="single" w:color="000000" w:sz="4" w:space="0"/>
              <w:right w:val="single" w:color="000000" w:sz="4" w:space="0"/>
            </w:tcBorders>
            <w:tcW w:w="2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770"/>
      </w:pPr>
      <w:r/>
      <w:r/>
    </w:p>
    <w:p>
      <w:pPr>
        <w:numPr>
          <w:ilvl w:val="0"/>
          <w:numId w:val="0"/>
        </w:numPr>
        <w:rPr>
          <w:rFonts w:hint="eastAsia"/>
        </w:rPr>
      </w:pPr>
      <w:r>
        <w:rPr>
          <w:rFonts w:hint="eastAsia"/>
        </w:rPr>
      </w:r>
      <w:bookmarkEnd w:id="85"/>
      <w:r/>
    </w:p>
    <w:p>
      <w:pPr>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丁蜀镇提升井的日常巡检维护及现场应急抢修作业，确保设施完好，正常运行，工作内容如下：</w:t>
      </w:r>
      <w:r/>
    </w:p>
    <w:p>
      <w:pPr>
        <w:numPr>
          <w:ilvl w:val="0"/>
          <w:numId w:val="8"/>
        </w:numPr>
        <w:ind w:left="-6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配备专业人员以确保能够满足日常的检修任务的相关专业技术人员，对所有泵坑进行日常巡检，每天一次。配备专用设备，每个泵坑每周清理、疏通、</w:t>
      </w:r>
      <w:bookmarkStart w:id="86" w:name="OLE_LINK1"/>
      <w:r>
        <w:rPr>
          <w:rFonts w:hint="eastAsia" w:ascii="宋体" w:hAnsi="宋体" w:cs="宋体"/>
          <w:color w:val="auto"/>
          <w:sz w:val="24"/>
          <w:szCs w:val="24"/>
        </w:rPr>
        <w:t xml:space="preserve">吸污一次、格栅网片每周清捞一次</w:t>
      </w:r>
      <w:bookmarkEnd w:id="86"/>
      <w:r>
        <w:rPr>
          <w:rFonts w:hint="eastAsia" w:ascii="宋体" w:hAnsi="宋体" w:cs="宋体"/>
          <w:color w:val="auto"/>
          <w:sz w:val="24"/>
          <w:szCs w:val="24"/>
        </w:rPr>
        <w:t xml:space="preserve">。其中镇区的泵坑每三天清理、疏通、吸污一次、格栅网片每三天清捞一次。最低人员配置要求如下：</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37"/>
        <w:gridCol w:w="3047"/>
        <w:gridCol w:w="1935"/>
        <w:gridCol w:w="1935"/>
      </w:tblGrid>
      <w:tr>
        <w:trPr>
          <w:trHeight w:val="707"/>
        </w:trPr>
        <w:tc>
          <w:tcPr>
            <w:tcW w:w="923"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序号</w:t>
            </w:r>
            <w:r/>
          </w:p>
        </w:tc>
        <w:tc>
          <w:tcPr>
            <w:tcW w:w="1837" w:type="dxa"/>
            <w:vAlign w:val="center"/>
            <w:textDirection w:val="lrTb"/>
            <w:noWrap w:val="false"/>
          </w:tcPr>
          <w:p>
            <w:pPr>
              <w:pStyle w:val="770"/>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岗位</w:t>
            </w:r>
            <w:r/>
          </w:p>
        </w:tc>
        <w:tc>
          <w:tcPr>
            <w:tcW w:w="304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数量</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要求</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备注</w:t>
            </w:r>
            <w:r/>
          </w:p>
        </w:tc>
      </w:tr>
      <w:tr>
        <w:trPr>
          <w:trHeight w:val="707"/>
        </w:trPr>
        <w:tc>
          <w:tcPr>
            <w:tcW w:w="923"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837" w:type="dxa"/>
            <w:vAlign w:val="center"/>
            <w:textDirection w:val="lrTb"/>
            <w:noWrap w:val="false"/>
          </w:tcPr>
          <w:p>
            <w:pPr>
              <w:pStyle w:val="770"/>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项目负责人</w:t>
            </w:r>
            <w:r/>
          </w:p>
        </w:tc>
        <w:tc>
          <w:tcPr>
            <w:tcW w:w="304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r>
        <w:trPr>
          <w:trHeight w:val="707"/>
        </w:trPr>
        <w:tc>
          <w:tcPr>
            <w:tcW w:w="923"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c>
          <w:tcPr>
            <w:tcW w:w="1837" w:type="dxa"/>
            <w:vAlign w:val="center"/>
            <w:textDirection w:val="lrTb"/>
            <w:noWrap w:val="false"/>
          </w:tcPr>
          <w:p>
            <w:pPr>
              <w:pStyle w:val="770"/>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资料员</w:t>
            </w:r>
            <w:r/>
          </w:p>
        </w:tc>
        <w:tc>
          <w:tcPr>
            <w:tcW w:w="304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r>
        <w:trPr>
          <w:trHeight w:val="729"/>
        </w:trPr>
        <w:tc>
          <w:tcPr>
            <w:tcW w:w="923"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w:t>
            </w:r>
            <w:r/>
          </w:p>
        </w:tc>
        <w:tc>
          <w:tcPr>
            <w:tcW w:w="183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劳务员</w:t>
            </w:r>
            <w:r/>
          </w:p>
        </w:tc>
        <w:tc>
          <w:tcPr>
            <w:tcW w:w="304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r>
        <w:trPr>
          <w:trHeight w:val="737"/>
        </w:trPr>
        <w:tc>
          <w:tcPr>
            <w:tcW w:w="923"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w:t>
            </w:r>
            <w:r/>
          </w:p>
        </w:tc>
        <w:tc>
          <w:tcPr>
            <w:tcW w:w="183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安全员</w:t>
            </w:r>
            <w:r/>
          </w:p>
        </w:tc>
        <w:tc>
          <w:tcPr>
            <w:tcW w:w="3047"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专业安全员证书</w:t>
            </w:r>
            <w:r/>
          </w:p>
        </w:tc>
        <w:tc>
          <w:tcPr>
            <w:tcW w:w="1935" w:type="dxa"/>
            <w:vAlign w:val="center"/>
            <w:textDirection w:val="lrTb"/>
            <w:noWrap w:val="false"/>
          </w:tcPr>
          <w:p>
            <w:pPr>
              <w:pStyle w:val="77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bl>
    <w:p>
      <w:pPr>
        <w:pStyle w:val="770"/>
        <w:numPr>
          <w:ilvl w:val="0"/>
          <w:numId w:val="0"/>
        </w:numPr>
        <w:ind w:firstLine="482"/>
        <w:jc w:val="both"/>
        <w:spacing w:line="360" w:lineRule="auto"/>
        <w:rPr>
          <w:rFonts w:hint="eastAsia" w:ascii="宋体" w:hAnsi="宋体" w:eastAsia="宋体" w:cs="宋体"/>
          <w:b/>
          <w:bCs w:val="0"/>
          <w:color w:val="auto"/>
          <w:sz w:val="24"/>
          <w:szCs w:val="24"/>
          <w:u w:val="none"/>
          <w:lang w:val="en-US" w:eastAsia="zh-CN"/>
        </w:rPr>
      </w:pPr>
      <w:r>
        <w:rPr>
          <w:rFonts w:hint="eastAsia" w:ascii="宋体" w:hAnsi="宋体" w:eastAsia="宋体" w:cs="宋体"/>
          <w:b/>
          <w:bCs/>
          <w:color w:val="auto"/>
          <w:sz w:val="24"/>
          <w:szCs w:val="24"/>
          <w:lang w:val="en-US" w:eastAsia="zh-CN" w:bidi="ar-SA"/>
        </w:rPr>
        <w:t xml:space="preserve">注：以上人员供应商须提供相关人员证书及开标前六个月任意一个月社保证明</w:t>
      </w:r>
      <w:r>
        <w:rPr>
          <w:rFonts w:hint="eastAsia" w:ascii="宋体" w:hAnsi="宋体" w:eastAsia="宋体" w:cs="宋体"/>
          <w:b/>
          <w:bCs w:val="0"/>
          <w:color w:val="auto"/>
          <w:sz w:val="24"/>
          <w:szCs w:val="24"/>
          <w:u w:val="none"/>
          <w:lang w:val="en-US" w:eastAsia="zh-CN"/>
        </w:rPr>
        <w:t xml:space="preserve">，供应商若</w:t>
      </w:r>
      <w:r>
        <w:rPr>
          <w:rFonts w:hint="eastAsia" w:ascii="宋体" w:hAnsi="宋体" w:eastAsia="宋体" w:cs="宋体"/>
          <w:b/>
          <w:bCs w:val="0"/>
          <w:color w:val="auto"/>
          <w:sz w:val="24"/>
          <w:szCs w:val="24"/>
          <w:u w:val="none"/>
          <w:lang w:val="zh-CN"/>
        </w:rPr>
        <w:t xml:space="preserve">不满足</w:t>
      </w:r>
      <w:r>
        <w:rPr>
          <w:rFonts w:hint="eastAsia" w:ascii="宋体" w:hAnsi="宋体" w:eastAsia="宋体" w:cs="宋体"/>
          <w:b/>
          <w:bCs w:val="0"/>
          <w:color w:val="auto"/>
          <w:sz w:val="24"/>
          <w:szCs w:val="24"/>
          <w:u w:val="none"/>
          <w:lang w:val="en-US" w:eastAsia="zh-CN"/>
        </w:rPr>
        <w:t xml:space="preserve">磋商</w:t>
      </w:r>
      <w:r>
        <w:rPr>
          <w:rFonts w:hint="eastAsia" w:ascii="宋体" w:hAnsi="宋体" w:eastAsia="宋体" w:cs="宋体"/>
          <w:b/>
          <w:bCs w:val="0"/>
          <w:color w:val="auto"/>
          <w:sz w:val="24"/>
          <w:szCs w:val="24"/>
          <w:u w:val="none"/>
          <w:lang w:val="zh-CN"/>
        </w:rPr>
        <w:t xml:space="preserve">文件</w:t>
      </w:r>
      <w:r>
        <w:rPr>
          <w:rFonts w:hint="eastAsia" w:ascii="宋体" w:hAnsi="宋体" w:eastAsia="宋体" w:cs="宋体"/>
          <w:b/>
          <w:bCs w:val="0"/>
          <w:color w:val="auto"/>
          <w:sz w:val="24"/>
          <w:szCs w:val="24"/>
          <w:u w:val="none"/>
          <w:lang w:val="en-US" w:eastAsia="zh-CN"/>
        </w:rPr>
        <w:t xml:space="preserve">最低配置</w:t>
      </w:r>
      <w:r>
        <w:rPr>
          <w:rFonts w:hint="eastAsia" w:ascii="宋体" w:hAnsi="宋体" w:eastAsia="宋体" w:cs="宋体"/>
          <w:b/>
          <w:bCs w:val="0"/>
          <w:color w:val="auto"/>
          <w:sz w:val="24"/>
          <w:szCs w:val="24"/>
          <w:u w:val="none"/>
          <w:lang w:val="zh-CN"/>
        </w:rPr>
        <w:t xml:space="preserve">要求，须</w:t>
      </w:r>
      <w:r>
        <w:rPr>
          <w:rFonts w:hint="eastAsia" w:ascii="宋体" w:hAnsi="宋体" w:eastAsia="宋体" w:cs="宋体"/>
          <w:b/>
          <w:bCs w:val="0"/>
          <w:color w:val="auto"/>
          <w:sz w:val="24"/>
          <w:szCs w:val="24"/>
          <w:u w:val="none"/>
          <w:lang w:val="en-US" w:eastAsia="zh-CN"/>
        </w:rPr>
        <w:t xml:space="preserve">承诺</w:t>
      </w:r>
      <w:r>
        <w:rPr>
          <w:rFonts w:hint="eastAsia" w:ascii="宋体" w:hAnsi="宋体" w:eastAsia="宋体" w:cs="宋体"/>
          <w:b/>
          <w:bCs w:val="0"/>
          <w:color w:val="auto"/>
          <w:sz w:val="24"/>
          <w:szCs w:val="24"/>
        </w:rPr>
        <w:t xml:space="preserve">成交后7个工作日之内</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u w:val="none"/>
          <w:lang w:val="zh-CN"/>
        </w:rPr>
        <w:t xml:space="preserve">按招标文件要求</w:t>
      </w:r>
      <w:r>
        <w:rPr>
          <w:rFonts w:hint="eastAsia" w:ascii="宋体" w:hAnsi="宋体" w:eastAsia="宋体" w:cs="宋体"/>
          <w:b/>
          <w:bCs w:val="0"/>
          <w:color w:val="auto"/>
          <w:sz w:val="24"/>
          <w:szCs w:val="24"/>
          <w:u w:val="none"/>
          <w:lang w:val="en-US" w:eastAsia="zh-CN"/>
        </w:rPr>
        <w:t xml:space="preserve">配置到位。</w:t>
      </w:r>
      <w:r>
        <w:rPr>
          <w:rFonts w:hint="eastAsia" w:ascii="宋体" w:hAnsi="宋体" w:cs="宋体"/>
          <w:b/>
          <w:bCs w:val="0"/>
          <w:color w:val="auto"/>
          <w:sz w:val="24"/>
          <w:szCs w:val="24"/>
          <w:u w:val="none"/>
          <w:lang w:val="en-US" w:eastAsia="zh-CN"/>
        </w:rPr>
        <w:t xml:space="preserve">（须提供承诺书，格式自理）</w:t>
      </w:r>
      <w:r/>
    </w:p>
    <w:p>
      <w:pPr>
        <w:pStyle w:val="769"/>
        <w:numPr>
          <w:ilvl w:val="0"/>
          <w:numId w:val="8"/>
        </w:numPr>
        <w:ind w:left="-60"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配备专业机修班组对泵坑的水泵、浮球、现场控制箱、控制柜、闸阀、止回阀、伸缩节、格栅等每月保养一次，发现故障现场及时进行维修。每月底提交日常巡检保养工作报告，保证设施完好率100%。最低设备配置要求如下</w:t>
      </w:r>
      <w:r>
        <w:rPr>
          <w:rFonts w:hint="eastAsia" w:ascii="宋体" w:hAnsi="宋体" w:cs="宋体"/>
          <w:color w:val="auto"/>
          <w:sz w:val="24"/>
          <w:szCs w:val="24"/>
          <w:lang w:eastAsia="zh-CN"/>
        </w:rPr>
        <w:t xml:space="preserve">：</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2737"/>
        <w:gridCol w:w="1944"/>
        <w:gridCol w:w="1944"/>
        <w:gridCol w:w="1944"/>
      </w:tblGrid>
      <w:tr>
        <w:trPr>
          <w:trHeight w:val="671"/>
        </w:trPr>
        <w:tc>
          <w:tcPr>
            <w:tcW w:w="1149"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序号</w:t>
            </w:r>
            <w:r/>
          </w:p>
        </w:tc>
        <w:tc>
          <w:tcPr>
            <w:tcW w:w="2737"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设备名称</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数量</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单位</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备注</w:t>
            </w:r>
            <w:r/>
          </w:p>
        </w:tc>
      </w:tr>
      <w:tr>
        <w:trPr>
          <w:trHeight w:val="671"/>
        </w:trPr>
        <w:tc>
          <w:tcPr>
            <w:tcW w:w="1149"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2737"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吸污车</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辆</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r>
        <w:trPr>
          <w:trHeight w:val="671"/>
        </w:trPr>
        <w:tc>
          <w:tcPr>
            <w:tcW w:w="1149"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c>
          <w:tcPr>
            <w:tcW w:w="2737"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疏通车</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辆</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r>
        <w:trPr>
          <w:trHeight w:val="701"/>
        </w:trPr>
        <w:tc>
          <w:tcPr>
            <w:tcW w:w="1149"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w:t>
            </w:r>
            <w:r/>
          </w:p>
        </w:tc>
        <w:tc>
          <w:tcPr>
            <w:tcW w:w="2737"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CCTV检测机器人</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套</w:t>
            </w:r>
            <w:r/>
          </w:p>
        </w:tc>
        <w:tc>
          <w:tcPr>
            <w:tcW w:w="194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r>
    </w:tbl>
    <w:p>
      <w:pPr>
        <w:numPr>
          <w:ilvl w:val="0"/>
          <w:numId w:val="0"/>
        </w:numPr>
        <w:ind w:firstLine="482"/>
        <w:spacing w:line="360" w:lineRule="auto"/>
        <w:rPr>
          <w:rFonts w:hint="eastAsia" w:ascii="宋体" w:hAnsi="宋体" w:eastAsia="宋体" w:cs="宋体"/>
          <w:color w:val="auto"/>
          <w:lang w:val="en-US" w:eastAsia="zh-CN"/>
        </w:rPr>
      </w:pPr>
      <w:r>
        <w:rPr>
          <w:rFonts w:hint="eastAsia" w:ascii="宋体" w:hAnsi="宋体" w:eastAsia="宋体" w:cs="宋体"/>
          <w:b/>
          <w:bCs w:val="0"/>
          <w:color w:val="auto"/>
          <w:sz w:val="24"/>
          <w:szCs w:val="24"/>
          <w:u w:val="none"/>
          <w:lang w:val="en-US" w:eastAsia="zh-CN"/>
        </w:rPr>
        <w:t xml:space="preserve">注：以上硬件设备</w:t>
      </w:r>
      <w:r>
        <w:rPr>
          <w:rFonts w:hint="eastAsia" w:ascii="宋体" w:hAnsi="宋体" w:cs="宋体"/>
          <w:b/>
          <w:bCs w:val="0"/>
          <w:color w:val="auto"/>
          <w:sz w:val="24"/>
          <w:szCs w:val="24"/>
          <w:u w:val="none"/>
          <w:lang w:val="en-US" w:eastAsia="zh-CN"/>
        </w:rPr>
        <w:t xml:space="preserve">供应商</w:t>
      </w:r>
      <w:r>
        <w:rPr>
          <w:rFonts w:hint="eastAsia" w:ascii="宋体" w:hAnsi="宋体" w:eastAsia="宋体" w:cs="宋体"/>
          <w:b/>
          <w:bCs w:val="0"/>
          <w:color w:val="auto"/>
          <w:sz w:val="24"/>
          <w:szCs w:val="24"/>
          <w:u w:val="none"/>
          <w:lang w:val="en-US" w:eastAsia="zh-CN"/>
        </w:rPr>
        <w:t xml:space="preserve">须提供相关购置发票复印件或租赁协议</w:t>
      </w:r>
      <w:r>
        <w:rPr>
          <w:rFonts w:hint="eastAsia" w:ascii="宋体" w:hAnsi="宋体" w:cs="宋体"/>
          <w:b/>
          <w:bCs w:val="0"/>
          <w:color w:val="auto"/>
          <w:sz w:val="24"/>
          <w:szCs w:val="24"/>
          <w:u w:val="none"/>
          <w:lang w:val="en-US" w:eastAsia="zh-CN"/>
        </w:rPr>
        <w:t xml:space="preserve">于投标文件中</w:t>
      </w:r>
      <w:r>
        <w:rPr>
          <w:rFonts w:hint="eastAsia" w:ascii="宋体" w:hAnsi="宋体" w:eastAsia="宋体" w:cs="宋体"/>
          <w:b/>
          <w:bCs w:val="0"/>
          <w:color w:val="auto"/>
          <w:sz w:val="24"/>
          <w:szCs w:val="24"/>
          <w:u w:val="none"/>
          <w:lang w:val="en-US" w:eastAsia="zh-CN"/>
        </w:rPr>
        <w:t xml:space="preserve">，供应商若</w:t>
      </w:r>
      <w:r>
        <w:rPr>
          <w:rFonts w:hint="eastAsia" w:ascii="宋体" w:hAnsi="宋体" w:eastAsia="宋体" w:cs="宋体"/>
          <w:b/>
          <w:bCs w:val="0"/>
          <w:color w:val="auto"/>
          <w:sz w:val="24"/>
          <w:szCs w:val="24"/>
          <w:u w:val="none"/>
          <w:lang w:val="zh-CN"/>
        </w:rPr>
        <w:t xml:space="preserve">不满足</w:t>
      </w:r>
      <w:r>
        <w:rPr>
          <w:rFonts w:hint="eastAsia" w:ascii="宋体" w:hAnsi="宋体" w:cs="宋体"/>
          <w:b/>
          <w:bCs w:val="0"/>
          <w:color w:val="auto"/>
          <w:sz w:val="24"/>
          <w:szCs w:val="24"/>
          <w:u w:val="none"/>
          <w:lang w:val="en-US" w:eastAsia="zh-CN"/>
        </w:rPr>
        <w:t xml:space="preserve">采购</w:t>
      </w:r>
      <w:r>
        <w:rPr>
          <w:rFonts w:hint="eastAsia" w:ascii="宋体" w:hAnsi="宋体" w:eastAsia="宋体" w:cs="宋体"/>
          <w:b/>
          <w:bCs w:val="0"/>
          <w:color w:val="auto"/>
          <w:sz w:val="24"/>
          <w:szCs w:val="24"/>
          <w:u w:val="none"/>
          <w:lang w:val="zh-CN"/>
        </w:rPr>
        <w:t xml:space="preserve">文件</w:t>
      </w:r>
      <w:r>
        <w:rPr>
          <w:rFonts w:hint="eastAsia" w:ascii="宋体" w:hAnsi="宋体" w:eastAsia="宋体" w:cs="宋体"/>
          <w:b/>
          <w:bCs w:val="0"/>
          <w:color w:val="auto"/>
          <w:sz w:val="24"/>
          <w:szCs w:val="24"/>
          <w:u w:val="none"/>
          <w:lang w:val="en-US" w:eastAsia="zh-CN"/>
        </w:rPr>
        <w:t xml:space="preserve">最低配置</w:t>
      </w:r>
      <w:r>
        <w:rPr>
          <w:rFonts w:hint="eastAsia" w:ascii="宋体" w:hAnsi="宋体" w:eastAsia="宋体" w:cs="宋体"/>
          <w:b/>
          <w:bCs w:val="0"/>
          <w:color w:val="auto"/>
          <w:sz w:val="24"/>
          <w:szCs w:val="24"/>
          <w:u w:val="none"/>
          <w:lang w:val="zh-CN"/>
        </w:rPr>
        <w:t xml:space="preserve">要求，须</w:t>
      </w:r>
      <w:r>
        <w:rPr>
          <w:rFonts w:hint="eastAsia" w:ascii="宋体" w:hAnsi="宋体" w:eastAsia="宋体" w:cs="宋体"/>
          <w:b/>
          <w:bCs w:val="0"/>
          <w:color w:val="auto"/>
          <w:sz w:val="24"/>
          <w:szCs w:val="24"/>
          <w:u w:val="none"/>
          <w:lang w:val="en-US" w:eastAsia="zh-CN"/>
        </w:rPr>
        <w:t xml:space="preserve">承诺</w:t>
      </w:r>
      <w:r>
        <w:rPr>
          <w:rFonts w:hint="eastAsia" w:ascii="宋体" w:hAnsi="宋体" w:eastAsia="宋体" w:cs="宋体"/>
          <w:b/>
          <w:bCs w:val="0"/>
          <w:color w:val="auto"/>
          <w:sz w:val="24"/>
          <w:szCs w:val="24"/>
        </w:rPr>
        <w:t xml:space="preserve">成交后7个工作日之内</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u w:val="none"/>
          <w:lang w:val="zh-CN"/>
        </w:rPr>
        <w:t xml:space="preserve">按招标文件要求</w:t>
      </w:r>
      <w:r>
        <w:rPr>
          <w:rFonts w:hint="eastAsia" w:ascii="宋体" w:hAnsi="宋体" w:eastAsia="宋体" w:cs="宋体"/>
          <w:b/>
          <w:bCs w:val="0"/>
          <w:color w:val="auto"/>
          <w:sz w:val="24"/>
          <w:szCs w:val="24"/>
          <w:u w:val="none"/>
          <w:lang w:val="en-US" w:eastAsia="zh-CN"/>
        </w:rPr>
        <w:t xml:space="preserve">配置到位。</w:t>
      </w:r>
      <w:r>
        <w:rPr>
          <w:rFonts w:hint="eastAsia" w:ascii="宋体" w:hAnsi="宋体" w:cs="宋体"/>
          <w:b/>
          <w:bCs w:val="0"/>
          <w:color w:val="auto"/>
          <w:sz w:val="24"/>
          <w:szCs w:val="24"/>
          <w:u w:val="none"/>
          <w:lang w:val="en-US" w:eastAsia="zh-CN"/>
        </w:rPr>
        <w:t xml:space="preserve">（须提供承诺书，格式自理）</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3、对泵坑格栅、围栏</w:t>
      </w:r>
      <w:r>
        <w:rPr>
          <w:rFonts w:hint="eastAsia" w:ascii="宋体" w:hAnsi="宋体" w:eastAsia="宋体" w:cs="宋体"/>
          <w:color w:val="auto"/>
          <w:sz w:val="24"/>
          <w:szCs w:val="24"/>
          <w:highlight w:val="none"/>
          <w:lang w:val="en-US" w:eastAsia="zh-CN"/>
        </w:rPr>
        <w:t xml:space="preserve">、池体等建筑物设施维修。对出水压力管进行保养维护</w:t>
      </w:r>
      <w:r>
        <w:rPr>
          <w:rFonts w:hint="eastAsia" w:ascii="宋体" w:hAnsi="宋体" w:cs="宋体"/>
          <w:color w:val="auto"/>
          <w:sz w:val="24"/>
          <w:szCs w:val="24"/>
          <w:highlight w:val="none"/>
          <w:lang w:val="en-US" w:eastAsia="zh-CN"/>
        </w:rPr>
        <w:t xml:space="preserve">（压力管至消能井结束）</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4、水泵、阀门、控制柜、PLC</w:t>
      </w:r>
      <w:r>
        <w:rPr>
          <w:rFonts w:hint="eastAsia" w:ascii="宋体" w:hAnsi="宋体" w:cs="宋体"/>
          <w:color w:val="auto"/>
          <w:sz w:val="24"/>
          <w:szCs w:val="24"/>
          <w:highlight w:val="none"/>
          <w:lang w:val="en-US" w:eastAsia="zh-CN"/>
        </w:rPr>
        <w:t xml:space="preserve">、液位浮球、COD在线监测、阀门等所有泵站配套设施设备的</w:t>
      </w:r>
      <w:r>
        <w:rPr>
          <w:rFonts w:hint="eastAsia" w:ascii="宋体" w:hAnsi="宋体" w:eastAsia="宋体" w:cs="宋体"/>
          <w:color w:val="auto"/>
          <w:sz w:val="24"/>
          <w:szCs w:val="24"/>
          <w:highlight w:val="none"/>
          <w:lang w:val="en-US" w:eastAsia="zh-CN"/>
        </w:rPr>
        <w:t xml:space="preserve">更换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大修。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5、配备专业队伍做到24小时全天候响应各类设备的故障处置。出现问题，立即到达现场投入抢修作业，直至排除故障，设备正常运行。</w:t>
      </w:r>
      <w:r/>
    </w:p>
    <w:p>
      <w:pPr>
        <w:pStyle w:val="769"/>
        <w:ind w:firstLine="48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6、配合政府做好迎检工作，做好周围群众投诉处理。</w:t>
      </w:r>
      <w:r/>
    </w:p>
    <w:p>
      <w:pPr>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（一）成交供应商应严格按照规范及采购文件等相关要求组织运维养护。</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（二）成交供应商必须按不低于采购文件要求的材料质量、技术要求及标准供货、运维养护等。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（三）成交供应商运维养护过程中必须按时清理施工场地，垃圾必须清理离场，运维养护完成对施工场所全面打扫。</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（四）成交供应商在运维养护过程中做到项目负责人全程现场管理。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（五）成交供应商在项目实施中必须严格遵守相关的法规、规范和现场采购人的规定，督促现场运维养护人员规范操作，采取严格有力的安全防护措施，做好安全防护工作</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包括施工现场防护等</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，确保项目实施</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含途中交通</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的安全</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并接受采购人定期或不定期检查</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一切安全责任均由成交供应商自行承担。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（六）成交供应商必须遵守政府有关主管部门对施工噪音、环境保护和安全生产等的管理规定，如因成交供应商的原因，导致扰民投诉及相关部门罚款的，均由成交供应商负责处理，费用自理。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（七）成交人不得拒绝完成采购人在履约地点范围内变更或要求增加的服务内容。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（八）成交供应商必须保证本项目质量达到采购文件要求。</w:t>
      </w:r>
      <w:r/>
    </w:p>
    <w:p>
      <w:pPr>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四、服务标准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服务标准：符合采购人要求及国家相关标准。</w:t>
      </w:r>
      <w:r/>
    </w:p>
    <w:p>
      <w:pPr>
        <w:ind w:firstLine="480"/>
        <w:keepLines w:val="0"/>
        <w:keepNext w:val="0"/>
        <w:pageBreakBefore w:val="0"/>
        <w:spacing w:line="360" w:lineRule="auto"/>
        <w:widowControl w:val="off"/>
        <w:rPr>
          <w:rFonts w:hint="eastAsia" w:ascii="宋体" w:hAnsi="宋体" w:eastAsia="宋体" w:cs="宋体"/>
          <w:color w:val="auto"/>
          <w:highlight w:val="none"/>
          <w:lang w:val="en-US" w:eastAsia="zh-CN"/>
        </w:rPr>
        <w:sectPr>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考核标准：详见附件</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丁蜀镇泵坑运维季度考核表</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p>
    <w:tbl>
      <w:tblPr>
        <w:tblStyle w:val="767"/>
        <w:tblW w:w="5278" w:type="pct"/>
        <w:jc w:val="center"/>
        <w:tblLayout w:type="fixed"/>
        <w:tblCellMar>
          <w:left w:w="108" w:type="dxa"/>
          <w:top w:w="0" w:type="dxa"/>
          <w:right w:w="108" w:type="dxa"/>
          <w:bottom w:w="0" w:type="dxa"/>
        </w:tblCellMar>
        <w:tblLook w:val="04A0" w:firstRow="1" w:lastRow="0" w:firstColumn="1" w:lastColumn="0" w:noHBand="0" w:noVBand="1"/>
      </w:tblPr>
      <w:tblGrid>
        <w:gridCol w:w="2104"/>
        <w:gridCol w:w="658"/>
        <w:gridCol w:w="2313"/>
        <w:gridCol w:w="1062"/>
        <w:gridCol w:w="2686"/>
        <w:gridCol w:w="645"/>
        <w:gridCol w:w="561"/>
        <w:gridCol w:w="621"/>
      </w:tblGrid>
      <w:tr>
        <w:trPr>
          <w:jc w:val="center"/>
          <w:trHeight w:val="57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丁蜀镇泵坑运维季度考核表</w:t>
            </w:r>
            <w:r/>
          </w:p>
          <w:p>
            <w:pPr>
              <w:jc w:val="center"/>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24"/>
                <w:szCs w:val="24"/>
                <w:highlight w:val="none"/>
                <w:lang w:val="en-US" w:eastAsia="zh-CN"/>
              </w:rPr>
              <w:t xml:space="preserve">每月考核一次，每季度取该季度月平均值</w:t>
            </w:r>
            <w:r>
              <w:rPr>
                <w:rFonts w:hint="eastAsia" w:ascii="宋体" w:hAnsi="宋体" w:cs="宋体"/>
                <w:b/>
                <w:bCs/>
                <w:color w:val="auto"/>
                <w:sz w:val="32"/>
                <w:szCs w:val="32"/>
                <w:highlight w:val="none"/>
                <w:lang w:eastAsia="zh-CN"/>
              </w:rPr>
              <w:t xml:space="preserve">）</w:t>
            </w:r>
            <w:r/>
          </w:p>
        </w:tc>
      </w:tr>
      <w:tr>
        <w:trPr>
          <w:jc w:val="center"/>
          <w:trHeight w:val="19"/>
        </w:trPr>
        <w:tc>
          <w:tcPr>
            <w:gridSpan w:val="2"/>
            <w:tcBorders>
              <w:top w:val="single" w:color="auto" w:sz="4" w:space="0"/>
              <w:left w:val="single" w:color="auto" w:sz="4" w:space="0"/>
              <w:bottom w:val="single" w:color="auto" w:sz="4" w:space="0"/>
              <w:right w:val="single" w:color="auto" w:sz="4" w:space="0"/>
            </w:tcBorders>
            <w:tcW w:w="1296"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1085"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考核内容和要求</w:t>
            </w:r>
            <w:r/>
          </w:p>
        </w:tc>
        <w:tc>
          <w:tcPr>
            <w:tcBorders>
              <w:top w:val="single" w:color="auto"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1261"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考核评分标准</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w:t>
            </w:r>
            <w:r/>
          </w:p>
        </w:tc>
        <w:tc>
          <w:tcPr>
            <w:tcBorders>
              <w:top w:val="single" w:color="auto"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p>
        </w:tc>
        <w:tc>
          <w:tcPr>
            <w:tcBorders>
              <w:top w:val="single" w:color="auto"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19"/>
        </w:trPr>
        <w:tc>
          <w:tcPr>
            <w:tcBorders>
              <w:top w:val="none" w:color="000000" w:sz="4" w:space="0"/>
              <w:left w:val="single" w:color="auto" w:sz="4" w:space="0"/>
              <w:bottom w:val="single" w:color="auto" w:sz="4" w:space="0"/>
              <w:right w:val="single" w:color="auto" w:sz="4" w:space="0"/>
            </w:tcBorders>
            <w:tcW w:w="987" w:type="pct"/>
            <w:vAlign w:val="center"/>
            <w:vMerge w:val="restart"/>
            <w:textDirection w:val="lrTb"/>
            <w:noWrap/>
          </w:tcPr>
          <w:p>
            <w:pPr>
              <w:numPr>
                <w:ilvl w:val="0"/>
                <w:numId w:val="9"/>
              </w:num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组织架构</w:t>
            </w:r>
            <w:r/>
          </w:p>
          <w:p>
            <w:pPr>
              <w:numPr>
                <w:ilvl w:val="0"/>
                <w:numId w:val="0"/>
              </w:numPr>
              <w:ind w:firstLine="440"/>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组织机构</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组织机构分工合理、职责清晰。</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未配备现场负责人，发现一次扣</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该项考核分扣完后，每次罚款5000元</w:t>
            </w:r>
            <w:r>
              <w:rPr>
                <w:rFonts w:hint="eastAsia" w:ascii="宋体" w:hAnsi="宋体" w:cs="宋体"/>
                <w:color w:val="auto"/>
                <w:sz w:val="22"/>
                <w:szCs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9"/>
        </w:trPr>
        <w:tc>
          <w:tcPr>
            <w:tcBorders>
              <w:top w:val="none" w:color="000000"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人员配置</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配备专业人员，定期巡查清捞，排除故障</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val="false"/>
          </w:tcPr>
          <w:p>
            <w:pP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人员配备不足，发现一次扣</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该项考核分扣完后，每次罚款5000元</w:t>
            </w:r>
            <w:r>
              <w:rPr>
                <w:rFonts w:hint="eastAsia" w:ascii="宋体" w:hAnsi="宋体" w:cs="宋体"/>
                <w:color w:val="auto"/>
                <w:sz w:val="22"/>
                <w:szCs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036"/>
        </w:trPr>
        <w:tc>
          <w:tcPr>
            <w:tcBorders>
              <w:top w:val="none" w:color="000000" w:sz="4" w:space="0"/>
              <w:left w:val="single" w:color="auto" w:sz="4" w:space="0"/>
              <w:bottom w:val="none" w:color="000000" w:sz="4" w:space="0"/>
              <w:right w:val="single" w:color="auto" w:sz="4" w:space="0"/>
            </w:tcBorders>
            <w:tcW w:w="987"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二、维护作业要求（</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0分）</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设备完好率</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设备完好率需达到100%</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设备当日故障需当日维修恢复。每月不定期抽查，</w:t>
            </w:r>
            <w:r>
              <w:rPr>
                <w:rFonts w:hint="eastAsia" w:ascii="宋体" w:hAnsi="宋体" w:eastAsia="宋体" w:cs="宋体"/>
                <w:color w:val="auto"/>
                <w:sz w:val="22"/>
                <w:szCs w:val="22"/>
                <w:highlight w:val="none"/>
              </w:rPr>
              <w:t xml:space="preserve">发现一</w:t>
            </w:r>
            <w:r>
              <w:rPr>
                <w:rFonts w:hint="eastAsia" w:ascii="宋体" w:hAnsi="宋体" w:cs="宋体"/>
                <w:color w:val="auto"/>
                <w:sz w:val="22"/>
                <w:szCs w:val="22"/>
                <w:highlight w:val="none"/>
                <w:lang w:val="en-US" w:eastAsia="zh-CN"/>
              </w:rPr>
              <w:t xml:space="preserve">台故障</w:t>
            </w:r>
            <w:r>
              <w:rPr>
                <w:rFonts w:hint="eastAsia" w:ascii="宋体" w:hAnsi="宋体" w:eastAsia="宋体" w:cs="宋体"/>
                <w:color w:val="auto"/>
                <w:sz w:val="22"/>
                <w:szCs w:val="22"/>
                <w:highlight w:val="none"/>
              </w:rPr>
              <w:t xml:space="preserve">未维修扣</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分（委外维修或设备重置除外</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需提前上报备案</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如遇特殊情况设备无法当日维修，需当日上报维修计划，到期未完成，按一次扣分计算。该项考核分扣完后，抽查每超一台损坏罚款2000元</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010"/>
        </w:trPr>
        <w:tc>
          <w:tcPr>
            <w:tcBorders>
              <w:top w:val="none" w:color="000000" w:sz="4" w:space="0"/>
              <w:left w:val="single" w:color="auto" w:sz="4" w:space="0"/>
              <w:bottom w:val="none" w:color="000000" w:sz="4" w:space="0"/>
              <w:right w:val="single" w:color="auto" w:sz="4" w:space="0"/>
            </w:tcBorders>
            <w:tcW w:w="987" w:type="pct"/>
            <w:vAlign w:val="center"/>
            <w:vMerge w:val="continue"/>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default" w:ascii="宋体" w:hAnsi="宋体" w:eastAsia="宋体" w:cs="宋体"/>
                <w:color w:val="auto"/>
                <w:sz w:val="22"/>
                <w:szCs w:val="22"/>
                <w:highlight w:val="none"/>
                <w:lang w:val="en-US"/>
              </w:rPr>
            </w:pPr>
            <w:r>
              <w:rPr>
                <w:rFonts w:hint="eastAsia" w:ascii="宋体" w:hAnsi="宋体" w:cs="宋体"/>
                <w:color w:val="auto"/>
                <w:sz w:val="22"/>
                <w:szCs w:val="22"/>
                <w:highlight w:val="none"/>
                <w:lang w:val="en-US" w:eastAsia="zh-CN"/>
              </w:rPr>
              <w:t xml:space="preserve">设施设备清掏维护</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定期对所有泵坑进行垃圾清掏</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格栅、水泵等设施设备清理维护</w:t>
            </w:r>
            <w:r>
              <w:rPr>
                <w:rFonts w:hint="eastAsia" w:ascii="宋体" w:hAnsi="宋体" w:eastAsia="宋体" w:cs="宋体"/>
                <w:color w:val="auto"/>
                <w:sz w:val="22"/>
                <w:szCs w:val="22"/>
                <w:highlight w:val="none"/>
              </w:rPr>
              <w:t xml:space="preserve">，并将垃圾装袋运往指定地点</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随机抽查5处，随意乱扔垃圾，每次扣2分。</w:t>
            </w:r>
            <w:r>
              <w:rPr>
                <w:rFonts w:hint="eastAsia" w:ascii="宋体" w:hAnsi="宋体" w:cs="宋体"/>
                <w:color w:val="auto"/>
                <w:sz w:val="22"/>
                <w:szCs w:val="22"/>
                <w:highlight w:val="none"/>
                <w:lang w:val="en-US" w:eastAsia="zh-CN"/>
              </w:rPr>
              <w:t xml:space="preserve">设施设备未按照要求及时清掏、维护的一次扣5分。</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970"/>
        </w:trPr>
        <w:tc>
          <w:tcPr>
            <w:tcBorders>
              <w:top w:val="none" w:color="000000" w:sz="4" w:space="0"/>
              <w:left w:val="single" w:color="auto" w:sz="4" w:space="0"/>
              <w:bottom w:val="none" w:color="000000" w:sz="4" w:space="0"/>
              <w:right w:val="single" w:color="auto" w:sz="4" w:space="0"/>
            </w:tcBorders>
            <w:tcW w:w="987" w:type="pct"/>
            <w:vAlign w:val="center"/>
            <w:vMerge w:val="continue"/>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响应速度</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接到应急抢修电话，主要维修人员2小时内到达现场。</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超过规定时间一次扣</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该项考核分扣完后，每次罚款2000元</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三、安全文明作业（</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right w:val="single" w:color="auto" w:sz="4" w:space="0"/>
            </w:tcBorders>
            <w:tcW w:w="1085" w:type="pct"/>
            <w:vAlign w:val="center"/>
            <w:vMerge w:val="restar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维修作业人员上岗前必须接受必要的安全作业技能培训，掌握</w:t>
            </w:r>
            <w:r>
              <w:rPr>
                <w:rFonts w:hint="eastAsia" w:ascii="宋体" w:hAnsi="宋体" w:cs="宋体"/>
                <w:color w:val="auto"/>
                <w:sz w:val="22"/>
                <w:szCs w:val="22"/>
                <w:highlight w:val="none"/>
                <w:lang w:val="en-US" w:eastAsia="zh-CN"/>
              </w:rPr>
              <w:t xml:space="preserve">相关</w:t>
            </w:r>
            <w:r>
              <w:rPr>
                <w:rFonts w:hint="eastAsia" w:ascii="宋体" w:hAnsi="宋体" w:eastAsia="宋体" w:cs="宋体"/>
                <w:color w:val="auto"/>
                <w:sz w:val="22"/>
                <w:szCs w:val="22"/>
                <w:highlight w:val="none"/>
              </w:rPr>
              <w:t xml:space="preserve">作业设备的使用方法及相关作业的安全知识。</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每名维修作业人员应配备绝缘手套、绝缘靴等安全用具，按照规定做好劳保防护工作；严格按照操作规程作业。</w:t>
            </w:r>
            <w:r/>
          </w:p>
        </w:tc>
        <w:tc>
          <w:tcPr>
            <w:tcBorders>
              <w:top w:val="none" w:color="000000" w:sz="4" w:space="0"/>
              <w:left w:val="none" w:color="000000" w:sz="4" w:space="0"/>
              <w:right w:val="single" w:color="auto" w:sz="4" w:space="0"/>
            </w:tcBorders>
            <w:tcW w:w="498" w:type="pct"/>
            <w:vAlign w:val="center"/>
            <w:vMerge w:val="restart"/>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c>
          <w:tcPr>
            <w:tcBorders>
              <w:top w:val="none" w:color="000000" w:sz="4" w:space="0"/>
              <w:left w:val="none" w:color="000000" w:sz="4" w:space="0"/>
              <w:right w:val="single" w:color="auto" w:sz="4" w:space="0"/>
            </w:tcBorders>
            <w:tcW w:w="1261" w:type="pct"/>
            <w:vAlign w:val="center"/>
            <w:vMerge w:val="restart"/>
            <w:textDirection w:val="lrTb"/>
            <w:noWrap/>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未能配备安全作业工具或违规操作，发现一次扣1分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该项考核分扣完后，每次罚款1000元</w:t>
            </w:r>
            <w:r/>
          </w:p>
        </w:tc>
        <w:tc>
          <w:tcPr>
            <w:tcBorders>
              <w:top w:val="none" w:color="000000" w:sz="4" w:space="0"/>
              <w:left w:val="none" w:color="000000" w:sz="4" w:space="0"/>
              <w:right w:val="single" w:color="auto" w:sz="4" w:space="0"/>
            </w:tcBorders>
            <w:tcW w:w="302"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right w:val="single" w:color="auto" w:sz="4" w:space="0"/>
            </w:tcBorders>
            <w:tcW w:w="263"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right w:val="single" w:color="auto" w:sz="4" w:space="0"/>
            </w:tcBorders>
            <w:tcW w:w="291"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9"/>
        </w:trPr>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安全生产作业</w:t>
            </w:r>
            <w:r/>
          </w:p>
        </w:tc>
        <w:tc>
          <w:tcPr>
            <w:tcBorders>
              <w:left w:val="none" w:color="000000" w:sz="4" w:space="0"/>
              <w:bottom w:val="single" w:color="auto" w:sz="4" w:space="0"/>
              <w:right w:val="single" w:color="auto" w:sz="4" w:space="0"/>
            </w:tcBorders>
            <w:tcW w:w="1085"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none" w:color="000000" w:sz="4" w:space="0"/>
              <w:bottom w:val="single" w:color="auto" w:sz="4" w:space="0"/>
              <w:right w:val="single" w:color="auto" w:sz="4" w:space="0"/>
            </w:tcBorders>
            <w:tcW w:w="498"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none" w:color="000000" w:sz="4" w:space="0"/>
              <w:bottom w:val="single" w:color="auto" w:sz="4" w:space="0"/>
              <w:right w:val="single" w:color="auto" w:sz="4" w:space="0"/>
            </w:tcBorders>
            <w:tcW w:w="1261" w:type="pct"/>
            <w:vAlign w:val="center"/>
            <w:vMerge w:val="continue"/>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none" w:color="000000" w:sz="4" w:space="0"/>
              <w:bottom w:val="single" w:color="auto" w:sz="4" w:space="0"/>
              <w:right w:val="single" w:color="auto" w:sz="4" w:space="0"/>
            </w:tcBorders>
            <w:tcW w:w="302"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none" w:color="000000" w:sz="4" w:space="0"/>
              <w:bottom w:val="single" w:color="auto" w:sz="4" w:space="0"/>
              <w:right w:val="single" w:color="auto" w:sz="4" w:space="0"/>
            </w:tcBorders>
            <w:tcW w:w="263"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none" w:color="000000" w:sz="4" w:space="0"/>
              <w:bottom w:val="single" w:color="auto" w:sz="4" w:space="0"/>
              <w:right w:val="single" w:color="auto" w:sz="4" w:space="0"/>
            </w:tcBorders>
            <w:tcW w:w="291"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1786"/>
        </w:trPr>
        <w:tc>
          <w:tcPr>
            <w:tcBorders>
              <w:top w:val="none" w:color="000000" w:sz="4" w:space="0"/>
              <w:left w:val="single" w:color="auto" w:sz="4" w:space="0"/>
              <w:bottom w:val="single" w:color="auto" w:sz="4" w:space="0"/>
              <w:right w:val="single" w:color="auto" w:sz="4" w:space="0"/>
            </w:tcBorders>
            <w:tcW w:w="98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四、档案资料管理（5）</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台账</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记录日常保养</w:t>
            </w:r>
            <w:r>
              <w:rPr>
                <w:rFonts w:hint="eastAsia" w:ascii="宋体" w:hAnsi="宋体" w:cs="宋体"/>
                <w:color w:val="auto"/>
                <w:sz w:val="22"/>
                <w:szCs w:val="22"/>
                <w:highlight w:val="none"/>
                <w:lang w:eastAsia="zh-CN"/>
              </w:rPr>
              <w:t xml:space="preserve">检修</w:t>
            </w:r>
            <w:r>
              <w:rPr>
                <w:rFonts w:hint="eastAsia" w:ascii="宋体" w:hAnsi="宋体" w:eastAsia="宋体" w:cs="宋体"/>
                <w:color w:val="auto"/>
                <w:sz w:val="22"/>
                <w:szCs w:val="22"/>
                <w:highlight w:val="none"/>
              </w:rPr>
              <w:t xml:space="preserve">台账，记录易损易耗件使用地点与数量。</w:t>
            </w:r>
            <w:r>
              <w:rPr>
                <w:rFonts w:hint="eastAsia" w:ascii="宋体" w:hAnsi="宋体" w:cs="宋体"/>
                <w:color w:val="auto"/>
                <w:sz w:val="22"/>
                <w:szCs w:val="22"/>
                <w:highlight w:val="none"/>
                <w:lang w:val="en-US" w:eastAsia="zh-CN"/>
              </w:rPr>
              <w:t xml:space="preserve">当月运维手册及时装订成册送甲方存档。（运维档案包含水印照片、当日设备巡检情况等清晰记录）</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台账记录不清晰的一次扣2分，未记录台账的一次扣5分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无装订成册报送甲方，扣5分。该项考核分扣完后，每次罚2000元</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235"/>
        </w:trPr>
        <w:tc>
          <w:tcPr>
            <w:tcBorders>
              <w:top w:val="none" w:color="000000" w:sz="4" w:space="0"/>
              <w:left w:val="single" w:color="auto" w:sz="4" w:space="0"/>
              <w:bottom w:val="single" w:color="auto" w:sz="4" w:space="0"/>
              <w:right w:val="single" w:color="auto" w:sz="4" w:space="0"/>
            </w:tcBorders>
            <w:tcW w:w="98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五、配合镇政府工作（10）</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政府工作</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完成甲方临时指派的中心工作，如上级部门考核迎检等工作</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未完成，一次扣</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该项考核分扣完后，每次罚款5000元</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938"/>
        </w:trPr>
        <w:tc>
          <w:tcPr>
            <w:tcBorders>
              <w:top w:val="none" w:color="000000" w:sz="4" w:space="0"/>
              <w:left w:val="single" w:color="auto" w:sz="4" w:space="0"/>
              <w:bottom w:val="single" w:color="auto" w:sz="4" w:space="0"/>
              <w:right w:val="single" w:color="auto" w:sz="4" w:space="0"/>
            </w:tcBorders>
            <w:tcW w:w="98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总得分（100分）</w:t>
            </w:r>
            <w:r/>
          </w:p>
        </w:tc>
        <w:tc>
          <w:tcPr>
            <w:tcBorders>
              <w:top w:val="none" w:color="000000" w:sz="4" w:space="0"/>
              <w:left w:val="none" w:color="000000" w:sz="4" w:space="0"/>
              <w:bottom w:val="single" w:color="auto" w:sz="4" w:space="0"/>
              <w:right w:val="single" w:color="auto" w:sz="4" w:space="0"/>
            </w:tcBorders>
            <w:tcW w:w="30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498"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126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30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6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19"/>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2"/>
                <w:szCs w:val="22"/>
                <w:highlight w:val="none"/>
              </w:rPr>
              <w:t xml:space="preserve">备注：1、</w:t>
            </w:r>
            <w:r>
              <w:rPr>
                <w:rFonts w:hint="eastAsia" w:ascii="宋体" w:hAnsi="宋体" w:cs="宋体"/>
                <w:b/>
                <w:bCs/>
                <w:color w:val="auto"/>
                <w:sz w:val="22"/>
                <w:szCs w:val="22"/>
                <w:highlight w:val="none"/>
                <w:lang w:val="en-US" w:eastAsia="zh-CN"/>
              </w:rPr>
              <w:t xml:space="preserve">季度平均</w:t>
            </w:r>
            <w:r>
              <w:rPr>
                <w:rFonts w:hint="eastAsia" w:ascii="宋体" w:hAnsi="宋体" w:eastAsia="宋体" w:cs="宋体"/>
                <w:b/>
                <w:bCs/>
                <w:color w:val="auto"/>
                <w:sz w:val="22"/>
                <w:szCs w:val="22"/>
                <w:highlight w:val="none"/>
              </w:rPr>
              <w:t xml:space="preserve">考核得分≥90分全额计算本季度应付金额，低于90分</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除分项罚款外，</w:t>
            </w:r>
            <w:r>
              <w:rPr>
                <w:rFonts w:hint="eastAsia" w:ascii="宋体" w:hAnsi="宋体" w:eastAsia="宋体" w:cs="宋体"/>
                <w:b/>
                <w:bCs/>
                <w:color w:val="auto"/>
                <w:sz w:val="22"/>
                <w:szCs w:val="22"/>
                <w:highlight w:val="none"/>
              </w:rPr>
              <w:t xml:space="preserve">每扣1分</w:t>
            </w:r>
            <w:r>
              <w:rPr>
                <w:rFonts w:hint="eastAsia" w:ascii="宋体" w:hAnsi="宋体" w:cs="宋体"/>
                <w:b/>
                <w:bCs/>
                <w:color w:val="auto"/>
                <w:sz w:val="22"/>
                <w:szCs w:val="22"/>
                <w:highlight w:val="none"/>
                <w:lang w:val="en-US" w:eastAsia="zh-CN"/>
              </w:rPr>
              <w:t xml:space="preserve">另外</w:t>
            </w:r>
            <w:r>
              <w:rPr>
                <w:rFonts w:hint="eastAsia" w:ascii="宋体" w:hAnsi="宋体" w:eastAsia="宋体" w:cs="宋体"/>
                <w:b/>
                <w:bCs/>
                <w:color w:val="auto"/>
                <w:sz w:val="22"/>
                <w:szCs w:val="22"/>
                <w:highlight w:val="none"/>
              </w:rPr>
              <w:t xml:space="preserve">罚款</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000元；</w:t>
            </w:r>
            <w:r>
              <w:rPr>
                <w:rFonts w:hint="eastAsia" w:ascii="宋体" w:hAnsi="宋体" w:eastAsia="宋体" w:cs="宋体"/>
                <w:b/>
                <w:bCs/>
                <w:color w:val="auto"/>
                <w:sz w:val="22"/>
                <w:szCs w:val="22"/>
                <w:highlight w:val="none"/>
              </w:rPr>
              <w:br/>
            </w:r>
            <w:r>
              <w:rPr>
                <w:rFonts w:hint="eastAsia" w:ascii="宋体" w:hAnsi="宋体" w:eastAsia="宋体" w:cs="宋体"/>
                <w:b/>
                <w:bCs/>
                <w:color w:val="auto"/>
                <w:sz w:val="22"/>
                <w:szCs w:val="22"/>
                <w:highlight w:val="none"/>
              </w:rPr>
              <w:t xml:space="preserve">      2、发生重大事故或影响，则扣除该泵站当季运营费用。</w:t>
            </w:r>
            <w:r/>
          </w:p>
        </w:tc>
      </w:tr>
    </w:tbl>
    <w:p>
      <w:pPr>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五、商务要求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1、服务期限：</w:t>
      </w:r>
      <w:r>
        <w:rPr>
          <w:rFonts w:hint="eastAsia" w:ascii="宋体" w:hAnsi="宋体" w:cs="宋体"/>
          <w:b w:val="0"/>
          <w:bCs w:val="0"/>
          <w:color w:val="auto"/>
          <w:sz w:val="24"/>
          <w:szCs w:val="24"/>
          <w:highlight w:val="none"/>
          <w:lang w:val="en-US" w:eastAsia="zh-CN"/>
        </w:rPr>
        <w:t xml:space="preserve">合同签订</w:t>
      </w:r>
      <w:r>
        <w:rPr>
          <w:rFonts w:hint="eastAsia" w:ascii="宋体" w:hAnsi="宋体" w:eastAsia="宋体" w:cs="宋体"/>
          <w:b w:val="0"/>
          <w:bCs w:val="0"/>
          <w:color w:val="auto"/>
          <w:sz w:val="24"/>
          <w:szCs w:val="24"/>
          <w:highlight w:val="none"/>
          <w:lang w:eastAsia="zh-CN"/>
        </w:rPr>
        <w:t xml:space="preserve">之日起</w:t>
      </w:r>
      <w:r>
        <w:rPr>
          <w:rFonts w:hint="eastAsia" w:ascii="宋体" w:hAnsi="宋体" w:eastAsia="宋体" w:cs="宋体"/>
          <w:b w:val="0"/>
          <w:bCs w:val="0"/>
          <w:color w:val="auto"/>
          <w:sz w:val="24"/>
          <w:szCs w:val="24"/>
          <w:highlight w:val="none"/>
          <w:lang w:val="en-US" w:eastAsia="zh-CN"/>
        </w:rPr>
        <w:t xml:space="preserve">1年</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2、服务地点：</w:t>
      </w:r>
      <w:r>
        <w:rPr>
          <w:rFonts w:hint="eastAsia" w:ascii="宋体" w:hAnsi="宋体" w:eastAsia="宋体" w:cs="宋体"/>
          <w:b w:val="0"/>
          <w:bCs w:val="0"/>
          <w:color w:val="auto"/>
          <w:sz w:val="24"/>
          <w:szCs w:val="24"/>
          <w:highlight w:val="none"/>
          <w:lang w:val="en-US" w:eastAsia="zh-CN"/>
        </w:rPr>
        <w:t xml:space="preserve">采购人指定地点</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3、验收标准：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（1）采购人根据国家有关规定、</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lang w:eastAsia="zh-CN"/>
        </w:rPr>
        <w:t xml:space="preserve">文件、响应文件</w:t>
      </w:r>
      <w:r>
        <w:rPr>
          <w:rFonts w:hint="eastAsia" w:ascii="宋体" w:hAnsi="宋体" w:eastAsia="宋体" w:cs="宋体"/>
          <w:b w:val="0"/>
          <w:bCs w:val="0"/>
          <w:color w:val="auto"/>
          <w:sz w:val="24"/>
          <w:szCs w:val="24"/>
          <w:highlight w:val="none"/>
        </w:rPr>
        <w:t xml:space="preserve">以及合同约定的内容。</w:t>
      </w:r>
      <w:r/>
    </w:p>
    <w:p>
      <w:pPr>
        <w:ind w:firstLine="480"/>
        <w:keepLines w:val="0"/>
        <w:keepNext w:val="0"/>
        <w:pageBreakBefore w:val="0"/>
        <w:spacing w:line="360" w:lineRule="auto"/>
        <w:rPr>
          <w:b w:val="0"/>
          <w:bCs w:val="0"/>
          <w:sz w:val="24"/>
          <w:szCs w:val="24"/>
          <w:highlight w:val="none"/>
        </w:rPr>
      </w:pPr>
      <w:r>
        <w:rPr>
          <w:rFonts w:hint="eastAsia" w:ascii="宋体" w:hAnsi="宋体" w:eastAsia="宋体" w:cs="宋体"/>
          <w:b w:val="0"/>
          <w:bCs w:val="0"/>
          <w:color w:val="auto"/>
          <w:sz w:val="24"/>
          <w:szCs w:val="24"/>
          <w:highlight w:val="none"/>
        </w:rPr>
        <w:t xml:space="preserve">（2）</w:t>
      </w:r>
      <w:r>
        <w:rPr>
          <w:b w:val="0"/>
          <w:bCs w:val="0"/>
          <w:sz w:val="24"/>
          <w:szCs w:val="24"/>
          <w:highlight w:val="none"/>
        </w:rPr>
        <w:t xml:space="preserve">验收</w:t>
      </w:r>
      <w:r>
        <w:rPr>
          <w:rFonts w:hint="eastAsia" w:ascii="宋体" w:hAnsi="宋体" w:eastAsia="宋体" w:cs="宋体"/>
          <w:b w:val="0"/>
          <w:bCs w:val="0"/>
          <w:color w:val="auto"/>
          <w:sz w:val="24"/>
          <w:szCs w:val="24"/>
          <w:highlight w:val="none"/>
          <w:lang w:val="en-US" w:eastAsia="zh-CN"/>
        </w:rPr>
        <w:t xml:space="preserve">考核标准详见</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丁蜀镇泵坑运维季度考核表</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每季度考核得分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90分全额计算本季度应付金额，低于90分</w:t>
      </w:r>
      <w:r>
        <w:rPr>
          <w:rFonts w:hint="eastAsia" w:ascii="宋体" w:hAnsi="宋体" w:cs="宋体"/>
          <w:b w:val="0"/>
          <w:bCs w:val="0"/>
          <w:color w:val="auto"/>
          <w:sz w:val="24"/>
          <w:szCs w:val="24"/>
          <w:highlight w:val="none"/>
          <w:lang w:val="en-US" w:eastAsia="zh-CN"/>
        </w:rPr>
        <w:t xml:space="preserve">每</w:t>
      </w:r>
      <w:r>
        <w:rPr>
          <w:rFonts w:hint="eastAsia" w:ascii="宋体" w:hAnsi="宋体" w:eastAsia="宋体" w:cs="宋体"/>
          <w:b w:val="0"/>
          <w:bCs w:val="0"/>
          <w:color w:val="auto"/>
          <w:sz w:val="24"/>
          <w:szCs w:val="24"/>
          <w:highlight w:val="none"/>
          <w:lang w:val="en-US" w:eastAsia="zh-CN"/>
        </w:rPr>
        <w:t xml:space="preserve">扣1分罚款</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000元</w:t>
      </w:r>
      <w:r>
        <w:rPr>
          <w:b w:val="0"/>
          <w:bCs w:val="0"/>
          <w:sz w:val="24"/>
          <w:szCs w:val="24"/>
          <w:highlight w:val="none"/>
        </w:rPr>
        <w:t xml:space="preserve">。</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（3）发生重大事故或影响，则扣除该泵站当季运营费用</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（4）运维期间内，累计4次月度考核低于90分，甲方可提前终止合同。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4、付款步骤：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运维泵坑数量不足</w:t>
      </w:r>
      <w:r>
        <w:rPr>
          <w:rFonts w:hint="eastAsia" w:ascii="宋体" w:hAnsi="宋体" w:cs="宋体"/>
          <w:b w:val="0"/>
          <w:bCs w:val="0"/>
          <w:color w:val="auto"/>
          <w:sz w:val="24"/>
          <w:szCs w:val="24"/>
          <w:highlight w:val="none"/>
          <w:lang w:val="en-US" w:eastAsia="zh-CN"/>
        </w:rPr>
        <w:t xml:space="preserve">132</w:t>
      </w:r>
      <w:r>
        <w:rPr>
          <w:rFonts w:hint="eastAsia" w:ascii="宋体" w:hAnsi="宋体" w:eastAsia="宋体" w:cs="宋体"/>
          <w:b w:val="0"/>
          <w:bCs w:val="0"/>
          <w:color w:val="auto"/>
          <w:sz w:val="24"/>
          <w:szCs w:val="24"/>
          <w:highlight w:val="none"/>
          <w:lang w:val="en-US" w:eastAsia="zh-CN"/>
        </w:rPr>
        <w:t xml:space="preserve">座时，按实际运维数量结算；运维泵坑数量超过</w:t>
      </w:r>
      <w:r>
        <w:rPr>
          <w:rFonts w:hint="eastAsia" w:ascii="宋体" w:hAnsi="宋体" w:cs="宋体"/>
          <w:b w:val="0"/>
          <w:bCs w:val="0"/>
          <w:color w:val="auto"/>
          <w:sz w:val="24"/>
          <w:szCs w:val="24"/>
          <w:highlight w:val="none"/>
          <w:lang w:val="en-US" w:eastAsia="zh-CN"/>
        </w:rPr>
        <w:t xml:space="preserve">132</w:t>
      </w:r>
      <w:r>
        <w:rPr>
          <w:rFonts w:hint="eastAsia" w:ascii="宋体" w:hAnsi="宋体" w:eastAsia="宋体" w:cs="宋体"/>
          <w:b w:val="0"/>
          <w:bCs w:val="0"/>
          <w:color w:val="auto"/>
          <w:sz w:val="24"/>
          <w:szCs w:val="24"/>
          <w:highlight w:val="none"/>
          <w:lang w:val="en-US" w:eastAsia="zh-CN"/>
        </w:rPr>
        <w:t xml:space="preserve">座时，按</w:t>
      </w:r>
      <w:r>
        <w:rPr>
          <w:rFonts w:hint="eastAsia" w:ascii="宋体" w:hAnsi="宋体" w:cs="宋体"/>
          <w:b w:val="0"/>
          <w:bCs w:val="0"/>
          <w:color w:val="auto"/>
          <w:sz w:val="24"/>
          <w:szCs w:val="24"/>
          <w:highlight w:val="none"/>
          <w:lang w:val="en-US" w:eastAsia="zh-CN"/>
        </w:rPr>
        <w:t xml:space="preserve">132</w:t>
      </w:r>
      <w:r>
        <w:rPr>
          <w:rFonts w:hint="eastAsia" w:ascii="宋体" w:hAnsi="宋体" w:eastAsia="宋体" w:cs="宋体"/>
          <w:b w:val="0"/>
          <w:bCs w:val="0"/>
          <w:color w:val="auto"/>
          <w:sz w:val="24"/>
          <w:szCs w:val="24"/>
          <w:highlight w:val="none"/>
          <w:lang w:val="en-US" w:eastAsia="zh-CN"/>
        </w:rPr>
        <w:t xml:space="preserve">座泵坑结算。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（2）按季度付款，每季度支付本季度应付金额的70%，剩余部分待服务合同履行完毕后一次性支付。 </w:t>
      </w:r>
      <w:r/>
    </w:p>
    <w:p>
      <w:pPr>
        <w:ind w:firstLine="482"/>
        <w:keepLines w:val="0"/>
        <w:keepNext w:val="0"/>
        <w:pageBreakBefore w:val="0"/>
        <w:spacing w:before="156" w:after="156"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实质性要求</w:t>
      </w:r>
      <w:r/>
    </w:p>
    <w:p>
      <w:pPr>
        <w:ind w:firstLine="482"/>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highlight w:val="none"/>
        </w:rPr>
        <w:t xml:space="preserve">章</w:t>
      </w:r>
      <w:r>
        <w:rPr>
          <w:rFonts w:hint="eastAsia" w:ascii="宋体" w:hAnsi="宋体" w:eastAsia="宋体" w:cs="宋体"/>
          <w:b/>
          <w:bCs/>
          <w:color w:val="auto"/>
          <w:sz w:val="24"/>
          <w:szCs w:val="24"/>
          <w:highlight w:val="none"/>
        </w:rPr>
        <w:t xml:space="preserve">有关服务与商务条款的要求为基准要求，如供应商不能完全符合此基准要求，可高于此基准要求进行报价，采购人将不接受低于该基准要求（负偏离）的报价，供应商需</w:t>
      </w:r>
      <w:r>
        <w:rPr>
          <w:rFonts w:hint="eastAsia" w:ascii="宋体" w:hAnsi="宋体" w:eastAsia="宋体" w:cs="宋体"/>
          <w:b/>
          <w:bCs/>
          <w:color w:val="auto"/>
          <w:sz w:val="24"/>
          <w:szCs w:val="24"/>
        </w:rPr>
        <w:t xml:space="preserve">对此基</w:t>
      </w:r>
      <w:r>
        <w:rPr>
          <w:rFonts w:hint="eastAsia" w:ascii="宋体" w:hAnsi="宋体" w:eastAsia="宋体" w:cs="宋体"/>
          <w:b/>
          <w:bCs/>
          <w:color w:val="auto"/>
          <w:sz w:val="24"/>
        </w:rPr>
        <w:t xml:space="preserve">准要求作实质性响应。</w:t>
      </w:r>
      <w:r/>
    </w:p>
    <w:p>
      <w:pPr>
        <w:ind w:firstLine="480"/>
        <w:jc w:val="left"/>
        <w:spacing w:line="360" w:lineRule="auto"/>
        <w:rPr>
          <w:rFonts w:ascii="宋体" w:hAnsi="宋体"/>
          <w:color w:val="auto"/>
          <w:sz w:val="24"/>
          <w:highlight w:val="none"/>
        </w:rPr>
      </w:pPr>
      <w:r>
        <w:rPr>
          <w:rFonts w:ascii="宋体" w:hAnsi="宋体"/>
          <w:color w:val="auto"/>
          <w:sz w:val="24"/>
          <w:highlight w:val="none"/>
        </w:rPr>
      </w:r>
      <w:r/>
    </w:p>
    <w:p>
      <w:pPr>
        <w:jc w:val="center"/>
        <w:rPr>
          <w:rFonts w:ascii="黑体" w:hAnsi="黑体" w:eastAsia="黑体"/>
          <w:color w:val="auto"/>
          <w:sz w:val="36"/>
          <w:szCs w:val="36"/>
          <w:highlight w:val="none"/>
        </w:rPr>
        <w:outlineLvl w:val="0"/>
      </w:pPr>
      <w:r/>
      <w:bookmarkStart w:id="87" w:name="_Toc23355"/>
      <w:r>
        <w:rPr>
          <w:rFonts w:hint="eastAsia" w:ascii="黑体" w:hAnsi="黑体" w:eastAsia="黑体"/>
          <w:color w:val="auto"/>
          <w:sz w:val="28"/>
          <w:highlight w:val="none"/>
        </w:rPr>
        <w:br w:type="page" w:clear="all"/>
      </w:r>
      <w:bookmarkEnd w:id="87"/>
      <w:r/>
      <w:bookmarkStart w:id="88" w:name="_Toc157174691"/>
      <w:r/>
      <w:bookmarkStart w:id="89" w:name="_Toc2535"/>
      <w:r/>
      <w:bookmarkStart w:id="90" w:name="_Toc526779129"/>
      <w:r/>
      <w:bookmarkStart w:id="91" w:name="_Toc5576"/>
      <w:r/>
      <w:bookmarkStart w:id="92" w:name="_Toc487900374"/>
      <w:r>
        <w:rPr>
          <w:rFonts w:hint="eastAsia" w:ascii="黑体" w:hAnsi="黑体" w:eastAsia="黑体"/>
          <w:color w:val="auto"/>
          <w:sz w:val="36"/>
          <w:szCs w:val="36"/>
          <w:highlight w:val="none"/>
        </w:rPr>
        <w:t xml:space="preserve">第四章 评标方法和标准</w:t>
      </w:r>
      <w:bookmarkEnd w:id="88"/>
      <w:r/>
      <w:r/>
    </w:p>
    <w:p>
      <w:pPr>
        <w:pStyle w:val="780"/>
        <w:numPr>
          <w:ilvl w:val="0"/>
          <w:numId w:val="10"/>
        </w:numPr>
        <w:ind w:firstLine="0"/>
        <w:spacing w:line="500" w:lineRule="exact"/>
        <w:rPr>
          <w:rFonts w:cs="Arial"/>
          <w:b/>
          <w:color w:val="auto"/>
          <w:sz w:val="30"/>
          <w:szCs w:val="30"/>
          <w:highlight w:val="none"/>
        </w:rPr>
      </w:pPr>
      <w:r/>
      <w:bookmarkStart w:id="93" w:name="_Hlk160542436"/>
      <w:r>
        <w:rPr>
          <w:rFonts w:hint="eastAsia" w:cs="Arial"/>
          <w:b/>
          <w:color w:val="auto"/>
          <w:sz w:val="30"/>
          <w:szCs w:val="30"/>
          <w:highlight w:val="none"/>
        </w:rPr>
        <w:t xml:space="preserve"> 评标方法</w:t>
      </w:r>
      <w:r/>
    </w:p>
    <w:p>
      <w:pPr>
        <w:pStyle w:val="780"/>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780"/>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780"/>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70"/>
      </w:pPr>
      <w:r/>
      <w:r/>
    </w:p>
    <w:p>
      <w:pPr>
        <w:pStyle w:val="780"/>
        <w:numPr>
          <w:ilvl w:val="0"/>
          <w:numId w:val="10"/>
        </w:numPr>
        <w:ind w:firstLine="0"/>
        <w:jc w:val="center"/>
        <w:spacing w:line="500" w:lineRule="exact"/>
        <w:rPr>
          <w:rFonts w:cs="Arial"/>
          <w:b/>
          <w:color w:val="auto"/>
          <w:sz w:val="30"/>
          <w:szCs w:val="30"/>
          <w:highlight w:val="none"/>
        </w:rPr>
      </w:pPr>
      <w:r>
        <w:rPr>
          <w:rFonts w:hint="eastAsia" w:cs="Arial"/>
          <w:b/>
          <w:color w:val="auto"/>
          <w:sz w:val="30"/>
          <w:szCs w:val="30"/>
          <w:highlight w:val="none"/>
        </w:rPr>
        <w:t xml:space="preserve">评分标准</w:t>
      </w:r>
      <w:bookmarkEnd w:id="93"/>
      <w:r/>
    </w:p>
    <w:p>
      <w:pPr>
        <w:ind w:left="271"/>
        <w:spacing w:before="78" w:line="213" w:lineRule="auto"/>
        <w:rPr>
          <w:rFonts w:ascii="宋体" w:hAnsi="宋体" w:eastAsia="宋体" w:cs="宋体"/>
          <w:sz w:val="24"/>
          <w:szCs w:val="24"/>
        </w:rPr>
      </w:pPr>
      <w:r>
        <w:rPr>
          <w:rFonts w:ascii="宋体" w:hAnsi="宋体" w:eastAsia="宋体" w:cs="宋体"/>
          <w:spacing w:val="-4"/>
          <w:sz w:val="24"/>
          <w:szCs w:val="24"/>
        </w:rPr>
        <w:t xml:space="preserve">一、评分项目（总分</w:t>
      </w:r>
      <w:r>
        <w:rPr>
          <w:rFonts w:ascii="宋体" w:hAnsi="宋体" w:eastAsia="宋体" w:cs="宋体"/>
          <w:spacing w:val="-31"/>
          <w:sz w:val="24"/>
          <w:szCs w:val="24"/>
        </w:rPr>
        <w:t xml:space="preserve"> </w:t>
      </w:r>
      <w:r>
        <w:rPr>
          <w:rFonts w:ascii="宋体" w:hAnsi="宋体" w:eastAsia="宋体" w:cs="宋体"/>
          <w:spacing w:val="-4"/>
          <w:sz w:val="24"/>
          <w:szCs w:val="24"/>
        </w:rPr>
        <w:t xml:space="preserve">100</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p>
    <w:tbl>
      <w:tblPr>
        <w:tblStyle w:val="782"/>
        <w:tblW w:w="9826"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61"/>
        <w:gridCol w:w="6965"/>
      </w:tblGrid>
      <w:tr>
        <w:trPr>
          <w:trHeight w:val="627"/>
        </w:trPr>
        <w:tc>
          <w:tcPr>
            <w:tcW w:w="2861" w:type="dxa"/>
            <w:vAlign w:val="top"/>
            <w:textDirection w:val="lrTb"/>
            <w:noWrap w:val="false"/>
          </w:tcPr>
          <w:p>
            <w:pPr>
              <w:pStyle w:val="781"/>
              <w:ind w:left="718"/>
              <w:spacing w:before="193" w:line="219" w:lineRule="auto"/>
            </w:pPr>
            <w:r>
              <w:rPr>
                <w:spacing w:val="-2"/>
              </w:rPr>
              <w:t xml:space="preserve">技术商务部分</w:t>
            </w:r>
            <w:r/>
          </w:p>
        </w:tc>
        <w:tc>
          <w:tcPr>
            <w:tcW w:w="6965" w:type="dxa"/>
            <w:vAlign w:val="top"/>
            <w:textDirection w:val="lrTb"/>
            <w:noWrap w:val="false"/>
          </w:tcPr>
          <w:p>
            <w:pPr>
              <w:pStyle w:val="781"/>
              <w:ind w:left="3223"/>
              <w:spacing w:before="193" w:line="220" w:lineRule="auto"/>
            </w:pPr>
            <w:r>
              <w:rPr>
                <w:spacing w:val="-6"/>
              </w:rPr>
              <w:t xml:space="preserve">75</w:t>
            </w:r>
            <w:r>
              <w:rPr>
                <w:spacing w:val="-46"/>
              </w:rPr>
              <w:t xml:space="preserve"> </w:t>
            </w:r>
            <w:r>
              <w:rPr>
                <w:spacing w:val="-6"/>
              </w:rPr>
              <w:t xml:space="preserve">分</w:t>
            </w:r>
            <w:r/>
          </w:p>
        </w:tc>
      </w:tr>
      <w:tr>
        <w:trPr>
          <w:trHeight w:val="627"/>
        </w:trPr>
        <w:tc>
          <w:tcPr>
            <w:tcW w:w="2861" w:type="dxa"/>
            <w:vAlign w:val="top"/>
            <w:textDirection w:val="lrTb"/>
            <w:noWrap w:val="false"/>
          </w:tcPr>
          <w:p>
            <w:pPr>
              <w:pStyle w:val="781"/>
              <w:ind w:left="958"/>
              <w:spacing w:before="192" w:line="218" w:lineRule="auto"/>
            </w:pPr>
            <w:r>
              <w:rPr>
                <w:spacing w:val="-3"/>
              </w:rPr>
              <w:t xml:space="preserve">价格部分</w:t>
            </w:r>
            <w:r/>
          </w:p>
        </w:tc>
        <w:tc>
          <w:tcPr>
            <w:tcW w:w="6965" w:type="dxa"/>
            <w:vAlign w:val="top"/>
            <w:textDirection w:val="lrTb"/>
            <w:noWrap w:val="false"/>
          </w:tcPr>
          <w:p>
            <w:pPr>
              <w:pStyle w:val="781"/>
              <w:ind w:left="3220"/>
              <w:spacing w:before="192" w:line="220" w:lineRule="auto"/>
            </w:pPr>
            <w:r>
              <w:rPr>
                <w:spacing w:val="-5"/>
              </w:rPr>
              <w:t xml:space="preserve">25</w:t>
            </w:r>
            <w:r>
              <w:rPr>
                <w:spacing w:val="-46"/>
              </w:rPr>
              <w:t xml:space="preserve"> </w:t>
            </w:r>
            <w:r>
              <w:rPr>
                <w:spacing w:val="-5"/>
              </w:rPr>
              <w:t xml:space="preserve">分</w:t>
            </w:r>
            <w:r/>
          </w:p>
        </w:tc>
      </w:tr>
    </w:tbl>
    <w:p>
      <w:pPr>
        <w:pStyle w:val="769"/>
        <w:spacing w:line="268" w:lineRule="auto"/>
      </w:pPr>
      <w:r/>
      <w:r/>
    </w:p>
    <w:p>
      <w:pPr>
        <w:ind w:left="271"/>
        <w:spacing w:before="78" w:line="219" w:lineRule="auto"/>
        <w:rPr>
          <w:rFonts w:ascii="宋体" w:hAnsi="宋体" w:eastAsia="宋体" w:cs="宋体"/>
          <w:sz w:val="24"/>
          <w:szCs w:val="24"/>
        </w:rPr>
      </w:pPr>
      <w:r>
        <w:rPr>
          <w:rFonts w:ascii="宋体" w:hAnsi="宋体" w:eastAsia="宋体" w:cs="宋体"/>
          <w:spacing w:val="-2"/>
          <w:sz w:val="24"/>
          <w:szCs w:val="24"/>
        </w:rPr>
        <w:t xml:space="preserve">二、评审内容：</w:t>
      </w:r>
      <w:r/>
    </w:p>
    <w:p>
      <w:pPr>
        <w:ind w:left="284"/>
        <w:spacing w:before="26" w:line="211" w:lineRule="auto"/>
        <w:rPr>
          <w:rFonts w:ascii="宋体" w:hAnsi="宋体" w:eastAsia="宋体" w:cs="宋体"/>
          <w:sz w:val="24"/>
          <w:szCs w:val="24"/>
        </w:rPr>
      </w:pPr>
      <w:r>
        <w:rPr>
          <w:rFonts w:ascii="宋体" w:hAnsi="宋体" w:eastAsia="宋体" w:cs="宋体"/>
          <w:spacing w:val="-4"/>
          <w:sz w:val="24"/>
          <w:szCs w:val="24"/>
        </w:rPr>
        <w:t xml:space="preserve">1、技术商务部分</w:t>
      </w:r>
      <w:r/>
    </w:p>
    <w:tbl>
      <w:tblPr>
        <w:tblStyle w:val="782"/>
        <w:tblW w:w="9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3"/>
        <w:gridCol w:w="761"/>
        <w:gridCol w:w="1184"/>
        <w:gridCol w:w="794"/>
        <w:gridCol w:w="6205"/>
      </w:tblGrid>
      <w:tr>
        <w:trPr>
          <w:trHeight w:val="834"/>
        </w:trPr>
        <w:tc>
          <w:tcPr>
            <w:tcW w:w="923" w:type="dxa"/>
            <w:vAlign w:val="top"/>
            <w:textDirection w:val="lrTb"/>
            <w:noWrap w:val="false"/>
          </w:tcPr>
          <w:p>
            <w:pPr>
              <w:pStyle w:val="781"/>
              <w:ind w:left="227"/>
              <w:spacing w:before="131" w:line="220" w:lineRule="auto"/>
            </w:pPr>
            <w:r>
              <w:rPr>
                <w:spacing w:val="-5"/>
              </w:rPr>
              <w:t xml:space="preserve">评审</w:t>
            </w:r>
            <w:r/>
          </w:p>
          <w:p>
            <w:pPr>
              <w:pStyle w:val="781"/>
              <w:ind w:left="257"/>
              <w:spacing w:before="115" w:line="219" w:lineRule="auto"/>
            </w:pPr>
            <w:r>
              <w:rPr>
                <w:spacing w:val="-20"/>
              </w:rPr>
              <w:t xml:space="preserve">内容</w:t>
            </w:r>
            <w:r/>
          </w:p>
        </w:tc>
        <w:tc>
          <w:tcPr>
            <w:tcW w:w="761" w:type="dxa"/>
            <w:vAlign w:val="top"/>
            <w:textDirection w:val="lrTb"/>
            <w:noWrap w:val="false"/>
          </w:tcPr>
          <w:p>
            <w:pPr>
              <w:spacing w:line="252" w:lineRule="auto"/>
              <w:rPr>
                <w:rFonts w:ascii="Arial"/>
                <w:sz w:val="21"/>
              </w:rPr>
            </w:pPr>
            <w:r>
              <w:rPr>
                <w:rFonts w:ascii="Arial"/>
                <w:sz w:val="21"/>
              </w:rPr>
            </w:r>
            <w:r/>
          </w:p>
          <w:p>
            <w:pPr>
              <w:pStyle w:val="781"/>
              <w:ind w:left="144"/>
              <w:spacing w:before="78" w:line="221" w:lineRule="auto"/>
            </w:pPr>
            <w:r>
              <w:rPr>
                <w:spacing w:val="-5"/>
              </w:rPr>
              <w:t xml:space="preserve">序号</w:t>
            </w:r>
            <w:r/>
          </w:p>
        </w:tc>
        <w:tc>
          <w:tcPr>
            <w:tcW w:w="1184" w:type="dxa"/>
            <w:vAlign w:val="top"/>
            <w:textDirection w:val="lrTb"/>
            <w:noWrap w:val="false"/>
          </w:tcPr>
          <w:p>
            <w:pPr>
              <w:spacing w:line="253" w:lineRule="auto"/>
              <w:rPr>
                <w:rFonts w:ascii="Arial"/>
                <w:sz w:val="21"/>
              </w:rPr>
            </w:pPr>
            <w:r>
              <w:rPr>
                <w:rFonts w:ascii="Arial"/>
                <w:sz w:val="21"/>
              </w:rPr>
            </w:r>
            <w:r/>
          </w:p>
          <w:p>
            <w:pPr>
              <w:pStyle w:val="781"/>
              <w:ind w:left="115"/>
              <w:spacing w:before="78" w:line="220" w:lineRule="auto"/>
            </w:pPr>
            <w:r>
              <w:rPr>
                <w:spacing w:val="-3"/>
              </w:rPr>
              <w:t xml:space="preserve">评审项目</w:t>
            </w:r>
            <w:r/>
          </w:p>
        </w:tc>
        <w:tc>
          <w:tcPr>
            <w:tcW w:w="794" w:type="dxa"/>
            <w:vAlign w:val="top"/>
            <w:textDirection w:val="lrTb"/>
            <w:noWrap w:val="false"/>
          </w:tcPr>
          <w:p>
            <w:pPr>
              <w:spacing w:line="253" w:lineRule="auto"/>
              <w:rPr>
                <w:rFonts w:ascii="Arial"/>
                <w:sz w:val="21"/>
              </w:rPr>
            </w:pPr>
            <w:r>
              <w:rPr>
                <w:rFonts w:ascii="Arial"/>
                <w:sz w:val="21"/>
              </w:rPr>
            </w:r>
            <w:r/>
          </w:p>
          <w:p>
            <w:pPr>
              <w:pStyle w:val="781"/>
              <w:ind w:left="166"/>
              <w:spacing w:before="78" w:line="219" w:lineRule="auto"/>
            </w:pPr>
            <w:r>
              <w:rPr>
                <w:spacing w:val="-7"/>
              </w:rPr>
              <w:t xml:space="preserve">分值</w:t>
            </w:r>
            <w:r/>
          </w:p>
        </w:tc>
        <w:tc>
          <w:tcPr>
            <w:tcW w:w="6205" w:type="dxa"/>
            <w:vAlign w:val="top"/>
            <w:textDirection w:val="lrTb"/>
            <w:noWrap w:val="false"/>
          </w:tcPr>
          <w:p>
            <w:pPr>
              <w:spacing w:line="253" w:lineRule="auto"/>
              <w:rPr>
                <w:rFonts w:ascii="Arial"/>
                <w:sz w:val="21"/>
              </w:rPr>
            </w:pPr>
            <w:r>
              <w:rPr>
                <w:rFonts w:ascii="Arial"/>
                <w:sz w:val="21"/>
              </w:rPr>
            </w:r>
            <w:r/>
          </w:p>
          <w:p>
            <w:pPr>
              <w:pStyle w:val="781"/>
              <w:ind w:left="2628"/>
              <w:spacing w:before="78" w:line="220" w:lineRule="auto"/>
            </w:pPr>
            <w:r>
              <w:rPr>
                <w:spacing w:val="-3"/>
              </w:rPr>
              <w:t xml:space="preserve">评审细则</w:t>
            </w:r>
            <w:r/>
          </w:p>
        </w:tc>
      </w:tr>
      <w:tr>
        <w:trPr>
          <w:trHeight w:val="2004"/>
        </w:trPr>
        <w:tc>
          <w:tcPr>
            <w:tcBorders>
              <w:bottom w:val="none" w:color="000000" w:sz="4" w:space="0"/>
            </w:tcBorders>
            <w:tcW w:w="923" w:type="dxa"/>
            <w:vAlign w:val="top"/>
            <w:vMerge w:val="restart"/>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781"/>
              <w:ind w:left="230" w:right="218" w:hanging="1"/>
              <w:jc w:val="both"/>
              <w:spacing w:before="78" w:line="309" w:lineRule="auto"/>
            </w:pPr>
            <w:r>
              <w:rPr>
                <w:spacing w:val="-6"/>
              </w:rPr>
              <w:t xml:space="preserve">技术</w:t>
            </w:r>
            <w:r>
              <w:rPr>
                <w:spacing w:val="-7"/>
              </w:rPr>
              <w:t xml:space="preserve">部分</w:t>
            </w:r>
            <w:r>
              <w:rPr>
                <w:spacing w:val="-5"/>
              </w:rPr>
              <w:t xml:space="preserve">（50</w:t>
            </w:r>
            <w:r>
              <w:rPr>
                <w:spacing w:val="-7"/>
              </w:rPr>
              <w:t xml:space="preserve">分）</w:t>
            </w:r>
            <w:r/>
          </w:p>
        </w:tc>
        <w:tc>
          <w:tcPr>
            <w:tcW w:w="761" w:type="dxa"/>
            <w:vAlign w:val="top"/>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781"/>
              <w:ind w:left="343"/>
              <w:spacing w:before="78" w:line="241" w:lineRule="auto"/>
            </w:pPr>
            <w:r>
              <w:t xml:space="preserve">1</w:t>
            </w:r>
            <w:r/>
          </w:p>
        </w:tc>
        <w:tc>
          <w:tcPr>
            <w:tcW w:w="1184" w:type="dxa"/>
            <w:vAlign w:val="top"/>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781"/>
              <w:ind w:left="123"/>
              <w:spacing w:before="78" w:line="219" w:lineRule="auto"/>
            </w:pPr>
            <w:r>
              <w:rPr>
                <w:spacing w:val="-4"/>
              </w:rPr>
              <w:t xml:space="preserve">总体思路</w:t>
            </w:r>
            <w:r/>
          </w:p>
        </w:tc>
        <w:tc>
          <w:tcPr>
            <w:tcW w:w="794" w:type="dxa"/>
            <w:vAlign w:val="top"/>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781"/>
              <w:ind w:left="150"/>
              <w:spacing w:before="78" w:line="220" w:lineRule="auto"/>
            </w:pPr>
            <w:r>
              <w:rPr>
                <w:spacing w:val="-10"/>
              </w:rPr>
              <w:t xml:space="preserve">10</w:t>
            </w:r>
            <w:r>
              <w:rPr>
                <w:spacing w:val="-46"/>
              </w:rPr>
              <w:t xml:space="preserve"> </w:t>
            </w:r>
            <w:r>
              <w:rPr>
                <w:spacing w:val="-10"/>
              </w:rPr>
              <w:t xml:space="preserve">分</w:t>
            </w:r>
            <w:r/>
          </w:p>
        </w:tc>
        <w:tc>
          <w:tcPr>
            <w:tcW w:w="6205" w:type="dxa"/>
            <w:vAlign w:val="top"/>
            <w:textDirection w:val="lrTb"/>
            <w:noWrap w:val="false"/>
          </w:tcPr>
          <w:p>
            <w:pPr>
              <w:pStyle w:val="781"/>
              <w:ind w:left="116"/>
              <w:spacing w:before="114" w:line="219" w:lineRule="auto"/>
            </w:pPr>
            <w:r>
              <w:rPr>
                <w:spacing w:val="-1"/>
              </w:rPr>
              <w:t xml:space="preserve">针对本项目的理解，对整个项目有整体把握，施工方</w:t>
            </w:r>
            <w:r/>
          </w:p>
          <w:p>
            <w:pPr>
              <w:pStyle w:val="781"/>
              <w:ind w:left="115" w:right="153" w:firstLine="2"/>
              <w:spacing w:before="117" w:line="284" w:lineRule="auto"/>
            </w:pPr>
            <w:r>
              <w:rPr>
                <w:spacing w:val="-1"/>
              </w:rPr>
              <w:t xml:space="preserve">案、计划、技术方案规划全面、先进、科学、合理的为</w:t>
            </w:r>
            <w:r>
              <w:rPr>
                <w:spacing w:val="-2"/>
              </w:rPr>
              <w:t xml:space="preserve">优得</w:t>
            </w:r>
            <w:r>
              <w:rPr>
                <w:spacing w:val="-32"/>
              </w:rPr>
              <w:t xml:space="preserve"> </w:t>
            </w:r>
            <w:r>
              <w:rPr>
                <w:spacing w:val="-2"/>
              </w:rPr>
              <w:t xml:space="preserve">10</w:t>
            </w:r>
            <w:r>
              <w:rPr>
                <w:spacing w:val="-48"/>
              </w:rPr>
              <w:t xml:space="preserve"> </w:t>
            </w:r>
            <w:r>
              <w:rPr>
                <w:spacing w:val="-2"/>
              </w:rPr>
              <w:t xml:space="preserve">分；方案基本具体可以实施可行性较好的为良得7</w:t>
            </w:r>
            <w:r>
              <w:rPr>
                <w:spacing w:val="-41"/>
              </w:rPr>
              <w:t xml:space="preserve"> </w:t>
            </w:r>
            <w:r>
              <w:rPr>
                <w:spacing w:val="-2"/>
              </w:rPr>
              <w:t xml:space="preserve">分；方案不够详细不够具体可实施性较差的得</w:t>
            </w:r>
            <w:r>
              <w:rPr>
                <w:spacing w:val="-51"/>
              </w:rPr>
              <w:t xml:space="preserve"> </w:t>
            </w:r>
            <w:r>
              <w:rPr>
                <w:spacing w:val="-2"/>
              </w:rPr>
              <w:t xml:space="preserve">4</w:t>
            </w:r>
            <w:r>
              <w:rPr>
                <w:spacing w:val="-48"/>
              </w:rPr>
              <w:t xml:space="preserve"> </w:t>
            </w:r>
            <w:r>
              <w:rPr>
                <w:spacing w:val="-2"/>
              </w:rPr>
              <w:t xml:space="preserve">分。未提供的不得分。</w:t>
            </w:r>
            <w:r/>
          </w:p>
        </w:tc>
      </w:tr>
      <w:tr>
        <w:trPr>
          <w:trHeight w:val="1604"/>
        </w:trPr>
        <w:tc>
          <w:tcPr>
            <w:tcBorders>
              <w:top w:val="none" w:color="000000" w:sz="4" w:space="0"/>
              <w:bottom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317" w:lineRule="auto"/>
              <w:rPr>
                <w:rFonts w:ascii="Arial"/>
                <w:sz w:val="21"/>
              </w:rPr>
            </w:pPr>
            <w:r>
              <w:rPr>
                <w:rFonts w:ascii="Arial"/>
                <w:sz w:val="21"/>
              </w:rPr>
            </w:r>
            <w:r/>
          </w:p>
          <w:p>
            <w:pPr>
              <w:spacing w:line="318" w:lineRule="auto"/>
              <w:rPr>
                <w:rFonts w:ascii="Arial"/>
                <w:sz w:val="21"/>
              </w:rPr>
            </w:pPr>
            <w:r>
              <w:rPr>
                <w:rFonts w:ascii="Arial"/>
                <w:sz w:val="21"/>
              </w:rPr>
            </w:r>
            <w:r/>
          </w:p>
          <w:p>
            <w:pPr>
              <w:pStyle w:val="781"/>
              <w:ind w:left="328"/>
              <w:spacing w:before="78" w:line="241" w:lineRule="auto"/>
            </w:pPr>
            <w:r>
              <w:t xml:space="preserve">2</w:t>
            </w:r>
            <w:r/>
          </w:p>
        </w:tc>
        <w:tc>
          <w:tcPr>
            <w:tcW w:w="1184"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pStyle w:val="781"/>
              <w:ind w:left="116"/>
              <w:spacing w:before="78" w:line="219" w:lineRule="auto"/>
            </w:pPr>
            <w:r>
              <w:rPr>
                <w:spacing w:val="-3"/>
              </w:rPr>
              <w:t xml:space="preserve">服务方案</w:t>
            </w:r>
            <w:r/>
          </w:p>
        </w:tc>
        <w:tc>
          <w:tcPr>
            <w:tcW w:w="794" w:type="dxa"/>
            <w:vAlign w:val="top"/>
            <w:textDirection w:val="lrTb"/>
            <w:noWrap w:val="false"/>
          </w:tcPr>
          <w:p>
            <w:pPr>
              <w:spacing w:line="317" w:lineRule="auto"/>
              <w:rPr>
                <w:rFonts w:ascii="Arial"/>
                <w:sz w:val="21"/>
              </w:rPr>
            </w:pPr>
            <w:r>
              <w:rPr>
                <w:rFonts w:ascii="Arial"/>
                <w:sz w:val="21"/>
              </w:rPr>
            </w:r>
            <w:r/>
          </w:p>
          <w:p>
            <w:pPr>
              <w:spacing w:line="318" w:lineRule="auto"/>
              <w:rPr>
                <w:rFonts w:ascii="Arial"/>
                <w:sz w:val="21"/>
              </w:rPr>
            </w:pPr>
            <w:r>
              <w:rPr>
                <w:rFonts w:ascii="Arial"/>
                <w:sz w:val="21"/>
              </w:rPr>
            </w:r>
            <w:r/>
          </w:p>
          <w:p>
            <w:pPr>
              <w:pStyle w:val="781"/>
              <w:ind w:left="150"/>
              <w:spacing w:before="78" w:line="220" w:lineRule="auto"/>
            </w:pPr>
            <w:r>
              <w:rPr>
                <w:spacing w:val="-10"/>
              </w:rPr>
              <w:t xml:space="preserve">10</w:t>
            </w:r>
            <w:r>
              <w:rPr>
                <w:spacing w:val="-46"/>
              </w:rPr>
              <w:t xml:space="preserve"> </w:t>
            </w:r>
            <w:r>
              <w:rPr>
                <w:spacing w:val="-10"/>
              </w:rPr>
              <w:t xml:space="preserve">分</w:t>
            </w:r>
            <w:r/>
          </w:p>
        </w:tc>
        <w:tc>
          <w:tcPr>
            <w:tcW w:w="6205" w:type="dxa"/>
            <w:vAlign w:val="top"/>
            <w:textDirection w:val="lrTb"/>
            <w:noWrap w:val="false"/>
          </w:tcPr>
          <w:p>
            <w:pPr>
              <w:pStyle w:val="781"/>
              <w:ind w:left="116" w:right="213"/>
              <w:spacing w:before="116" w:line="308" w:lineRule="auto"/>
            </w:pPr>
            <w:r>
              <w:rPr>
                <w:spacing w:val="-1"/>
              </w:rPr>
              <w:t xml:space="preserve">服务总体方案的针对性强、非常合理、非常科学得服务</w:t>
            </w:r>
            <w:r>
              <w:rPr>
                <w:spacing w:val="-2"/>
              </w:rPr>
              <w:t xml:space="preserve">方案</w:t>
            </w:r>
            <w:r>
              <w:rPr>
                <w:spacing w:val="-33"/>
              </w:rPr>
              <w:t xml:space="preserve"> </w:t>
            </w:r>
            <w:r>
              <w:rPr>
                <w:spacing w:val="-2"/>
              </w:rPr>
              <w:t xml:space="preserve">10</w:t>
            </w:r>
            <w:r>
              <w:rPr>
                <w:spacing w:val="-48"/>
              </w:rPr>
              <w:t xml:space="preserve"> </w:t>
            </w:r>
            <w:r>
              <w:rPr>
                <w:spacing w:val="-2"/>
              </w:rPr>
              <w:t xml:space="preserve">分；服务总体方案的针对性一般、基本合理、基本科学得</w:t>
            </w:r>
            <w:r>
              <w:rPr>
                <w:spacing w:val="-38"/>
              </w:rPr>
              <w:t xml:space="preserve"> </w:t>
            </w:r>
            <w:r>
              <w:rPr>
                <w:spacing w:val="-2"/>
              </w:rPr>
              <w:t xml:space="preserve">7</w:t>
            </w:r>
            <w:r>
              <w:rPr>
                <w:spacing w:val="-48"/>
              </w:rPr>
              <w:t xml:space="preserve"> </w:t>
            </w:r>
            <w:r>
              <w:rPr>
                <w:spacing w:val="-2"/>
              </w:rPr>
              <w:t xml:space="preserve">分；服务总体方案的针对性不够、不够合</w:t>
            </w:r>
            <w:r/>
          </w:p>
          <w:p>
            <w:pPr>
              <w:pStyle w:val="781"/>
              <w:ind w:left="119"/>
              <w:spacing w:line="212" w:lineRule="auto"/>
            </w:pPr>
            <w:r>
              <w:rPr>
                <w:spacing w:val="-3"/>
              </w:rPr>
              <w:t xml:space="preserve">理、不够科学得</w:t>
            </w:r>
            <w:r>
              <w:rPr>
                <w:spacing w:val="-38"/>
              </w:rPr>
              <w:t xml:space="preserve"> </w:t>
            </w:r>
            <w:r>
              <w:rPr>
                <w:spacing w:val="-3"/>
              </w:rPr>
              <w:t xml:space="preserve">4</w:t>
            </w:r>
            <w:r>
              <w:rPr>
                <w:spacing w:val="-48"/>
              </w:rPr>
              <w:t xml:space="preserve"> </w:t>
            </w:r>
            <w:r>
              <w:rPr>
                <w:spacing w:val="-3"/>
              </w:rPr>
              <w:t xml:space="preserve">分；无则不得分。</w:t>
            </w:r>
            <w:r/>
          </w:p>
        </w:tc>
      </w:tr>
      <w:tr>
        <w:trPr>
          <w:trHeight w:val="1604"/>
        </w:trPr>
        <w:tc>
          <w:tcPr>
            <w:tcBorders>
              <w:top w:val="none" w:color="000000" w:sz="4" w:space="0"/>
              <w:bottom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pStyle w:val="781"/>
              <w:ind w:left="330"/>
              <w:spacing w:before="78"/>
            </w:pPr>
            <w:r>
              <w:t xml:space="preserve">3</w:t>
            </w:r>
            <w:r/>
          </w:p>
        </w:tc>
        <w:tc>
          <w:tcPr>
            <w:tcW w:w="1184" w:type="dxa"/>
            <w:vAlign w:val="top"/>
            <w:textDirection w:val="lrTb"/>
            <w:noWrap w:val="false"/>
          </w:tcPr>
          <w:p>
            <w:pPr>
              <w:spacing w:line="436" w:lineRule="auto"/>
              <w:rPr>
                <w:rFonts w:ascii="Arial"/>
                <w:sz w:val="21"/>
              </w:rPr>
            </w:pPr>
            <w:r>
              <w:rPr>
                <w:rFonts w:ascii="Arial"/>
                <w:sz w:val="21"/>
              </w:rPr>
            </w:r>
            <w:r/>
          </w:p>
          <w:p>
            <w:pPr>
              <w:pStyle w:val="781"/>
              <w:ind w:left="116" w:right="111"/>
              <w:spacing w:before="78" w:line="311" w:lineRule="auto"/>
            </w:pPr>
            <w:r>
              <w:rPr>
                <w:spacing w:val="-3"/>
              </w:rPr>
              <w:t xml:space="preserve">质量保证措施方案</w:t>
            </w:r>
            <w:r/>
          </w:p>
        </w:tc>
        <w:tc>
          <w:tcPr>
            <w:tcW w:w="794" w:type="dxa"/>
            <w:vAlign w:val="top"/>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pStyle w:val="781"/>
              <w:ind w:left="150"/>
              <w:spacing w:before="78" w:line="220" w:lineRule="auto"/>
            </w:pPr>
            <w:r>
              <w:rPr>
                <w:spacing w:val="-10"/>
              </w:rPr>
              <w:t xml:space="preserve">10</w:t>
            </w:r>
            <w:r>
              <w:rPr>
                <w:spacing w:val="-46"/>
              </w:rPr>
              <w:t xml:space="preserve"> </w:t>
            </w:r>
            <w:r>
              <w:rPr>
                <w:spacing w:val="-10"/>
              </w:rPr>
              <w:t xml:space="preserve">分</w:t>
            </w:r>
            <w:r/>
          </w:p>
        </w:tc>
        <w:tc>
          <w:tcPr>
            <w:tcW w:w="6205" w:type="dxa"/>
            <w:vAlign w:val="top"/>
            <w:textDirection w:val="lrTb"/>
            <w:noWrap w:val="false"/>
          </w:tcPr>
          <w:p>
            <w:pPr>
              <w:pStyle w:val="781"/>
              <w:ind w:left="115" w:right="333" w:firstLine="1"/>
              <w:jc w:val="both"/>
              <w:spacing w:before="117" w:line="284" w:lineRule="auto"/>
            </w:pPr>
            <w:r>
              <w:rPr>
                <w:spacing w:val="-1"/>
              </w:rPr>
              <w:t xml:space="preserve">质量保证措施的针对性强、非常合理、非常科学得质量</w:t>
            </w:r>
            <w:r>
              <w:rPr>
                <w:spacing w:val="-2"/>
              </w:rPr>
              <w:t xml:space="preserve">保证措施</w:t>
            </w:r>
            <w:r>
              <w:rPr>
                <w:spacing w:val="-33"/>
              </w:rPr>
              <w:t xml:space="preserve"> </w:t>
            </w:r>
            <w:r>
              <w:rPr>
                <w:spacing w:val="-2"/>
              </w:rPr>
              <w:t xml:space="preserve">10</w:t>
            </w:r>
            <w:r>
              <w:rPr>
                <w:spacing w:val="-48"/>
              </w:rPr>
              <w:t xml:space="preserve"> </w:t>
            </w:r>
            <w:r>
              <w:rPr>
                <w:spacing w:val="-2"/>
              </w:rPr>
              <w:t xml:space="preserve">分；质量保证措施的针对性一般、基本合理、基本科学得</w:t>
            </w:r>
            <w:r>
              <w:rPr>
                <w:spacing w:val="-34"/>
              </w:rPr>
              <w:t xml:space="preserve"> </w:t>
            </w:r>
            <w:r>
              <w:rPr>
                <w:spacing w:val="-2"/>
              </w:rPr>
              <w:t xml:space="preserve">7</w:t>
            </w:r>
            <w:r>
              <w:rPr>
                <w:spacing w:val="-48"/>
              </w:rPr>
              <w:t xml:space="preserve"> </w:t>
            </w:r>
            <w:r>
              <w:rPr>
                <w:spacing w:val="-2"/>
              </w:rPr>
              <w:t xml:space="preserve">分；质量保证措施的针对性不够、不够合理、不够科学得</w:t>
            </w:r>
            <w:r>
              <w:rPr>
                <w:spacing w:val="-46"/>
              </w:rPr>
              <w:t xml:space="preserve"> </w:t>
            </w:r>
            <w:r>
              <w:rPr>
                <w:spacing w:val="-2"/>
              </w:rPr>
              <w:t xml:space="preserve">4</w:t>
            </w:r>
            <w:r>
              <w:rPr>
                <w:spacing w:val="-48"/>
              </w:rPr>
              <w:t xml:space="preserve"> </w:t>
            </w:r>
            <w:r>
              <w:rPr>
                <w:spacing w:val="-2"/>
              </w:rPr>
              <w:t xml:space="preserve">分；无则不得分。</w:t>
            </w:r>
            <w:r/>
          </w:p>
        </w:tc>
      </w:tr>
      <w:tr>
        <w:trPr>
          <w:trHeight w:val="1604"/>
        </w:trPr>
        <w:tc>
          <w:tcPr>
            <w:tcBorders>
              <w:top w:val="none" w:color="000000" w:sz="4" w:space="0"/>
              <w:bottom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pStyle w:val="781"/>
              <w:ind w:left="324"/>
              <w:spacing w:before="78" w:line="241" w:lineRule="auto"/>
            </w:pPr>
            <w:r>
              <w:t xml:space="preserve">4</w:t>
            </w:r>
            <w:r/>
          </w:p>
        </w:tc>
        <w:tc>
          <w:tcPr>
            <w:tcW w:w="1184" w:type="dxa"/>
            <w:vAlign w:val="top"/>
            <w:textDirection w:val="lrTb"/>
            <w:noWrap w:val="false"/>
          </w:tcPr>
          <w:p>
            <w:pPr>
              <w:spacing w:line="437" w:lineRule="auto"/>
              <w:rPr>
                <w:rFonts w:ascii="Arial"/>
                <w:sz w:val="21"/>
              </w:rPr>
            </w:pPr>
            <w:r>
              <w:rPr>
                <w:rFonts w:ascii="Arial"/>
                <w:sz w:val="21"/>
              </w:rPr>
            </w:r>
            <w:r/>
          </w:p>
          <w:p>
            <w:pPr>
              <w:pStyle w:val="781"/>
              <w:ind w:left="131" w:right="111" w:hanging="10"/>
              <w:spacing w:before="78" w:line="311" w:lineRule="auto"/>
            </w:pPr>
            <w:r>
              <w:rPr>
                <w:spacing w:val="-4"/>
              </w:rPr>
              <w:t xml:space="preserve">安全生产</w:t>
            </w:r>
            <w:r>
              <w:rPr>
                <w:spacing w:val="-7"/>
              </w:rPr>
              <w:t xml:space="preserve">防范措施</w:t>
            </w:r>
            <w:r/>
          </w:p>
        </w:tc>
        <w:tc>
          <w:tcPr>
            <w:tcW w:w="794"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pStyle w:val="781"/>
              <w:ind w:left="150"/>
              <w:spacing w:before="78" w:line="220" w:lineRule="auto"/>
            </w:pPr>
            <w:r>
              <w:rPr>
                <w:spacing w:val="-10"/>
              </w:rPr>
              <w:t xml:space="preserve">10</w:t>
            </w:r>
            <w:r>
              <w:rPr>
                <w:spacing w:val="-46"/>
              </w:rPr>
              <w:t xml:space="preserve"> </w:t>
            </w:r>
            <w:r>
              <w:rPr>
                <w:spacing w:val="-10"/>
              </w:rPr>
              <w:t xml:space="preserve">分</w:t>
            </w:r>
            <w:r/>
          </w:p>
        </w:tc>
        <w:tc>
          <w:tcPr>
            <w:tcW w:w="6205" w:type="dxa"/>
            <w:vAlign w:val="top"/>
            <w:textDirection w:val="lrTb"/>
            <w:noWrap w:val="false"/>
          </w:tcPr>
          <w:p>
            <w:pPr>
              <w:pStyle w:val="781"/>
              <w:ind w:left="116" w:right="213"/>
              <w:jc w:val="both"/>
              <w:spacing w:before="117" w:line="284" w:lineRule="auto"/>
            </w:pPr>
            <w:r>
              <w:rPr>
                <w:spacing w:val="-1"/>
              </w:rPr>
              <w:t xml:space="preserve">针对本项目的安全生产防范保障措施内容比较；内容详</w:t>
            </w:r>
            <w:r>
              <w:rPr>
                <w:spacing w:val="-2"/>
              </w:rPr>
              <w:t xml:space="preserve">实具体可行得为优得</w:t>
            </w:r>
            <w:r>
              <w:rPr>
                <w:spacing w:val="-33"/>
              </w:rPr>
              <w:t xml:space="preserve"> </w:t>
            </w:r>
            <w:r>
              <w:rPr>
                <w:spacing w:val="-2"/>
              </w:rPr>
              <w:t xml:space="preserve">10</w:t>
            </w:r>
            <w:r>
              <w:rPr>
                <w:spacing w:val="-48"/>
              </w:rPr>
              <w:t xml:space="preserve"> </w:t>
            </w:r>
            <w:r>
              <w:rPr>
                <w:spacing w:val="-2"/>
              </w:rPr>
              <w:t xml:space="preserve">分；内容较好可行性较好得为良</w:t>
            </w:r>
            <w:r>
              <w:rPr>
                <w:spacing w:val="-3"/>
              </w:rPr>
              <w:t xml:space="preserve">得</w:t>
            </w:r>
            <w:r>
              <w:rPr>
                <w:spacing w:val="-33"/>
              </w:rPr>
              <w:t xml:space="preserve"> </w:t>
            </w:r>
            <w:r>
              <w:rPr>
                <w:spacing w:val="-3"/>
              </w:rPr>
              <w:t xml:space="preserve">7</w:t>
            </w:r>
            <w:r>
              <w:rPr>
                <w:spacing w:val="-47"/>
              </w:rPr>
              <w:t xml:space="preserve"> </w:t>
            </w:r>
            <w:r>
              <w:rPr>
                <w:spacing w:val="-3"/>
              </w:rPr>
              <w:t xml:space="preserve">分；内容提供较差可行性较差的得</w:t>
            </w:r>
            <w:r>
              <w:rPr>
                <w:spacing w:val="-52"/>
              </w:rPr>
              <w:t xml:space="preserve"> </w:t>
            </w:r>
            <w:r>
              <w:rPr>
                <w:spacing w:val="-3"/>
              </w:rPr>
              <w:t xml:space="preserve">4</w:t>
            </w:r>
            <w:r>
              <w:rPr>
                <w:spacing w:val="-48"/>
              </w:rPr>
              <w:t xml:space="preserve"> </w:t>
            </w:r>
            <w:r>
              <w:rPr>
                <w:spacing w:val="-3"/>
              </w:rPr>
              <w:t xml:space="preserve">分；未提供的不得分。</w:t>
            </w:r>
            <w:r/>
          </w:p>
        </w:tc>
      </w:tr>
      <w:tr>
        <w:trPr>
          <w:trHeight w:val="1207"/>
        </w:trPr>
        <w:tc>
          <w:tcPr>
            <w:tcBorders>
              <w:top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438" w:lineRule="auto"/>
              <w:rPr>
                <w:rFonts w:ascii="Arial"/>
                <w:sz w:val="21"/>
              </w:rPr>
            </w:pPr>
            <w:r>
              <w:rPr>
                <w:rFonts w:ascii="Arial"/>
                <w:sz w:val="21"/>
              </w:rPr>
            </w:r>
            <w:r/>
          </w:p>
          <w:p>
            <w:pPr>
              <w:pStyle w:val="781"/>
              <w:ind w:left="330"/>
              <w:spacing w:before="78"/>
            </w:pPr>
            <w:r>
              <w:t xml:space="preserve">5</w:t>
            </w:r>
            <w:r/>
          </w:p>
        </w:tc>
        <w:tc>
          <w:tcPr>
            <w:tcW w:w="1184" w:type="dxa"/>
            <w:vAlign w:val="top"/>
            <w:textDirection w:val="lrTb"/>
            <w:noWrap w:val="false"/>
          </w:tcPr>
          <w:p>
            <w:pPr>
              <w:spacing w:line="439" w:lineRule="auto"/>
              <w:rPr>
                <w:rFonts w:ascii="Arial"/>
                <w:sz w:val="21"/>
              </w:rPr>
            </w:pPr>
            <w:r>
              <w:rPr>
                <w:rFonts w:ascii="Arial"/>
                <w:sz w:val="21"/>
              </w:rPr>
            </w:r>
            <w:r/>
          </w:p>
          <w:p>
            <w:pPr>
              <w:pStyle w:val="781"/>
              <w:ind w:left="116"/>
              <w:spacing w:before="78" w:line="220" w:lineRule="auto"/>
            </w:pPr>
            <w:r>
              <w:rPr>
                <w:spacing w:val="-3"/>
              </w:rPr>
              <w:t xml:space="preserve">应急预案</w:t>
            </w:r>
            <w:r/>
          </w:p>
        </w:tc>
        <w:tc>
          <w:tcPr>
            <w:tcW w:w="794" w:type="dxa"/>
            <w:vAlign w:val="top"/>
            <w:textDirection w:val="lrTb"/>
            <w:noWrap w:val="false"/>
          </w:tcPr>
          <w:p>
            <w:pPr>
              <w:spacing w:line="439" w:lineRule="auto"/>
              <w:rPr>
                <w:rFonts w:ascii="Arial"/>
                <w:sz w:val="21"/>
              </w:rPr>
            </w:pPr>
            <w:r>
              <w:rPr>
                <w:rFonts w:ascii="Arial"/>
                <w:sz w:val="21"/>
              </w:rPr>
            </w:r>
            <w:r/>
          </w:p>
          <w:p>
            <w:pPr>
              <w:pStyle w:val="781"/>
              <w:ind w:left="150"/>
              <w:spacing w:before="78" w:line="220" w:lineRule="auto"/>
            </w:pPr>
            <w:r>
              <w:rPr>
                <w:spacing w:val="-10"/>
              </w:rPr>
              <w:t xml:space="preserve">10</w:t>
            </w:r>
            <w:r>
              <w:rPr>
                <w:spacing w:val="-46"/>
              </w:rPr>
              <w:t xml:space="preserve"> </w:t>
            </w:r>
            <w:r>
              <w:rPr>
                <w:spacing w:val="-10"/>
              </w:rPr>
              <w:t xml:space="preserve">分</w:t>
            </w:r>
            <w:r/>
          </w:p>
        </w:tc>
        <w:tc>
          <w:tcPr>
            <w:tcW w:w="6205" w:type="dxa"/>
            <w:vAlign w:val="top"/>
            <w:textDirection w:val="lrTb"/>
            <w:noWrap w:val="false"/>
          </w:tcPr>
          <w:p>
            <w:pPr>
              <w:pStyle w:val="781"/>
              <w:ind w:left="119" w:right="274" w:hanging="3"/>
              <w:jc w:val="both"/>
              <w:spacing w:before="120" w:line="276" w:lineRule="auto"/>
            </w:pPr>
            <w:r>
              <w:rPr>
                <w:spacing w:val="-1"/>
              </w:rPr>
              <w:t xml:space="preserve">针对本项目的各项应急预案内容比较；内容详实具体可</w:t>
            </w:r>
            <w:r>
              <w:rPr>
                <w:spacing w:val="-6"/>
              </w:rPr>
              <w:t xml:space="preserve">行得为优得</w:t>
            </w:r>
            <w:r>
              <w:rPr>
                <w:spacing w:val="-25"/>
              </w:rPr>
              <w:t xml:space="preserve"> </w:t>
            </w:r>
            <w:r>
              <w:rPr>
                <w:spacing w:val="-6"/>
              </w:rPr>
              <w:t xml:space="preserve">10</w:t>
            </w:r>
            <w:r>
              <w:rPr>
                <w:spacing w:val="-48"/>
              </w:rPr>
              <w:t xml:space="preserve"> </w:t>
            </w:r>
            <w:r>
              <w:rPr>
                <w:spacing w:val="-6"/>
              </w:rPr>
              <w:t xml:space="preserve">分；内容较好可行性较好得为良得</w:t>
            </w:r>
            <w:r>
              <w:rPr>
                <w:spacing w:val="-45"/>
              </w:rPr>
              <w:t xml:space="preserve"> </w:t>
            </w:r>
            <w:r>
              <w:rPr>
                <w:spacing w:val="-6"/>
              </w:rPr>
              <w:t xml:space="preserve">7</w:t>
            </w:r>
            <w:r>
              <w:rPr>
                <w:spacing w:val="-48"/>
              </w:rPr>
              <w:t xml:space="preserve"> </w:t>
            </w:r>
            <w:r>
              <w:rPr>
                <w:spacing w:val="-6"/>
              </w:rPr>
              <w:t xml:space="preserve">分；</w:t>
            </w:r>
            <w:r>
              <w:rPr>
                <w:spacing w:val="-2"/>
              </w:rPr>
              <w:t xml:space="preserve">内容提供较差可行性较差的得</w:t>
            </w:r>
            <w:r>
              <w:rPr>
                <w:spacing w:val="-39"/>
              </w:rPr>
              <w:t xml:space="preserve"> </w:t>
            </w:r>
            <w:r>
              <w:rPr>
                <w:spacing w:val="-2"/>
              </w:rPr>
              <w:t xml:space="preserve">4</w:t>
            </w:r>
            <w:r>
              <w:rPr>
                <w:spacing w:val="-48"/>
              </w:rPr>
              <w:t xml:space="preserve"> </w:t>
            </w:r>
            <w:r>
              <w:rPr>
                <w:spacing w:val="-2"/>
              </w:rPr>
              <w:t xml:space="preserve">分；未提供的不得分。</w:t>
            </w:r>
            <w:r/>
          </w:p>
        </w:tc>
      </w:tr>
    </w:tbl>
    <w:p>
      <w:pPr>
        <w:pStyle w:val="769"/>
      </w:pPr>
      <w:r/>
      <w:r/>
    </w:p>
    <w:p>
      <w:pPr>
        <w:sectPr>
          <w:footerReference w:type="default" r:id="rId15"/>
          <w:footnotePr/>
          <w:endnotePr/>
          <w:type w:val="nextPage"/>
          <w:pgSz w:w="11906" w:h="16839" w:orient="portrait"/>
          <w:pgMar w:top="1431" w:right="875" w:bottom="1151" w:left="1158" w:header="0" w:footer="989" w:gutter="0"/>
          <w:cols w:num="1" w:sep="0" w:space="720" w:equalWidth="1"/>
          <w:docGrid w:linePitch="360"/>
        </w:sectPr>
      </w:pPr>
      <w:r/>
      <w:r/>
    </w:p>
    <w:tbl>
      <w:tblPr>
        <w:tblStyle w:val="782"/>
        <w:tblW w:w="986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3"/>
        <w:gridCol w:w="761"/>
        <w:gridCol w:w="1184"/>
        <w:gridCol w:w="794"/>
        <w:gridCol w:w="6205"/>
      </w:tblGrid>
      <w:tr>
        <w:trPr>
          <w:trHeight w:val="2008"/>
        </w:trPr>
        <w:tc>
          <w:tcPr>
            <w:tcBorders>
              <w:bottom w:val="none" w:color="000000" w:sz="4" w:space="0"/>
            </w:tcBorders>
            <w:tcW w:w="923" w:type="dxa"/>
            <w:vAlign w:val="top"/>
            <w:vMerge w:val="restart"/>
            <w:textDirection w:val="lrTb"/>
            <w:noWrap w:val="false"/>
          </w:tcPr>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781"/>
              <w:ind w:left="231" w:right="218" w:firstLine="1"/>
              <w:jc w:val="both"/>
              <w:spacing w:before="78" w:line="241" w:lineRule="auto"/>
            </w:pPr>
            <w:r>
              <w:rPr>
                <w:spacing w:val="-8"/>
              </w:rPr>
              <w:t xml:space="preserve">商务</w:t>
            </w:r>
            <w:r>
              <w:rPr>
                <w:spacing w:val="-7"/>
              </w:rPr>
              <w:t xml:space="preserve">部分</w:t>
            </w:r>
            <w:r>
              <w:rPr>
                <w:spacing w:val="-5"/>
              </w:rPr>
              <w:t xml:space="preserve">（25</w:t>
            </w:r>
            <w:r>
              <w:rPr>
                <w:spacing w:val="-7"/>
              </w:rPr>
              <w:t xml:space="preserve">分）</w:t>
            </w:r>
            <w:r/>
          </w:p>
        </w:tc>
        <w:tc>
          <w:tcPr>
            <w:tcW w:w="761" w:type="dxa"/>
            <w:vAlign w:val="top"/>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8" w:lineRule="auto"/>
              <w:rPr>
                <w:rFonts w:ascii="Arial"/>
                <w:sz w:val="21"/>
              </w:rPr>
            </w:pPr>
            <w:r>
              <w:rPr>
                <w:rFonts w:ascii="Arial"/>
                <w:sz w:val="21"/>
              </w:rPr>
            </w:r>
            <w:r/>
          </w:p>
          <w:p>
            <w:pPr>
              <w:pStyle w:val="781"/>
              <w:ind w:left="343"/>
              <w:spacing w:before="78" w:line="241" w:lineRule="auto"/>
            </w:pPr>
            <w:r>
              <w:t xml:space="preserve">1</w:t>
            </w:r>
            <w:r/>
          </w:p>
        </w:tc>
        <w:tc>
          <w:tcPr>
            <w:tcW w:w="1184" w:type="dxa"/>
            <w:vAlign w:val="top"/>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8" w:lineRule="auto"/>
              <w:rPr>
                <w:rFonts w:ascii="Arial"/>
                <w:sz w:val="21"/>
              </w:rPr>
            </w:pPr>
            <w:r>
              <w:rPr>
                <w:rFonts w:ascii="Arial"/>
                <w:sz w:val="21"/>
              </w:rPr>
            </w:r>
            <w:r/>
          </w:p>
          <w:p>
            <w:pPr>
              <w:pStyle w:val="781"/>
              <w:ind w:left="355"/>
              <w:spacing w:before="78" w:line="220" w:lineRule="auto"/>
            </w:pPr>
            <w:r>
              <w:rPr>
                <w:spacing w:val="-5"/>
              </w:rPr>
              <w:t xml:space="preserve">业绩</w:t>
            </w:r>
            <w:r/>
          </w:p>
        </w:tc>
        <w:tc>
          <w:tcPr>
            <w:tcW w:w="794" w:type="dxa"/>
            <w:vAlign w:val="top"/>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8" w:lineRule="auto"/>
              <w:rPr>
                <w:rFonts w:ascii="Arial"/>
                <w:sz w:val="21"/>
              </w:rPr>
            </w:pPr>
            <w:r>
              <w:rPr>
                <w:rFonts w:ascii="Arial"/>
                <w:sz w:val="21"/>
              </w:rPr>
            </w:r>
            <w:r/>
          </w:p>
          <w:p>
            <w:pPr>
              <w:pStyle w:val="781"/>
              <w:ind w:left="193"/>
              <w:spacing w:before="78" w:line="220" w:lineRule="auto"/>
            </w:pPr>
            <w:r>
              <w:rPr>
                <w:spacing w:val="-6"/>
              </w:rPr>
              <w:t xml:space="preserve">9</w:t>
            </w:r>
            <w:r>
              <w:rPr>
                <w:spacing w:val="-48"/>
              </w:rPr>
              <w:t xml:space="preserve"> </w:t>
            </w:r>
            <w:r>
              <w:rPr>
                <w:spacing w:val="-6"/>
              </w:rPr>
              <w:t xml:space="preserve">分</w:t>
            </w:r>
            <w:r/>
          </w:p>
        </w:tc>
        <w:tc>
          <w:tcPr>
            <w:tcW w:w="6205" w:type="dxa"/>
            <w:vAlign w:val="top"/>
            <w:textDirection w:val="lrTb"/>
            <w:noWrap w:val="false"/>
          </w:tcPr>
          <w:p>
            <w:pPr>
              <w:pStyle w:val="781"/>
              <w:ind w:left="116" w:right="333"/>
              <w:jc w:val="both"/>
              <w:spacing w:before="118" w:line="308" w:lineRule="auto"/>
            </w:pPr>
            <w:r>
              <w:rPr>
                <w:spacing w:val="-1"/>
              </w:rPr>
              <w:t xml:space="preserve">供应商具备本项目所要求的项目运维经验。供应商承担过与本项目类似的市政污水管网运维或市政污水泵站运</w:t>
            </w:r>
            <w:r>
              <w:rPr>
                <w:spacing w:val="-3"/>
              </w:rPr>
              <w:t xml:space="preserve">维等业绩的，每提供一个业绩得</w:t>
            </w:r>
            <w:r>
              <w:rPr>
                <w:spacing w:val="-41"/>
              </w:rPr>
              <w:t xml:space="preserve"> </w:t>
            </w:r>
            <w:r>
              <w:rPr>
                <w:spacing w:val="-3"/>
              </w:rPr>
              <w:t xml:space="preserve">3</w:t>
            </w:r>
            <w:r>
              <w:rPr>
                <w:spacing w:val="-47"/>
              </w:rPr>
              <w:t xml:space="preserve"> </w:t>
            </w:r>
            <w:r>
              <w:rPr>
                <w:spacing w:val="-3"/>
              </w:rPr>
              <w:t xml:space="preserve">分，满分</w:t>
            </w:r>
            <w:r>
              <w:rPr>
                <w:spacing w:val="-50"/>
              </w:rPr>
              <w:t xml:space="preserve"> </w:t>
            </w:r>
            <w:r>
              <w:rPr>
                <w:spacing w:val="-3"/>
              </w:rPr>
              <w:t xml:space="preserve">9</w:t>
            </w:r>
            <w:r>
              <w:rPr>
                <w:spacing w:val="-48"/>
              </w:rPr>
              <w:t xml:space="preserve"> </w:t>
            </w:r>
            <w:r>
              <w:rPr>
                <w:spacing w:val="-3"/>
              </w:rPr>
              <w:t xml:space="preserve">分。</w:t>
            </w:r>
            <w:r/>
          </w:p>
          <w:p>
            <w:pPr>
              <w:pStyle w:val="781"/>
              <w:ind w:left="123" w:right="194" w:hanging="7"/>
              <w:spacing w:before="2" w:line="260" w:lineRule="auto"/>
            </w:pPr>
            <w:r>
              <w:rPr>
                <w:b/>
                <w:bCs/>
                <w:spacing w:val="-2"/>
              </w:rPr>
              <w:t xml:space="preserve">注：须提供合同或协议书及中标/成交通知书</w:t>
            </w:r>
            <w:r>
              <w:rPr>
                <w:b/>
                <w:bCs/>
                <w:spacing w:val="-3"/>
              </w:rPr>
              <w:t xml:space="preserve">扫描件加盖</w:t>
            </w:r>
            <w:r>
              <w:rPr>
                <w:b/>
                <w:bCs/>
                <w:spacing w:val="-4"/>
              </w:rPr>
              <w:t xml:space="preserve">公章，未提供不得分。</w:t>
            </w:r>
            <w:r/>
          </w:p>
        </w:tc>
      </w:tr>
      <w:tr>
        <w:trPr>
          <w:trHeight w:val="2403"/>
        </w:trPr>
        <w:tc>
          <w:tcPr>
            <w:tcBorders>
              <w:top w:val="none" w:color="000000" w:sz="4" w:space="0"/>
              <w:bottom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781"/>
              <w:ind w:left="328"/>
              <w:spacing w:before="78" w:line="241" w:lineRule="auto"/>
            </w:pPr>
            <w:r>
              <w:t xml:space="preserve">2</w:t>
            </w:r>
            <w:r/>
          </w:p>
        </w:tc>
        <w:tc>
          <w:tcPr>
            <w:tcW w:w="1184" w:type="dxa"/>
            <w:vAlign w:val="top"/>
            <w:textDirection w:val="lrTb"/>
            <w:noWrap w:val="false"/>
          </w:tcPr>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pStyle w:val="781"/>
              <w:ind w:left="356" w:right="111" w:hanging="236"/>
              <w:spacing w:before="78" w:line="242" w:lineRule="auto"/>
            </w:pPr>
            <w:r>
              <w:rPr>
                <w:spacing w:val="-4"/>
              </w:rPr>
              <w:t xml:space="preserve">项目人员</w:t>
            </w:r>
            <w:r>
              <w:rPr>
                <w:spacing w:val="-5"/>
              </w:rPr>
              <w:t xml:space="preserve">配置</w:t>
            </w:r>
            <w:r/>
          </w:p>
        </w:tc>
        <w:tc>
          <w:tcPr>
            <w:tcW w:w="794" w:type="dxa"/>
            <w:vAlign w:val="top"/>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781"/>
              <w:ind w:left="193"/>
              <w:spacing w:before="78" w:line="220" w:lineRule="auto"/>
            </w:pPr>
            <w:r>
              <w:rPr>
                <w:spacing w:val="-6"/>
              </w:rPr>
              <w:t xml:space="preserve">8</w:t>
            </w:r>
            <w:r>
              <w:rPr>
                <w:spacing w:val="-48"/>
              </w:rPr>
              <w:t xml:space="preserve"> </w:t>
            </w:r>
            <w:r>
              <w:rPr>
                <w:spacing w:val="-6"/>
              </w:rPr>
              <w:t xml:space="preserve">分</w:t>
            </w:r>
            <w:r/>
          </w:p>
        </w:tc>
        <w:tc>
          <w:tcPr>
            <w:tcW w:w="6205" w:type="dxa"/>
            <w:vAlign w:val="top"/>
            <w:textDirection w:val="lrTb"/>
            <w:noWrap w:val="false"/>
          </w:tcPr>
          <w:p>
            <w:pPr>
              <w:pStyle w:val="781"/>
              <w:ind w:left="134" w:right="333" w:hanging="1"/>
              <w:spacing w:before="116" w:line="308" w:lineRule="auto"/>
            </w:pPr>
            <w:r>
              <w:rPr>
                <w:spacing w:val="-1"/>
              </w:rPr>
              <w:t xml:space="preserve">1.拟投入到本项目的项目负责人具有给排水工</w:t>
            </w:r>
            <w:r>
              <w:rPr>
                <w:spacing w:val="-2"/>
              </w:rPr>
              <w:t xml:space="preserve">程师证书</w:t>
            </w:r>
            <w:r>
              <w:rPr>
                <w:spacing w:val="-6"/>
              </w:rPr>
              <w:t xml:space="preserve">的得</w:t>
            </w:r>
            <w:r>
              <w:rPr>
                <w:spacing w:val="-45"/>
              </w:rPr>
              <w:t xml:space="preserve"> </w:t>
            </w:r>
            <w:r>
              <w:rPr>
                <w:spacing w:val="-6"/>
              </w:rPr>
              <w:t xml:space="preserve">4</w:t>
            </w:r>
            <w:r>
              <w:rPr>
                <w:spacing w:val="-48"/>
              </w:rPr>
              <w:t xml:space="preserve"> </w:t>
            </w:r>
            <w:r>
              <w:rPr>
                <w:spacing w:val="-6"/>
              </w:rPr>
              <w:t xml:space="preserve">分，本项最高得</w:t>
            </w:r>
            <w:r>
              <w:rPr>
                <w:spacing w:val="-52"/>
              </w:rPr>
              <w:t xml:space="preserve"> </w:t>
            </w:r>
            <w:r>
              <w:rPr>
                <w:spacing w:val="-6"/>
              </w:rPr>
              <w:t xml:space="preserve">4</w:t>
            </w:r>
            <w:r>
              <w:rPr>
                <w:spacing w:val="-48"/>
              </w:rPr>
              <w:t xml:space="preserve"> </w:t>
            </w:r>
            <w:r>
              <w:rPr>
                <w:spacing w:val="-6"/>
              </w:rPr>
              <w:t xml:space="preserve">分。</w:t>
            </w:r>
            <w:r/>
          </w:p>
          <w:p>
            <w:pPr>
              <w:pStyle w:val="781"/>
              <w:ind w:left="116" w:right="333" w:firstLine="2"/>
              <w:spacing w:line="307" w:lineRule="auto"/>
            </w:pPr>
            <w:r>
              <w:rPr>
                <w:spacing w:val="-1"/>
              </w:rPr>
              <w:t xml:space="preserve">2.拟投入到本项目的项目组成员具有潜水员或硫化氢特</w:t>
            </w:r>
            <w:r>
              <w:rPr>
                <w:spacing w:val="-3"/>
              </w:rPr>
              <w:t xml:space="preserve">殊作业人员资格的得</w:t>
            </w:r>
            <w:r>
              <w:rPr>
                <w:spacing w:val="-50"/>
              </w:rPr>
              <w:t xml:space="preserve"> </w:t>
            </w:r>
            <w:r>
              <w:rPr>
                <w:spacing w:val="-3"/>
              </w:rPr>
              <w:t xml:space="preserve">4</w:t>
            </w:r>
            <w:r>
              <w:rPr>
                <w:spacing w:val="-48"/>
              </w:rPr>
              <w:t xml:space="preserve"> </w:t>
            </w:r>
            <w:r>
              <w:rPr>
                <w:spacing w:val="-3"/>
              </w:rPr>
              <w:t xml:space="preserve">分，最高得</w:t>
            </w:r>
            <w:r>
              <w:rPr>
                <w:spacing w:val="-51"/>
              </w:rPr>
              <w:t xml:space="preserve"> </w:t>
            </w:r>
            <w:r>
              <w:rPr>
                <w:spacing w:val="-3"/>
              </w:rPr>
              <w:t xml:space="preserve">4</w:t>
            </w:r>
            <w:r>
              <w:rPr>
                <w:spacing w:val="-48"/>
              </w:rPr>
              <w:t xml:space="preserve"> </w:t>
            </w:r>
            <w:r>
              <w:rPr>
                <w:spacing w:val="-3"/>
              </w:rPr>
              <w:t xml:space="preserve">分。</w:t>
            </w:r>
            <w:r/>
          </w:p>
          <w:p>
            <w:pPr>
              <w:pStyle w:val="781"/>
              <w:ind w:left="119" w:right="372" w:hanging="3"/>
              <w:spacing w:line="260" w:lineRule="auto"/>
            </w:pPr>
            <w:r>
              <w:rPr>
                <w:b/>
                <w:bCs/>
                <w:spacing w:val="-5"/>
              </w:rPr>
              <w:t xml:space="preserve">注：须提供相关证书扫描件</w:t>
            </w:r>
            <w:r>
              <w:rPr>
                <w:rFonts w:hint="eastAsia"/>
                <w:b/>
                <w:bCs/>
                <w:spacing w:val="-5"/>
                <w:lang w:val="en-US" w:eastAsia="zh-CN"/>
              </w:rPr>
              <w:t xml:space="preserve">及人员</w:t>
            </w:r>
            <w:r>
              <w:rPr>
                <w:rFonts w:hint="eastAsia" w:ascii="宋体" w:hAnsi="宋体"/>
                <w:b/>
                <w:bCs/>
                <w:color w:val="auto"/>
                <w:sz w:val="24"/>
                <w:szCs w:val="22"/>
                <w:highlight w:val="none"/>
                <w:lang w:val="en-US" w:eastAsia="zh-CN"/>
              </w:rPr>
              <w:t xml:space="preserve">社保证明复印件(2026年2月~2026年8月任意连续三个月)</w:t>
            </w:r>
            <w:r>
              <w:rPr>
                <w:b/>
                <w:bCs/>
                <w:spacing w:val="-5"/>
              </w:rPr>
              <w:t xml:space="preserve">加盖公章放入响应文件中，</w:t>
            </w:r>
            <w:r>
              <w:rPr>
                <w:b/>
                <w:bCs/>
                <w:spacing w:val="-4"/>
              </w:rPr>
              <w:t xml:space="preserve">未提供不得分。</w:t>
            </w:r>
            <w:r/>
          </w:p>
        </w:tc>
      </w:tr>
      <w:tr>
        <w:trPr>
          <w:trHeight w:val="2408"/>
        </w:trPr>
        <w:tc>
          <w:tcPr>
            <w:tcBorders>
              <w:top w:val="none" w:color="000000" w:sz="4" w:space="0"/>
            </w:tcBorders>
            <w:tcW w:w="923" w:type="dxa"/>
            <w:vAlign w:val="top"/>
            <w:vMerge w:val="continue"/>
            <w:textDirection w:val="lrTb"/>
            <w:noWrap w:val="false"/>
          </w:tcPr>
          <w:p>
            <w:pPr>
              <w:rPr>
                <w:rFonts w:ascii="Arial"/>
                <w:sz w:val="21"/>
              </w:rPr>
            </w:pPr>
            <w:r>
              <w:rPr>
                <w:rFonts w:ascii="Arial"/>
                <w:sz w:val="21"/>
              </w:rPr>
            </w:r>
            <w:r/>
          </w:p>
        </w:tc>
        <w:tc>
          <w:tcPr>
            <w:tcW w:w="761" w:type="dxa"/>
            <w:vAlign w:val="top"/>
            <w:textDirection w:val="lrTb"/>
            <w:noWrap w:val="false"/>
          </w:tcPr>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781"/>
              <w:ind w:left="330"/>
              <w:spacing w:before="78"/>
            </w:pPr>
            <w:r>
              <w:t xml:space="preserve">3</w:t>
            </w:r>
            <w:r/>
          </w:p>
        </w:tc>
        <w:tc>
          <w:tcPr>
            <w:tcW w:w="1184" w:type="dxa"/>
            <w:vAlign w:val="top"/>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781"/>
              <w:ind w:left="116"/>
              <w:spacing w:before="78" w:line="219" w:lineRule="auto"/>
            </w:pPr>
            <w:r>
              <w:rPr>
                <w:spacing w:val="-3"/>
              </w:rPr>
              <w:t xml:space="preserve">硬件配置</w:t>
            </w:r>
            <w:r/>
          </w:p>
        </w:tc>
        <w:tc>
          <w:tcPr>
            <w:tcW w:w="794" w:type="dxa"/>
            <w:vAlign w:val="top"/>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781"/>
              <w:ind w:left="193"/>
              <w:spacing w:before="78" w:line="220" w:lineRule="auto"/>
            </w:pPr>
            <w:r>
              <w:rPr>
                <w:spacing w:val="-6"/>
              </w:rPr>
              <w:t xml:space="preserve">8</w:t>
            </w:r>
            <w:r>
              <w:rPr>
                <w:spacing w:val="-48"/>
              </w:rPr>
              <w:t xml:space="preserve"> </w:t>
            </w:r>
            <w:r>
              <w:rPr>
                <w:spacing w:val="-6"/>
              </w:rPr>
              <w:t xml:space="preserve">分</w:t>
            </w:r>
            <w:r/>
          </w:p>
        </w:tc>
        <w:tc>
          <w:tcPr>
            <w:tcW w:w="6205" w:type="dxa"/>
            <w:vAlign w:val="top"/>
            <w:textDirection w:val="lrTb"/>
            <w:noWrap w:val="false"/>
          </w:tcPr>
          <w:p>
            <w:pPr>
              <w:pStyle w:val="781"/>
              <w:ind w:left="118" w:right="333" w:firstLine="15"/>
              <w:spacing w:before="120" w:line="307" w:lineRule="auto"/>
            </w:pPr>
            <w:r>
              <w:rPr>
                <w:spacing w:val="-1"/>
              </w:rPr>
              <w:t xml:space="preserve">1.供应商在满足最低配置要求基础上，每增加</w:t>
            </w:r>
            <w:r>
              <w:rPr>
                <w:spacing w:val="-2"/>
              </w:rPr>
              <w:t xml:space="preserve">一辆吸污</w:t>
            </w:r>
            <w:r>
              <w:rPr>
                <w:spacing w:val="-4"/>
              </w:rPr>
              <w:t xml:space="preserve">车或疏通车的得</w:t>
            </w:r>
            <w:r>
              <w:rPr>
                <w:spacing w:val="-39"/>
              </w:rPr>
              <w:t xml:space="preserve"> </w:t>
            </w:r>
            <w:r>
              <w:rPr>
                <w:spacing w:val="-4"/>
              </w:rPr>
              <w:t xml:space="preserve">3</w:t>
            </w:r>
            <w:r>
              <w:rPr>
                <w:spacing w:val="-48"/>
              </w:rPr>
              <w:t xml:space="preserve"> </w:t>
            </w:r>
            <w:r>
              <w:rPr>
                <w:spacing w:val="-4"/>
              </w:rPr>
              <w:t xml:space="preserve">分，本项最多得</w:t>
            </w:r>
            <w:r>
              <w:rPr>
                <w:spacing w:val="-46"/>
              </w:rPr>
              <w:t xml:space="preserve"> </w:t>
            </w:r>
            <w:r>
              <w:rPr>
                <w:spacing w:val="-4"/>
              </w:rPr>
              <w:t xml:space="preserve">3</w:t>
            </w:r>
            <w:r>
              <w:rPr>
                <w:spacing w:val="-48"/>
              </w:rPr>
              <w:t xml:space="preserve"> </w:t>
            </w:r>
            <w:r>
              <w:rPr>
                <w:spacing w:val="-4"/>
              </w:rPr>
              <w:t xml:space="preserve">分。</w:t>
            </w:r>
            <w:r/>
          </w:p>
          <w:p>
            <w:pPr>
              <w:pStyle w:val="781"/>
              <w:ind w:left="119"/>
              <w:spacing w:line="218" w:lineRule="auto"/>
            </w:pPr>
            <w:r>
              <w:rPr>
                <w:spacing w:val="-3"/>
              </w:rPr>
              <w:t xml:space="preserve">2.供应商具有移动电源泵车的得</w:t>
            </w:r>
            <w:r>
              <w:rPr>
                <w:spacing w:val="-32"/>
              </w:rPr>
              <w:t xml:space="preserve"> </w:t>
            </w:r>
            <w:r>
              <w:rPr>
                <w:spacing w:val="-3"/>
              </w:rPr>
              <w:t xml:space="preserve">3</w:t>
            </w:r>
            <w:r>
              <w:rPr>
                <w:spacing w:val="-48"/>
              </w:rPr>
              <w:t xml:space="preserve"> </w:t>
            </w:r>
            <w:r>
              <w:rPr>
                <w:spacing w:val="-3"/>
              </w:rPr>
              <w:t xml:space="preserve">分；</w:t>
            </w:r>
            <w:bookmarkStart w:id="323" w:name="_GoBack"/>
            <w:r/>
            <w:r/>
          </w:p>
          <w:p>
            <w:pPr>
              <w:pStyle w:val="781"/>
              <w:ind w:left="120"/>
              <w:spacing w:before="116" w:line="219" w:lineRule="auto"/>
            </w:pPr>
            <w:r>
              <w:rPr>
                <w:spacing w:val="-2"/>
              </w:rPr>
              <w:t xml:space="preserve">3.供应商具有有毒气体检测设备的得</w:t>
            </w:r>
            <w:r>
              <w:rPr>
                <w:spacing w:val="-48"/>
              </w:rPr>
              <w:t xml:space="preserve"> </w:t>
            </w:r>
            <w:r>
              <w:rPr>
                <w:spacing w:val="-2"/>
              </w:rPr>
              <w:t xml:space="preserve">2</w:t>
            </w:r>
            <w:r>
              <w:rPr>
                <w:spacing w:val="-48"/>
              </w:rPr>
              <w:t xml:space="preserve"> </w:t>
            </w:r>
            <w:r>
              <w:rPr>
                <w:spacing w:val="-2"/>
              </w:rPr>
              <w:t xml:space="preserve">分。</w:t>
            </w:r>
            <w:bookmarkEnd w:id="323"/>
            <w:r/>
          </w:p>
          <w:p>
            <w:pPr>
              <w:pStyle w:val="781"/>
              <w:ind w:left="116" w:right="314"/>
              <w:spacing w:before="112" w:line="262" w:lineRule="auto"/>
            </w:pPr>
            <w:r>
              <w:rPr>
                <w:b/>
                <w:bCs/>
                <w:spacing w:val="-2"/>
              </w:rPr>
              <w:t xml:space="preserve">注：须提供设备照片、</w:t>
            </w:r>
            <w:r>
              <w:rPr>
                <w:rFonts w:hint="eastAsia"/>
                <w:b/>
                <w:bCs/>
                <w:spacing w:val="-2"/>
                <w:lang w:val="en-US" w:eastAsia="zh-CN"/>
              </w:rPr>
              <w:t xml:space="preserve">供应商</w:t>
            </w:r>
            <w:r>
              <w:rPr>
                <w:b/>
                <w:bCs/>
                <w:spacing w:val="-2"/>
              </w:rPr>
              <w:t xml:space="preserve">购置发票扫描件加盖公</w:t>
            </w:r>
            <w:r>
              <w:rPr>
                <w:b/>
                <w:bCs/>
                <w:spacing w:val="-3"/>
              </w:rPr>
              <w:t xml:space="preserve">章，未提</w:t>
            </w:r>
            <w:r>
              <w:rPr>
                <w:b/>
                <w:bCs/>
                <w:spacing w:val="-4"/>
              </w:rPr>
              <w:t xml:space="preserve">供不得分。</w:t>
            </w:r>
            <w:r/>
          </w:p>
        </w:tc>
      </w:tr>
    </w:tbl>
    <w:p>
      <w:pPr>
        <w:pStyle w:val="769"/>
        <w:spacing w:line="287" w:lineRule="auto"/>
      </w:pPr>
      <w:r/>
      <w:r/>
    </w:p>
    <w:p>
      <w:pPr>
        <w:pStyle w:val="769"/>
        <w:spacing w:line="288" w:lineRule="auto"/>
      </w:pPr>
      <w:r/>
      <w:r/>
    </w:p>
    <w:p>
      <w:pPr>
        <w:ind w:left="296"/>
        <w:spacing w:before="78" w:line="213" w:lineRule="auto"/>
        <w:rPr>
          <w:rFonts w:ascii="宋体" w:hAnsi="宋体" w:eastAsia="宋体" w:cs="宋体"/>
          <w:sz w:val="24"/>
          <w:szCs w:val="24"/>
        </w:rPr>
      </w:pPr>
      <w:r>
        <w:rPr>
          <w:rFonts w:ascii="宋体" w:hAnsi="宋体" w:eastAsia="宋体" w:cs="宋体"/>
          <w:spacing w:val="-3"/>
          <w:sz w:val="24"/>
          <w:szCs w:val="24"/>
        </w:rPr>
        <w:t xml:space="preserve">2、价格部分</w:t>
      </w:r>
      <w:r/>
    </w:p>
    <w:tbl>
      <w:tblPr>
        <w:tblStyle w:val="782"/>
        <w:tblW w:w="99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0"/>
        <w:gridCol w:w="1595"/>
        <w:gridCol w:w="1024"/>
        <w:gridCol w:w="6389"/>
      </w:tblGrid>
      <w:tr>
        <w:trPr>
          <w:trHeight w:val="836"/>
        </w:trPr>
        <w:tc>
          <w:tcPr>
            <w:tcW w:w="910" w:type="dxa"/>
            <w:vAlign w:val="top"/>
            <w:textDirection w:val="lrTb"/>
            <w:noWrap w:val="false"/>
          </w:tcPr>
          <w:p>
            <w:pPr>
              <w:pStyle w:val="781"/>
              <w:ind w:left="220"/>
              <w:spacing w:before="219" w:line="221" w:lineRule="auto"/>
            </w:pPr>
            <w:r>
              <w:rPr>
                <w:spacing w:val="-5"/>
              </w:rPr>
              <w:t xml:space="preserve">序号</w:t>
            </w:r>
            <w:r/>
          </w:p>
        </w:tc>
        <w:tc>
          <w:tcPr>
            <w:tcW w:w="1595" w:type="dxa"/>
            <w:vAlign w:val="top"/>
            <w:textDirection w:val="lrTb"/>
            <w:noWrap w:val="false"/>
          </w:tcPr>
          <w:p>
            <w:pPr>
              <w:pStyle w:val="781"/>
              <w:ind w:left="322"/>
              <w:spacing w:before="220" w:line="220" w:lineRule="auto"/>
            </w:pPr>
            <w:r>
              <w:rPr>
                <w:spacing w:val="-3"/>
              </w:rPr>
              <w:t xml:space="preserve">评审项目</w:t>
            </w:r>
            <w:r/>
          </w:p>
        </w:tc>
        <w:tc>
          <w:tcPr>
            <w:tcW w:w="1024" w:type="dxa"/>
            <w:vAlign w:val="top"/>
            <w:textDirection w:val="lrTb"/>
            <w:noWrap w:val="false"/>
          </w:tcPr>
          <w:p>
            <w:pPr>
              <w:pStyle w:val="781"/>
              <w:ind w:left="282"/>
              <w:spacing w:before="220" w:line="219" w:lineRule="auto"/>
            </w:pPr>
            <w:r>
              <w:rPr>
                <w:spacing w:val="-7"/>
              </w:rPr>
              <w:t xml:space="preserve">分值</w:t>
            </w:r>
            <w:r/>
          </w:p>
        </w:tc>
        <w:tc>
          <w:tcPr>
            <w:tcW w:w="6389" w:type="dxa"/>
            <w:vAlign w:val="top"/>
            <w:textDirection w:val="lrTb"/>
            <w:noWrap w:val="false"/>
          </w:tcPr>
          <w:p>
            <w:pPr>
              <w:pStyle w:val="781"/>
              <w:ind w:left="2719"/>
              <w:spacing w:before="220" w:line="220" w:lineRule="auto"/>
            </w:pPr>
            <w:r>
              <w:rPr>
                <w:spacing w:val="-3"/>
              </w:rPr>
              <w:t xml:space="preserve">评审细则</w:t>
            </w:r>
            <w:r/>
          </w:p>
        </w:tc>
      </w:tr>
      <w:tr>
        <w:trPr>
          <w:trHeight w:val="1873"/>
        </w:trPr>
        <w:tc>
          <w:tcPr>
            <w:tcW w:w="910" w:type="dxa"/>
            <w:vAlign w:val="top"/>
            <w:textDirection w:val="lrTb"/>
            <w:noWrap w:val="false"/>
          </w:tcPr>
          <w:p>
            <w:pPr>
              <w:spacing w:line="327" w:lineRule="auto"/>
              <w:rPr>
                <w:rFonts w:ascii="Arial"/>
                <w:sz w:val="21"/>
              </w:rPr>
            </w:pPr>
            <w:r>
              <w:rPr>
                <w:rFonts w:ascii="Arial"/>
                <w:sz w:val="21"/>
              </w:rPr>
            </w:r>
            <w:r/>
          </w:p>
          <w:p>
            <w:pPr>
              <w:spacing w:line="328" w:lineRule="auto"/>
              <w:rPr>
                <w:rFonts w:ascii="Arial"/>
                <w:sz w:val="21"/>
              </w:rPr>
            </w:pPr>
            <w:r>
              <w:rPr>
                <w:rFonts w:ascii="Arial"/>
                <w:sz w:val="21"/>
              </w:rPr>
            </w:r>
            <w:r/>
          </w:p>
          <w:p>
            <w:pPr>
              <w:pStyle w:val="781"/>
              <w:ind w:left="418"/>
              <w:spacing w:before="78" w:line="241" w:lineRule="auto"/>
            </w:pPr>
            <w:r>
              <w:t xml:space="preserve">1</w:t>
            </w:r>
            <w:r/>
          </w:p>
        </w:tc>
        <w:tc>
          <w:tcPr>
            <w:tcW w:w="1595" w:type="dxa"/>
            <w:vAlign w:val="top"/>
            <w:textDirection w:val="lrTb"/>
            <w:noWrap w:val="false"/>
          </w:tcPr>
          <w:p>
            <w:pPr>
              <w:spacing w:line="327" w:lineRule="auto"/>
              <w:rPr>
                <w:rFonts w:ascii="Arial"/>
                <w:sz w:val="21"/>
              </w:rPr>
            </w:pPr>
            <w:r>
              <w:rPr>
                <w:rFonts w:ascii="Arial"/>
                <w:sz w:val="21"/>
              </w:rPr>
            </w:r>
            <w:r/>
          </w:p>
          <w:p>
            <w:pPr>
              <w:spacing w:line="328" w:lineRule="auto"/>
              <w:rPr>
                <w:rFonts w:ascii="Arial"/>
                <w:sz w:val="21"/>
              </w:rPr>
            </w:pPr>
            <w:r>
              <w:rPr>
                <w:rFonts w:ascii="Arial"/>
                <w:sz w:val="21"/>
              </w:rPr>
            </w:r>
            <w:r/>
          </w:p>
          <w:p>
            <w:pPr>
              <w:pStyle w:val="781"/>
              <w:ind w:left="324"/>
              <w:spacing w:before="78" w:line="218" w:lineRule="auto"/>
            </w:pPr>
            <w:r>
              <w:rPr>
                <w:spacing w:val="-3"/>
              </w:rPr>
              <w:t xml:space="preserve">价格部分</w:t>
            </w:r>
            <w:r/>
          </w:p>
        </w:tc>
        <w:tc>
          <w:tcPr>
            <w:tcW w:w="1024" w:type="dxa"/>
            <w:vAlign w:val="top"/>
            <w:textDirection w:val="lrTb"/>
            <w:noWrap w:val="false"/>
          </w:tcPr>
          <w:p>
            <w:pPr>
              <w:spacing w:line="327" w:lineRule="auto"/>
              <w:rPr>
                <w:rFonts w:ascii="Arial"/>
                <w:sz w:val="21"/>
              </w:rPr>
            </w:pPr>
            <w:r>
              <w:rPr>
                <w:rFonts w:ascii="Arial"/>
                <w:sz w:val="21"/>
              </w:rPr>
            </w:r>
            <w:r/>
          </w:p>
          <w:p>
            <w:pPr>
              <w:spacing w:line="328" w:lineRule="auto"/>
              <w:rPr>
                <w:rFonts w:ascii="Arial"/>
                <w:sz w:val="21"/>
              </w:rPr>
            </w:pPr>
            <w:r>
              <w:rPr>
                <w:rFonts w:ascii="Arial"/>
                <w:sz w:val="21"/>
              </w:rPr>
            </w:r>
            <w:r/>
          </w:p>
          <w:p>
            <w:pPr>
              <w:pStyle w:val="781"/>
              <w:ind w:left="250"/>
              <w:spacing w:before="78" w:line="220" w:lineRule="auto"/>
            </w:pPr>
            <w:r>
              <w:rPr>
                <w:spacing w:val="-5"/>
              </w:rPr>
              <w:t xml:space="preserve">25</w:t>
            </w:r>
            <w:r>
              <w:rPr>
                <w:spacing w:val="-46"/>
              </w:rPr>
              <w:t xml:space="preserve"> </w:t>
            </w:r>
            <w:r>
              <w:rPr>
                <w:spacing w:val="-5"/>
              </w:rPr>
              <w:t xml:space="preserve">分</w:t>
            </w:r>
            <w:r/>
          </w:p>
        </w:tc>
        <w:tc>
          <w:tcPr>
            <w:tcW w:w="6389" w:type="dxa"/>
            <w:vAlign w:val="top"/>
            <w:textDirection w:val="lrTb"/>
            <w:noWrap w:val="false"/>
          </w:tcPr>
          <w:p>
            <w:pPr>
              <w:pStyle w:val="781"/>
              <w:ind w:left="113" w:right="159"/>
              <w:jc w:val="both"/>
              <w:spacing w:before="37" w:line="351" w:lineRule="auto"/>
            </w:pPr>
            <w:r>
              <w:rPr>
                <w:spacing w:val="-1"/>
              </w:rPr>
              <w:t xml:space="preserve">采用低价优先法计算，即满足招标文件要求且投标价格最</w:t>
            </w:r>
            <w:r>
              <w:rPr>
                <w:spacing w:val="-2"/>
              </w:rPr>
              <w:t xml:space="preserve">低的报价为评标基准价，其价格分为</w:t>
            </w:r>
            <w:r>
              <w:rPr>
                <w:spacing w:val="-30"/>
              </w:rPr>
              <w:t xml:space="preserve"> </w:t>
            </w:r>
            <w:r>
              <w:rPr>
                <w:spacing w:val="-2"/>
              </w:rPr>
              <w:t xml:space="preserve">25</w:t>
            </w:r>
            <w:r>
              <w:rPr>
                <w:spacing w:val="-48"/>
              </w:rPr>
              <w:t xml:space="preserve"> </w:t>
            </w:r>
            <w:r>
              <w:rPr>
                <w:spacing w:val="-2"/>
              </w:rPr>
              <w:t xml:space="preserve">分。其他报价人的</w:t>
            </w:r>
            <w:r>
              <w:rPr>
                <w:spacing w:val="-1"/>
              </w:rPr>
              <w:t xml:space="preserve">价格分统一按照下列公式计算：投标限价得分=（评标基准价/投标报价）*25</w:t>
            </w:r>
            <w:r>
              <w:rPr>
                <w:spacing w:val="-43"/>
              </w:rPr>
              <w:t xml:space="preserve"> </w:t>
            </w:r>
            <w:r>
              <w:rPr>
                <w:spacing w:val="-1"/>
              </w:rPr>
              <w:t xml:space="preserve">分。（以四舍五入法，保留两位小数）</w:t>
            </w:r>
            <w:r/>
          </w:p>
        </w:tc>
      </w:tr>
    </w:tbl>
    <w:p>
      <w:pPr>
        <w:jc w:val="left"/>
        <w:rPr>
          <w:rFonts w:ascii="宋体" w:hAnsi="宋体"/>
          <w:b/>
          <w:bCs/>
          <w:color w:val="auto"/>
          <w:sz w:val="24"/>
          <w:szCs w:val="24"/>
          <w:highlight w:val="none"/>
        </w:rPr>
      </w:pPr>
      <w:r>
        <w:rPr>
          <w:rFonts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s="宋体"/>
          <w:b/>
          <w:color w:val="auto"/>
          <w:sz w:val="24"/>
          <w:szCs w:val="24"/>
          <w:highlight w:val="none"/>
        </w:rPr>
        <w:t xml:space="preserve">、政府采购评审中出现下列情形之一的，评审委员会将启动异常低价投标审查程序：</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4）.评审委员会基于专业判断，认为供应商报价过低，有可能影响产品质量或者不能诚信履约的其他情形。</w:t>
      </w:r>
      <w:r/>
    </w:p>
    <w:p>
      <w:pPr>
        <w:ind w:firstLine="482"/>
        <w:jc w:val="left"/>
        <w:widowControl/>
        <w:rPr>
          <w:b/>
          <w:bCs/>
          <w:color w:val="auto"/>
          <w:highlight w:val="none"/>
        </w:rPr>
      </w:pPr>
      <w:r>
        <w:rPr>
          <w:rFonts w:ascii="宋体" w:hAnsi="宋体" w:cs="宋体"/>
          <w:b/>
          <w:bCs/>
          <w:color w:val="auto"/>
          <w:sz w:val="24"/>
          <w:szCs w:val="24"/>
          <w:highlight w:val="none"/>
          <w:lang w:bidi="ar"/>
        </w:rPr>
        <w:t xml:space="preserve">评审委员会启动异常低价投标（响应）审查后</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lang w:bidi="ar"/>
        </w:rPr>
        <w:t xml:space="preserve">属于前述第1</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项至第4</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项情形的，应当要求相关供应商在评审现场合理的时间内</w:t>
      </w:r>
      <w:r>
        <w:rPr>
          <w:rFonts w:hint="eastAsia" w:ascii="宋体" w:hAnsi="宋体" w:cs="宋体"/>
          <w:b/>
          <w:bCs/>
          <w:color w:val="auto"/>
          <w:sz w:val="24"/>
          <w:szCs w:val="24"/>
          <w:highlight w:val="none"/>
          <w:lang w:bidi="ar"/>
        </w:rPr>
        <w:t xml:space="preserve">（30分钟）</w:t>
      </w:r>
      <w:r>
        <w:rPr>
          <w:rFonts w:ascii="宋体" w:hAnsi="宋体" w:cs="宋体"/>
          <w:b/>
          <w:bCs/>
          <w:color w:val="auto"/>
          <w:sz w:val="24"/>
          <w:szCs w:val="24"/>
          <w:highlight w:val="none"/>
          <w:lang w:bidi="ar"/>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其中，属于第3</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765"/>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94" w:name="_Toc157174692"/>
      <w:r>
        <w:rPr>
          <w:rFonts w:hint="eastAsia" w:ascii="黑体" w:hAnsi="黑体" w:eastAsia="黑体"/>
          <w:b w:val="0"/>
          <w:bCs w:val="0"/>
          <w:color w:val="auto"/>
          <w:sz w:val="36"/>
          <w:szCs w:val="36"/>
          <w:highlight w:val="none"/>
        </w:rPr>
        <w:t xml:space="preserve">第五章 政府采购合同（格式）</w:t>
      </w:r>
      <w:bookmarkEnd w:id="89"/>
      <w:r/>
      <w:bookmarkEnd w:id="90"/>
      <w:r/>
      <w:bookmarkEnd w:id="91"/>
      <w:r/>
      <w:bookmarkEnd w:id="94"/>
      <w:r/>
      <w:r/>
    </w:p>
    <w:p>
      <w:pPr>
        <w:pStyle w:val="783"/>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783"/>
        <w:ind w:firstLine="0"/>
        <w:jc w:val="right"/>
        <w:rPr>
          <w:rFonts w:hAnsi="宋体" w:cs="宋体"/>
          <w:color w:val="auto"/>
          <w:szCs w:val="24"/>
          <w:highlight w:val="none"/>
        </w:rPr>
      </w:pPr>
      <w:r>
        <w:rPr>
          <w:rFonts w:hAnsi="宋体" w:cs="宋体"/>
          <w:color w:val="auto"/>
          <w:szCs w:val="24"/>
          <w:highlight w:val="none"/>
        </w:rPr>
      </w:r>
      <w:r/>
    </w:p>
    <w:p>
      <w:pPr>
        <w:pStyle w:val="783"/>
        <w:ind w:firstLine="0"/>
        <w:rPr>
          <w:rFonts w:hAnsi="宋体" w:cs="宋体"/>
          <w:color w:val="auto"/>
          <w:szCs w:val="24"/>
          <w:highlight w:val="none"/>
        </w:rPr>
      </w:pPr>
      <w:r>
        <w:rPr>
          <w:rFonts w:hAnsi="宋体" w:cs="宋体"/>
          <w:color w:val="auto"/>
          <w:szCs w:val="24"/>
          <w:highlight w:val="none"/>
        </w:rPr>
      </w:r>
      <w:r/>
    </w:p>
    <w:p>
      <w:pPr>
        <w:pStyle w:val="783"/>
        <w:ind w:firstLine="0"/>
        <w:rPr>
          <w:rFonts w:hAnsi="宋体" w:cs="宋体"/>
          <w:color w:val="auto"/>
          <w:szCs w:val="24"/>
          <w:highlight w:val="none"/>
        </w:rPr>
      </w:pPr>
      <w:r>
        <w:rPr>
          <w:rFonts w:hAnsi="宋体" w:cs="宋体"/>
          <w:color w:val="auto"/>
          <w:szCs w:val="24"/>
          <w:highlight w:val="none"/>
        </w:rPr>
      </w:r>
      <w:r/>
    </w:p>
    <w:p>
      <w:pPr>
        <w:pStyle w:val="78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783"/>
        <w:ind w:firstLine="0"/>
        <w:rPr>
          <w:rFonts w:hAnsi="宋体" w:cs="宋体"/>
          <w:color w:val="auto"/>
          <w:szCs w:val="24"/>
          <w:highlight w:val="none"/>
        </w:rPr>
      </w:pPr>
      <w:r>
        <w:rPr>
          <w:rFonts w:hAnsi="宋体" w:cs="宋体"/>
          <w:color w:val="auto"/>
          <w:szCs w:val="24"/>
          <w:highlight w:val="none"/>
        </w:rPr>
      </w:r>
      <w:r/>
    </w:p>
    <w:p>
      <w:pPr>
        <w:pStyle w:val="783"/>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784"/>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784"/>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bookmarkEnd w:id="92"/>
      <w:r/>
    </w:p>
    <w:p>
      <w:pPr>
        <w:ind w:firstLine="640"/>
        <w:jc w:val="center"/>
        <w:spacing w:line="600" w:lineRule="exact"/>
        <w:rPr>
          <w:rFonts w:ascii="宋体" w:hAnsi="宋体" w:cs="宋体"/>
          <w:color w:val="auto"/>
          <w:sz w:val="24"/>
          <w:highlight w:val="none"/>
        </w:rPr>
        <w:sectPr>
          <w:footerReference w:type="default" r:id="rId16"/>
          <w:footnotePr/>
          <w:endnotePr/>
          <w:type w:val="nextPage"/>
          <w:pgSz w:w="11907" w:h="16840" w:orient="portrait"/>
          <w:pgMar w:top="1134" w:right="1134" w:bottom="1134" w:left="1134" w:header="851" w:footer="850" w:gutter="0"/>
          <w:cols w:num="1" w:sep="0" w:space="720"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bookmarkStart w:id="95" w:name="_Toc28855"/>
      <w:r/>
      <w:bookmarkStart w:id="96" w:name="_Toc20421"/>
      <w:r/>
      <w:bookmarkStart w:id="97" w:name="_Toc22967"/>
      <w:r/>
      <w:bookmarkStart w:id="98" w:name="_Toc19273"/>
      <w:r/>
      <w:bookmarkStart w:id="99" w:name="_Toc15367"/>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bookmarkStart w:id="100" w:name="_Hlk151450445"/>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公开招标方式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丁蜀镇2026年污水提升井日常运维服务</w:t>
      </w:r>
      <w:r>
        <w:rPr>
          <w:rFonts w:hint="eastAsia" w:ascii="宋体" w:hAnsi="宋体" w:cs="宋体"/>
          <w:color w:val="auto"/>
          <w:sz w:val="24"/>
          <w:highlight w:val="none"/>
        </w:rPr>
        <w:t xml:space="preserve">进行了采购。</w:t>
      </w:r>
      <w:bookmarkEnd w:id="100"/>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1"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1"/>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95"/>
      <w:r/>
      <w:bookmarkEnd w:id="96"/>
      <w:r/>
      <w:bookmarkEnd w:id="97"/>
      <w:r/>
      <w:bookmarkEnd w:id="98"/>
      <w:r/>
      <w:bookmarkEnd w:id="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2" w:name="_Toc18585"/>
      <w:r/>
      <w:bookmarkStart w:id="103" w:name="_Toc22185"/>
      <w:r/>
      <w:bookmarkStart w:id="104" w:name="_Toc6311"/>
      <w:r/>
      <w:bookmarkStart w:id="105" w:name="_Toc2918"/>
      <w:r/>
      <w:bookmarkStart w:id="106" w:name="_Toc6773"/>
      <w:r>
        <w:rPr>
          <w:rFonts w:hint="eastAsia" w:ascii="宋体" w:hAnsi="宋体" w:cs="宋体"/>
          <w:b/>
          <w:color w:val="auto"/>
          <w:sz w:val="24"/>
          <w:szCs w:val="24"/>
          <w:highlight w:val="none"/>
        </w:rPr>
        <w:t xml:space="preserve">1.2 标的</w:t>
      </w:r>
      <w:bookmarkEnd w:id="102"/>
      <w:r/>
      <w:bookmarkEnd w:id="103"/>
      <w:r/>
      <w:bookmarkEnd w:id="104"/>
      <w:r/>
      <w:bookmarkEnd w:id="105"/>
      <w:r/>
      <w:bookmarkEnd w:id="10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7" w:name="_Toc5635"/>
      <w:r/>
      <w:bookmarkStart w:id="108" w:name="_Toc4929"/>
      <w:r/>
      <w:bookmarkStart w:id="109" w:name="_Toc21124"/>
      <w:r/>
      <w:bookmarkStart w:id="110" w:name="_Toc13918"/>
      <w:r/>
      <w:bookmarkStart w:id="111" w:name="_Toc1386"/>
      <w:r>
        <w:rPr>
          <w:rFonts w:hint="eastAsia" w:ascii="宋体" w:hAnsi="宋体" w:cs="宋体"/>
          <w:b/>
          <w:color w:val="auto"/>
          <w:sz w:val="24"/>
          <w:szCs w:val="24"/>
          <w:highlight w:val="none"/>
        </w:rPr>
        <w:t xml:space="preserve">1.3 价款</w:t>
      </w:r>
      <w:bookmarkEnd w:id="107"/>
      <w:r/>
      <w:bookmarkEnd w:id="108"/>
      <w:r/>
      <w:bookmarkEnd w:id="109"/>
      <w:r/>
      <w:bookmarkEnd w:id="110"/>
      <w:r/>
      <w:bookmarkEnd w:id="111"/>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rPr>
          <w:rFonts w:hint="eastAsia" w:ascii="宋体" w:hAnsi="宋体" w:cs="宋体"/>
          <w:b/>
          <w:bCs/>
          <w:color w:val="auto"/>
          <w:sz w:val="24"/>
          <w:szCs w:val="24"/>
          <w:highlight w:val="none"/>
          <w:lang w:val="en-US" w:eastAsia="zh-CN"/>
        </w:rPr>
        <w:t xml:space="preserve">最终按实结算。</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67"/>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78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78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78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2" w:name="_Toc14993"/>
      <w:r/>
      <w:bookmarkStart w:id="113" w:name="_Toc30506"/>
      <w:r/>
      <w:bookmarkStart w:id="114" w:name="_Toc30158"/>
      <w:r/>
      <w:bookmarkStart w:id="115" w:name="_Toc3654"/>
      <w:r/>
      <w:bookmarkStart w:id="116" w:name="_Toc26916"/>
      <w:r>
        <w:rPr>
          <w:rFonts w:hint="eastAsia" w:ascii="宋体" w:hAnsi="宋体" w:cs="宋体"/>
          <w:b/>
          <w:color w:val="auto"/>
          <w:sz w:val="24"/>
          <w:szCs w:val="24"/>
          <w:highlight w:val="none"/>
        </w:rPr>
        <w:t xml:space="preserve">1.4 付款方式和发票开具方式</w:t>
      </w:r>
      <w:bookmarkEnd w:id="112"/>
      <w:r/>
      <w:bookmarkEnd w:id="113"/>
      <w:r/>
      <w:bookmarkEnd w:id="114"/>
      <w:r/>
      <w:bookmarkEnd w:id="115"/>
      <w:r/>
      <w:bookmarkEnd w:id="1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7" w:name="_Toc11108"/>
      <w:r/>
      <w:bookmarkStart w:id="118" w:name="_Toc8772"/>
      <w:r/>
      <w:bookmarkStart w:id="119" w:name="_Toc31421"/>
      <w:r/>
      <w:bookmarkStart w:id="120" w:name="_Toc3625"/>
      <w:r/>
      <w:bookmarkStart w:id="121" w:name="_Toc4760"/>
      <w:r>
        <w:rPr>
          <w:rFonts w:hint="eastAsia" w:ascii="宋体" w:hAnsi="宋体" w:cs="宋体"/>
          <w:b/>
          <w:color w:val="auto"/>
          <w:sz w:val="24"/>
          <w:szCs w:val="24"/>
          <w:highlight w:val="none"/>
        </w:rPr>
        <w:t xml:space="preserve">1.5 履行期限、地点和方式</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2" w:name="_Toc3079"/>
      <w:r/>
      <w:bookmarkStart w:id="123" w:name="_Toc5698"/>
      <w:r/>
      <w:bookmarkStart w:id="124" w:name="_Toc24662"/>
      <w:r/>
      <w:bookmarkStart w:id="125" w:name="_Toc8586"/>
      <w:r/>
      <w:bookmarkStart w:id="126" w:name="_Toc2375"/>
      <w:r>
        <w:rPr>
          <w:rFonts w:hint="eastAsia" w:ascii="宋体" w:hAnsi="宋体" w:cs="宋体"/>
          <w:b/>
          <w:color w:val="auto"/>
          <w:sz w:val="24"/>
          <w:szCs w:val="24"/>
          <w:highlight w:val="none"/>
        </w:rPr>
        <w:t xml:space="preserve">1.6 违约责任</w:t>
      </w:r>
      <w:bookmarkEnd w:id="122"/>
      <w:r/>
      <w:bookmarkEnd w:id="123"/>
      <w:r/>
      <w:bookmarkEnd w:id="124"/>
      <w:r/>
      <w:bookmarkEnd w:id="125"/>
      <w:r/>
      <w:bookmarkEnd w:id="12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7" w:name="_Toc18683"/>
      <w:r/>
      <w:bookmarkStart w:id="128" w:name="_Toc30329"/>
      <w:r/>
      <w:bookmarkStart w:id="129" w:name="_Toc32454"/>
      <w:r/>
      <w:bookmarkStart w:id="130" w:name="_Toc9497"/>
      <w:r/>
      <w:bookmarkStart w:id="131" w:name="_Toc26807"/>
      <w:r>
        <w:rPr>
          <w:rFonts w:hint="eastAsia" w:ascii="宋体" w:hAnsi="宋体" w:cs="宋体"/>
          <w:b/>
          <w:color w:val="auto"/>
          <w:sz w:val="24"/>
          <w:szCs w:val="24"/>
          <w:highlight w:val="none"/>
        </w:rPr>
        <w:t xml:space="preserve">1.7 合同争议的解决</w:t>
      </w:r>
      <w:bookmarkEnd w:id="127"/>
      <w:r/>
      <w:bookmarkEnd w:id="128"/>
      <w:r/>
      <w:bookmarkEnd w:id="129"/>
      <w:r/>
      <w:bookmarkEnd w:id="130"/>
      <w:r/>
      <w:bookmarkEnd w:id="131"/>
      <w:r/>
      <w:r/>
    </w:p>
    <w:p>
      <w:pPr>
        <w:ind w:firstLine="480"/>
        <w:spacing w:line="560" w:lineRule="exact"/>
        <w:rPr>
          <w:rFonts w:ascii="宋体" w:hAnsi="宋体" w:cs="宋体"/>
          <w:color w:val="auto"/>
          <w:sz w:val="24"/>
          <w:highlight w:val="none"/>
        </w:rPr>
      </w:pPr>
      <w:r/>
      <w:bookmarkStart w:id="132" w:name="_Toc23784"/>
      <w:r/>
      <w:bookmarkStart w:id="133" w:name="_Toc16417"/>
      <w:r/>
      <w:bookmarkStart w:id="134" w:name="_Toc12273"/>
      <w:r/>
      <w:bookmarkStart w:id="135" w:name="_Toc26227"/>
      <w:r/>
      <w:bookmarkStart w:id="136" w:name="_Toc15827"/>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存档壹份</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供需双方可根据实际需求自行确定份数</w:t>
      </w:r>
      <w:r>
        <w:rPr>
          <w:rFonts w:hint="eastAsia" w:ascii="宋体" w:hAnsi="宋体" w:cs="宋体"/>
          <w:color w:val="auto"/>
          <w:sz w:val="24"/>
          <w:highlight w:val="none"/>
          <w:lang w:val="zh-CN"/>
        </w:rPr>
        <w:t xml:space="preserve">）</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7"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37"/>
      <w:r/>
      <w:r/>
    </w:p>
    <w:p>
      <w:pPr>
        <w:ind w:firstLine="482"/>
        <w:spacing w:line="560" w:lineRule="exact"/>
        <w:rPr>
          <w:rFonts w:ascii="宋体" w:hAnsi="宋体" w:cs="宋体"/>
          <w:b/>
          <w:color w:val="auto"/>
          <w:sz w:val="24"/>
          <w:szCs w:val="24"/>
          <w:highlight w:val="none"/>
        </w:rPr>
      </w:pPr>
      <w:r/>
      <w:bookmarkStart w:id="138" w:name="_Ref467379225"/>
      <w:r/>
      <w:bookmarkStart w:id="139" w:name="_Ref467379101"/>
      <w:r/>
      <w:bookmarkStart w:id="140" w:name="_Toc487900349"/>
      <w:r/>
      <w:bookmarkStart w:id="141" w:name="_Ref467379094"/>
      <w:r/>
      <w:bookmarkStart w:id="142" w:name="_Ref467379109"/>
      <w:r/>
      <w:bookmarkStart w:id="143" w:name="_Toc19680"/>
      <w:r/>
      <w:bookmarkStart w:id="144" w:name="_Toc5228"/>
      <w:r/>
      <w:bookmarkStart w:id="145" w:name="_Ref467379214"/>
      <w:r/>
      <w:bookmarkStart w:id="146" w:name="_Ref467378404"/>
      <w:r/>
      <w:bookmarkStart w:id="147" w:name="_Ref467379195"/>
      <w:r/>
      <w:bookmarkStart w:id="148" w:name="_Toc279701240"/>
      <w:r/>
      <w:bookmarkStart w:id="149" w:name="_Ref467378463"/>
      <w:r/>
      <w:bookmarkStart w:id="150" w:name="_Toc25079"/>
      <w:r/>
      <w:bookmarkStart w:id="151" w:name="_Ref467379205"/>
      <w:r/>
      <w:bookmarkStart w:id="152" w:name="_Ref467378499"/>
      <w:r/>
      <w:bookmarkStart w:id="153" w:name="_Toc259093669"/>
      <w:r/>
      <w:bookmarkStart w:id="154" w:name="_Toc14021"/>
      <w:r/>
      <w:bookmarkStart w:id="155" w:name="_Toc31297"/>
      <w:r>
        <w:rPr>
          <w:rFonts w:hint="eastAsia" w:ascii="宋体" w:hAnsi="宋体" w:cs="宋体"/>
          <w:b/>
          <w:color w:val="auto"/>
          <w:sz w:val="24"/>
          <w:szCs w:val="24"/>
          <w:highlight w:val="none"/>
        </w:rPr>
        <w:t xml:space="preserve">2.1 定义</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56" w:name="_Ref467378840"/>
      <w:r>
        <w:rPr>
          <w:rFonts w:hint="eastAsia" w:ascii="宋体" w:hAnsi="宋体" w:cs="宋体"/>
          <w:color w:val="auto"/>
          <w:sz w:val="24"/>
          <w:szCs w:val="24"/>
          <w:highlight w:val="none"/>
        </w:rPr>
        <w:t xml:space="preserve">2.1.4 “甲方”系指与中标供应商签署合同的采购人</w:t>
      </w:r>
      <w:bookmarkEnd w:id="156"/>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57" w:name="_Ref467379400"/>
      <w:r>
        <w:rPr>
          <w:rFonts w:hint="eastAsia" w:ascii="宋体" w:hAnsi="宋体" w:cs="宋体"/>
          <w:color w:val="auto"/>
          <w:sz w:val="24"/>
          <w:szCs w:val="24"/>
          <w:highlight w:val="none"/>
        </w:rPr>
        <w:t xml:space="preserve">2.1.5 “乙方”系指根据合同约定提供服务的中标供应商</w:t>
      </w:r>
      <w:bookmarkEnd w:id="157"/>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58" w:name="_Ref467379436"/>
      <w:r>
        <w:rPr>
          <w:rFonts w:hint="eastAsia" w:ascii="宋体" w:hAnsi="宋体" w:cs="宋体"/>
          <w:color w:val="auto"/>
          <w:sz w:val="24"/>
          <w:szCs w:val="24"/>
          <w:highlight w:val="none"/>
        </w:rPr>
        <w:t xml:space="preserve">2.1.6 “现场”系指合同约定提供服务的地点。</w:t>
      </w:r>
      <w:bookmarkEnd w:id="158"/>
      <w:r/>
      <w:r/>
    </w:p>
    <w:p>
      <w:pPr>
        <w:ind w:firstLine="482"/>
        <w:spacing w:line="560" w:lineRule="exact"/>
        <w:rPr>
          <w:rFonts w:ascii="宋体" w:hAnsi="宋体" w:cs="宋体"/>
          <w:b/>
          <w:color w:val="auto"/>
          <w:sz w:val="24"/>
          <w:szCs w:val="24"/>
          <w:highlight w:val="none"/>
        </w:rPr>
      </w:pPr>
      <w:r/>
      <w:bookmarkStart w:id="159" w:name="_Toc259093670"/>
      <w:r/>
      <w:bookmarkStart w:id="160" w:name="_Toc23289"/>
      <w:r/>
      <w:bookmarkStart w:id="161" w:name="_Toc279701241"/>
      <w:r/>
      <w:bookmarkStart w:id="162" w:name="_Toc16752"/>
      <w:r/>
      <w:bookmarkStart w:id="163" w:name="_Toc487900350"/>
      <w:r/>
      <w:bookmarkStart w:id="164" w:name="_Toc31402"/>
      <w:r/>
      <w:bookmarkStart w:id="165" w:name="_Toc19539"/>
      <w:r/>
      <w:bookmarkStart w:id="166" w:name="_Toc3769"/>
      <w:r>
        <w:rPr>
          <w:rFonts w:hint="eastAsia" w:ascii="宋体" w:hAnsi="宋体" w:cs="宋体"/>
          <w:b/>
          <w:color w:val="auto"/>
          <w:sz w:val="24"/>
          <w:szCs w:val="24"/>
          <w:highlight w:val="none"/>
        </w:rPr>
        <w:t xml:space="preserve">2.2 技术规范</w:t>
      </w:r>
      <w:bookmarkEnd w:id="159"/>
      <w:r/>
      <w:bookmarkEnd w:id="160"/>
      <w:r/>
      <w:bookmarkEnd w:id="161"/>
      <w:r/>
      <w:bookmarkEnd w:id="162"/>
      <w:r/>
      <w:bookmarkEnd w:id="163"/>
      <w:r/>
      <w:bookmarkEnd w:id="164"/>
      <w:r/>
      <w:bookmarkEnd w:id="165"/>
      <w:r/>
      <w:bookmarkEnd w:id="1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67" w:name="_Toc4133"/>
      <w:r/>
      <w:bookmarkStart w:id="168" w:name="_Toc259093671"/>
      <w:r/>
      <w:bookmarkStart w:id="169" w:name="_Toc279701242"/>
      <w:r/>
      <w:bookmarkStart w:id="170" w:name="_Toc487900351"/>
      <w:r/>
      <w:bookmarkStart w:id="171" w:name="_Toc13673"/>
      <w:r/>
      <w:bookmarkStart w:id="172" w:name="_Toc12412"/>
      <w:r/>
      <w:bookmarkStart w:id="173" w:name="_Toc9161"/>
      <w:r/>
      <w:bookmarkStart w:id="174" w:name="_Toc27945"/>
      <w:r>
        <w:rPr>
          <w:rFonts w:hint="eastAsia" w:ascii="宋体" w:hAnsi="宋体" w:cs="宋体"/>
          <w:b/>
          <w:color w:val="auto"/>
          <w:sz w:val="24"/>
          <w:szCs w:val="24"/>
          <w:highlight w:val="none"/>
        </w:rPr>
        <w:t xml:space="preserve">2.3 知识产权</w:t>
      </w:r>
      <w:bookmarkEnd w:id="167"/>
      <w:r/>
      <w:bookmarkEnd w:id="168"/>
      <w:r/>
      <w:bookmarkEnd w:id="169"/>
      <w:r/>
      <w:bookmarkEnd w:id="170"/>
      <w:r/>
      <w:bookmarkEnd w:id="171"/>
      <w:r/>
      <w:bookmarkEnd w:id="172"/>
      <w:r/>
      <w:bookmarkEnd w:id="173"/>
      <w:r/>
      <w:bookmarkEnd w:id="17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75" w:name="_Ref467379657"/>
      <w:r>
        <w:rPr>
          <w:rFonts w:hint="eastAsia" w:ascii="宋体" w:hAnsi="宋体" w:cs="宋体"/>
          <w:color w:val="auto"/>
          <w:sz w:val="24"/>
          <w:szCs w:val="24"/>
          <w:highlight w:val="none"/>
        </w:rPr>
        <w:t xml:space="preserve">2.4.1</w:t>
      </w:r>
      <w:bookmarkEnd w:id="175"/>
      <w:r/>
      <w:bookmarkStart w:id="176" w:name="_Toc186431854"/>
      <w:r/>
      <w:bookmarkStart w:id="177" w:name="_Toc279701247"/>
      <w:r/>
      <w:bookmarkStart w:id="178" w:name="_Toc259093676"/>
      <w:r/>
      <w:bookmarkStart w:id="179" w:name="_Ref467379793"/>
      <w:r/>
      <w:bookmarkStart w:id="180" w:name="_Ref467379807"/>
      <w:r/>
      <w:bookmarkStart w:id="181"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76"/>
      <w:r/>
      <w:bookmarkStart w:id="182" w:name="_Toc186431855"/>
      <w:r>
        <w:rPr>
          <w:rFonts w:hint="eastAsia" w:ascii="宋体" w:hAnsi="宋体" w:cs="宋体"/>
          <w:color w:val="auto"/>
          <w:sz w:val="24"/>
          <w:szCs w:val="24"/>
          <w:highlight w:val="none"/>
        </w:rPr>
        <w:t xml:space="preserve">。</w:t>
      </w:r>
      <w:bookmarkEnd w:id="177"/>
      <w:r/>
      <w:bookmarkEnd w:id="178"/>
      <w:r/>
      <w:bookmarkEnd w:id="179"/>
      <w:r/>
      <w:bookmarkEnd w:id="180"/>
      <w:r/>
      <w:bookmarkEnd w:id="181"/>
      <w:r/>
      <w:bookmarkEnd w:id="182"/>
      <w:r/>
      <w:r/>
    </w:p>
    <w:p>
      <w:pPr>
        <w:ind w:firstLine="482"/>
        <w:spacing w:line="560" w:lineRule="exact"/>
        <w:rPr>
          <w:rFonts w:ascii="宋体" w:hAnsi="宋体" w:cs="宋体"/>
          <w:b/>
          <w:color w:val="auto"/>
          <w:sz w:val="24"/>
          <w:szCs w:val="24"/>
          <w:highlight w:val="none"/>
        </w:rPr>
      </w:pPr>
      <w:r/>
      <w:bookmarkStart w:id="183" w:name="_Ref467379923"/>
      <w:r/>
      <w:bookmarkStart w:id="184" w:name="_Toc487900358"/>
      <w:r/>
      <w:bookmarkStart w:id="185" w:name="_Ref467379852"/>
      <w:r/>
      <w:bookmarkStart w:id="186" w:name="_Ref467379863"/>
      <w:r/>
      <w:bookmarkStart w:id="187" w:name="_Toc259093677"/>
      <w:r/>
      <w:bookmarkStart w:id="188" w:name="_Toc279701248"/>
      <w:r/>
      <w:bookmarkStart w:id="189" w:name="_Toc18990"/>
      <w:r/>
      <w:bookmarkStart w:id="190" w:name="_Toc13154"/>
      <w:r/>
      <w:bookmarkStart w:id="191" w:name="_Toc13467"/>
      <w:r/>
      <w:bookmarkStart w:id="192" w:name="_Toc16163"/>
      <w:r/>
      <w:bookmarkStart w:id="193" w:name="_Toc30507"/>
      <w:r>
        <w:rPr>
          <w:rFonts w:hint="eastAsia" w:ascii="宋体" w:hAnsi="宋体" w:cs="宋体"/>
          <w:b/>
          <w:color w:val="auto"/>
          <w:sz w:val="24"/>
          <w:szCs w:val="24"/>
          <w:highlight w:val="none"/>
        </w:rPr>
        <w:t xml:space="preserve">2.5 技术资料</w:t>
      </w:r>
      <w:bookmarkEnd w:id="183"/>
      <w:r/>
      <w:bookmarkEnd w:id="184"/>
      <w:r/>
      <w:bookmarkEnd w:id="185"/>
      <w:r/>
      <w:bookmarkEnd w:id="186"/>
      <w:r/>
      <w:bookmarkEnd w:id="187"/>
      <w:r/>
      <w:bookmarkEnd w:id="188"/>
      <w:r>
        <w:rPr>
          <w:rFonts w:hint="eastAsia" w:ascii="宋体" w:hAnsi="宋体" w:cs="宋体"/>
          <w:b/>
          <w:color w:val="auto"/>
          <w:sz w:val="24"/>
          <w:szCs w:val="24"/>
          <w:highlight w:val="none"/>
        </w:rPr>
        <w:t xml:space="preserve">和保密义务</w:t>
      </w:r>
      <w:bookmarkEnd w:id="189"/>
      <w:r/>
      <w:bookmarkEnd w:id="190"/>
      <w:r/>
      <w:bookmarkEnd w:id="191"/>
      <w:r/>
      <w:bookmarkEnd w:id="192"/>
      <w:r/>
      <w:bookmarkEnd w:id="19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4" w:name="_Toc19069"/>
      <w:r/>
      <w:bookmarkStart w:id="195" w:name="_Toc279701252"/>
      <w:r/>
      <w:bookmarkStart w:id="196" w:name="_Toc259093681"/>
      <w:r/>
      <w:bookmarkStart w:id="197" w:name="_Toc487900362"/>
      <w:r>
        <w:rPr>
          <w:rFonts w:hint="eastAsia" w:ascii="宋体" w:hAnsi="宋体" w:cs="宋体"/>
          <w:b/>
          <w:color w:val="auto"/>
          <w:sz w:val="24"/>
          <w:szCs w:val="24"/>
          <w:highlight w:val="none"/>
        </w:rPr>
        <w:t xml:space="preserve">2.6 质量保证</w:t>
      </w:r>
      <w:bookmarkEnd w:id="19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8" w:name="_Toc22267"/>
      <w:r>
        <w:rPr>
          <w:rFonts w:hint="eastAsia" w:ascii="宋体" w:hAnsi="宋体" w:cs="宋体"/>
          <w:b/>
          <w:color w:val="auto"/>
          <w:sz w:val="24"/>
          <w:szCs w:val="24"/>
          <w:highlight w:val="none"/>
        </w:rPr>
        <w:t xml:space="preserve">2.7 延迟</w:t>
      </w:r>
      <w:bookmarkEnd w:id="195"/>
      <w:r/>
      <w:bookmarkEnd w:id="196"/>
      <w:r/>
      <w:bookmarkEnd w:id="197"/>
      <w:r>
        <w:rPr>
          <w:rFonts w:hint="eastAsia" w:ascii="宋体" w:hAnsi="宋体" w:cs="宋体"/>
          <w:b/>
          <w:color w:val="auto"/>
          <w:sz w:val="24"/>
          <w:szCs w:val="24"/>
          <w:highlight w:val="none"/>
        </w:rPr>
        <w:t xml:space="preserve">履行</w:t>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9" w:name="_Toc10611"/>
      <w:r/>
      <w:bookmarkStart w:id="200" w:name="_Toc259093683"/>
      <w:r/>
      <w:bookmarkStart w:id="201" w:name="_Toc487900364"/>
      <w:r/>
      <w:bookmarkStart w:id="202" w:name="_Ref467378121"/>
      <w:r/>
      <w:bookmarkStart w:id="203" w:name="_Toc279701254"/>
      <w:r>
        <w:rPr>
          <w:rFonts w:hint="eastAsia" w:ascii="宋体" w:hAnsi="宋体" w:cs="宋体"/>
          <w:b/>
          <w:color w:val="auto"/>
          <w:sz w:val="24"/>
          <w:szCs w:val="24"/>
          <w:highlight w:val="none"/>
        </w:rPr>
        <w:t xml:space="preserve">2.8 合同变更</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4" w:name="_Toc259093688"/>
      <w:r/>
      <w:bookmarkStart w:id="205" w:name="_Toc279701259"/>
      <w:r/>
      <w:bookmarkStart w:id="206" w:name="_Toc487900369"/>
      <w:r/>
      <w:r/>
    </w:p>
    <w:p>
      <w:pPr>
        <w:ind w:firstLine="482"/>
        <w:spacing w:line="560" w:lineRule="exact"/>
        <w:rPr>
          <w:rFonts w:ascii="宋体" w:hAnsi="宋体" w:cs="宋体"/>
          <w:b/>
          <w:color w:val="auto"/>
          <w:sz w:val="24"/>
          <w:szCs w:val="24"/>
          <w:highlight w:val="none"/>
        </w:rPr>
      </w:pPr>
      <w:r/>
      <w:bookmarkStart w:id="207" w:name="_Toc26689"/>
      <w:r/>
      <w:bookmarkStart w:id="208" w:name="_Toc10663"/>
      <w:r/>
      <w:bookmarkStart w:id="209" w:name="_Toc21830"/>
      <w:r/>
      <w:bookmarkStart w:id="210" w:name="_Toc23368"/>
      <w:r/>
      <w:bookmarkStart w:id="211" w:name="_Toc42"/>
      <w:r>
        <w:rPr>
          <w:rFonts w:hint="eastAsia" w:ascii="宋体" w:hAnsi="宋体" w:cs="宋体"/>
          <w:b/>
          <w:color w:val="auto"/>
          <w:sz w:val="24"/>
          <w:szCs w:val="24"/>
          <w:highlight w:val="none"/>
        </w:rPr>
        <w:t xml:space="preserve">2.9 合同转让</w:t>
      </w:r>
      <w:bookmarkEnd w:id="204"/>
      <w:r/>
      <w:bookmarkEnd w:id="205"/>
      <w:r/>
      <w:bookmarkEnd w:id="206"/>
      <w:r>
        <w:rPr>
          <w:rFonts w:hint="eastAsia" w:ascii="宋体" w:hAnsi="宋体" w:cs="宋体"/>
          <w:b/>
          <w:color w:val="auto"/>
          <w:sz w:val="24"/>
          <w:szCs w:val="24"/>
          <w:highlight w:val="none"/>
        </w:rPr>
        <w:t xml:space="preserve">和分包</w:t>
      </w:r>
      <w:bookmarkEnd w:id="207"/>
      <w:r/>
      <w:bookmarkEnd w:id="208"/>
      <w:r/>
      <w:bookmarkEnd w:id="209"/>
      <w:r/>
      <w:bookmarkEnd w:id="210"/>
      <w:r/>
      <w:bookmarkEnd w:id="21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12" w:name="_Toc32494"/>
      <w:r/>
      <w:bookmarkStart w:id="213" w:name="_Toc4720"/>
      <w:r/>
      <w:bookmarkStart w:id="214" w:name="_Toc14371"/>
      <w:r/>
      <w:bookmarkStart w:id="215" w:name="_Toc25571"/>
      <w:r/>
      <w:bookmarkStart w:id="216" w:name="_Toc26633"/>
      <w:r>
        <w:rPr>
          <w:rFonts w:hint="eastAsia" w:ascii="宋体" w:hAnsi="宋体" w:cs="宋体"/>
          <w:b/>
          <w:color w:val="auto"/>
          <w:sz w:val="24"/>
          <w:szCs w:val="24"/>
          <w:highlight w:val="none"/>
        </w:rPr>
        <w:t xml:space="preserve">2.10 不可抗力</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17" w:name="_Toc24465"/>
      <w:r/>
      <w:bookmarkStart w:id="218" w:name="_Toc3638"/>
      <w:r/>
      <w:bookmarkStart w:id="219" w:name="_Toc14115"/>
      <w:r/>
      <w:bookmarkStart w:id="220" w:name="_Toc23854"/>
      <w:r/>
      <w:bookmarkStart w:id="221" w:name="_Toc259093684"/>
      <w:r/>
      <w:bookmarkStart w:id="222" w:name="_Toc25783"/>
      <w:r/>
      <w:bookmarkStart w:id="223" w:name="_Toc487900365"/>
      <w:r/>
      <w:bookmarkStart w:id="224" w:name="_Toc279701255"/>
      <w:r>
        <w:rPr>
          <w:rFonts w:hint="eastAsia" w:ascii="宋体" w:hAnsi="宋体" w:cs="宋体"/>
          <w:b/>
          <w:color w:val="auto"/>
          <w:sz w:val="24"/>
          <w:szCs w:val="24"/>
          <w:highlight w:val="none"/>
        </w:rPr>
        <w:t xml:space="preserve">2.11 税费</w:t>
      </w:r>
      <w:bookmarkEnd w:id="217"/>
      <w:r/>
      <w:bookmarkEnd w:id="218"/>
      <w:r/>
      <w:bookmarkEnd w:id="219"/>
      <w:r/>
      <w:bookmarkEnd w:id="220"/>
      <w:r/>
      <w:bookmarkEnd w:id="221"/>
      <w:r/>
      <w:bookmarkEnd w:id="222"/>
      <w:r/>
      <w:bookmarkEnd w:id="223"/>
      <w:r/>
      <w:bookmarkEnd w:id="22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5" w:name="_Toc7315"/>
      <w:r/>
      <w:bookmarkStart w:id="226" w:name="_Toc487900368"/>
      <w:r/>
      <w:bookmarkStart w:id="227" w:name="_Toc25525"/>
      <w:r/>
      <w:bookmarkStart w:id="228" w:name="_Toc26883"/>
      <w:r/>
      <w:bookmarkStart w:id="229" w:name="_Toc259093687"/>
      <w:r/>
      <w:bookmarkStart w:id="230" w:name="_Toc14814"/>
      <w:r/>
      <w:bookmarkStart w:id="231" w:name="_Toc30105"/>
      <w:r/>
      <w:bookmarkStart w:id="232" w:name="_Toc279701258"/>
      <w:r>
        <w:rPr>
          <w:rFonts w:hint="eastAsia" w:ascii="宋体" w:hAnsi="宋体" w:cs="宋体"/>
          <w:b/>
          <w:color w:val="auto"/>
          <w:sz w:val="24"/>
          <w:szCs w:val="24"/>
          <w:highlight w:val="none"/>
        </w:rPr>
        <w:t xml:space="preserve">2.12 乙方破产</w:t>
      </w:r>
      <w:bookmarkEnd w:id="225"/>
      <w:r/>
      <w:bookmarkEnd w:id="226"/>
      <w:r/>
      <w:bookmarkEnd w:id="227"/>
      <w:r/>
      <w:bookmarkEnd w:id="228"/>
      <w:r/>
      <w:bookmarkEnd w:id="229"/>
      <w:r/>
      <w:bookmarkEnd w:id="230"/>
      <w:r/>
      <w:bookmarkEnd w:id="231"/>
      <w:r/>
      <w:bookmarkEnd w:id="23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3" w:name="_Toc2016"/>
      <w:r/>
      <w:bookmarkStart w:id="234" w:name="_Toc1123"/>
      <w:r/>
      <w:bookmarkStart w:id="235" w:name="_Toc23323"/>
      <w:r>
        <w:rPr>
          <w:rFonts w:hint="eastAsia" w:ascii="宋体" w:hAnsi="宋体" w:cs="宋体"/>
          <w:b/>
          <w:color w:val="auto"/>
          <w:sz w:val="24"/>
          <w:szCs w:val="24"/>
          <w:highlight w:val="none"/>
        </w:rPr>
        <w:t xml:space="preserve">2.13 合同中止、终止</w:t>
      </w:r>
      <w:bookmarkEnd w:id="233"/>
      <w:r/>
      <w:bookmarkEnd w:id="234"/>
      <w:r/>
      <w:bookmarkEnd w:id="23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36" w:name="_Toc17363"/>
      <w:r/>
      <w:bookmarkStart w:id="237" w:name="_Toc14525"/>
      <w:r/>
      <w:bookmarkStart w:id="238" w:name="_Toc1969"/>
      <w:r>
        <w:rPr>
          <w:rFonts w:hint="eastAsia" w:ascii="宋体" w:hAnsi="宋体" w:cs="宋体"/>
          <w:b/>
          <w:color w:val="auto"/>
          <w:sz w:val="24"/>
          <w:szCs w:val="24"/>
          <w:highlight w:val="none"/>
        </w:rPr>
        <w:t xml:space="preserve">2.14 检验和验收</w:t>
      </w:r>
      <w:bookmarkEnd w:id="236"/>
      <w:r/>
      <w:bookmarkEnd w:id="237"/>
      <w:r/>
      <w:bookmarkEnd w:id="238"/>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0"/>
      <w:r/>
      <w:bookmarkEnd w:id="201"/>
      <w:r/>
      <w:bookmarkEnd w:id="202"/>
      <w:r/>
      <w:bookmarkEnd w:id="203"/>
      <w:r/>
      <w:r/>
    </w:p>
    <w:p>
      <w:pPr>
        <w:ind w:firstLine="482"/>
        <w:spacing w:line="560" w:lineRule="exact"/>
        <w:rPr>
          <w:rFonts w:ascii="宋体" w:hAnsi="宋体" w:cs="宋体"/>
          <w:b/>
          <w:color w:val="auto"/>
          <w:sz w:val="24"/>
          <w:szCs w:val="24"/>
          <w:highlight w:val="none"/>
        </w:rPr>
      </w:pPr>
      <w:r/>
      <w:bookmarkStart w:id="239" w:name="_Toc279701261"/>
      <w:r/>
      <w:bookmarkStart w:id="240" w:name="_Toc487900371"/>
      <w:r/>
      <w:bookmarkStart w:id="241" w:name="_Toc259093690"/>
      <w:r/>
      <w:bookmarkStart w:id="242" w:name="_Toc25198"/>
      <w:r/>
      <w:bookmarkStart w:id="243" w:name="_Toc2308"/>
      <w:r/>
      <w:bookmarkStart w:id="244" w:name="_Toc9808"/>
      <w:r/>
      <w:bookmarkStart w:id="245" w:name="_Toc12666"/>
      <w:r/>
      <w:bookmarkStart w:id="246" w:name="_Toc31892"/>
      <w:r>
        <w:rPr>
          <w:rFonts w:hint="eastAsia" w:ascii="宋体" w:hAnsi="宋体" w:cs="宋体"/>
          <w:b/>
          <w:color w:val="auto"/>
          <w:sz w:val="24"/>
          <w:szCs w:val="24"/>
          <w:highlight w:val="none"/>
        </w:rPr>
        <w:t xml:space="preserve">2.15 通知</w:t>
      </w:r>
      <w:bookmarkEnd w:id="239"/>
      <w:r/>
      <w:bookmarkEnd w:id="240"/>
      <w:r/>
      <w:bookmarkEnd w:id="241"/>
      <w:r>
        <w:rPr>
          <w:rFonts w:hint="eastAsia" w:ascii="宋体" w:hAnsi="宋体" w:cs="宋体"/>
          <w:b/>
          <w:color w:val="auto"/>
          <w:sz w:val="24"/>
          <w:szCs w:val="24"/>
          <w:highlight w:val="none"/>
        </w:rPr>
        <w:t xml:space="preserve">和送达</w:t>
      </w:r>
      <w:bookmarkEnd w:id="242"/>
      <w:r/>
      <w:bookmarkEnd w:id="243"/>
      <w:r/>
      <w:bookmarkEnd w:id="244"/>
      <w:r/>
      <w:bookmarkEnd w:id="245"/>
      <w:r/>
      <w:bookmarkEnd w:id="246"/>
      <w:r/>
      <w:r/>
    </w:p>
    <w:p>
      <w:pPr>
        <w:ind w:firstLine="480"/>
        <w:spacing w:line="560" w:lineRule="exact"/>
        <w:rPr>
          <w:rFonts w:ascii="宋体" w:hAnsi="宋体" w:cs="宋体"/>
          <w:color w:val="auto"/>
          <w:sz w:val="24"/>
          <w:szCs w:val="24"/>
          <w:highlight w:val="none"/>
        </w:rPr>
      </w:pPr>
      <w:r/>
      <w:bookmarkStart w:id="247" w:name="_Toc29220"/>
      <w:r/>
      <w:bookmarkStart w:id="248" w:name="_Toc7073"/>
      <w:r/>
      <w:bookmarkStart w:id="249" w:name="_Toc279701262"/>
      <w:r/>
      <w:bookmarkStart w:id="250" w:name="_Toc487900372"/>
      <w:r/>
      <w:bookmarkStart w:id="251" w:name="_Toc259093691"/>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7"/>
      <w:r/>
      <w:bookmarkEnd w:id="248"/>
      <w:r/>
      <w:r/>
    </w:p>
    <w:p>
      <w:pPr>
        <w:ind w:firstLine="480"/>
        <w:spacing w:line="560" w:lineRule="exact"/>
        <w:rPr>
          <w:rFonts w:ascii="宋体" w:hAnsi="宋体" w:cs="宋体"/>
          <w:color w:val="auto"/>
          <w:sz w:val="24"/>
          <w:szCs w:val="24"/>
          <w:highlight w:val="none"/>
        </w:rPr>
      </w:pPr>
      <w:r/>
      <w:bookmarkStart w:id="252" w:name="_Toc27674"/>
      <w:r/>
      <w:bookmarkStart w:id="253"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51"/>
      <w:r/>
      <w:bookmarkEnd w:id="252"/>
      <w:r/>
      <w:bookmarkEnd w:id="253"/>
      <w:r/>
      <w:r/>
    </w:p>
    <w:p>
      <w:pPr>
        <w:ind w:firstLine="482"/>
        <w:spacing w:line="560" w:lineRule="exact"/>
        <w:rPr>
          <w:rFonts w:ascii="宋体" w:hAnsi="宋体" w:cs="宋体"/>
          <w:b/>
          <w:color w:val="auto"/>
          <w:sz w:val="24"/>
          <w:szCs w:val="24"/>
          <w:highlight w:val="none"/>
        </w:rPr>
      </w:pPr>
      <w:r/>
      <w:bookmarkStart w:id="254" w:name="_Toc487900373"/>
      <w:r/>
      <w:bookmarkStart w:id="255" w:name="_Toc20808"/>
      <w:r/>
      <w:bookmarkStart w:id="256" w:name="_Toc279701263"/>
      <w:r/>
      <w:bookmarkStart w:id="257" w:name="_Toc28906"/>
      <w:r/>
      <w:bookmarkStart w:id="258" w:name="_Toc27644"/>
      <w:r/>
      <w:bookmarkStart w:id="259" w:name="_Toc5063"/>
      <w:r/>
      <w:bookmarkStart w:id="260" w:name="_Toc12254"/>
      <w:r/>
      <w:bookmarkStart w:id="261" w:name="_Toc259093692"/>
      <w:r>
        <w:rPr>
          <w:rFonts w:hint="eastAsia" w:ascii="宋体" w:hAnsi="宋体" w:cs="宋体"/>
          <w:b/>
          <w:color w:val="auto"/>
          <w:sz w:val="24"/>
          <w:szCs w:val="24"/>
          <w:highlight w:val="none"/>
        </w:rPr>
        <w:t xml:space="preserve">2.16 合同使用的文字和适用的法律</w:t>
      </w:r>
      <w:bookmarkEnd w:id="254"/>
      <w:r/>
      <w:bookmarkEnd w:id="255"/>
      <w:r/>
      <w:bookmarkEnd w:id="256"/>
      <w:r/>
      <w:bookmarkEnd w:id="257"/>
      <w:r/>
      <w:bookmarkEnd w:id="258"/>
      <w:r/>
      <w:bookmarkEnd w:id="259"/>
      <w:r/>
      <w:bookmarkEnd w:id="260"/>
      <w:r/>
      <w:bookmarkEnd w:id="26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2" w:name="_Toc259093693"/>
      <w:r/>
      <w:bookmarkStart w:id="263" w:name="_Toc1492"/>
      <w:r/>
      <w:bookmarkStart w:id="264" w:name="_Toc27403"/>
      <w:r/>
      <w:bookmarkStart w:id="265" w:name="_Toc27127"/>
      <w:r/>
      <w:bookmarkStart w:id="266" w:name="_Toc279701264"/>
      <w:r/>
      <w:bookmarkStart w:id="267" w:name="_Toc30096"/>
      <w:r/>
      <w:bookmarkStart w:id="268" w:name="_Toc22266"/>
      <w:r>
        <w:rPr>
          <w:rFonts w:hint="eastAsia" w:ascii="宋体" w:hAnsi="宋体" w:cs="宋体"/>
          <w:b/>
          <w:color w:val="auto"/>
          <w:sz w:val="24"/>
          <w:szCs w:val="24"/>
          <w:highlight w:val="none"/>
        </w:rPr>
        <w:t xml:space="preserve">2.17 履约保证金</w:t>
      </w:r>
      <w:bookmarkEnd w:id="262"/>
      <w:r/>
      <w:bookmarkEnd w:id="263"/>
      <w:r/>
      <w:bookmarkEnd w:id="264"/>
      <w:r/>
      <w:bookmarkEnd w:id="265"/>
      <w:r/>
      <w:bookmarkEnd w:id="266"/>
      <w:r/>
      <w:bookmarkEnd w:id="267"/>
      <w:r/>
      <w:bookmarkEnd w:id="268"/>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775"/>
        <w:rPr>
          <w:color w:val="auto"/>
          <w:highlight w:val="none"/>
        </w:rPr>
      </w:pPr>
      <w:r>
        <w:rPr>
          <w:color w:val="auto"/>
          <w:highlight w:val="none"/>
        </w:rPr>
      </w:r>
      <w:r/>
    </w:p>
    <w:p>
      <w:pPr>
        <w:jc w:val="center"/>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69" w:name="_Toc157174693"/>
      <w:r/>
      <w:bookmarkStart w:id="270" w:name="_Toc27444"/>
      <w:r/>
      <w:bookmarkStart w:id="271" w:name="_Toc24602"/>
      <w:r>
        <w:rPr>
          <w:rFonts w:hint="eastAsia" w:ascii="黑体" w:hAnsi="黑体" w:eastAsia="黑体"/>
          <w:color w:val="auto"/>
          <w:sz w:val="36"/>
          <w:szCs w:val="36"/>
          <w:highlight w:val="none"/>
        </w:rPr>
        <w:t xml:space="preserve">第六章 投标文件</w:t>
      </w:r>
      <w:bookmarkEnd w:id="269"/>
      <w:r/>
      <w:bookmarkEnd w:id="270"/>
      <w:r>
        <w:rPr>
          <w:rFonts w:hint="eastAsia" w:ascii="黑体" w:hAnsi="黑体" w:eastAsia="黑体"/>
          <w:color w:val="auto"/>
          <w:sz w:val="36"/>
          <w:szCs w:val="36"/>
          <w:highlight w:val="none"/>
        </w:rPr>
        <w:t xml:space="preserve">内容与格式</w:t>
      </w:r>
      <w:bookmarkEnd w:id="271"/>
      <w:r/>
      <w:r/>
    </w:p>
    <w:p>
      <w:pPr>
        <w:pStyle w:val="780"/>
        <w:ind w:firstLine="0"/>
        <w:spacing w:line="500" w:lineRule="exact"/>
        <w:rPr>
          <w:rFonts w:cs="Arial"/>
          <w:b/>
          <w:color w:val="auto"/>
          <w:sz w:val="30"/>
          <w:szCs w:val="30"/>
          <w:highlight w:val="none"/>
        </w:rPr>
      </w:pPr>
      <w:r/>
      <w:bookmarkStart w:id="272" w:name="OLE_LINK146"/>
      <w:r/>
      <w:bookmarkStart w:id="273" w:name="OLE_LINK173"/>
      <w:r>
        <w:rPr>
          <w:rFonts w:hint="eastAsia" w:cs="Arial"/>
          <w:b/>
          <w:color w:val="auto"/>
          <w:sz w:val="30"/>
          <w:szCs w:val="30"/>
          <w:highlight w:val="none"/>
        </w:rPr>
        <w:t xml:space="preserve">第一部分  投标文件内容</w:t>
      </w:r>
      <w:r/>
    </w:p>
    <w:p>
      <w:pPr>
        <w:pStyle w:val="780"/>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6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8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78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78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78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780"/>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780"/>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168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168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1683" w:type="dxa"/>
            <w:vAlign w:val="center"/>
            <w:textDirection w:val="lrTb"/>
            <w:noWrap w:val="false"/>
          </w:tcPr>
          <w:p>
            <w:pPr>
              <w:pStyle w:val="780"/>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1683" w:type="dxa"/>
            <w:vAlign w:val="center"/>
            <w:textDirection w:val="lrTb"/>
            <w:noWrap w:val="false"/>
          </w:tcPr>
          <w:p>
            <w:pPr>
              <w:pStyle w:val="780"/>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W w:w="1683" w:type="dxa"/>
            <w:vAlign w:val="center"/>
            <w:textDirection w:val="lrTb"/>
            <w:noWrap w:val="false"/>
          </w:tcPr>
          <w:p>
            <w:pPr>
              <w:pStyle w:val="780"/>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1683" w:type="dxa"/>
            <w:vAlign w:val="center"/>
            <w:textDirection w:val="lrTb"/>
            <w:noWrap w:val="false"/>
          </w:tcPr>
          <w:p>
            <w:pPr>
              <w:pStyle w:val="780"/>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780"/>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tcW w:w="5663" w:type="dxa"/>
            <w:vAlign w:val="center"/>
            <w:textDirection w:val="lrTb"/>
            <w:noWrap w:val="false"/>
          </w:tcPr>
          <w:p>
            <w:pPr>
              <w:pStyle w:val="780"/>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780"/>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78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780"/>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780"/>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r>
              <w:rPr>
                <w:rFonts w:hint="eastAsia" w:ascii="宋体" w:hAnsi="宋体"/>
                <w:bCs/>
                <w:color w:val="auto"/>
                <w:highlight w:val="none"/>
                <w:lang w:val="zh-CN"/>
              </w:rPr>
            </w:r>
            <w:r/>
          </w:p>
        </w:tc>
        <w:tc>
          <w:tcPr>
            <w:tcW w:w="1192" w:type="dxa"/>
            <w:vAlign w:val="center"/>
            <w:vMerge w:val="continue"/>
            <w:textDirection w:val="lrTb"/>
            <w:noWrap w:val="false"/>
          </w:tcPr>
          <w:p>
            <w:pPr>
              <w:pStyle w:val="78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780"/>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780"/>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780"/>
              <w:ind w:firstLine="0"/>
              <w:jc w:val="both"/>
              <w:spacing w:before="0" w:after="0" w:line="240" w:lineRule="auto"/>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无</w:t>
            </w:r>
            <w:r/>
          </w:p>
        </w:tc>
        <w:tc>
          <w:tcPr>
            <w:tcW w:w="1192" w:type="dxa"/>
            <w:vAlign w:val="center"/>
            <w:vMerge w:val="continue"/>
            <w:textDirection w:val="lrTb"/>
            <w:noWrap w:val="false"/>
          </w:tcPr>
          <w:p>
            <w:pPr>
              <w:pStyle w:val="780"/>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780"/>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780"/>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780"/>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780"/>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780"/>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780"/>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780"/>
        <w:numPr>
          <w:ilvl w:val="0"/>
          <w:numId w:val="12"/>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780"/>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76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80"/>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780"/>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780"/>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tcW w:w="823" w:type="dxa"/>
            <w:vAlign w:val="center"/>
            <w:textDirection w:val="lrTb"/>
            <w:noWrap w:val="false"/>
          </w:tcPr>
          <w:p>
            <w:pPr>
              <w:pStyle w:val="78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78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780"/>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tcW w:w="823" w:type="dxa"/>
            <w:vAlign w:val="center"/>
            <w:textDirection w:val="lrTb"/>
            <w:noWrap w:val="false"/>
          </w:tcPr>
          <w:p>
            <w:pPr>
              <w:pStyle w:val="78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780"/>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80"/>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tcW w:w="823" w:type="dxa"/>
            <w:vAlign w:val="center"/>
            <w:textDirection w:val="lrTb"/>
            <w:noWrap w:val="false"/>
          </w:tcPr>
          <w:p>
            <w:pPr>
              <w:pStyle w:val="78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78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textDirection w:val="lrTb"/>
            <w:noWrap w:val="false"/>
          </w:tcPr>
          <w:p>
            <w:pPr>
              <w:pStyle w:val="780"/>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tcW w:w="823" w:type="dxa"/>
            <w:vAlign w:val="center"/>
            <w:textDirection w:val="lrTb"/>
            <w:noWrap w:val="false"/>
          </w:tcPr>
          <w:p>
            <w:pPr>
              <w:pStyle w:val="78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78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780"/>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tcW w:w="823" w:type="dxa"/>
            <w:vAlign w:val="center"/>
            <w:textDirection w:val="lrTb"/>
            <w:noWrap w:val="false"/>
          </w:tcPr>
          <w:p>
            <w:pPr>
              <w:pStyle w:val="78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5811" w:type="dxa"/>
            <w:vAlign w:val="center"/>
            <w:textDirection w:val="lrTb"/>
            <w:noWrap w:val="false"/>
          </w:tcPr>
          <w:p>
            <w:pPr>
              <w:pStyle w:val="780"/>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780"/>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3"/>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3"/>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3"/>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80"/>
        <w:ind w:firstLine="0"/>
        <w:spacing w:line="500" w:lineRule="exact"/>
        <w:rPr>
          <w:b/>
          <w:color w:val="auto"/>
          <w:sz w:val="28"/>
          <w:szCs w:val="28"/>
          <w:highlight w:val="none"/>
        </w:rPr>
      </w:pPr>
      <w:r>
        <w:rPr>
          <w:b/>
          <w:color w:val="auto"/>
          <w:sz w:val="28"/>
          <w:szCs w:val="28"/>
          <w:highlight w:val="none"/>
        </w:rPr>
      </w:r>
      <w:r/>
    </w:p>
    <w:p>
      <w:pPr>
        <w:pStyle w:val="780"/>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80"/>
        <w:ind w:firstLine="0"/>
        <w:spacing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76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780"/>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780"/>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78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780"/>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780"/>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780"/>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政府采购支持中小企业发展</w:t>
            </w:r>
            <w:r/>
          </w:p>
        </w:tc>
        <w:tc>
          <w:tcPr>
            <w:tcW w:w="3892" w:type="dxa"/>
            <w:vAlign w:val="center"/>
            <w:textDirection w:val="lrTb"/>
            <w:noWrap w:val="false"/>
          </w:tcPr>
          <w:p>
            <w:pPr>
              <w:pStyle w:val="780"/>
              <w:ind w:firstLine="0"/>
              <w:jc w:val="both"/>
              <w:spacing w:before="0" w:after="0" w:line="240" w:lineRule="auto"/>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932" w:type="dxa"/>
            <w:vAlign w:val="center"/>
            <w:textDirection w:val="lrTb"/>
            <w:noWrap w:val="false"/>
          </w:tcPr>
          <w:p>
            <w:pPr>
              <w:pStyle w:val="780"/>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bl>
    <w:p>
      <w:pPr>
        <w:jc w:val="cente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780"/>
        <w:numPr>
          <w:ilvl w:val="0"/>
          <w:numId w:val="0"/>
        </w:numPr>
        <w:spacing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 xml:space="preserve">第二部分  投标文件格式</w:t>
      </w:r>
      <w:r/>
    </w:p>
    <w:p>
      <w:pPr>
        <w:pStyle w:val="780"/>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jc w:val="left"/>
        <w:rPr>
          <w:rFonts w:hint="eastAsia" w:ascii="宋体" w:hAnsi="宋体" w:eastAsia="宋体"/>
          <w:b/>
          <w:color w:val="auto"/>
          <w:sz w:val="36"/>
          <w:szCs w:val="36"/>
          <w:highlight w:val="none"/>
          <w:u w:val="single"/>
          <w:lang w:eastAsia="zh-CN"/>
        </w:rPr>
      </w:pPr>
      <w:r/>
      <w:bookmarkStart w:id="274" w:name="_Toc10010"/>
      <w:r/>
      <w:bookmarkStart w:id="275" w:name="_Toc24371"/>
      <w:r>
        <w:rPr>
          <w:rFonts w:hint="eastAsia" w:ascii="宋体" w:hAnsi="宋体"/>
          <w:b/>
          <w:color w:val="auto"/>
          <w:sz w:val="36"/>
          <w:szCs w:val="36"/>
          <w:highlight w:val="none"/>
        </w:rPr>
        <w:t xml:space="preserve">项目名称：</w:t>
      </w:r>
      <w:bookmarkEnd w:id="274"/>
      <w:r>
        <w:rPr>
          <w:rFonts w:hint="eastAsia" w:ascii="宋体" w:hAnsi="宋体"/>
          <w:b/>
          <w:color w:val="auto"/>
          <w:sz w:val="36"/>
          <w:szCs w:val="36"/>
          <w:highlight w:val="none"/>
          <w:u w:val="single"/>
          <w:lang w:eastAsia="zh-CN"/>
        </w:rPr>
        <w:t xml:space="preserve">丁蜀镇2026年污水提升井日常运维服务</w:t>
      </w:r>
      <w:r/>
    </w:p>
    <w:p>
      <w:pPr>
        <w:jc w:val="center"/>
        <w:rPr>
          <w:rFonts w:hint="eastAsia" w:ascii="宋体" w:hAnsi="宋体" w:eastAsia="宋体"/>
          <w:b/>
          <w:color w:val="auto"/>
          <w:sz w:val="36"/>
          <w:szCs w:val="36"/>
          <w:highlight w:val="none"/>
          <w:u w:val="single"/>
          <w:lang w:eastAsia="zh-CN"/>
        </w:rPr>
      </w:pPr>
      <w:r/>
      <w:bookmarkStart w:id="276" w:name="_Toc2400"/>
      <w:r>
        <w:rPr>
          <w:rFonts w:hint="eastAsia" w:ascii="宋体" w:hAnsi="宋体"/>
          <w:b/>
          <w:color w:val="auto"/>
          <w:sz w:val="36"/>
          <w:szCs w:val="36"/>
          <w:highlight w:val="none"/>
        </w:rPr>
        <w:t xml:space="preserve">项目编号：</w:t>
      </w:r>
      <w:bookmarkEnd w:id="276"/>
      <w:r>
        <w:rPr>
          <w:rFonts w:hint="eastAsia" w:ascii="宋体" w:hAnsi="宋体"/>
          <w:b/>
          <w:color w:val="auto"/>
          <w:sz w:val="36"/>
          <w:szCs w:val="36"/>
          <w:highlight w:val="none"/>
          <w:u w:val="single"/>
          <w:lang w:eastAsia="zh-CN"/>
        </w:rPr>
        <w:t xml:space="preserve">JSZC-320282-JSDZ-G2026-0060</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75"/>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77" w:name="OLE_LINK151"/>
      <w:r/>
      <w:bookmarkStart w:id="278" w:name="_Toc8000"/>
      <w:r>
        <w:rPr>
          <w:rFonts w:hint="eastAsia" w:ascii="黑体" w:hAnsi="宋体" w:eastAsia="黑体"/>
          <w:bCs/>
          <w:color w:val="auto"/>
          <w:sz w:val="28"/>
          <w:szCs w:val="28"/>
          <w:highlight w:val="none"/>
        </w:rPr>
        <w:t xml:space="preserve">二、</w:t>
      </w:r>
      <w:bookmarkStart w:id="279" w:name="_Hlk131928370"/>
      <w:r>
        <w:rPr>
          <w:rFonts w:hint="eastAsia" w:ascii="黑体" w:hAnsi="宋体" w:eastAsia="黑体"/>
          <w:bCs/>
          <w:color w:val="auto"/>
          <w:sz w:val="28"/>
          <w:szCs w:val="28"/>
          <w:highlight w:val="none"/>
        </w:rPr>
        <w:t xml:space="preserve">开标一览表</w:t>
      </w:r>
      <w:bookmarkEnd w:id="279"/>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rPr>
          <w:rFonts w:ascii="黑体" w:hAnsi="黑体" w:eastAsia="黑体"/>
          <w:color w:val="auto"/>
          <w:sz w:val="28"/>
          <w:szCs w:val="28"/>
          <w:highlight w:val="none"/>
        </w:rPr>
      </w:pPr>
      <w:r/>
      <w:bookmarkStart w:id="280" w:name="_Toc32423"/>
      <w:r/>
      <w:bookmarkStart w:id="281" w:name="OLE_LINK4"/>
      <w:r/>
      <w:bookmarkStart w:id="282" w:name="_Toc4946"/>
      <w:r>
        <w:rPr>
          <w:rFonts w:hint="eastAsia" w:ascii="黑体" w:eastAsia="黑体"/>
          <w:bCs/>
          <w:color w:val="auto"/>
          <w:sz w:val="28"/>
          <w:szCs w:val="28"/>
          <w:highlight w:val="none"/>
        </w:rPr>
        <w:t xml:space="preserve">开标一览表</w:t>
      </w:r>
      <w:bookmarkEnd w:id="280"/>
      <w:r/>
      <w:bookmarkEnd w:id="281"/>
      <w:r/>
      <w:r/>
    </w:p>
    <w:p>
      <w:pPr>
        <w:ind w:firstLine="480"/>
        <w:jc w:val="left"/>
        <w:spacing w:line="480" w:lineRule="auto"/>
        <w:rPr>
          <w:rFonts w:ascii="宋体" w:hAnsi="宋体"/>
          <w:bCs/>
          <w:color w:val="auto"/>
          <w:sz w:val="24"/>
          <w:szCs w:val="24"/>
          <w:highlight w:val="none"/>
        </w:rPr>
      </w:pPr>
      <w:r/>
      <w:bookmarkStart w:id="283"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JSZC-320282-JSDZ-G2026-0060</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83"/>
      <w:r/>
      <w:r/>
    </w:p>
    <w:p>
      <w:pPr>
        <w:ind w:left="1"/>
        <w:jc w:val="center"/>
        <w:rPr>
          <w:rFonts w:ascii="宋体" w:hAnsi="宋体"/>
          <w:color w:val="auto"/>
          <w:sz w:val="24"/>
          <w:szCs w:val="24"/>
          <w:highlight w:val="none"/>
        </w:rPr>
      </w:pPr>
      <w:r>
        <w:rPr>
          <w:rFonts w:ascii="宋体" w:hAnsi="宋体"/>
          <w:color w:val="auto"/>
          <w:sz w:val="24"/>
          <w:szCs w:val="24"/>
          <w:highlight w:val="none"/>
        </w:rPr>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76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74"/>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774"/>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774"/>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774"/>
              <w:jc w:val="center"/>
              <w:widowControl/>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lang w:eastAsia="zh-CN"/>
              </w:rPr>
              <w:t xml:space="preserve">丁蜀镇2026年污水提升井日常运维服务</w:t>
            </w:r>
            <w:r/>
          </w:p>
        </w:tc>
        <w:tc>
          <w:tcPr>
            <w:tcW w:w="2733" w:type="dxa"/>
            <w:vAlign w:val="center"/>
            <w:textDirection w:val="lrTb"/>
            <w:noWrap w:val="false"/>
          </w:tcPr>
          <w:p>
            <w:pPr>
              <w:pStyle w:val="774"/>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774"/>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774"/>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774"/>
              <w:jc w:val="center"/>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rPr>
                <w:rFonts w:hint="eastAsia" w:ascii="宋体" w:hAnsi="宋体" w:cs="Segoe UI"/>
                <w:color w:val="auto"/>
                <w:sz w:val="27"/>
                <w:szCs w:val="27"/>
                <w:highlight w:val="none"/>
                <w:lang w:val="en-US" w:eastAsia="zh-CN"/>
              </w:rPr>
              <w:t xml:space="preserve">       </w:t>
            </w:r>
            <w:r/>
          </w:p>
        </w:tc>
      </w:tr>
    </w:tbl>
    <w:p>
      <w:pPr>
        <w:pStyle w:val="769"/>
        <w:rPr>
          <w:rFonts w:ascii="宋体" w:hAnsi="宋体"/>
          <w:color w:val="auto"/>
          <w:sz w:val="28"/>
          <w:szCs w:val="28"/>
          <w:highlight w:val="none"/>
        </w:rPr>
      </w:pPr>
      <w:r>
        <w:rPr>
          <w:rFonts w:ascii="宋体" w:hAnsi="宋体"/>
          <w:color w:val="auto"/>
          <w:sz w:val="28"/>
          <w:szCs w:val="28"/>
          <w:highlight w:val="none"/>
        </w:rPr>
      </w:r>
      <w:r/>
    </w:p>
    <w:p>
      <w:pPr>
        <w:pStyle w:val="774"/>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68"/>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282"/>
      <w:r/>
      <w:bookmarkStart w:id="284" w:name="_Hlk151458994"/>
      <w:r/>
      <w:bookmarkEnd w:id="284"/>
      <w:r/>
      <w:r/>
    </w:p>
    <w:p>
      <w:pPr>
        <w:pStyle w:val="780"/>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77"/>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278"/>
      <w:r/>
      <w:r/>
    </w:p>
    <w:p>
      <w:pPr>
        <w:jc w:val="center"/>
        <w:rPr>
          <w:rFonts w:ascii="黑体" w:eastAsia="黑体"/>
          <w:bCs/>
          <w:color w:val="auto"/>
          <w:sz w:val="32"/>
          <w:highlight w:val="none"/>
        </w:rPr>
      </w:pPr>
      <w:r/>
      <w:bookmarkStart w:id="285" w:name="报价方关于资格的声明函（格式）"/>
      <w:r/>
      <w:bookmarkEnd w:id="285"/>
      <w:r/>
      <w:bookmarkStart w:id="286" w:name="_Toc24943"/>
      <w:r>
        <w:rPr>
          <w:rFonts w:hint="eastAsia" w:ascii="黑体" w:eastAsia="黑体"/>
          <w:bCs/>
          <w:color w:val="auto"/>
          <w:sz w:val="28"/>
          <w:szCs w:val="28"/>
          <w:highlight w:val="none"/>
        </w:rPr>
        <w:t xml:space="preserve">关于资格的声明函</w:t>
      </w:r>
      <w:bookmarkEnd w:id="286"/>
      <w:r/>
      <w:r/>
    </w:p>
    <w:p>
      <w:pPr>
        <w:jc w:val="center"/>
        <w:spacing w:line="480" w:lineRule="auto"/>
        <w:rPr>
          <w:rFonts w:ascii="宋体"/>
          <w:bCs/>
          <w:color w:val="auto"/>
          <w:sz w:val="24"/>
          <w:szCs w:val="24"/>
          <w:highlight w:val="none"/>
        </w:rPr>
      </w:pPr>
      <w:r/>
      <w:bookmarkStart w:id="287"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宜兴市丁蜀镇人民政府 </w:t>
      </w:r>
      <w:r>
        <w:rPr>
          <w:rFonts w:hint="eastAsia" w:ascii="宋体" w:hAnsi="宋体"/>
          <w:bCs/>
          <w:color w:val="auto"/>
          <w:sz w:val="24"/>
          <w:szCs w:val="24"/>
          <w:highlight w:val="none"/>
        </w:rPr>
        <w:t xml:space="preserve">：</w:t>
      </w:r>
      <w:bookmarkEnd w:id="287"/>
      <w:r/>
      <w:r/>
    </w:p>
    <w:p>
      <w:pPr>
        <w:ind w:firstLine="480"/>
        <w:jc w:val="left"/>
        <w:spacing w:line="480" w:lineRule="auto"/>
        <w:rPr>
          <w:rFonts w:ascii="宋体"/>
          <w:bCs/>
          <w:color w:val="auto"/>
          <w:sz w:val="24"/>
          <w:szCs w:val="24"/>
          <w:highlight w:val="none"/>
        </w:rPr>
      </w:pPr>
      <w:r/>
      <w:bookmarkStart w:id="288" w:name="OLE_LINK243"/>
      <w:r>
        <w:rPr>
          <w:rFonts w:hint="eastAsia" w:ascii="宋体" w:hAnsi="宋体"/>
          <w:bCs/>
          <w:color w:val="auto"/>
          <w:sz w:val="24"/>
          <w:szCs w:val="24"/>
          <w:highlight w:val="none"/>
        </w:rPr>
        <w:t xml:space="preserve">我公司（单位、联合体）参加贵单位本项目</w:t>
      </w:r>
      <w:bookmarkStart w:id="289"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JSZC-320282-JSDZ-G2026-0060</w:t>
      </w:r>
      <w:r>
        <w:rPr>
          <w:rFonts w:hint="eastAsia" w:ascii="宋体" w:hAnsi="宋体"/>
          <w:bCs/>
          <w:color w:val="auto"/>
          <w:sz w:val="24"/>
          <w:szCs w:val="24"/>
          <w:highlight w:val="none"/>
        </w:rPr>
        <w:t xml:space="preserve">）</w:t>
      </w:r>
      <w:bookmarkEnd w:id="289"/>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bookmarkStart w:id="290" w:name="OLE_LINK242"/>
      <w:r>
        <w:rPr>
          <w:rFonts w:hint="eastAsia" w:ascii="宋体" w:hAnsi="宋体" w:cs="宋体"/>
          <w:color w:val="auto"/>
          <w:sz w:val="24"/>
          <w:szCs w:val="24"/>
          <w:highlight w:val="none"/>
        </w:rPr>
        <w:t xml:space="preserve">有效期限</w:t>
      </w:r>
      <w:bookmarkEnd w:id="290"/>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w:t>
      </w:r>
      <w:r>
        <w:rPr>
          <w:rFonts w:hint="eastAsia" w:ascii="宋体" w:hAnsi="宋体" w:cs="宋体"/>
          <w:color w:val="auto"/>
          <w:sz w:val="24"/>
          <w:szCs w:val="24"/>
          <w:highlight w:val="none"/>
        </w:rPr>
        <w:t xml:space="preserve">重大税收非法失信主体</w:t>
      </w:r>
      <w:r>
        <w:rPr>
          <w:rFonts w:ascii="宋体" w:hAnsi="宋体" w:cs="宋体"/>
          <w:color w:val="auto"/>
          <w:sz w:val="24"/>
          <w:szCs w:val="24"/>
          <w:highlight w:val="none"/>
        </w:rPr>
        <w:t xml:space="preserve">；</w:t>
      </w:r>
      <w:r>
        <w:rPr>
          <w:rFonts w:hint="eastAsia" w:ascii="宋体" w:hAnsi="宋体"/>
          <w:bCs/>
          <w:color w:val="auto"/>
          <w:sz w:val="24"/>
          <w:szCs w:val="24"/>
          <w:highlight w:val="none"/>
        </w:rPr>
        <w:t xml:space="preserve">且具备履行合同所必需的设备和专业技术能力。</w:t>
      </w:r>
      <w:bookmarkEnd w:id="288"/>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bookmarkStart w:id="291"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291"/>
      <w:r/>
      <w:r/>
    </w:p>
    <w:p>
      <w:pPr>
        <w:jc w:val="center"/>
        <w:spacing w:line="360" w:lineRule="auto"/>
        <w:rPr>
          <w:rFonts w:ascii="黑体" w:eastAsia="黑体"/>
          <w:bCs/>
          <w:color w:val="auto"/>
          <w:sz w:val="28"/>
          <w:szCs w:val="28"/>
          <w:highlight w:val="none"/>
        </w:rPr>
      </w:pPr>
      <w:r/>
      <w:bookmarkStart w:id="292" w:name="OLE_LINK36"/>
      <w:r/>
      <w:bookmarkStart w:id="293"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2"/>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769"/>
        <w:rPr>
          <w:color w:val="auto"/>
          <w:highlight w:val="none"/>
        </w:rPr>
      </w:pPr>
      <w:r>
        <w:rPr>
          <w:color w:val="auto"/>
          <w:highlight w:val="none"/>
        </w:rPr>
      </w:r>
      <w:r/>
    </w:p>
    <w:p>
      <w:pPr>
        <w:pStyle w:val="775"/>
        <w:rPr>
          <w:color w:val="auto"/>
          <w:highlight w:val="none"/>
        </w:rPr>
      </w:pPr>
      <w:r>
        <w:rPr>
          <w:color w:val="auto"/>
          <w:highlight w:val="none"/>
        </w:rPr>
      </w:r>
      <w:r/>
    </w:p>
    <w:p>
      <w:pPr>
        <w:pStyle w:val="775"/>
        <w:rPr>
          <w:color w:val="auto"/>
          <w:highlight w:val="none"/>
        </w:rPr>
      </w:pPr>
      <w:r>
        <w:rPr>
          <w:color w:val="auto"/>
          <w:highlight w:val="none"/>
        </w:rPr>
      </w:r>
      <w:r/>
    </w:p>
    <w:p>
      <w:pPr>
        <w:rPr>
          <w:rFonts w:ascii="黑体" w:hAnsi="宋体" w:eastAsia="黑体"/>
          <w:bCs/>
          <w:color w:val="auto"/>
          <w:sz w:val="24"/>
          <w:szCs w:val="24"/>
          <w:highlight w:val="none"/>
        </w:rPr>
      </w:pPr>
      <w:r/>
      <w:bookmarkStart w:id="294"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294"/>
      <w:r/>
      <w:bookmarkEnd w:id="293"/>
      <w:r/>
    </w:p>
    <w:p>
      <w:pPr>
        <w:pStyle w:val="775"/>
        <w:rPr>
          <w:color w:val="auto"/>
          <w:highlight w:val="none"/>
        </w:rPr>
      </w:pPr>
      <w:r>
        <w:rPr>
          <w:color w:val="auto"/>
          <w:highlight w:val="none"/>
        </w:rPr>
      </w:r>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spacing w:line="360" w:lineRule="auto"/>
        <w:tabs>
          <w:tab w:val="left" w:pos="255" w:leader="none"/>
        </w:tabs>
        <w:rPr>
          <w:rFonts w:ascii="宋体" w:hAnsi="宋体"/>
          <w:color w:val="auto"/>
          <w:sz w:val="24"/>
          <w:szCs w:val="21"/>
          <w:highlight w:val="none"/>
          <w:lang w:val="zh-CN"/>
        </w:rPr>
      </w:pPr>
      <w:r/>
      <w:bookmarkStart w:id="295" w:name="OLE_LINK186"/>
      <w:r>
        <w:rPr>
          <w:rFonts w:hint="eastAsia" w:ascii="宋体" w:hAnsi="宋体"/>
          <w:bCs/>
          <w:color w:val="auto"/>
          <w:sz w:val="24"/>
          <w:highlight w:val="none"/>
          <w:lang w:val="zh-CN"/>
        </w:rPr>
        <w:t xml:space="preserve">宜兴市丁蜀镇人民政府 、</w:t>
      </w:r>
      <w:bookmarkEnd w:id="295"/>
      <w:r>
        <w:rPr>
          <w:rFonts w:hint="eastAsia" w:ascii="宋体" w:hAnsi="宋体"/>
          <w:bCs/>
          <w:color w:val="auto"/>
          <w:sz w:val="24"/>
          <w:highlight w:val="none"/>
          <w:lang w:val="zh-CN"/>
        </w:rPr>
        <w:t xml:space="preserve">大洲设计咨询集团有限公司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系中华人民共和国合法企业</w:t>
      </w:r>
      <w:bookmarkStart w:id="296" w:name="_Hlk144476360"/>
      <w:r>
        <w:rPr>
          <w:rFonts w:hint="eastAsia" w:ascii="宋体" w:hAnsi="宋体"/>
          <w:color w:val="auto"/>
          <w:sz w:val="24"/>
          <w:szCs w:val="21"/>
          <w:highlight w:val="none"/>
          <w:lang w:val="zh-CN"/>
        </w:rPr>
        <w:t xml:space="preserve">，法定地址：，</w:t>
      </w:r>
      <w:bookmarkEnd w:id="296"/>
      <w:r>
        <w:rPr>
          <w:rFonts w:hint="eastAsia" w:ascii="宋体" w:hAnsi="宋体"/>
          <w:color w:val="auto"/>
          <w:sz w:val="24"/>
          <w:szCs w:val="21"/>
          <w:highlight w:val="none"/>
          <w:lang w:val="zh-CN"/>
        </w:rPr>
        <w:t xml:space="preserve">特授权代表我公司（单位）全权办理针对本项目（项目编号：JSZC-320282-JSDZ-G2026-0060）的投标，以我方名义签署、确认、澄清、提交、撤回、修改相关文件和处理投标活动有关事宜，其法律后果由我方承担。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firstLine="840"/>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775"/>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宜兴市丁蜀镇人民政府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丁蜀镇2026年污水提升井日常运维服务</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tbl>
      <w:tblPr>
        <w:tblStyle w:val="76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序号</w:t>
            </w:r>
            <w:r/>
          </w:p>
        </w:tc>
        <w:tc>
          <w:tcPr>
            <w:tcW w:w="1205"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标的名称</w:t>
            </w:r>
            <w:r/>
          </w:p>
        </w:tc>
        <w:tc>
          <w:tcPr>
            <w:tcW w:w="1149"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所属行业</w:t>
            </w:r>
            <w:r/>
          </w:p>
        </w:tc>
        <w:tc>
          <w:tcPr>
            <w:tcW w:w="2117"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承接商</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（企业名称）</w:t>
            </w:r>
            <w:r/>
          </w:p>
        </w:tc>
        <w:tc>
          <w:tcPr>
            <w:tcW w:w="852"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从业</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人员（人）</w:t>
            </w:r>
            <w:r/>
          </w:p>
        </w:tc>
        <w:tc>
          <w:tcPr>
            <w:tcW w:w="1097"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营业</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收入</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（万元）</w:t>
            </w:r>
            <w:r/>
          </w:p>
        </w:tc>
        <w:tc>
          <w:tcPr>
            <w:tcW w:w="1121"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资产</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总额</w:t>
            </w:r>
            <w:r/>
          </w:p>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（万元）</w:t>
            </w:r>
            <w:r/>
          </w:p>
        </w:tc>
        <w:tc>
          <w:tcPr>
            <w:tcW w:w="1383" w:type="dxa"/>
            <w:vAlign w:val="center"/>
            <w:textDirection w:val="lrTb"/>
            <w:noWrap w:val="false"/>
          </w:tcPr>
          <w:p>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丁蜀镇2026年污水提升井日常运维服务</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cs="Times New Roman"/>
                <w:bCs/>
                <w:color w:val="auto"/>
                <w:sz w:val="21"/>
                <w:szCs w:val="21"/>
                <w:highlight w:val="none"/>
                <w:lang w:val="en-US" w:eastAsia="zh-CN"/>
              </w:rPr>
              <w:t xml:space="preserve">其他未列明行业</w:t>
            </w:r>
            <w:r>
              <w:rPr>
                <w:rFonts w:hint="eastAsia" w:ascii="宋体" w:hAnsi="宋体" w:eastAsia="宋体" w:cs="Times New Roman"/>
                <w:bCs/>
                <w:color w:val="auto"/>
                <w:szCs w:val="21"/>
                <w:highlight w:val="none"/>
                <w:lang w:eastAsia="zh-CN"/>
              </w:rPr>
              <w:t xml:space="preserve"> </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Arial" w:hAnsi="Arial" w:eastAsia="Arial" w:cs="Arial"/>
          <w:b/>
          <w:color w:val="auto"/>
          <w:szCs w:val="21"/>
          <w:highlight w:val="none"/>
        </w:rPr>
        <w:t xml:space="preserve">所属行业为</w:t>
      </w:r>
      <w:r>
        <w:rPr>
          <w:rFonts w:hint="eastAsia" w:ascii="宋体" w:hAnsi="宋体" w:cs="Times New Roman"/>
          <w:bCs/>
          <w:color w:val="auto"/>
          <w:sz w:val="21"/>
          <w:szCs w:val="21"/>
          <w:highlight w:val="none"/>
          <w:u w:val="single"/>
          <w:lang w:val="en-US" w:eastAsia="zh-CN"/>
        </w:rPr>
        <w:t xml:space="preserve">其他未列明行业</w:t>
      </w:r>
      <w:r>
        <w:rPr>
          <w:rFonts w:hint="eastAsia" w:ascii="Arial" w:hAnsi="Arial" w:eastAsia="Arial" w:cs="Arial"/>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Arial" w:hAnsi="Arial" w:eastAsia="Arial" w:cs="Arial"/>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hint="eastAsia" w:ascii="黑体" w:hAnsi="黑体" w:eastAsia="黑体"/>
          <w:color w:val="auto"/>
          <w:sz w:val="24"/>
          <w:szCs w:val="24"/>
          <w:highlight w:val="none"/>
        </w:rPr>
      </w:pPr>
      <w:r>
        <w:rPr>
          <w:rFonts w:hint="eastAsia" w:ascii="黑体" w:hAnsi="黑体" w:eastAsia="黑体"/>
          <w:color w:val="auto"/>
          <w:sz w:val="24"/>
          <w:szCs w:val="24"/>
          <w:highlight w:val="none"/>
        </w:rPr>
      </w:r>
      <w:r/>
    </w:p>
    <w:p>
      <w:pPr>
        <w:rPr>
          <w:rFonts w:hint="eastAsia" w:ascii="黑体" w:hAnsi="黑体" w:eastAsia="黑体"/>
          <w:color w:val="auto"/>
          <w:sz w:val="24"/>
          <w:szCs w:val="24"/>
          <w:highlight w:val="none"/>
        </w:rPr>
      </w:pPr>
      <w:r>
        <w:rPr>
          <w:rFonts w:hint="eastAsia" w:ascii="黑体" w:hAnsi="黑体" w:eastAsia="黑体"/>
          <w:color w:val="auto"/>
          <w:sz w:val="24"/>
          <w:szCs w:val="24"/>
          <w:highlight w:val="none"/>
        </w:rPr>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宜兴市丁蜀镇人民政府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丁蜀镇2026年污水提升井日常运维服务</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769"/>
        <w:rPr>
          <w:color w:val="auto"/>
          <w:highlight w:val="none"/>
        </w:rPr>
      </w:pPr>
      <w:r>
        <w:rPr>
          <w:color w:val="auto"/>
          <w:highlight w:val="none"/>
        </w:rPr>
      </w:r>
      <w:r/>
    </w:p>
    <w:p>
      <w:pPr>
        <w:pStyle w:val="775"/>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769"/>
        <w:rPr>
          <w:color w:val="auto"/>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pStyle w:val="775"/>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line="360" w:lineRule="auto"/>
        <w:tabs>
          <w:tab w:val="left" w:pos="255" w:leader="none"/>
        </w:tabs>
        <w:rPr>
          <w:rFonts w:ascii="宋体" w:hAnsi="宋体"/>
          <w:color w:val="auto"/>
          <w:sz w:val="24"/>
          <w:szCs w:val="21"/>
          <w:highlight w:val="none"/>
          <w:lang w:val="zh-CN"/>
        </w:rPr>
      </w:pPr>
      <w:r/>
      <w:bookmarkStart w:id="297"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98" w:name="_Hlk166058340"/>
      <w:r>
        <w:rPr>
          <w:rFonts w:hint="eastAsia" w:ascii="宋体" w:hAnsi="宋体"/>
          <w:color w:val="auto"/>
          <w:sz w:val="24"/>
          <w:szCs w:val="21"/>
          <w:highlight w:val="none"/>
          <w:lang w:val="zh-CN"/>
        </w:rPr>
        <w:t xml:space="preserve">（项目编号：JSZC-320282-JSDZ-G2026-0060）</w:t>
      </w:r>
      <w:bookmarkEnd w:id="298"/>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4"/>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299"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299"/>
      <w:r/>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00" w:name="OLE_LINK82"/>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00"/>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bookmarkEnd w:id="297"/>
      <w:r/>
    </w:p>
    <w:p>
      <w:pPr>
        <w:jc w:val="center"/>
        <w:spacing w:line="480" w:lineRule="auto"/>
        <w:tabs>
          <w:tab w:val="left" w:pos="6300" w:leader="none"/>
        </w:tabs>
        <w:rPr>
          <w:rFonts w:ascii="宋体"/>
          <w:bCs/>
          <w:color w:val="auto"/>
          <w:sz w:val="24"/>
          <w:szCs w:val="24"/>
          <w:highlight w:val="none"/>
        </w:rPr>
      </w:pPr>
      <w:r>
        <w:rPr>
          <w:rFonts w:ascii="宋体"/>
          <w:bCs/>
          <w:color w:val="auto"/>
          <w:sz w:val="24"/>
          <w:szCs w:val="24"/>
          <w:highlight w:val="none"/>
        </w:rPr>
      </w:r>
      <w:r/>
    </w:p>
    <w:p>
      <w:pPr>
        <w:ind w:left="420" w:firstLine="480"/>
        <w:jc w:val="left"/>
        <w:spacing w:line="360" w:lineRule="auto"/>
        <w:tabs>
          <w:tab w:val="left" w:pos="255" w:leader="none"/>
        </w:tabs>
        <w:rPr>
          <w:rFonts w:ascii="宋体" w:hAnsi="宋体"/>
          <w:color w:val="auto"/>
          <w:sz w:val="24"/>
          <w:szCs w:val="21"/>
          <w:highlight w:val="none"/>
        </w:rPr>
      </w:pPr>
      <w:r/>
      <w:bookmarkStart w:id="301"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（项目编号：JSZC-320282-JSDZ-G2026-0060）</w:t>
      </w:r>
      <w:r>
        <w:rPr>
          <w:rFonts w:hint="eastAsia" w:ascii="宋体" w:hAnsi="宋体" w:cs="宋体"/>
          <w:color w:val="auto"/>
          <w:sz w:val="24"/>
          <w:szCs w:val="24"/>
          <w:highlight w:val="none"/>
        </w:rPr>
        <w:t xml:space="preserve">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02" w:name="OLE_LINK203"/>
      <w:r/>
      <w:bookmarkEnd w:id="302"/>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bookmarkEnd w:id="301"/>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768"/>
        <w:rPr>
          <w:rFonts w:ascii="宋体" w:hAnsi="宋体"/>
          <w:bCs/>
          <w:color w:val="auto"/>
          <w:sz w:val="24"/>
          <w:szCs w:val="24"/>
          <w:highlight w:val="none"/>
        </w:rPr>
      </w:pPr>
      <w:r>
        <w:rPr>
          <w:rFonts w:ascii="宋体" w:hAnsi="宋体"/>
          <w:bCs/>
          <w:color w:val="auto"/>
          <w:sz w:val="24"/>
          <w:szCs w:val="24"/>
          <w:highlight w:val="none"/>
        </w:rPr>
      </w:r>
      <w:r/>
    </w:p>
    <w:p>
      <w:pPr>
        <w:pStyle w:val="768"/>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03" w:name="OLE_LINK3"/>
      <w:r>
        <w:rPr>
          <w:rFonts w:hint="eastAsia" w:ascii="黑体" w:hAnsi="黑体" w:eastAsia="黑体"/>
          <w:color w:val="auto"/>
          <w:sz w:val="28"/>
          <w:szCs w:val="28"/>
          <w:highlight w:val="none"/>
        </w:rPr>
        <w:t xml:space="preserve">明细报价表</w:t>
      </w:r>
      <w:bookmarkEnd w:id="303"/>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丁蜀镇2026年污水提升井日常运维服务</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JSZC-320282-JSDZ-G2026-0060</w:t>
      </w:r>
      <w:r/>
    </w:p>
    <w:p>
      <w:pPr>
        <w:jc w:val="center"/>
        <w:rPr>
          <w:rFonts w:ascii="宋体" w:hAnsi="宋体"/>
          <w:color w:val="auto"/>
          <w:sz w:val="28"/>
          <w:szCs w:val="28"/>
          <w:highlight w:val="none"/>
        </w:rPr>
      </w:pPr>
      <w:r>
        <w:rPr>
          <w:rFonts w:ascii="宋体" w:hAnsi="宋体"/>
          <w:color w:val="auto"/>
          <w:sz w:val="28"/>
          <w:szCs w:val="28"/>
          <w:highlight w:val="none"/>
        </w:rPr>
      </w:r>
      <w:r/>
    </w:p>
    <w:tbl>
      <w:tblPr>
        <w:tblStyle w:val="76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04"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bookmarkEnd w:id="304"/>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bookmarkStart w:id="305"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06"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07" w:name="_Hlk160008571"/>
      <w:r/>
      <w:bookmarkStart w:id="308" w:name="_Hlk160009870"/>
      <w:r>
        <w:rPr>
          <w:rFonts w:hint="eastAsia" w:ascii="宋体" w:hAnsi="宋体"/>
          <w:bCs/>
          <w:color w:val="auto"/>
          <w:szCs w:val="21"/>
          <w:highlight w:val="none"/>
        </w:rPr>
        <w:t xml:space="preserve">；</w:t>
      </w:r>
      <w:bookmarkEnd w:id="307"/>
      <w:r>
        <w:rPr>
          <w:rFonts w:hint="eastAsia" w:ascii="宋体" w:hAnsi="宋体"/>
          <w:bCs/>
          <w:color w:val="auto"/>
          <w:szCs w:val="21"/>
          <w:highlight w:val="none"/>
        </w:rPr>
        <w:t xml:space="preserve">如本表单价计算的结果与总价不一致，以单价为准修正总价。</w:t>
      </w:r>
      <w:bookmarkEnd w:id="308"/>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05"/>
      <w:r/>
      <w:bookmarkEnd w:id="306"/>
      <w:r>
        <w:rPr>
          <w:rFonts w:hint="eastAsia" w:ascii="黑体" w:hAnsi="黑体" w:eastAsia="黑体"/>
          <w:color w:val="auto"/>
          <w:sz w:val="28"/>
          <w:szCs w:val="28"/>
          <w:highlight w:val="none"/>
        </w:rPr>
        <w:t xml:space="preserve">九、投标函（给定格式）：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致宜兴市丁蜀镇人民政府 、大洲设计咨询集团有限公司：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我方收到你们本项目（项目编号：JSZC-320282-JSDZ-G2026-0060）招标文件，经仔细阅读和研究，我方决定参加投标。</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9" w:name="_Hlk131935611"/>
      <w:r>
        <w:rPr>
          <w:rFonts w:hint="eastAsia" w:ascii="宋体" w:hAnsi="宋体"/>
          <w:bCs/>
          <w:color w:val="auto"/>
          <w:sz w:val="24"/>
          <w:highlight w:val="none"/>
          <w:lang w:val="zh-CN"/>
        </w:rPr>
        <w:t xml:space="preserve">《项目技术要求偏离表》</w:t>
      </w:r>
      <w:bookmarkEnd w:id="309"/>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bookmarkStart w:id="310" w:name="_Hlk160091472"/>
      <w:r/>
      <w:bookmarkStart w:id="311"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10"/>
      <w:r>
        <w:rPr>
          <w:rFonts w:hint="eastAsia" w:ascii="宋体" w:hAnsi="宋体"/>
          <w:bCs/>
          <w:color w:val="auto"/>
          <w:sz w:val="24"/>
          <w:highlight w:val="none"/>
          <w:lang w:val="zh-CN"/>
        </w:rPr>
        <w:t xml:space="preserve">。</w:t>
      </w:r>
      <w:bookmarkEnd w:id="311"/>
      <w:r/>
      <w:r/>
    </w:p>
    <w:p>
      <w:pPr>
        <w:numPr>
          <w:ilvl w:val="0"/>
          <w:numId w:val="15"/>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12"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12"/>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6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6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bookmarkEnd w:id="272"/>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丁蜀镇2026年污水提升井日常运维服务</w:t>
      </w:r>
      <w:r/>
    </w:p>
    <w:p>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JSZC-320282-JSDZ-G2026-0060</w:t>
      </w:r>
      <w:r/>
    </w:p>
    <w:tbl>
      <w:tblPr>
        <w:tblStyle w:val="76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丁蜀镇2026年污水提升井日常运维服务</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JSZC-320282-JSDZ-G2026-0060</w:t>
      </w:r>
      <w:r/>
    </w:p>
    <w:tbl>
      <w:tblPr>
        <w:tblStyle w:val="76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13"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bookmarkEnd w:id="313"/>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14" w:name="_Hlk164083408"/>
      <w:r>
        <w:rPr>
          <w:rFonts w:hint="eastAsia" w:ascii="宋体" w:hAnsi="宋体"/>
          <w:b/>
          <w:bCs/>
          <w:color w:val="auto"/>
          <w:highlight w:val="none"/>
        </w:rPr>
        <w:t xml:space="preserve">应按招标文件要求配备项目人员及提供相关证明材料，以满足项目的</w:t>
      </w:r>
      <w:bookmarkEnd w:id="314"/>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769"/>
        <w:rPr>
          <w:color w:val="auto"/>
          <w:highlight w:val="none"/>
        </w:rPr>
      </w:pPr>
      <w:r>
        <w:rPr>
          <w:color w:val="auto"/>
          <w:highlight w:val="none"/>
        </w:rPr>
      </w:r>
      <w:r/>
    </w:p>
    <w:p>
      <w:pPr>
        <w:pStyle w:val="775"/>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775"/>
        <w:jc w:val="right"/>
        <w:rPr>
          <w:color w:val="auto"/>
          <w:highlight w:val="none"/>
        </w:rPr>
      </w:pPr>
      <w:r>
        <w:rPr>
          <w:color w:val="auto"/>
          <w:highlight w:val="none"/>
        </w:rPr>
      </w:r>
      <w:r/>
    </w:p>
    <w:p>
      <w:pPr>
        <w:pStyle w:val="775"/>
        <w:jc w:val="right"/>
        <w:rPr>
          <w:color w:val="auto"/>
          <w:highlight w:val="none"/>
        </w:rPr>
      </w:pPr>
      <w:r>
        <w:rPr>
          <w:color w:val="auto"/>
          <w:highlight w:val="none"/>
        </w:rPr>
      </w:r>
      <w:r/>
    </w:p>
    <w:p>
      <w:pPr>
        <w:pStyle w:val="775"/>
        <w:jc w:val="right"/>
        <w:rPr>
          <w:color w:val="auto"/>
          <w:highlight w:val="none"/>
        </w:rPr>
      </w:pPr>
      <w:r>
        <w:rPr>
          <w:color w:val="auto"/>
          <w:highlight w:val="none"/>
        </w:rPr>
      </w:r>
      <w:bookmarkEnd w:id="273"/>
      <w:r/>
    </w:p>
    <w:p>
      <w:pPr>
        <w:pStyle w:val="775"/>
        <w:jc w:val="right"/>
        <w:rPr>
          <w:color w:val="auto"/>
          <w:highlight w:val="none"/>
        </w:rPr>
      </w:pPr>
      <w:r>
        <w:rPr>
          <w:color w:val="auto"/>
          <w:highlight w:val="none"/>
        </w:rPr>
      </w:r>
      <w:r/>
    </w:p>
    <w:p>
      <w:pPr>
        <w:jc w:val="left"/>
        <w:spacing w:line="560" w:lineRule="exact"/>
        <w:rPr>
          <w:rFonts w:ascii="宋体" w:hAnsi="宋体"/>
          <w:color w:val="auto"/>
          <w:highlight w:val="none"/>
        </w:rPr>
      </w:pPr>
      <w:r>
        <w:rPr>
          <w:rFonts w:ascii="宋体" w:hAnsi="宋体"/>
          <w:color w:val="auto"/>
          <w:highlight w:val="none"/>
        </w:rPr>
      </w:r>
      <w:r/>
    </w:p>
    <w:p>
      <w:pPr>
        <w:pStyle w:val="786"/>
        <w:rPr>
          <w:rFonts w:ascii="宋体" w:hAnsi="宋体"/>
          <w:color w:val="auto"/>
          <w:highlight w:val="none"/>
        </w:rPr>
      </w:pPr>
      <w:r>
        <w:rPr>
          <w:rFonts w:ascii="宋体" w:hAnsi="宋体"/>
          <w:color w:val="auto"/>
          <w:highlight w:val="none"/>
        </w:rPr>
      </w:r>
      <w:r/>
    </w:p>
    <w:p>
      <w:pPr>
        <w:ind w:firstLine="560"/>
        <w:jc w:val="left"/>
        <w:spacing w:line="360" w:lineRule="auto"/>
        <w:tabs>
          <w:tab w:val="left" w:pos="255" w:leader="none"/>
        </w:tabs>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jc w:val="left"/>
        <w:spacing w:line="360" w:lineRule="auto"/>
        <w:tabs>
          <w:tab w:val="left" w:pos="255" w:leader="none"/>
        </w:tabs>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jc w:val="left"/>
        <w:spacing w:line="360" w:lineRule="auto"/>
        <w:tabs>
          <w:tab w:val="left" w:pos="255" w:leader="none"/>
        </w:tabs>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15" w:name="_Toc12913"/>
      <w:r/>
      <w:bookmarkStart w:id="316" w:name="_Toc4470"/>
      <w:r/>
      <w:bookmarkStart w:id="317" w:name="_Toc5448"/>
      <w:r/>
      <w:bookmarkStart w:id="318" w:name="_Toc28455"/>
      <w:r/>
      <w:bookmarkStart w:id="319" w:name="_Toc7906"/>
      <w:r/>
      <w:bookmarkStart w:id="320" w:name="_Toc25956"/>
      <w:r/>
      <w:bookmarkStart w:id="321" w:name="_Toc17535"/>
      <w:r/>
      <w:bookmarkStart w:id="322" w:name="_Toc32471"/>
      <w:r>
        <w:rPr>
          <w:rFonts w:hint="eastAsia" w:ascii="黑体" w:hAnsi="黑体" w:eastAsia="黑体"/>
          <w:color w:val="auto"/>
          <w:sz w:val="28"/>
          <w:szCs w:val="21"/>
          <w:highlight w:val="none"/>
          <w:lang w:val="zh-CN"/>
        </w:rPr>
        <w:t xml:space="preserve">技术商务部分评分导读表</w:t>
      </w:r>
      <w:bookmarkEnd w:id="315"/>
      <w:r/>
      <w:bookmarkEnd w:id="316"/>
      <w:r/>
      <w:bookmarkEnd w:id="317"/>
      <w:r/>
      <w:bookmarkEnd w:id="318"/>
      <w:r/>
      <w:bookmarkEnd w:id="319"/>
      <w:r/>
      <w:bookmarkEnd w:id="320"/>
      <w:r/>
      <w:bookmarkEnd w:id="321"/>
      <w:r/>
      <w:bookmarkEnd w:id="322"/>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丁蜀镇2026年污水提升井日常运维服务</w:t>
      </w:r>
      <w:r/>
    </w:p>
    <w:p>
      <w:pPr>
        <w:spacing w:line="360" w:lineRule="auto"/>
        <w:tabs>
          <w:tab w:val="left" w:pos="255" w:leader="none"/>
        </w:tabs>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JSZC-320282-JSDZ-G2026-0060</w:t>
      </w:r>
      <w:r/>
    </w:p>
    <w:tbl>
      <w:tblPr>
        <w:tblStyle w:val="76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86"/>
        <w:rPr>
          <w:rFonts w:ascii="宋体" w:hAnsi="宋体"/>
          <w:color w:val="auto"/>
          <w:highlight w:val="none"/>
        </w:rPr>
      </w:pPr>
      <w:r>
        <w:rPr>
          <w:rFonts w:ascii="宋体" w:hAnsi="宋体"/>
          <w:color w:val="auto"/>
          <w:highlight w:val="none"/>
        </w:rPr>
      </w:r>
      <w:r/>
    </w:p>
    <w:p>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rPr>
        <w:rFonts w:hint="eastAsia" w:ascii="楷体_GB2312" w:eastAsia="楷体_GB2312"/>
        <w:sz w:val="24"/>
        <w:szCs w:val="24"/>
        <w:lang w:eastAsia="zh-CN"/>
      </w:rPr>
    </w:pPr>
    <w:r>
      <w:rPr>
        <w:rFonts w:hint="eastAsia" w:ascii="楷体_GB2312" w:eastAsia="楷体_GB2312"/>
        <w:sz w:val="24"/>
        <w:szCs w:val="24"/>
        <w:lang w:eastAsia="zh-CN"/>
      </w:rPr>
      <w:t xml:space="preserve">大洲设计咨询集团有限公司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t xml:space="preserve">1</w:t>
    </w:r>
    <w:r>
      <w:fldChar w:fldCharType="end"/>
    </w:r>
    <w:r/>
  </w:p>
  <w:p>
    <w:pPr>
      <w:pStyle w:val="77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28</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1"/>
                          </w:pPr>
                          <w:r>
                            <w:fldChar w:fldCharType="begin"/>
                          </w:r>
                          <w:r>
                            <w:instrText xml:space="preserve"> PAGE  \* MERGEFORMAT </w:instrText>
                          </w:r>
                          <w:r>
                            <w:fldChar w:fldCharType="separate"/>
                          </w:r>
                          <w:r>
                            <w:t xml:space="preserve">- 23 -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- 23 -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3"/>
  </w:num>
  <w:num w:numId="5">
    <w:abstractNumId w:val="1"/>
  </w:num>
  <w:num w:numId="6">
    <w:abstractNumId w:val="8"/>
  </w:num>
  <w:num w:numId="7">
    <w:abstractNumId w:val="2"/>
  </w:num>
  <w:num w:numId="8">
    <w:abstractNumId w:val="5"/>
  </w:num>
  <w:num w:numId="9">
    <w:abstractNumId w:val="11"/>
  </w:num>
  <w:num w:numId="10">
    <w:abstractNumId w:val="9"/>
  </w:num>
  <w:num w:numId="11">
    <w:abstractNumId w:val="14"/>
  </w:num>
  <w:num w:numId="12">
    <w:abstractNumId w:val="7"/>
  </w:num>
  <w:num w:numId="13">
    <w:abstractNumId w:val="0"/>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65"/>
    <w:uiPriority w:val="9"/>
    <w:rPr>
      <w:rFonts w:ascii="Arial" w:hAnsi="Arial" w:eastAsia="Arial" w:cs="Arial"/>
      <w:sz w:val="40"/>
      <w:szCs w:val="40"/>
    </w:rPr>
  </w:style>
  <w:style w:type="paragraph" w:styleId="14">
    <w:name w:val="Heading 2"/>
    <w:basedOn w:val="764"/>
    <w:next w:val="7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66"/>
    <w:link w:val="14"/>
    <w:uiPriority w:val="9"/>
    <w:rPr>
      <w:rFonts w:ascii="Arial" w:hAnsi="Arial" w:eastAsia="Arial" w:cs="Arial"/>
      <w:sz w:val="34"/>
    </w:rPr>
  </w:style>
  <w:style w:type="paragraph" w:styleId="16">
    <w:name w:val="Heading 3"/>
    <w:basedOn w:val="764"/>
    <w:next w:val="7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66"/>
    <w:link w:val="16"/>
    <w:uiPriority w:val="9"/>
    <w:rPr>
      <w:rFonts w:ascii="Arial" w:hAnsi="Arial" w:eastAsia="Arial" w:cs="Arial"/>
      <w:sz w:val="30"/>
      <w:szCs w:val="30"/>
    </w:rPr>
  </w:style>
  <w:style w:type="paragraph" w:styleId="18">
    <w:name w:val="Heading 4"/>
    <w:basedOn w:val="764"/>
    <w:next w:val="7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6"/>
    <w:link w:val="18"/>
    <w:uiPriority w:val="9"/>
    <w:rPr>
      <w:rFonts w:ascii="Arial" w:hAnsi="Arial" w:eastAsia="Arial" w:cs="Arial"/>
      <w:b/>
      <w:bCs/>
      <w:sz w:val="26"/>
      <w:szCs w:val="26"/>
    </w:rPr>
  </w:style>
  <w:style w:type="paragraph" w:styleId="20">
    <w:name w:val="Heading 5"/>
    <w:basedOn w:val="764"/>
    <w:next w:val="7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6"/>
    <w:link w:val="20"/>
    <w:uiPriority w:val="9"/>
    <w:rPr>
      <w:rFonts w:ascii="Arial" w:hAnsi="Arial" w:eastAsia="Arial" w:cs="Arial"/>
      <w:b/>
      <w:bCs/>
      <w:sz w:val="24"/>
      <w:szCs w:val="24"/>
    </w:rPr>
  </w:style>
  <w:style w:type="paragraph" w:styleId="22">
    <w:name w:val="Heading 6"/>
    <w:basedOn w:val="764"/>
    <w:next w:val="7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6"/>
    <w:link w:val="22"/>
    <w:uiPriority w:val="9"/>
    <w:rPr>
      <w:rFonts w:ascii="Arial" w:hAnsi="Arial" w:eastAsia="Arial" w:cs="Arial"/>
      <w:b/>
      <w:bCs/>
      <w:sz w:val="22"/>
      <w:szCs w:val="22"/>
    </w:rPr>
  </w:style>
  <w:style w:type="paragraph" w:styleId="24">
    <w:name w:val="Heading 7"/>
    <w:basedOn w:val="764"/>
    <w:next w:val="7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6"/>
    <w:link w:val="24"/>
    <w:uiPriority w:val="9"/>
    <w:rPr>
      <w:rFonts w:ascii="Arial" w:hAnsi="Arial" w:eastAsia="Arial" w:cs="Arial"/>
      <w:b/>
      <w:bCs/>
      <w:i/>
      <w:iCs/>
      <w:sz w:val="22"/>
      <w:szCs w:val="22"/>
    </w:rPr>
  </w:style>
  <w:style w:type="paragraph" w:styleId="26">
    <w:name w:val="Heading 8"/>
    <w:basedOn w:val="764"/>
    <w:next w:val="7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6"/>
    <w:link w:val="26"/>
    <w:uiPriority w:val="9"/>
    <w:rPr>
      <w:rFonts w:ascii="Arial" w:hAnsi="Arial" w:eastAsia="Arial" w:cs="Arial"/>
      <w:i/>
      <w:iCs/>
      <w:sz w:val="22"/>
      <w:szCs w:val="22"/>
    </w:rPr>
  </w:style>
  <w:style w:type="paragraph" w:styleId="28">
    <w:name w:val="Heading 9"/>
    <w:basedOn w:val="764"/>
    <w:next w:val="7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6"/>
    <w:link w:val="28"/>
    <w:uiPriority w:val="9"/>
    <w:rPr>
      <w:rFonts w:ascii="Arial" w:hAnsi="Arial" w:eastAsia="Arial" w:cs="Arial"/>
      <w:i/>
      <w:iCs/>
      <w:sz w:val="21"/>
      <w:szCs w:val="21"/>
    </w:rPr>
  </w:style>
  <w:style w:type="paragraph" w:styleId="30">
    <w:name w:val="List Paragraph"/>
    <w:basedOn w:val="7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4"/>
    <w:next w:val="764"/>
    <w:link w:val="34"/>
    <w:uiPriority w:val="10"/>
    <w:qFormat/>
    <w:pPr>
      <w:contextualSpacing/>
      <w:spacing w:before="300" w:after="200"/>
    </w:pPr>
    <w:rPr>
      <w:sz w:val="48"/>
      <w:szCs w:val="48"/>
    </w:rPr>
  </w:style>
  <w:style w:type="character" w:styleId="34">
    <w:name w:val="Title Char"/>
    <w:basedOn w:val="766"/>
    <w:link w:val="33"/>
    <w:uiPriority w:val="10"/>
    <w:rPr>
      <w:sz w:val="48"/>
      <w:szCs w:val="48"/>
    </w:rPr>
  </w:style>
  <w:style w:type="paragraph" w:styleId="35">
    <w:name w:val="Subtitle"/>
    <w:basedOn w:val="764"/>
    <w:next w:val="764"/>
    <w:link w:val="36"/>
    <w:uiPriority w:val="11"/>
    <w:qFormat/>
    <w:pPr>
      <w:spacing w:before="200" w:after="200"/>
    </w:pPr>
    <w:rPr>
      <w:sz w:val="24"/>
      <w:szCs w:val="24"/>
    </w:rPr>
  </w:style>
  <w:style w:type="character" w:styleId="36">
    <w:name w:val="Subtitle Char"/>
    <w:basedOn w:val="766"/>
    <w:link w:val="35"/>
    <w:uiPriority w:val="11"/>
    <w:rPr>
      <w:sz w:val="24"/>
      <w:szCs w:val="24"/>
    </w:rPr>
  </w:style>
  <w:style w:type="paragraph" w:styleId="37">
    <w:name w:val="Quote"/>
    <w:basedOn w:val="764"/>
    <w:next w:val="764"/>
    <w:link w:val="38"/>
    <w:uiPriority w:val="29"/>
    <w:qFormat/>
    <w:pPr>
      <w:ind w:left="720" w:right="720"/>
    </w:pPr>
    <w:rPr>
      <w:i/>
    </w:rPr>
  </w:style>
  <w:style w:type="character" w:styleId="38">
    <w:name w:val="Quote Char"/>
    <w:link w:val="37"/>
    <w:uiPriority w:val="29"/>
    <w:rPr>
      <w:i/>
    </w:rPr>
  </w:style>
  <w:style w:type="paragraph" w:styleId="39">
    <w:name w:val="Intense Quote"/>
    <w:basedOn w:val="764"/>
    <w:next w:val="7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6"/>
    <w:link w:val="772"/>
    <w:uiPriority w:val="99"/>
  </w:style>
  <w:style w:type="character" w:styleId="44">
    <w:name w:val="Footer Char"/>
    <w:basedOn w:val="766"/>
    <w:link w:val="771"/>
    <w:uiPriority w:val="99"/>
  </w:style>
  <w:style w:type="paragraph" w:styleId="45">
    <w:name w:val="Caption"/>
    <w:basedOn w:val="764"/>
    <w:next w:val="764"/>
    <w:uiPriority w:val="35"/>
    <w:semiHidden/>
    <w:unhideWhenUsed/>
    <w:qFormat/>
    <w:pPr>
      <w:spacing w:line="276" w:lineRule="auto"/>
    </w:pPr>
    <w:rPr>
      <w:b/>
      <w:bCs/>
      <w:color w:val="4f81bd" w:themeColor="accent1"/>
      <w:sz w:val="18"/>
      <w:szCs w:val="18"/>
    </w:rPr>
  </w:style>
  <w:style w:type="character" w:styleId="46">
    <w:name w:val="Caption Char"/>
    <w:basedOn w:val="45"/>
    <w:link w:val="771"/>
    <w:uiPriority w:val="99"/>
  </w:style>
  <w:style w:type="table" w:styleId="48">
    <w:name w:val="Table Grid Light"/>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6"/>
    <w:uiPriority w:val="99"/>
    <w:unhideWhenUsed/>
    <w:rPr>
      <w:vertAlign w:val="superscript"/>
    </w:rPr>
  </w:style>
  <w:style w:type="paragraph" w:styleId="177">
    <w:name w:val="endnote text"/>
    <w:basedOn w:val="7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6"/>
    <w:uiPriority w:val="99"/>
    <w:semiHidden/>
    <w:unhideWhenUsed/>
    <w:rPr>
      <w:vertAlign w:val="superscript"/>
    </w:rPr>
  </w:style>
  <w:style w:type="paragraph" w:styleId="181">
    <w:name w:val="toc 2"/>
    <w:basedOn w:val="764"/>
    <w:next w:val="764"/>
    <w:uiPriority w:val="39"/>
    <w:unhideWhenUsed/>
    <w:pPr>
      <w:ind w:left="283" w:right="0" w:firstLine="0"/>
      <w:spacing w:after="57"/>
    </w:pPr>
  </w:style>
  <w:style w:type="paragraph" w:styleId="182">
    <w:name w:val="toc 3"/>
    <w:basedOn w:val="764"/>
    <w:next w:val="764"/>
    <w:uiPriority w:val="39"/>
    <w:unhideWhenUsed/>
    <w:pPr>
      <w:ind w:left="567" w:right="0" w:firstLine="0"/>
      <w:spacing w:after="57"/>
    </w:pPr>
  </w:style>
  <w:style w:type="paragraph" w:styleId="183">
    <w:name w:val="toc 4"/>
    <w:basedOn w:val="764"/>
    <w:next w:val="764"/>
    <w:uiPriority w:val="39"/>
    <w:unhideWhenUsed/>
    <w:pPr>
      <w:ind w:left="850" w:right="0" w:firstLine="0"/>
      <w:spacing w:after="57"/>
    </w:pPr>
  </w:style>
  <w:style w:type="paragraph" w:styleId="184">
    <w:name w:val="toc 5"/>
    <w:basedOn w:val="764"/>
    <w:next w:val="764"/>
    <w:uiPriority w:val="39"/>
    <w:unhideWhenUsed/>
    <w:pPr>
      <w:ind w:left="1134" w:right="0" w:firstLine="0"/>
      <w:spacing w:after="57"/>
    </w:pPr>
  </w:style>
  <w:style w:type="paragraph" w:styleId="185">
    <w:name w:val="toc 6"/>
    <w:basedOn w:val="764"/>
    <w:next w:val="764"/>
    <w:uiPriority w:val="39"/>
    <w:unhideWhenUsed/>
    <w:pPr>
      <w:ind w:left="1417" w:right="0" w:firstLine="0"/>
      <w:spacing w:after="57"/>
    </w:pPr>
  </w:style>
  <w:style w:type="paragraph" w:styleId="186">
    <w:name w:val="toc 7"/>
    <w:basedOn w:val="764"/>
    <w:next w:val="764"/>
    <w:uiPriority w:val="39"/>
    <w:unhideWhenUsed/>
    <w:pPr>
      <w:ind w:left="1701" w:right="0" w:firstLine="0"/>
      <w:spacing w:after="57"/>
    </w:pPr>
  </w:style>
  <w:style w:type="paragraph" w:styleId="187">
    <w:name w:val="toc 8"/>
    <w:basedOn w:val="764"/>
    <w:next w:val="764"/>
    <w:uiPriority w:val="39"/>
    <w:unhideWhenUsed/>
    <w:pPr>
      <w:ind w:left="1984" w:right="0" w:firstLine="0"/>
      <w:spacing w:after="57"/>
    </w:pPr>
  </w:style>
  <w:style w:type="paragraph" w:styleId="188">
    <w:name w:val="toc 9"/>
    <w:basedOn w:val="764"/>
    <w:next w:val="7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4"/>
    <w:next w:val="764"/>
    <w:uiPriority w:val="99"/>
    <w:unhideWhenUsed/>
    <w:pPr>
      <w:spacing w:after="0" w:afterAutospacing="0"/>
    </w:pPr>
  </w:style>
  <w:style w:type="paragraph" w:styleId="76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65">
    <w:name w:val="Heading 1"/>
    <w:basedOn w:val="764"/>
    <w:next w:val="764"/>
    <w:uiPriority w:val="0"/>
    <w:qFormat/>
    <w:pPr>
      <w:keepLines/>
      <w:keepNext/>
      <w:spacing w:before="340" w:after="330" w:line="578" w:lineRule="auto"/>
      <w:outlineLvl w:val="0"/>
    </w:pPr>
    <w:rPr>
      <w:b/>
      <w:bCs/>
      <w:sz w:val="44"/>
      <w:szCs w:val="44"/>
    </w:rPr>
  </w:style>
  <w:style w:type="character" w:styleId="766" w:default="1">
    <w:name w:val="Default Paragraph Font"/>
    <w:uiPriority w:val="0"/>
    <w:semiHidden/>
  </w:style>
  <w:style w:type="table" w:styleId="767" w:default="1">
    <w:name w:val="Normal Table"/>
    <w:uiPriority w:val="0"/>
    <w:semiHidden/>
    <w:qFormat/>
    <w:tblPr>
      <w:tblCellMar>
        <w:left w:w="108" w:type="dxa"/>
        <w:top w:w="0" w:type="dxa"/>
        <w:right w:w="108" w:type="dxa"/>
        <w:bottom w:w="0" w:type="dxa"/>
      </w:tblCellMar>
    </w:tblPr>
  </w:style>
  <w:style w:type="paragraph" w:styleId="768">
    <w:name w:val="annotation text"/>
    <w:basedOn w:val="764"/>
    <w:uiPriority w:val="0"/>
    <w:qFormat/>
    <w:pPr>
      <w:jc w:val="left"/>
    </w:pPr>
  </w:style>
  <w:style w:type="paragraph" w:styleId="769">
    <w:name w:val="Body Text"/>
    <w:basedOn w:val="764"/>
    <w:uiPriority w:val="0"/>
    <w:qFormat/>
    <w:rPr>
      <w:sz w:val="20"/>
    </w:rPr>
  </w:style>
  <w:style w:type="paragraph" w:styleId="770">
    <w:name w:val="index 4"/>
    <w:basedOn w:val="764"/>
    <w:next w:val="764"/>
    <w:uiPriority w:val="0"/>
    <w:qFormat/>
    <w:pPr>
      <w:ind w:left="600"/>
    </w:pPr>
  </w:style>
  <w:style w:type="paragraph" w:styleId="771">
    <w:name w:val="Footer"/>
    <w:basedOn w:val="764"/>
    <w:uiPriority w:val="99"/>
    <w:qFormat/>
    <w:pPr>
      <w:jc w:val="left"/>
      <w:tabs>
        <w:tab w:val="center" w:pos="4153" w:leader="none"/>
        <w:tab w:val="right" w:pos="8306" w:leader="none"/>
      </w:tabs>
    </w:pPr>
    <w:rPr>
      <w:sz w:val="18"/>
    </w:rPr>
  </w:style>
  <w:style w:type="paragraph" w:styleId="772">
    <w:name w:val="Header"/>
    <w:basedOn w:val="76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3">
    <w:name w:val="toc 1"/>
    <w:basedOn w:val="764"/>
    <w:next w:val="764"/>
    <w:uiPriority w:val="39"/>
    <w:qFormat/>
  </w:style>
  <w:style w:type="paragraph" w:styleId="774">
    <w:name w:val="Normal (Web)"/>
    <w:basedOn w:val="764"/>
    <w:uiPriority w:val="99"/>
    <w:qFormat/>
    <w:pPr>
      <w:jc w:val="left"/>
      <w:spacing w:before="100" w:beforeAutospacing="1" w:after="100" w:afterAutospacing="1"/>
    </w:pPr>
    <w:rPr>
      <w:sz w:val="24"/>
    </w:rPr>
  </w:style>
  <w:style w:type="paragraph" w:styleId="775">
    <w:name w:val="Body Text First Indent"/>
    <w:basedOn w:val="769"/>
    <w:uiPriority w:val="0"/>
    <w:qFormat/>
    <w:pPr>
      <w:ind w:firstLine="420"/>
      <w:spacing w:after="120"/>
      <w:tabs>
        <w:tab w:val="left" w:pos="2020" w:leader="none"/>
        <w:tab w:val="center" w:pos="4535" w:leader="none"/>
      </w:tabs>
    </w:pPr>
    <w:rPr>
      <w:sz w:val="21"/>
    </w:rPr>
  </w:style>
  <w:style w:type="table" w:styleId="776">
    <w:name w:val="Table Grid"/>
    <w:basedOn w:val="7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FollowedHyperlink"/>
    <w:uiPriority w:val="0"/>
    <w:qFormat/>
    <w:rPr>
      <w:color w:val="auto"/>
      <w:u w:val="none"/>
    </w:rPr>
  </w:style>
  <w:style w:type="character" w:styleId="778">
    <w:name w:val="Hyperlink"/>
    <w:uiPriority w:val="99"/>
    <w:unhideWhenUsed/>
    <w:qFormat/>
    <w:rPr>
      <w:color w:val="0563c1"/>
      <w:u w:val="single"/>
    </w:rPr>
  </w:style>
  <w:style w:type="paragraph" w:styleId="779" w:customStyle="1">
    <w:name w:val="普通文字"/>
    <w:basedOn w:val="764"/>
    <w:next w:val="764"/>
    <w:uiPriority w:val="0"/>
    <w:qFormat/>
    <w:rPr>
      <w:rFonts w:ascii="宋体"/>
      <w:sz w:val="24"/>
    </w:rPr>
  </w:style>
  <w:style w:type="paragraph" w:styleId="780"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781" w:customStyle="1">
    <w:name w:val="Table Text"/>
    <w:basedOn w:val="764"/>
    <w:uiPriority w:val="0"/>
    <w:semiHidden/>
    <w:qFormat/>
    <w:rPr>
      <w:rFonts w:ascii="宋体" w:hAnsi="宋体" w:eastAsia="宋体" w:cs="宋体"/>
      <w:sz w:val="24"/>
      <w:szCs w:val="24"/>
      <w:lang w:val="en-US" w:eastAsia="en-US" w:bidi="ar-SA"/>
    </w:rPr>
  </w:style>
  <w:style w:type="table" w:styleId="782" w:customStyle="1">
    <w:name w:val="Table Normal"/>
    <w:uiPriority w:val="0"/>
    <w:unhideWhenUsed/>
    <w:qFormat/>
    <w:tblPr>
      <w:tblCellMar>
        <w:left w:w="0" w:type="dxa"/>
        <w:top w:w="0" w:type="dxa"/>
        <w:right w:w="0" w:type="dxa"/>
        <w:bottom w:w="0" w:type="dxa"/>
      </w:tblCellMar>
    </w:tblPr>
  </w:style>
  <w:style w:type="paragraph" w:styleId="783" w:customStyle="1">
    <w:name w:val="正文缩进1"/>
    <w:basedOn w:val="764"/>
    <w:uiPriority w:val="0"/>
    <w:qFormat/>
    <w:pPr>
      <w:ind w:firstLine="420"/>
      <w:jc w:val="left"/>
    </w:pPr>
    <w:rPr>
      <w:rFonts w:ascii="宋体" w:hAnsi="Calibri"/>
      <w:sz w:val="24"/>
      <w:szCs w:val="22"/>
    </w:rPr>
  </w:style>
  <w:style w:type="paragraph" w:styleId="784" w:customStyle="1">
    <w:name w:val="索引 11"/>
    <w:basedOn w:val="764"/>
    <w:next w:val="764"/>
    <w:uiPriority w:val="0"/>
    <w:qFormat/>
    <w:pPr>
      <w:spacing w:line="360" w:lineRule="auto"/>
    </w:pPr>
    <w:rPr>
      <w:rFonts w:ascii="仿宋_GB2312" w:eastAsia="仿宋_GB2312"/>
      <w:sz w:val="24"/>
    </w:rPr>
  </w:style>
  <w:style w:type="paragraph" w:styleId="785" w:customStyle="1">
    <w:name w:val="纯文本1"/>
    <w:basedOn w:val="764"/>
    <w:uiPriority w:val="0"/>
    <w:qFormat/>
    <w:rPr>
      <w:rFonts w:ascii="宋体" w:hAnsi="Courier New"/>
      <w:szCs w:val="22"/>
    </w:rPr>
  </w:style>
  <w:style w:type="paragraph" w:styleId="786" w:customStyle="1">
    <w:name w:val="Default"/>
    <w:uiPriority w:val="0"/>
    <w:qFormat/>
    <w:pPr>
      <w:widowControl w:val="off"/>
    </w:pPr>
    <w:rPr>
      <w:rFonts w:hint="default" w:ascii="宋体" w:hAnsi="Calibri" w:eastAsia="宋体" w:cs="宋体"/>
      <w:color w:val="000000"/>
      <w:sz w:val="24"/>
      <w:szCs w:val="24"/>
      <w:lang w:val="en-US" w:eastAsia="zh-CN" w:bidi="ar-SA"/>
    </w:rPr>
  </w:style>
  <w:style w:type="numbering" w:styleId="166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宜兴分公司</cp:lastModifiedBy>
  <cp:revision>1</cp:revision>
  <dcterms:created xsi:type="dcterms:W3CDTF">2022-06-20T01:23:00Z</dcterms:created>
  <dcterms:modified xsi:type="dcterms:W3CDTF">2026-08-31T07:13:20Z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583E8D5E4D324AE2B779D61C6134087E</vt:lpwstr>
  </property>
  <property fmtid="{D5CDD505-2E9C-101B-9397-08002B2CF9AE}" pid="4" name="KSOTemplateDocerSaveRecord">
    <vt:lpwstr>eyJoZGlkIjoiODNlM2RlM2IwNDFhYjcwYjYwZDA0ZTY3ODdhYWE4MjIiLCJ1c2VySWQiOiI2NDg1OTIwNzMifQ==</vt:lpwstr>
  </property>
</Properties>
</file>