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8654D">
      <w:pPr>
        <w:pStyle w:val="17"/>
        <w:rPr>
          <w:rFonts w:ascii="Times New Roman"/>
          <w:color w:val="auto"/>
          <w:sz w:val="20"/>
          <w:highlight w:val="none"/>
          <w:lang w:val="en-US"/>
        </w:rPr>
      </w:pPr>
      <w:bookmarkStart w:id="81" w:name="_GoBack"/>
    </w:p>
    <w:p w14:paraId="21D7634B">
      <w:pPr>
        <w:pStyle w:val="17"/>
        <w:rPr>
          <w:rFonts w:ascii="Times New Roman"/>
          <w:color w:val="auto"/>
          <w:sz w:val="20"/>
          <w:highlight w:val="none"/>
        </w:rPr>
      </w:pPr>
    </w:p>
    <w:p w14:paraId="5A867968">
      <w:pPr>
        <w:pStyle w:val="17"/>
        <w:rPr>
          <w:rFonts w:ascii="Times New Roman"/>
          <w:color w:val="auto"/>
          <w:sz w:val="20"/>
          <w:highlight w:val="none"/>
        </w:rPr>
      </w:pPr>
    </w:p>
    <w:p w14:paraId="477AE801">
      <w:pPr>
        <w:pStyle w:val="17"/>
        <w:rPr>
          <w:rFonts w:ascii="Times New Roman"/>
          <w:color w:val="auto"/>
          <w:sz w:val="20"/>
          <w:highlight w:val="none"/>
        </w:rPr>
      </w:pPr>
    </w:p>
    <w:p w14:paraId="2068B619">
      <w:pPr>
        <w:pStyle w:val="17"/>
        <w:rPr>
          <w:rFonts w:ascii="Times New Roman"/>
          <w:color w:val="auto"/>
          <w:sz w:val="20"/>
          <w:highlight w:val="none"/>
        </w:rPr>
      </w:pPr>
    </w:p>
    <w:p w14:paraId="31FA62FC">
      <w:pPr>
        <w:pStyle w:val="17"/>
        <w:rPr>
          <w:rFonts w:ascii="Times New Roman"/>
          <w:color w:val="auto"/>
          <w:sz w:val="20"/>
          <w:highlight w:val="none"/>
        </w:rPr>
      </w:pPr>
    </w:p>
    <w:p w14:paraId="522CBCC5">
      <w:pPr>
        <w:pStyle w:val="17"/>
        <w:spacing w:before="4"/>
        <w:rPr>
          <w:rFonts w:ascii="Times New Roman"/>
          <w:color w:val="auto"/>
          <w:sz w:val="17"/>
          <w:highlight w:val="none"/>
        </w:rPr>
      </w:pPr>
    </w:p>
    <w:p w14:paraId="4BE7394C">
      <w:pPr>
        <w:spacing w:line="1241" w:lineRule="exact"/>
        <w:ind w:right="451"/>
        <w:jc w:val="center"/>
        <w:rPr>
          <w:color w:val="auto"/>
          <w:sz w:val="100"/>
          <w:highlight w:val="none"/>
        </w:rPr>
      </w:pPr>
      <w:r>
        <w:rPr>
          <w:color w:val="auto"/>
          <w:sz w:val="100"/>
          <w:highlight w:val="none"/>
        </w:rPr>
        <w:t>公开招标文件</w:t>
      </w:r>
    </w:p>
    <w:p w14:paraId="7378DDDC">
      <w:pPr>
        <w:pStyle w:val="17"/>
        <w:rPr>
          <w:color w:val="auto"/>
          <w:sz w:val="100"/>
          <w:highlight w:val="none"/>
        </w:rPr>
      </w:pPr>
    </w:p>
    <w:p w14:paraId="54CF2973">
      <w:pPr>
        <w:spacing w:before="760"/>
        <w:ind w:left="1046" w:firstLine="440"/>
        <w:rPr>
          <w:rFonts w:hint="default" w:eastAsia="宋体"/>
          <w:color w:val="auto"/>
          <w:sz w:val="44"/>
          <w:highlight w:val="none"/>
          <w:lang w:val="en-US" w:eastAsia="zh-CN"/>
        </w:rPr>
      </w:pPr>
      <w:r>
        <w:rPr>
          <w:color w:val="auto"/>
          <w:sz w:val="44"/>
          <w:highlight w:val="none"/>
        </w:rPr>
        <w:t>项目编号：</w:t>
      </w:r>
      <w:r>
        <w:rPr>
          <w:rFonts w:hint="eastAsia"/>
          <w:color w:val="auto"/>
          <w:sz w:val="44"/>
          <w:highlight w:val="none"/>
          <w:lang w:eastAsia="zh-CN"/>
        </w:rPr>
        <w:t>JSZC-320000-JSSZ-G2026-0036</w:t>
      </w:r>
    </w:p>
    <w:p w14:paraId="35A94ACD">
      <w:pPr>
        <w:pStyle w:val="17"/>
        <w:spacing w:before="6"/>
        <w:rPr>
          <w:color w:val="auto"/>
          <w:sz w:val="53"/>
          <w:highlight w:val="none"/>
        </w:rPr>
      </w:pPr>
    </w:p>
    <w:p w14:paraId="4349D6BC">
      <w:pPr>
        <w:spacing w:line="590" w:lineRule="exact"/>
        <w:ind w:left="3400" w:hanging="2080"/>
        <w:jc w:val="both"/>
        <w:rPr>
          <w:rFonts w:hint="eastAsia" w:eastAsia="宋体"/>
          <w:color w:val="auto"/>
          <w:spacing w:val="-12"/>
          <w:sz w:val="44"/>
          <w:highlight w:val="none"/>
          <w:lang w:eastAsia="zh-CN"/>
        </w:rPr>
      </w:pPr>
      <w:r>
        <w:rPr>
          <w:color w:val="auto"/>
          <w:spacing w:val="-12"/>
          <w:sz w:val="44"/>
          <w:highlight w:val="none"/>
        </w:rPr>
        <w:t>项目名称：</w:t>
      </w:r>
      <w:r>
        <w:rPr>
          <w:rFonts w:hint="eastAsia"/>
          <w:color w:val="auto"/>
          <w:spacing w:val="-12"/>
          <w:sz w:val="44"/>
          <w:highlight w:val="none"/>
          <w:lang w:eastAsia="zh-CN"/>
        </w:rPr>
        <w:t>扬州中国大运河博物馆景迈山古茶林文化遗产展览设计制作服务</w:t>
      </w:r>
    </w:p>
    <w:p w14:paraId="0DE423D4">
      <w:pPr>
        <w:spacing w:line="266" w:lineRule="auto"/>
        <w:ind w:left="3194" w:right="1334" w:hanging="2149"/>
        <w:jc w:val="both"/>
        <w:rPr>
          <w:color w:val="auto"/>
          <w:sz w:val="44"/>
          <w:highlight w:val="none"/>
        </w:rPr>
      </w:pPr>
    </w:p>
    <w:p w14:paraId="77A24A35">
      <w:pPr>
        <w:pStyle w:val="17"/>
        <w:rPr>
          <w:color w:val="auto"/>
          <w:sz w:val="44"/>
          <w:highlight w:val="none"/>
        </w:rPr>
      </w:pPr>
    </w:p>
    <w:p w14:paraId="5781142E">
      <w:pPr>
        <w:pStyle w:val="17"/>
        <w:rPr>
          <w:color w:val="auto"/>
          <w:sz w:val="44"/>
          <w:highlight w:val="none"/>
        </w:rPr>
      </w:pPr>
    </w:p>
    <w:p w14:paraId="00820CB2">
      <w:pPr>
        <w:pStyle w:val="17"/>
        <w:rPr>
          <w:color w:val="auto"/>
          <w:sz w:val="44"/>
          <w:highlight w:val="none"/>
        </w:rPr>
      </w:pPr>
    </w:p>
    <w:p w14:paraId="643A9E7C">
      <w:pPr>
        <w:pStyle w:val="17"/>
        <w:rPr>
          <w:color w:val="auto"/>
          <w:sz w:val="44"/>
          <w:highlight w:val="none"/>
        </w:rPr>
      </w:pPr>
    </w:p>
    <w:p w14:paraId="42357337">
      <w:pPr>
        <w:spacing w:before="373"/>
        <w:ind w:firstLine="1280"/>
        <w:rPr>
          <w:rFonts w:hint="eastAsia" w:eastAsia="宋体"/>
          <w:color w:val="auto"/>
          <w:sz w:val="32"/>
          <w:highlight w:val="none"/>
          <w:lang w:eastAsia="zh-CN"/>
        </w:rPr>
      </w:pPr>
      <w:r>
        <w:rPr>
          <w:color w:val="auto"/>
          <w:sz w:val="32"/>
          <w:highlight w:val="none"/>
        </w:rPr>
        <w:t>采 购 人：</w:t>
      </w:r>
      <w:r>
        <w:rPr>
          <w:rFonts w:hint="eastAsia"/>
          <w:color w:val="auto"/>
          <w:sz w:val="32"/>
          <w:highlight w:val="none"/>
          <w:lang w:eastAsia="zh-CN"/>
        </w:rPr>
        <w:t>扬州中国大运河博物馆</w:t>
      </w:r>
    </w:p>
    <w:p w14:paraId="7EDA86B4">
      <w:pPr>
        <w:spacing w:before="214"/>
        <w:ind w:firstLine="1280"/>
        <w:rPr>
          <w:color w:val="auto"/>
          <w:sz w:val="32"/>
          <w:highlight w:val="none"/>
        </w:rPr>
      </w:pPr>
      <w:r>
        <w:rPr>
          <w:color w:val="auto"/>
          <w:sz w:val="32"/>
          <w:highlight w:val="none"/>
        </w:rPr>
        <w:t>招标代理：江苏苏咨工程咨询有限责任公司</w:t>
      </w:r>
    </w:p>
    <w:p w14:paraId="56121A18">
      <w:pPr>
        <w:spacing w:before="373"/>
        <w:ind w:firstLine="1280"/>
        <w:jc w:val="center"/>
        <w:rPr>
          <w:rFonts w:hint="eastAsia" w:ascii="宋体" w:hAnsi="宋体" w:eastAsia="宋体" w:cs="宋体"/>
          <w:color w:val="auto"/>
          <w:sz w:val="32"/>
          <w:highlight w:val="none"/>
          <w:lang w:eastAsia="zh-CN"/>
        </w:rPr>
      </w:pPr>
      <w:bookmarkStart w:id="0" w:name="_Toc15862"/>
      <w:r>
        <w:rPr>
          <w:rFonts w:hint="eastAsia" w:ascii="宋体" w:hAnsi="宋体" w:eastAsia="宋体" w:cs="宋体"/>
          <w:color w:val="auto"/>
          <w:sz w:val="32"/>
          <w:highlight w:val="none"/>
          <w:lang w:eastAsia="zh-CN"/>
        </w:rPr>
        <w:t xml:space="preserve">二 〇 二 </w:t>
      </w:r>
      <w:r>
        <w:rPr>
          <w:rFonts w:hint="eastAsia" w:cs="宋体"/>
          <w:color w:val="auto"/>
          <w:sz w:val="32"/>
          <w:highlight w:val="none"/>
          <w:lang w:val="en-US" w:eastAsia="zh-CN"/>
        </w:rPr>
        <w:t>六</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lang w:eastAsia="zh-CN"/>
        </w:rPr>
        <w:t>年</w:t>
      </w:r>
      <w:r>
        <w:rPr>
          <w:rFonts w:hint="eastAsia" w:cs="宋体"/>
          <w:color w:val="auto"/>
          <w:sz w:val="32"/>
          <w:highlight w:val="none"/>
          <w:lang w:val="en-US" w:eastAsia="zh-CN"/>
        </w:rPr>
        <w:t xml:space="preserve"> 八 </w:t>
      </w:r>
      <w:r>
        <w:rPr>
          <w:rFonts w:hint="eastAsia" w:ascii="宋体" w:hAnsi="宋体" w:eastAsia="宋体" w:cs="宋体"/>
          <w:color w:val="auto"/>
          <w:sz w:val="32"/>
          <w:highlight w:val="none"/>
          <w:lang w:eastAsia="zh-CN"/>
        </w:rPr>
        <w:t>月</w:t>
      </w:r>
    </w:p>
    <w:bookmarkEnd w:id="0"/>
    <w:p w14:paraId="087019E7">
      <w:pPr>
        <w:jc w:val="center"/>
        <w:rPr>
          <w:color w:val="auto"/>
          <w:sz w:val="32"/>
          <w:highlight w:val="none"/>
        </w:rPr>
        <w:sectPr>
          <w:footerReference r:id="rId3" w:type="default"/>
          <w:pgSz w:w="11910" w:h="16840"/>
          <w:pgMar w:top="1418" w:right="1100" w:bottom="1418" w:left="1100" w:header="720" w:footer="1189" w:gutter="0"/>
          <w:pgNumType w:start="1"/>
          <w:cols w:space="720" w:num="1"/>
          <w:docGrid w:linePitch="360" w:charSpace="0"/>
        </w:sectPr>
      </w:pPr>
    </w:p>
    <w:p w14:paraId="41BD4DA4">
      <w:pPr>
        <w:numPr>
          <w:ilvl w:val="0"/>
          <w:numId w:val="3"/>
        </w:numPr>
        <w:tabs>
          <w:tab w:val="left" w:pos="1447"/>
        </w:tabs>
        <w:spacing w:line="567" w:lineRule="exact"/>
        <w:ind w:right="452"/>
        <w:jc w:val="center"/>
        <w:outlineLvl w:val="0"/>
        <w:rPr>
          <w:rFonts w:hint="eastAsia" w:asciiTheme="majorEastAsia" w:hAnsiTheme="majorEastAsia" w:eastAsiaTheme="majorEastAsia" w:cstheme="majorEastAsia"/>
          <w:b/>
          <w:color w:val="auto"/>
          <w:sz w:val="36"/>
          <w:highlight w:val="none"/>
        </w:rPr>
      </w:pPr>
      <w:r>
        <w:rPr>
          <w:rFonts w:hint="eastAsia" w:asciiTheme="majorEastAsia" w:hAnsiTheme="majorEastAsia" w:eastAsiaTheme="majorEastAsia" w:cstheme="majorEastAsia"/>
          <w:b/>
          <w:color w:val="auto"/>
          <w:sz w:val="36"/>
          <w:highlight w:val="none"/>
          <w:lang w:val="en-US"/>
        </w:rPr>
        <w:t xml:space="preserve"> </w:t>
      </w:r>
      <w:r>
        <w:rPr>
          <w:rFonts w:hint="eastAsia" w:asciiTheme="majorEastAsia" w:hAnsiTheme="majorEastAsia" w:eastAsiaTheme="majorEastAsia" w:cstheme="majorEastAsia"/>
          <w:b/>
          <w:color w:val="auto"/>
          <w:sz w:val="36"/>
          <w:highlight w:val="none"/>
        </w:rPr>
        <w:t>招标公告</w:t>
      </w:r>
    </w:p>
    <w:p w14:paraId="1299A0B1">
      <w:pPr>
        <w:pBdr>
          <w:top w:val="single" w:color="auto" w:sz="4" w:space="1"/>
          <w:left w:val="single" w:color="auto" w:sz="4" w:space="4"/>
          <w:bottom w:val="single" w:color="auto" w:sz="4" w:space="1"/>
          <w:right w:val="single" w:color="auto" w:sz="4" w:space="4"/>
        </w:pBdr>
        <w:spacing w:line="360" w:lineRule="auto"/>
        <w:ind w:firstLine="560"/>
        <w:rPr>
          <w:rFonts w:ascii="仿宋" w:hAnsi="仿宋" w:eastAsia="仿宋"/>
          <w:bCs/>
          <w:color w:val="auto"/>
          <w:sz w:val="28"/>
          <w:szCs w:val="28"/>
          <w:highlight w:val="none"/>
          <w:u w:val="single"/>
        </w:rPr>
      </w:pPr>
      <w:r>
        <w:rPr>
          <w:rFonts w:hint="eastAsia" w:ascii="仿宋" w:hAnsi="仿宋" w:eastAsia="仿宋" w:cs="仿宋"/>
          <w:color w:val="auto"/>
          <w:sz w:val="28"/>
          <w:szCs w:val="28"/>
          <w:highlight w:val="none"/>
          <w:lang w:val="en-US" w:bidi="ar-SA"/>
        </w:rPr>
        <w:t>项目概况</w:t>
      </w:r>
    </w:p>
    <w:p w14:paraId="1BCFD737">
      <w:pPr>
        <w:pBdr>
          <w:top w:val="single" w:color="auto" w:sz="4" w:space="1"/>
          <w:left w:val="single" w:color="auto" w:sz="4" w:space="4"/>
          <w:bottom w:val="single" w:color="auto" w:sz="4" w:space="1"/>
          <w:right w:val="single" w:color="auto" w:sz="4" w:space="4"/>
        </w:pBdr>
        <w:spacing w:line="360" w:lineRule="auto"/>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u w:val="single"/>
          <w:lang w:eastAsia="zh-CN"/>
        </w:rPr>
        <w:t>扬州中国大运河博物馆景迈山古茶林文化遗产展览设计制作服务</w:t>
      </w:r>
      <w:r>
        <w:rPr>
          <w:rFonts w:hint="eastAsia" w:ascii="仿宋" w:hAnsi="仿宋" w:eastAsia="仿宋"/>
          <w:color w:val="auto"/>
          <w:sz w:val="28"/>
          <w:szCs w:val="28"/>
          <w:highlight w:val="none"/>
        </w:rPr>
        <w:t>的潜在投标人应在</w:t>
      </w:r>
      <w:r>
        <w:rPr>
          <w:rFonts w:hint="eastAsia" w:ascii="Times New Roman" w:hAnsi="Times New Roman" w:eastAsia="仿宋" w:cs="仿宋"/>
          <w:color w:val="auto"/>
          <w:sz w:val="28"/>
          <w:szCs w:val="28"/>
          <w:highlight w:val="none"/>
          <w:u w:val="single"/>
          <w:lang w:bidi="ar-SA"/>
        </w:rPr>
        <w:t>江苏政府采购网“苏采云”系统</w:t>
      </w:r>
      <w:r>
        <w:rPr>
          <w:rFonts w:hint="eastAsia" w:ascii="Times New Roman" w:hAnsi="Times New Roman" w:eastAsia="仿宋"/>
          <w:color w:val="auto"/>
          <w:sz w:val="28"/>
          <w:szCs w:val="28"/>
          <w:highlight w:val="none"/>
        </w:rPr>
        <w:t>获取招标文件</w:t>
      </w:r>
      <w:r>
        <w:rPr>
          <w:rFonts w:hint="eastAsia" w:ascii="仿宋" w:hAnsi="仿宋" w:eastAsia="仿宋"/>
          <w:color w:val="auto"/>
          <w:sz w:val="28"/>
          <w:szCs w:val="28"/>
          <w:highlight w:val="none"/>
        </w:rPr>
        <w:t>，并于</w:t>
      </w:r>
      <w:r>
        <w:rPr>
          <w:rFonts w:hint="eastAsia" w:ascii="仿宋" w:hAnsi="仿宋" w:eastAsia="仿宋"/>
          <w:color w:val="auto"/>
          <w:sz w:val="28"/>
          <w:szCs w:val="28"/>
          <w:highlight w:val="none"/>
          <w:u w:val="single"/>
          <w:lang w:val="en-US"/>
        </w:rPr>
        <w:t>202</w:t>
      </w:r>
      <w:r>
        <w:rPr>
          <w:rFonts w:hint="eastAsia" w:ascii="仿宋" w:hAnsi="仿宋" w:eastAsia="仿宋"/>
          <w:color w:val="auto"/>
          <w:sz w:val="28"/>
          <w:szCs w:val="28"/>
          <w:highlight w:val="none"/>
          <w:u w:val="single"/>
          <w:lang w:val="en-US" w:eastAsia="zh-CN"/>
        </w:rPr>
        <w:t>6</w:t>
      </w:r>
      <w:r>
        <w:rPr>
          <w:rFonts w:hint="eastAsia" w:ascii="仿宋" w:hAnsi="仿宋" w:eastAsia="仿宋"/>
          <w:bCs/>
          <w:color w:val="auto"/>
          <w:sz w:val="28"/>
          <w:szCs w:val="28"/>
          <w:highlight w:val="none"/>
          <w:u w:val="single"/>
        </w:rPr>
        <w:t>年</w:t>
      </w:r>
      <w:r>
        <w:rPr>
          <w:rFonts w:hint="eastAsia" w:ascii="仿宋" w:hAnsi="仿宋" w:eastAsia="仿宋"/>
          <w:bCs/>
          <w:color w:val="auto"/>
          <w:sz w:val="28"/>
          <w:szCs w:val="28"/>
          <w:highlight w:val="none"/>
          <w:u w:val="single"/>
          <w:lang w:val="en-US" w:eastAsia="zh-CN"/>
        </w:rPr>
        <w:t>9</w:t>
      </w:r>
      <w:r>
        <w:rPr>
          <w:rFonts w:hint="eastAsia" w:ascii="仿宋" w:hAnsi="仿宋" w:eastAsia="仿宋"/>
          <w:bCs/>
          <w:color w:val="auto"/>
          <w:sz w:val="28"/>
          <w:szCs w:val="28"/>
          <w:highlight w:val="none"/>
          <w:u w:val="single"/>
        </w:rPr>
        <w:t>月</w:t>
      </w:r>
      <w:r>
        <w:rPr>
          <w:rFonts w:hint="eastAsia" w:ascii="仿宋" w:hAnsi="仿宋" w:eastAsia="仿宋"/>
          <w:bCs/>
          <w:color w:val="auto"/>
          <w:sz w:val="28"/>
          <w:szCs w:val="28"/>
          <w:highlight w:val="none"/>
          <w:u w:val="single"/>
          <w:lang w:val="en-US" w:eastAsia="zh-CN"/>
        </w:rPr>
        <w:t>3日10</w:t>
      </w:r>
      <w:r>
        <w:rPr>
          <w:rFonts w:hint="eastAsia" w:ascii="仿宋" w:hAnsi="仿宋" w:eastAsia="仿宋"/>
          <w:bCs/>
          <w:color w:val="auto"/>
          <w:sz w:val="28"/>
          <w:szCs w:val="28"/>
          <w:highlight w:val="none"/>
          <w:u w:val="single"/>
        </w:rPr>
        <w:t>点</w:t>
      </w:r>
      <w:r>
        <w:rPr>
          <w:rFonts w:hint="eastAsia" w:ascii="仿宋" w:hAnsi="仿宋" w:eastAsia="仿宋"/>
          <w:bCs/>
          <w:color w:val="auto"/>
          <w:sz w:val="28"/>
          <w:szCs w:val="28"/>
          <w:highlight w:val="none"/>
          <w:u w:val="single"/>
          <w:lang w:val="en-US" w:eastAsia="zh-CN"/>
        </w:rPr>
        <w:t>00</w:t>
      </w:r>
      <w:r>
        <w:rPr>
          <w:rFonts w:hint="eastAsia" w:ascii="仿宋" w:hAnsi="仿宋" w:eastAsia="仿宋"/>
          <w:bCs/>
          <w:color w:val="auto"/>
          <w:sz w:val="28"/>
          <w:szCs w:val="28"/>
          <w:highlight w:val="none"/>
          <w:u w:val="single"/>
        </w:rPr>
        <w:t>分</w:t>
      </w:r>
      <w:r>
        <w:rPr>
          <w:rFonts w:hint="eastAsia" w:ascii="仿宋" w:hAnsi="仿宋" w:eastAsia="仿宋"/>
          <w:bCs/>
          <w:color w:val="auto"/>
          <w:sz w:val="28"/>
          <w:szCs w:val="28"/>
          <w:highlight w:val="none"/>
          <w:u w:val="single"/>
        </w:rPr>
        <w:t>（</w:t>
      </w:r>
      <w:r>
        <w:rPr>
          <w:rFonts w:hint="eastAsia" w:ascii="仿宋" w:hAnsi="仿宋" w:eastAsia="仿宋"/>
          <w:bCs/>
          <w:color w:val="auto"/>
          <w:sz w:val="28"/>
          <w:szCs w:val="28"/>
          <w:highlight w:val="none"/>
        </w:rPr>
        <w:t>北京时间）前递交投标</w:t>
      </w:r>
      <w:r>
        <w:rPr>
          <w:rFonts w:ascii="仿宋" w:hAnsi="仿宋" w:eastAsia="仿宋"/>
          <w:bCs/>
          <w:color w:val="auto"/>
          <w:sz w:val="28"/>
          <w:szCs w:val="28"/>
          <w:highlight w:val="none"/>
        </w:rPr>
        <w:t>文件</w:t>
      </w:r>
      <w:r>
        <w:rPr>
          <w:rFonts w:hint="eastAsia" w:ascii="仿宋" w:hAnsi="仿宋" w:eastAsia="仿宋"/>
          <w:color w:val="auto"/>
          <w:sz w:val="28"/>
          <w:szCs w:val="28"/>
          <w:highlight w:val="none"/>
        </w:rPr>
        <w:t>。</w:t>
      </w:r>
    </w:p>
    <w:p w14:paraId="75EC3363">
      <w:pPr>
        <w:spacing w:line="360" w:lineRule="auto"/>
        <w:ind w:firstLine="560"/>
        <w:rPr>
          <w:rFonts w:ascii="仿宋" w:hAnsi="仿宋" w:eastAsia="仿宋"/>
          <w:color w:val="auto"/>
          <w:sz w:val="28"/>
          <w:szCs w:val="28"/>
          <w:highlight w:val="none"/>
        </w:rPr>
      </w:pPr>
    </w:p>
    <w:p w14:paraId="142D1477">
      <w:pPr>
        <w:pStyle w:val="3"/>
        <w:keepNext w:val="0"/>
        <w:keepLines w:val="0"/>
        <w:pageBreakBefore w:val="0"/>
        <w:spacing w:line="360" w:lineRule="auto"/>
        <w:ind w:left="0"/>
        <w:rPr>
          <w:rFonts w:hint="eastAsia" w:eastAsia="仿宋"/>
          <w:b/>
          <w:color w:val="auto"/>
          <w:sz w:val="28"/>
          <w:szCs w:val="28"/>
          <w:highlight w:val="none"/>
        </w:rPr>
      </w:pPr>
      <w:r>
        <w:rPr>
          <w:rFonts w:hint="eastAsia" w:eastAsia="仿宋"/>
          <w:b/>
          <w:color w:val="auto"/>
          <w:sz w:val="28"/>
          <w:szCs w:val="28"/>
          <w:highlight w:val="none"/>
        </w:rPr>
        <w:t>一、项目基本情况</w:t>
      </w:r>
    </w:p>
    <w:p w14:paraId="594BD3D3">
      <w:pPr>
        <w:keepNext w:val="0"/>
        <w:keepLines w:val="0"/>
        <w:pageBreakBefore w:val="0"/>
        <w:spacing w:line="360" w:lineRule="auto"/>
        <w:ind w:firstLine="560"/>
        <w:jc w:val="both"/>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lang w:eastAsia="zh-CN"/>
        </w:rPr>
        <w:t>JSZC-320000-JSSZ-G2026-0036</w:t>
      </w:r>
    </w:p>
    <w:p w14:paraId="51321AAC">
      <w:pPr>
        <w:keepNext w:val="0"/>
        <w:keepLines w:val="0"/>
        <w:pageBreakBefore w:val="0"/>
        <w:spacing w:line="360" w:lineRule="auto"/>
        <w:ind w:firstLine="560"/>
        <w:jc w:val="both"/>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项目名称：</w:t>
      </w:r>
      <w:r>
        <w:rPr>
          <w:rFonts w:hint="eastAsia" w:ascii="仿宋" w:hAnsi="仿宋" w:eastAsia="仿宋"/>
          <w:color w:val="auto"/>
          <w:sz w:val="28"/>
          <w:szCs w:val="28"/>
          <w:highlight w:val="none"/>
          <w:lang w:eastAsia="zh-CN"/>
        </w:rPr>
        <w:t>扬州中国大运河博物馆景迈山古茶林文化遗产展览设计制作服务</w:t>
      </w:r>
    </w:p>
    <w:p w14:paraId="22937844">
      <w:pPr>
        <w:keepNext w:val="0"/>
        <w:keepLines w:val="0"/>
        <w:pageBreakBefore w:val="0"/>
        <w:spacing w:line="360" w:lineRule="auto"/>
        <w:ind w:firstLine="560"/>
        <w:jc w:val="both"/>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预算金额：</w:t>
      </w:r>
      <w:r>
        <w:rPr>
          <w:rFonts w:hint="eastAsia" w:ascii="仿宋" w:hAnsi="仿宋" w:eastAsia="仿宋"/>
          <w:color w:val="auto"/>
          <w:sz w:val="28"/>
          <w:szCs w:val="28"/>
          <w:highlight w:val="none"/>
          <w:lang w:val="en-US" w:eastAsia="zh-CN"/>
        </w:rPr>
        <w:t>140万元（含税）</w:t>
      </w:r>
    </w:p>
    <w:p w14:paraId="7AB01ABE">
      <w:pPr>
        <w:keepNext w:val="0"/>
        <w:keepLines w:val="0"/>
        <w:pageBreakBefore w:val="0"/>
        <w:spacing w:line="360" w:lineRule="auto"/>
        <w:ind w:firstLine="560"/>
        <w:jc w:val="both"/>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最高限价：</w:t>
      </w:r>
      <w:r>
        <w:rPr>
          <w:rFonts w:hint="eastAsia" w:ascii="仿宋" w:hAnsi="仿宋" w:eastAsia="仿宋"/>
          <w:color w:val="auto"/>
          <w:sz w:val="28"/>
          <w:szCs w:val="28"/>
          <w:highlight w:val="none"/>
          <w:lang w:val="en-US" w:eastAsia="zh-CN"/>
        </w:rPr>
        <w:t>140万元（含税）</w:t>
      </w:r>
    </w:p>
    <w:p w14:paraId="6864A698">
      <w:pPr>
        <w:keepNext w:val="0"/>
        <w:keepLines w:val="0"/>
        <w:pageBreakBefore w:val="0"/>
        <w:spacing w:line="360" w:lineRule="auto"/>
        <w:ind w:firstLine="560"/>
        <w:jc w:val="both"/>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采购需求：</w:t>
      </w:r>
      <w:r>
        <w:rPr>
          <w:rFonts w:hint="eastAsia" w:ascii="仿宋" w:hAnsi="仿宋" w:eastAsia="仿宋"/>
          <w:color w:val="auto"/>
          <w:sz w:val="28"/>
          <w:szCs w:val="28"/>
          <w:highlight w:val="none"/>
          <w:lang w:eastAsia="zh-CN"/>
        </w:rPr>
        <w:t>本项目为扬州</w:t>
      </w:r>
      <w:r>
        <w:rPr>
          <w:rFonts w:hint="eastAsia" w:ascii="仿宋" w:hAnsi="仿宋" w:eastAsia="仿宋"/>
          <w:color w:val="auto"/>
          <w:sz w:val="28"/>
          <w:szCs w:val="28"/>
          <w:highlight w:val="none"/>
          <w:lang w:val="en-US" w:eastAsia="zh-CN"/>
        </w:rPr>
        <w:t>中国</w:t>
      </w:r>
      <w:r>
        <w:rPr>
          <w:rFonts w:hint="eastAsia" w:ascii="仿宋" w:hAnsi="仿宋" w:eastAsia="仿宋"/>
          <w:color w:val="auto"/>
          <w:sz w:val="28"/>
          <w:szCs w:val="28"/>
          <w:highlight w:val="none"/>
          <w:lang w:eastAsia="zh-CN"/>
        </w:rPr>
        <w:t>大运河博物馆</w:t>
      </w:r>
      <w:r>
        <w:rPr>
          <w:rFonts w:hint="eastAsia" w:ascii="仿宋" w:hAnsi="仿宋" w:eastAsia="仿宋"/>
          <w:color w:val="auto"/>
          <w:sz w:val="28"/>
          <w:szCs w:val="28"/>
          <w:highlight w:val="none"/>
          <w:lang w:val="en-US" w:eastAsia="zh-CN"/>
        </w:rPr>
        <w:t>景迈山古茶林文化遗产</w:t>
      </w:r>
      <w:r>
        <w:rPr>
          <w:rFonts w:hint="eastAsia" w:ascii="仿宋" w:hAnsi="仿宋" w:eastAsia="仿宋"/>
          <w:color w:val="auto"/>
          <w:sz w:val="28"/>
          <w:szCs w:val="28"/>
          <w:highlight w:val="none"/>
          <w:lang w:eastAsia="zh-CN"/>
        </w:rPr>
        <w:t>展览设计制作服务，</w:t>
      </w:r>
      <w:r>
        <w:rPr>
          <w:rFonts w:hint="eastAsia" w:ascii="仿宋" w:hAnsi="仿宋" w:eastAsia="仿宋"/>
          <w:color w:val="auto"/>
          <w:sz w:val="28"/>
          <w:szCs w:val="28"/>
          <w:highlight w:val="none"/>
          <w:lang w:val="en-US" w:eastAsia="zh-CN"/>
        </w:rPr>
        <w:t>服务</w:t>
      </w:r>
      <w:r>
        <w:rPr>
          <w:rFonts w:hint="eastAsia" w:ascii="仿宋" w:hAnsi="仿宋" w:eastAsia="仿宋" w:cs="宋体"/>
          <w:color w:val="auto"/>
          <w:sz w:val="28"/>
          <w:szCs w:val="28"/>
          <w:highlight w:val="none"/>
          <w:lang w:val="en-US" w:eastAsia="zh-CN"/>
        </w:rPr>
        <w:t>地</w:t>
      </w:r>
      <w:r>
        <w:rPr>
          <w:rFonts w:hint="eastAsia" w:ascii="仿宋" w:hAnsi="仿宋" w:eastAsia="仿宋"/>
          <w:color w:val="auto"/>
          <w:sz w:val="28"/>
          <w:szCs w:val="28"/>
          <w:highlight w:val="none"/>
          <w:lang w:eastAsia="zh-CN"/>
        </w:rPr>
        <w:t>点：扬州中国大运河博物馆，</w:t>
      </w:r>
      <w:r>
        <w:rPr>
          <w:rFonts w:hint="eastAsia" w:ascii="仿宋" w:hAnsi="仿宋" w:eastAsia="仿宋"/>
          <w:color w:val="auto"/>
          <w:sz w:val="28"/>
          <w:szCs w:val="28"/>
          <w:highlight w:val="none"/>
          <w:lang w:val="en-US" w:eastAsia="zh-CN"/>
        </w:rPr>
        <w:t>展厅</w:t>
      </w:r>
      <w:r>
        <w:rPr>
          <w:rFonts w:hint="eastAsia" w:ascii="仿宋" w:hAnsi="仿宋" w:eastAsia="仿宋"/>
          <w:color w:val="auto"/>
          <w:sz w:val="28"/>
          <w:szCs w:val="28"/>
          <w:highlight w:val="none"/>
          <w:lang w:eastAsia="zh-CN"/>
        </w:rPr>
        <w:t>内部展览面积：约</w:t>
      </w:r>
      <w:r>
        <w:rPr>
          <w:rFonts w:hint="eastAsia" w:ascii="仿宋" w:hAnsi="仿宋" w:eastAsia="仿宋"/>
          <w:color w:val="auto"/>
          <w:sz w:val="28"/>
          <w:szCs w:val="28"/>
          <w:highlight w:val="none"/>
          <w:lang w:val="en-US" w:eastAsia="zh-CN"/>
        </w:rPr>
        <w:t>700</w:t>
      </w:r>
      <w:r>
        <w:rPr>
          <w:rFonts w:hint="eastAsia" w:ascii="仿宋" w:hAnsi="仿宋" w:eastAsia="仿宋"/>
          <w:color w:val="auto"/>
          <w:sz w:val="28"/>
          <w:szCs w:val="28"/>
          <w:highlight w:val="none"/>
          <w:lang w:eastAsia="zh-CN"/>
        </w:rPr>
        <w:t>平方米。</w:t>
      </w:r>
      <w:r>
        <w:rPr>
          <w:rFonts w:hint="eastAsia" w:ascii="仿宋" w:hAnsi="仿宋" w:eastAsia="仿宋" w:cs="宋体"/>
          <w:color w:val="auto"/>
          <w:sz w:val="28"/>
          <w:szCs w:val="28"/>
          <w:highlight w:val="none"/>
          <w:lang w:eastAsia="zh-CN"/>
        </w:rPr>
        <w:t>设计制作</w:t>
      </w:r>
      <w:r>
        <w:rPr>
          <w:rFonts w:hint="eastAsia" w:ascii="仿宋" w:hAnsi="仿宋" w:eastAsia="仿宋"/>
          <w:color w:val="auto"/>
          <w:sz w:val="28"/>
          <w:szCs w:val="28"/>
          <w:highlight w:val="none"/>
          <w:lang w:eastAsia="zh-CN"/>
        </w:rPr>
        <w:t>包括：</w:t>
      </w:r>
      <w:r>
        <w:rPr>
          <w:rFonts w:hint="eastAsia" w:ascii="仿宋" w:hAnsi="仿宋" w:eastAsia="仿宋" w:cs="宋体"/>
          <w:color w:val="auto"/>
          <w:sz w:val="28"/>
          <w:szCs w:val="28"/>
          <w:highlight w:val="none"/>
          <w:lang w:val="en-US" w:eastAsia="zh-CN"/>
        </w:rPr>
        <w:t>展览、空间基础、艺术造型、辅助展品、辅助展具、多媒体展项、灯光、海报（宣传品）等服务，</w:t>
      </w:r>
      <w:r>
        <w:rPr>
          <w:rFonts w:hint="eastAsia" w:ascii="仿宋" w:hAnsi="仿宋" w:eastAsia="仿宋"/>
          <w:color w:val="auto"/>
          <w:sz w:val="28"/>
          <w:szCs w:val="28"/>
          <w:highlight w:val="none"/>
          <w:lang w:eastAsia="zh-CN"/>
        </w:rPr>
        <w:t>具体要求详见第四章项目需求。</w:t>
      </w:r>
    </w:p>
    <w:p w14:paraId="11D862C0">
      <w:pPr>
        <w:keepNext w:val="0"/>
        <w:keepLines w:val="0"/>
        <w:pageBreakBefore w:val="0"/>
        <w:spacing w:line="360" w:lineRule="auto"/>
        <w:ind w:firstLine="560"/>
        <w:jc w:val="both"/>
        <w:rPr>
          <w:rFonts w:hint="eastAsia" w:ascii="仿宋" w:hAnsi="仿宋" w:eastAsia="仿宋" w:cs="宋体"/>
          <w:color w:val="auto"/>
          <w:sz w:val="28"/>
          <w:szCs w:val="28"/>
          <w:highlight w:val="none"/>
          <w:lang w:val="en-US" w:eastAsia="zh-CN"/>
        </w:rPr>
      </w:pPr>
      <w:r>
        <w:rPr>
          <w:rFonts w:hint="eastAsia" w:ascii="仿宋" w:hAnsi="仿宋" w:eastAsia="仿宋"/>
          <w:color w:val="auto"/>
          <w:sz w:val="28"/>
          <w:szCs w:val="28"/>
          <w:highlight w:val="none"/>
          <w:lang w:val="en-US" w:eastAsia="zh-CN"/>
        </w:rPr>
        <w:t>合同履行期限</w:t>
      </w:r>
      <w:r>
        <w:rPr>
          <w:rFonts w:hint="eastAsia" w:ascii="仿宋" w:hAnsi="仿宋" w:eastAsia="仿宋"/>
          <w:color w:val="auto"/>
          <w:sz w:val="28"/>
          <w:szCs w:val="28"/>
          <w:highlight w:val="none"/>
          <w:lang w:val="en-US" w:eastAsia="zh-CN"/>
        </w:rPr>
        <w:t>：2026年9月16日前设计、供货并制作完成。</w:t>
      </w:r>
    </w:p>
    <w:p w14:paraId="1919B158">
      <w:pPr>
        <w:pStyle w:val="3"/>
        <w:keepNext w:val="0"/>
        <w:keepLines w:val="0"/>
        <w:pageBreakBefore w:val="0"/>
        <w:spacing w:line="360" w:lineRule="auto"/>
        <w:ind w:left="0"/>
        <w:rPr>
          <w:rFonts w:hint="eastAsia" w:eastAsia="仿宋"/>
          <w:b/>
          <w:color w:val="auto"/>
          <w:sz w:val="28"/>
          <w:szCs w:val="28"/>
          <w:highlight w:val="none"/>
        </w:rPr>
      </w:pPr>
      <w:r>
        <w:rPr>
          <w:rFonts w:hint="eastAsia" w:eastAsia="仿宋"/>
          <w:b/>
          <w:color w:val="auto"/>
          <w:sz w:val="28"/>
          <w:szCs w:val="28"/>
          <w:highlight w:val="none"/>
        </w:rPr>
        <w:t>二、申请人的资格要求：</w:t>
      </w:r>
    </w:p>
    <w:p w14:paraId="3832889F">
      <w:pPr>
        <w:keepNext w:val="0"/>
        <w:keepLines w:val="0"/>
        <w:pageBreakBefore w:val="0"/>
        <w:spacing w:line="360" w:lineRule="auto"/>
        <w:ind w:firstLine="560"/>
        <w:jc w:val="both"/>
        <w:rPr>
          <w:rFonts w:hint="eastAsia" w:ascii="Times New Roman" w:hAnsi="Times New Roman" w:eastAsia="仿宋" w:cs="仿宋"/>
          <w:bCs/>
          <w:color w:val="auto"/>
          <w:sz w:val="28"/>
          <w:szCs w:val="28"/>
          <w:highlight w:val="none"/>
          <w:lang w:val="en-US" w:bidi="ar-SA"/>
        </w:rPr>
      </w:pPr>
      <w:r>
        <w:rPr>
          <w:rFonts w:hint="eastAsia" w:ascii="Times New Roman" w:hAnsi="Times New Roman" w:eastAsia="仿宋" w:cs="仿宋"/>
          <w:color w:val="auto"/>
          <w:sz w:val="28"/>
          <w:szCs w:val="28"/>
          <w:highlight w:val="none"/>
          <w:lang w:val="en-US"/>
        </w:rPr>
        <w:t>2.1</w:t>
      </w:r>
      <w:r>
        <w:rPr>
          <w:rFonts w:hint="eastAsia" w:ascii="Times New Roman" w:hAnsi="Times New Roman" w:eastAsia="仿宋" w:cs="仿宋"/>
          <w:color w:val="auto"/>
          <w:sz w:val="28"/>
          <w:szCs w:val="28"/>
          <w:highlight w:val="none"/>
        </w:rPr>
        <w:t>满足《中华人民共和国政府采购法》第二十二条规定：</w:t>
      </w:r>
    </w:p>
    <w:p w14:paraId="1A60AE5D">
      <w:pPr>
        <w:keepNext w:val="0"/>
        <w:keepLines w:val="0"/>
        <w:pageBreakBefore w:val="0"/>
        <w:spacing w:line="360" w:lineRule="auto"/>
        <w:ind w:firstLine="560"/>
        <w:jc w:val="both"/>
        <w:rPr>
          <w:rFonts w:ascii="Times New Roman" w:hAnsi="Times New Roman" w:eastAsia="仿宋" w:cs="仿宋"/>
          <w:color w:val="auto"/>
          <w:sz w:val="28"/>
          <w:szCs w:val="28"/>
          <w:highlight w:val="none"/>
          <w:lang w:bidi="ar-SA"/>
        </w:rPr>
      </w:pPr>
      <w:r>
        <w:rPr>
          <w:rFonts w:hint="eastAsia" w:ascii="Times New Roman" w:hAnsi="Times New Roman" w:eastAsia="仿宋" w:cs="仿宋"/>
          <w:color w:val="auto"/>
          <w:sz w:val="28"/>
          <w:szCs w:val="28"/>
          <w:highlight w:val="none"/>
          <w:lang w:bidi="ar-SA"/>
        </w:rPr>
        <w:t>（1）具有独立承担民事责任的能力；</w:t>
      </w:r>
    </w:p>
    <w:p w14:paraId="139D6118">
      <w:pPr>
        <w:keepNext w:val="0"/>
        <w:keepLines w:val="0"/>
        <w:pageBreakBefore w:val="0"/>
        <w:spacing w:line="360" w:lineRule="auto"/>
        <w:ind w:firstLine="540"/>
        <w:jc w:val="both"/>
        <w:rPr>
          <w:rFonts w:ascii="Times New Roman" w:hAnsi="Times New Roman" w:eastAsia="仿宋" w:cs="仿宋"/>
          <w:color w:val="auto"/>
          <w:sz w:val="28"/>
          <w:szCs w:val="28"/>
          <w:highlight w:val="none"/>
          <w:lang w:bidi="ar-SA"/>
        </w:rPr>
      </w:pPr>
      <w:r>
        <w:rPr>
          <w:rFonts w:hint="eastAsia" w:ascii="Times New Roman" w:hAnsi="Times New Roman" w:eastAsia="仿宋" w:cs="仿宋"/>
          <w:color w:val="auto"/>
          <w:spacing w:val="-5"/>
          <w:sz w:val="28"/>
          <w:szCs w:val="28"/>
          <w:highlight w:val="none"/>
          <w:lang w:bidi="ar-SA"/>
        </w:rPr>
        <w:t>（2）具有良好的商业信誉和健全的财务会计制度；</w:t>
      </w:r>
    </w:p>
    <w:p w14:paraId="1848A2C6">
      <w:pPr>
        <w:keepNext w:val="0"/>
        <w:keepLines w:val="0"/>
        <w:pageBreakBefore w:val="0"/>
        <w:spacing w:line="360" w:lineRule="auto"/>
        <w:ind w:firstLine="540"/>
        <w:jc w:val="both"/>
        <w:rPr>
          <w:rFonts w:ascii="Times New Roman" w:hAnsi="Times New Roman" w:eastAsia="仿宋" w:cs="仿宋"/>
          <w:color w:val="auto"/>
          <w:sz w:val="28"/>
          <w:szCs w:val="28"/>
          <w:highlight w:val="none"/>
          <w:lang w:bidi="ar-SA"/>
        </w:rPr>
      </w:pPr>
      <w:r>
        <w:rPr>
          <w:rFonts w:hint="eastAsia" w:ascii="Times New Roman" w:hAnsi="Times New Roman" w:eastAsia="仿宋" w:cs="仿宋"/>
          <w:color w:val="auto"/>
          <w:spacing w:val="-5"/>
          <w:sz w:val="28"/>
          <w:szCs w:val="28"/>
          <w:highlight w:val="none"/>
          <w:lang w:bidi="ar-SA"/>
        </w:rPr>
        <w:t>（3）具有履行合同所必需的设备和专业技术能力；</w:t>
      </w:r>
    </w:p>
    <w:p w14:paraId="6BCA9288">
      <w:pPr>
        <w:keepNext w:val="0"/>
        <w:keepLines w:val="0"/>
        <w:pageBreakBefore w:val="0"/>
        <w:spacing w:line="360" w:lineRule="auto"/>
        <w:ind w:firstLine="560"/>
        <w:jc w:val="both"/>
        <w:rPr>
          <w:rFonts w:ascii="Times New Roman" w:hAnsi="Times New Roman" w:eastAsia="仿宋" w:cs="仿宋"/>
          <w:color w:val="auto"/>
          <w:sz w:val="28"/>
          <w:szCs w:val="28"/>
          <w:highlight w:val="none"/>
          <w:lang w:bidi="ar-SA"/>
        </w:rPr>
      </w:pPr>
      <w:r>
        <w:rPr>
          <w:rFonts w:hint="eastAsia" w:ascii="Times New Roman" w:hAnsi="Times New Roman" w:eastAsia="仿宋" w:cs="仿宋"/>
          <w:color w:val="auto"/>
          <w:sz w:val="28"/>
          <w:szCs w:val="28"/>
          <w:highlight w:val="none"/>
          <w:lang w:bidi="ar-SA"/>
        </w:rPr>
        <w:t>（4）有依法缴纳税收和社会保障资金的良好记录；</w:t>
      </w:r>
    </w:p>
    <w:p w14:paraId="7A67D55E">
      <w:pPr>
        <w:keepNext w:val="0"/>
        <w:keepLines w:val="0"/>
        <w:pageBreakBefore w:val="0"/>
        <w:spacing w:line="360" w:lineRule="auto"/>
        <w:ind w:firstLine="560"/>
        <w:jc w:val="both"/>
        <w:rPr>
          <w:rFonts w:ascii="Times New Roman" w:hAnsi="Times New Roman" w:eastAsia="仿宋" w:cs="仿宋"/>
          <w:color w:val="auto"/>
          <w:sz w:val="28"/>
          <w:szCs w:val="28"/>
          <w:highlight w:val="none"/>
          <w:lang w:bidi="ar-SA"/>
        </w:rPr>
      </w:pPr>
      <w:r>
        <w:rPr>
          <w:rFonts w:hint="eastAsia" w:ascii="Times New Roman" w:hAnsi="Times New Roman" w:eastAsia="仿宋" w:cs="仿宋"/>
          <w:color w:val="auto"/>
          <w:sz w:val="28"/>
          <w:szCs w:val="28"/>
          <w:highlight w:val="none"/>
          <w:lang w:bidi="ar-SA"/>
        </w:rPr>
        <w:t>（5）参加政府采购活动前三年内，在经营活动中没有重大违法记录；</w:t>
      </w:r>
    </w:p>
    <w:p w14:paraId="635CFAA4">
      <w:pPr>
        <w:keepNext w:val="0"/>
        <w:keepLines w:val="0"/>
        <w:pageBreakBefore w:val="0"/>
        <w:spacing w:line="360" w:lineRule="auto"/>
        <w:ind w:firstLine="560"/>
        <w:jc w:val="both"/>
        <w:rPr>
          <w:rFonts w:hint="eastAsia" w:ascii="Times New Roman" w:hAnsi="Times New Roman" w:eastAsia="仿宋" w:cs="仿宋"/>
          <w:color w:val="auto"/>
          <w:sz w:val="28"/>
          <w:szCs w:val="28"/>
          <w:highlight w:val="none"/>
          <w:lang w:eastAsia="zh-CN" w:bidi="ar-SA"/>
        </w:rPr>
      </w:pPr>
      <w:r>
        <w:rPr>
          <w:rFonts w:hint="eastAsia" w:ascii="Times New Roman" w:hAnsi="Times New Roman" w:eastAsia="仿宋" w:cs="仿宋"/>
          <w:color w:val="auto"/>
          <w:sz w:val="28"/>
          <w:szCs w:val="28"/>
          <w:highlight w:val="none"/>
          <w:lang w:bidi="ar-SA"/>
        </w:rPr>
        <w:t>（6）法律、行政法规规定的其他条件：无</w:t>
      </w:r>
      <w:r>
        <w:rPr>
          <w:rFonts w:hint="eastAsia" w:ascii="Times New Roman" w:hAnsi="Times New Roman" w:eastAsia="仿宋" w:cs="仿宋"/>
          <w:color w:val="auto"/>
          <w:sz w:val="28"/>
          <w:szCs w:val="28"/>
          <w:highlight w:val="none"/>
          <w:lang w:eastAsia="zh-CN" w:bidi="ar-SA"/>
        </w:rPr>
        <w:t>。</w:t>
      </w:r>
    </w:p>
    <w:p w14:paraId="16414A7C">
      <w:pPr>
        <w:keepNext w:val="0"/>
        <w:keepLines w:val="0"/>
        <w:pageBreakBefore w:val="0"/>
        <w:spacing w:line="360" w:lineRule="auto"/>
        <w:ind w:firstLine="560"/>
        <w:jc w:val="both"/>
        <w:rPr>
          <w:rFonts w:ascii="仿宋" w:hAnsi="仿宋" w:eastAsia="仿宋" w:cs="仿宋"/>
          <w:b/>
          <w:bCs/>
          <w:color w:val="auto"/>
          <w:sz w:val="28"/>
          <w:szCs w:val="28"/>
          <w:highlight w:val="none"/>
          <w:lang w:val="en-US" w:bidi="ar-SA"/>
        </w:rPr>
      </w:pPr>
      <w:r>
        <w:rPr>
          <w:rFonts w:hint="eastAsia" w:ascii="仿宋" w:hAnsi="仿宋" w:eastAsia="仿宋" w:cs="仿宋"/>
          <w:b/>
          <w:bCs/>
          <w:color w:val="auto"/>
          <w:sz w:val="28"/>
          <w:szCs w:val="28"/>
          <w:highlight w:val="none"/>
          <w:lang w:bidi="ar-SA"/>
        </w:rPr>
        <w:t>2.2落实政府采购政策需满足的资格要求：</w:t>
      </w:r>
      <w:r>
        <w:rPr>
          <w:rFonts w:hint="eastAsia" w:ascii="仿宋" w:hAnsi="仿宋" w:eastAsia="仿宋" w:cs="仿宋"/>
          <w:b/>
          <w:bCs/>
          <w:color w:val="auto"/>
          <w:sz w:val="28"/>
          <w:szCs w:val="28"/>
          <w:highlight w:val="none"/>
          <w:lang w:val="en-US" w:bidi="ar-SA"/>
        </w:rPr>
        <w:t>本项目整体专门面向中小企业采购服务。</w:t>
      </w:r>
    </w:p>
    <w:p w14:paraId="254DB361">
      <w:pPr>
        <w:keepNext w:val="0"/>
        <w:keepLines w:val="0"/>
        <w:pageBreakBefore w:val="0"/>
        <w:widowControl/>
        <w:spacing w:line="360" w:lineRule="auto"/>
        <w:ind w:firstLine="562"/>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bidi="ar-SA"/>
        </w:rPr>
        <w:t>2.3采购人根据采购项目的特殊要求规定的特定条件</w:t>
      </w:r>
      <w:r>
        <w:rPr>
          <w:rFonts w:hint="eastAsia" w:ascii="仿宋" w:hAnsi="仿宋" w:eastAsia="仿宋" w:cs="仿宋"/>
          <w:b/>
          <w:bCs/>
          <w:color w:val="auto"/>
          <w:sz w:val="28"/>
          <w:szCs w:val="28"/>
          <w:highlight w:val="none"/>
          <w:lang w:val="en-US" w:eastAsia="zh-CN" w:bidi="ar-SA"/>
        </w:rPr>
        <w:t>：</w:t>
      </w:r>
      <w:r>
        <w:rPr>
          <w:rFonts w:hint="eastAsia" w:ascii="仿宋" w:hAnsi="仿宋" w:eastAsia="仿宋" w:cs="仿宋"/>
          <w:b w:val="0"/>
          <w:bCs w:val="0"/>
          <w:color w:val="auto"/>
          <w:sz w:val="28"/>
          <w:szCs w:val="28"/>
          <w:highlight w:val="none"/>
          <w:lang w:val="en-US" w:eastAsia="zh-CN" w:bidi="ar-SA"/>
        </w:rPr>
        <w:t>无。</w:t>
      </w:r>
    </w:p>
    <w:p w14:paraId="5B00C971">
      <w:pPr>
        <w:pStyle w:val="3"/>
        <w:keepNext w:val="0"/>
        <w:keepLines w:val="0"/>
        <w:pageBreakBefore w:val="0"/>
        <w:spacing w:line="360" w:lineRule="auto"/>
        <w:ind w:left="0"/>
        <w:rPr>
          <w:rFonts w:eastAsia="仿宋"/>
          <w:b/>
          <w:color w:val="auto"/>
          <w:sz w:val="28"/>
          <w:szCs w:val="28"/>
          <w:highlight w:val="none"/>
        </w:rPr>
      </w:pPr>
      <w:r>
        <w:rPr>
          <w:rFonts w:hint="eastAsia" w:eastAsia="仿宋"/>
          <w:b/>
          <w:color w:val="auto"/>
          <w:sz w:val="28"/>
          <w:szCs w:val="28"/>
          <w:highlight w:val="none"/>
        </w:rPr>
        <w:t>三、获取招标文件</w:t>
      </w:r>
    </w:p>
    <w:p w14:paraId="50468AB3">
      <w:pPr>
        <w:keepNext w:val="0"/>
        <w:keepLines w:val="0"/>
        <w:pageBreakBefore w:val="0"/>
        <w:spacing w:line="360" w:lineRule="auto"/>
        <w:ind w:firstLine="540"/>
        <w:rPr>
          <w:rFonts w:hint="default" w:ascii="Times New Roman" w:hAnsi="Times New Roman" w:eastAsia="仿宋" w:cs="仿宋"/>
          <w:color w:val="auto"/>
          <w:sz w:val="28"/>
          <w:szCs w:val="28"/>
          <w:highlight w:val="none"/>
          <w:lang w:val="en-US" w:eastAsia="zh-CN"/>
        </w:rPr>
      </w:pPr>
      <w:r>
        <w:rPr>
          <w:rFonts w:hint="eastAsia" w:ascii="Times New Roman" w:hAnsi="Times New Roman" w:eastAsia="仿宋" w:cs="仿宋"/>
          <w:color w:val="auto"/>
          <w:sz w:val="28"/>
          <w:szCs w:val="28"/>
          <w:highlight w:val="none"/>
        </w:rPr>
        <w:t>时间：</w:t>
      </w:r>
      <w:r>
        <w:rPr>
          <w:rFonts w:hint="eastAsia" w:ascii="Times New Roman" w:hAnsi="Times New Roman" w:eastAsia="仿宋" w:cs="仿宋"/>
          <w:color w:val="auto"/>
          <w:sz w:val="28"/>
          <w:szCs w:val="28"/>
          <w:highlight w:val="none"/>
          <w:u w:val="none"/>
          <w:lang w:val="en-US" w:eastAsia="zh-CN"/>
        </w:rPr>
        <w:t>自招标公告发布之日起5个工作日</w:t>
      </w:r>
    </w:p>
    <w:p w14:paraId="41F85F41">
      <w:pPr>
        <w:keepNext w:val="0"/>
        <w:keepLines w:val="0"/>
        <w:pageBreakBefore w:val="0"/>
        <w:spacing w:line="360" w:lineRule="auto"/>
        <w:ind w:firstLine="540"/>
        <w:rPr>
          <w:rFonts w:hint="eastAsia" w:ascii="Times New Roman" w:hAnsi="Times New Roman" w:eastAsia="仿宋" w:cs="仿宋"/>
          <w:color w:val="auto"/>
          <w:sz w:val="28"/>
          <w:szCs w:val="28"/>
          <w:highlight w:val="none"/>
          <w:u w:val="single"/>
          <w:lang w:eastAsia="zh-CN"/>
        </w:rPr>
      </w:pPr>
      <w:r>
        <w:rPr>
          <w:rFonts w:hint="eastAsia" w:ascii="Times New Roman" w:hAnsi="Times New Roman" w:eastAsia="仿宋" w:cs="仿宋"/>
          <w:color w:val="auto"/>
          <w:sz w:val="28"/>
          <w:szCs w:val="28"/>
          <w:highlight w:val="none"/>
        </w:rPr>
        <w:t>地点：</w:t>
      </w:r>
      <w:r>
        <w:rPr>
          <w:rFonts w:hint="eastAsia" w:ascii="Times New Roman" w:hAnsi="Times New Roman" w:eastAsia="仿宋" w:cs="仿宋"/>
          <w:color w:val="auto"/>
          <w:sz w:val="28"/>
          <w:szCs w:val="28"/>
          <w:highlight w:val="none"/>
          <w:lang w:val="en-US"/>
        </w:rPr>
        <w:t>江苏政府采购网</w:t>
      </w:r>
    </w:p>
    <w:p w14:paraId="2B1DE91D">
      <w:pPr>
        <w:keepNext w:val="0"/>
        <w:keepLines w:val="0"/>
        <w:pageBreakBefore w:val="0"/>
        <w:spacing w:line="360" w:lineRule="auto"/>
        <w:ind w:firstLine="540"/>
        <w:jc w:val="both"/>
        <w:rPr>
          <w:rFonts w:hint="default" w:ascii="Times New Roman" w:hAnsi="Times New Roman" w:eastAsia="仿宋" w:cs="仿宋"/>
          <w:color w:val="auto"/>
          <w:sz w:val="28"/>
          <w:szCs w:val="28"/>
          <w:highlight w:val="none"/>
          <w:lang w:val="en-US" w:eastAsia="zh-CN"/>
        </w:rPr>
      </w:pPr>
      <w:r>
        <w:rPr>
          <w:rFonts w:hint="eastAsia" w:ascii="Times New Roman" w:hAnsi="Times New Roman" w:eastAsia="仿宋" w:cs="仿宋"/>
          <w:color w:val="auto"/>
          <w:sz w:val="28"/>
          <w:szCs w:val="28"/>
          <w:highlight w:val="none"/>
        </w:rPr>
        <w:t>方式：</w:t>
      </w:r>
      <w:r>
        <w:rPr>
          <w:rFonts w:hint="eastAsia" w:ascii="Times New Roman" w:hAnsi="Times New Roman" w:eastAsia="仿宋" w:cs="仿宋"/>
          <w:color w:val="auto"/>
          <w:sz w:val="28"/>
          <w:szCs w:val="28"/>
          <w:highlight w:val="none"/>
          <w:lang w:val="en-US" w:eastAsia="zh-CN"/>
        </w:rPr>
        <w:t>网站下载</w:t>
      </w:r>
    </w:p>
    <w:p w14:paraId="51028978">
      <w:pPr>
        <w:keepNext w:val="0"/>
        <w:keepLines w:val="0"/>
        <w:pageBreakBefore w:val="0"/>
        <w:spacing w:line="360" w:lineRule="auto"/>
        <w:ind w:firstLine="540"/>
        <w:rPr>
          <w:rFonts w:ascii="Times New Roman" w:hAnsi="Times New Roman" w:eastAsia="仿宋" w:cs="仿宋"/>
          <w:color w:val="auto"/>
          <w:sz w:val="28"/>
          <w:szCs w:val="28"/>
          <w:highlight w:val="none"/>
        </w:rPr>
      </w:pPr>
      <w:r>
        <w:rPr>
          <w:rFonts w:hint="eastAsia" w:ascii="Times New Roman" w:hAnsi="Times New Roman" w:eastAsia="仿宋" w:cs="仿宋"/>
          <w:color w:val="auto"/>
          <w:sz w:val="28"/>
          <w:szCs w:val="28"/>
          <w:highlight w:val="none"/>
        </w:rPr>
        <w:t>售价：</w:t>
      </w:r>
      <w:r>
        <w:rPr>
          <w:rFonts w:hint="eastAsia" w:ascii="Times New Roman" w:hAnsi="Times New Roman" w:eastAsia="仿宋" w:cs="仿宋"/>
          <w:color w:val="auto"/>
          <w:sz w:val="28"/>
          <w:szCs w:val="28"/>
          <w:highlight w:val="none"/>
          <w:lang w:val="en-US" w:eastAsia="zh-CN"/>
        </w:rPr>
        <w:t>0元</w:t>
      </w:r>
      <w:r>
        <w:rPr>
          <w:rFonts w:hint="eastAsia" w:ascii="Times New Roman" w:hAnsi="Times New Roman" w:eastAsia="仿宋" w:cs="仿宋"/>
          <w:color w:val="auto"/>
          <w:sz w:val="28"/>
          <w:szCs w:val="28"/>
          <w:highlight w:val="none"/>
        </w:rPr>
        <w:t>。</w:t>
      </w:r>
    </w:p>
    <w:p w14:paraId="4E2CA093">
      <w:pPr>
        <w:pStyle w:val="3"/>
        <w:keepNext w:val="0"/>
        <w:keepLines w:val="0"/>
        <w:pageBreakBefore w:val="0"/>
        <w:spacing w:line="360" w:lineRule="auto"/>
        <w:ind w:left="0"/>
        <w:rPr>
          <w:rFonts w:eastAsia="仿宋"/>
          <w:b/>
          <w:color w:val="auto"/>
          <w:sz w:val="28"/>
          <w:szCs w:val="28"/>
          <w:highlight w:val="none"/>
        </w:rPr>
      </w:pPr>
      <w:r>
        <w:rPr>
          <w:rFonts w:hint="eastAsia" w:eastAsia="仿宋"/>
          <w:b/>
          <w:color w:val="auto"/>
          <w:sz w:val="28"/>
          <w:szCs w:val="28"/>
          <w:highlight w:val="none"/>
        </w:rPr>
        <w:t>四、提交投标文件截止时间、开标时间和地点</w:t>
      </w:r>
    </w:p>
    <w:p w14:paraId="27C0A295">
      <w:pPr>
        <w:keepNext w:val="0"/>
        <w:keepLines w:val="0"/>
        <w:pageBreakBefore w:val="0"/>
        <w:spacing w:line="360" w:lineRule="auto"/>
        <w:ind w:firstLine="560"/>
        <w:rPr>
          <w:rFonts w:ascii="Times New Roman" w:hAnsi="Times New Roman" w:eastAsia="仿宋" w:cs="仿宋"/>
          <w:bCs/>
          <w:color w:val="auto"/>
          <w:sz w:val="28"/>
          <w:szCs w:val="28"/>
          <w:highlight w:val="none"/>
          <w:u w:val="single"/>
        </w:rPr>
      </w:pPr>
      <w:r>
        <w:rPr>
          <w:rFonts w:hint="eastAsia" w:ascii="Times New Roman" w:hAnsi="Times New Roman" w:eastAsia="仿宋" w:cs="仿宋"/>
          <w:bCs/>
          <w:color w:val="auto"/>
          <w:sz w:val="28"/>
          <w:szCs w:val="28"/>
          <w:highlight w:val="none"/>
          <w:u w:val="single"/>
          <w:lang w:val="en-US"/>
        </w:rPr>
        <w:t>202</w:t>
      </w:r>
      <w:r>
        <w:rPr>
          <w:rFonts w:hint="eastAsia" w:ascii="Times New Roman" w:hAnsi="Times New Roman" w:eastAsia="仿宋" w:cs="仿宋"/>
          <w:bCs/>
          <w:color w:val="auto"/>
          <w:sz w:val="28"/>
          <w:szCs w:val="28"/>
          <w:highlight w:val="none"/>
          <w:u w:val="single"/>
          <w:lang w:val="en-US" w:eastAsia="zh-CN"/>
        </w:rPr>
        <w:t>6</w:t>
      </w:r>
      <w:r>
        <w:rPr>
          <w:rFonts w:hint="eastAsia" w:ascii="Times New Roman" w:hAnsi="Times New Roman" w:eastAsia="仿宋" w:cs="仿宋"/>
          <w:bCs/>
          <w:color w:val="auto"/>
          <w:sz w:val="28"/>
          <w:szCs w:val="28"/>
          <w:highlight w:val="none"/>
          <w:u w:val="single"/>
        </w:rPr>
        <w:t>年</w:t>
      </w:r>
      <w:r>
        <w:rPr>
          <w:rFonts w:hint="eastAsia" w:ascii="Times New Roman" w:hAnsi="Times New Roman" w:eastAsia="仿宋" w:cs="仿宋"/>
          <w:bCs/>
          <w:color w:val="auto"/>
          <w:sz w:val="28"/>
          <w:szCs w:val="28"/>
          <w:highlight w:val="none"/>
          <w:u w:val="single"/>
          <w:lang w:val="en-US" w:eastAsia="zh-CN"/>
        </w:rPr>
        <w:t>9</w:t>
      </w:r>
      <w:r>
        <w:rPr>
          <w:rFonts w:hint="eastAsia" w:ascii="Times New Roman" w:hAnsi="Times New Roman" w:eastAsia="仿宋" w:cs="仿宋"/>
          <w:bCs/>
          <w:color w:val="auto"/>
          <w:sz w:val="28"/>
          <w:szCs w:val="28"/>
          <w:highlight w:val="none"/>
          <w:u w:val="single"/>
        </w:rPr>
        <w:t>月</w:t>
      </w:r>
      <w:r>
        <w:rPr>
          <w:rFonts w:hint="eastAsia" w:ascii="Times New Roman" w:hAnsi="Times New Roman" w:eastAsia="仿宋" w:cs="仿宋"/>
          <w:bCs/>
          <w:color w:val="auto"/>
          <w:sz w:val="28"/>
          <w:szCs w:val="28"/>
          <w:highlight w:val="none"/>
          <w:u w:val="single"/>
          <w:lang w:val="en-US" w:eastAsia="zh-CN"/>
        </w:rPr>
        <w:t>3</w:t>
      </w:r>
      <w:r>
        <w:rPr>
          <w:rFonts w:hint="eastAsia" w:ascii="Times New Roman" w:hAnsi="Times New Roman" w:eastAsia="仿宋" w:cs="仿宋"/>
          <w:bCs/>
          <w:color w:val="auto"/>
          <w:sz w:val="28"/>
          <w:szCs w:val="28"/>
          <w:highlight w:val="none"/>
          <w:u w:val="single"/>
        </w:rPr>
        <w:t>日</w:t>
      </w:r>
      <w:r>
        <w:rPr>
          <w:rFonts w:hint="eastAsia" w:ascii="Times New Roman" w:hAnsi="Times New Roman" w:eastAsia="仿宋" w:cs="仿宋"/>
          <w:bCs/>
          <w:color w:val="auto"/>
          <w:sz w:val="28"/>
          <w:szCs w:val="28"/>
          <w:highlight w:val="none"/>
          <w:u w:val="single"/>
          <w:lang w:val="en-US" w:eastAsia="zh-CN"/>
        </w:rPr>
        <w:t>10</w:t>
      </w:r>
      <w:r>
        <w:rPr>
          <w:rFonts w:hint="eastAsia" w:ascii="Times New Roman" w:hAnsi="Times New Roman" w:eastAsia="仿宋" w:cs="仿宋"/>
          <w:bCs/>
          <w:color w:val="auto"/>
          <w:sz w:val="28"/>
          <w:szCs w:val="28"/>
          <w:highlight w:val="none"/>
          <w:u w:val="single"/>
        </w:rPr>
        <w:t>点</w:t>
      </w:r>
      <w:r>
        <w:rPr>
          <w:rFonts w:hint="eastAsia" w:ascii="Times New Roman" w:hAnsi="Times New Roman" w:eastAsia="仿宋" w:cs="仿宋"/>
          <w:bCs/>
          <w:color w:val="auto"/>
          <w:sz w:val="28"/>
          <w:szCs w:val="28"/>
          <w:highlight w:val="none"/>
          <w:u w:val="single"/>
          <w:lang w:val="en-US" w:eastAsia="zh-CN"/>
        </w:rPr>
        <w:t>00</w:t>
      </w:r>
      <w:r>
        <w:rPr>
          <w:rFonts w:hint="eastAsia" w:ascii="Times New Roman" w:hAnsi="Times New Roman" w:eastAsia="仿宋" w:cs="仿宋"/>
          <w:bCs/>
          <w:color w:val="auto"/>
          <w:sz w:val="28"/>
          <w:szCs w:val="28"/>
          <w:highlight w:val="none"/>
          <w:u w:val="single"/>
        </w:rPr>
        <w:t>分</w:t>
      </w:r>
      <w:r>
        <w:rPr>
          <w:rFonts w:hint="eastAsia" w:ascii="Times New Roman" w:hAnsi="Times New Roman" w:eastAsia="仿宋" w:cs="仿宋"/>
          <w:bCs/>
          <w:color w:val="auto"/>
          <w:sz w:val="28"/>
          <w:szCs w:val="28"/>
          <w:highlight w:val="none"/>
        </w:rPr>
        <w:t>（北京时间）</w:t>
      </w:r>
    </w:p>
    <w:p w14:paraId="0E02912D">
      <w:pPr>
        <w:keepNext w:val="0"/>
        <w:keepLines w:val="0"/>
        <w:pageBreakBefore w:val="0"/>
        <w:spacing w:line="360" w:lineRule="auto"/>
        <w:ind w:firstLine="540"/>
        <w:rPr>
          <w:rFonts w:ascii="Times New Roman" w:hAnsi="Times New Roman" w:eastAsia="仿宋" w:cs="仿宋"/>
          <w:bCs/>
          <w:color w:val="auto"/>
          <w:sz w:val="28"/>
          <w:szCs w:val="28"/>
          <w:highlight w:val="none"/>
        </w:rPr>
      </w:pPr>
      <w:r>
        <w:rPr>
          <w:rFonts w:hint="eastAsia" w:ascii="Times New Roman" w:hAnsi="Times New Roman" w:eastAsia="仿宋" w:cs="仿宋"/>
          <w:bCs/>
          <w:color w:val="auto"/>
          <w:sz w:val="28"/>
          <w:szCs w:val="28"/>
          <w:highlight w:val="none"/>
        </w:rPr>
        <w:t>地点：江苏省政府采购交易系统（以下简称“苏采云系统”）网上开标大厅</w:t>
      </w:r>
    </w:p>
    <w:p w14:paraId="137418DE">
      <w:pPr>
        <w:pStyle w:val="3"/>
        <w:keepNext w:val="0"/>
        <w:keepLines w:val="0"/>
        <w:pageBreakBefore w:val="0"/>
        <w:spacing w:line="360" w:lineRule="auto"/>
        <w:ind w:left="0"/>
        <w:rPr>
          <w:rFonts w:eastAsia="仿宋"/>
          <w:b/>
          <w:color w:val="auto"/>
          <w:sz w:val="28"/>
          <w:szCs w:val="28"/>
          <w:highlight w:val="none"/>
        </w:rPr>
      </w:pPr>
      <w:r>
        <w:rPr>
          <w:rFonts w:hint="eastAsia" w:eastAsia="仿宋"/>
          <w:b/>
          <w:color w:val="auto"/>
          <w:sz w:val="28"/>
          <w:szCs w:val="28"/>
          <w:highlight w:val="none"/>
        </w:rPr>
        <w:t>五、公告期限</w:t>
      </w:r>
    </w:p>
    <w:p w14:paraId="7476F3A9">
      <w:pPr>
        <w:keepNext w:val="0"/>
        <w:keepLines w:val="0"/>
        <w:pageBreakBefore w:val="0"/>
        <w:spacing w:line="360" w:lineRule="auto"/>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自本公告发布之日起5个工作日。</w:t>
      </w:r>
    </w:p>
    <w:p w14:paraId="01A7A274">
      <w:pPr>
        <w:pStyle w:val="3"/>
        <w:keepNext w:val="0"/>
        <w:keepLines w:val="0"/>
        <w:pageBreakBefore w:val="0"/>
        <w:spacing w:line="360" w:lineRule="auto"/>
        <w:ind w:left="0"/>
        <w:rPr>
          <w:rFonts w:ascii="仿宋" w:hAnsi="仿宋" w:eastAsia="仿宋" w:cs="仿宋"/>
          <w:bCs/>
          <w:color w:val="auto"/>
          <w:sz w:val="28"/>
          <w:szCs w:val="28"/>
          <w:highlight w:val="none"/>
        </w:rPr>
      </w:pPr>
      <w:r>
        <w:rPr>
          <w:rFonts w:hint="eastAsia" w:eastAsia="仿宋"/>
          <w:b/>
          <w:color w:val="auto"/>
          <w:sz w:val="28"/>
          <w:szCs w:val="28"/>
          <w:highlight w:val="none"/>
        </w:rPr>
        <w:t>六、其他补充事宜</w:t>
      </w:r>
    </w:p>
    <w:p w14:paraId="744A1389">
      <w:pPr>
        <w:keepNext w:val="0"/>
        <w:keepLines w:val="0"/>
        <w:pageBreakBefore w:val="0"/>
        <w:spacing w:line="360" w:lineRule="auto"/>
        <w:ind w:firstLine="540"/>
        <w:jc w:val="both"/>
        <w:rPr>
          <w:rFonts w:ascii="Times New Roman" w:hAnsi="Times New Roman" w:eastAsia="仿宋" w:cs="仿宋"/>
          <w:bCs/>
          <w:color w:val="auto"/>
          <w:sz w:val="28"/>
          <w:szCs w:val="28"/>
          <w:highlight w:val="none"/>
        </w:rPr>
      </w:pPr>
      <w:r>
        <w:rPr>
          <w:rFonts w:hint="eastAsia" w:ascii="Times New Roman" w:hAnsi="Times New Roman" w:eastAsia="仿宋" w:cs="仿宋"/>
          <w:bCs/>
          <w:color w:val="auto"/>
          <w:sz w:val="28"/>
          <w:szCs w:val="28"/>
          <w:highlight w:val="none"/>
          <w:lang w:val="en-US" w:eastAsia="zh-CN"/>
        </w:rPr>
        <w:t>1.</w:t>
      </w:r>
      <w:r>
        <w:rPr>
          <w:rFonts w:hint="eastAsia" w:ascii="Times New Roman" w:hAnsi="Times New Roman" w:eastAsia="仿宋" w:cs="仿宋"/>
          <w:bCs/>
          <w:color w:val="auto"/>
          <w:sz w:val="28"/>
          <w:szCs w:val="28"/>
          <w:highlight w:val="none"/>
        </w:rPr>
        <w:t>本项目中标后不允许分包、转包。</w:t>
      </w:r>
    </w:p>
    <w:p w14:paraId="15BCC136">
      <w:pPr>
        <w:keepNext w:val="0"/>
        <w:keepLines w:val="0"/>
        <w:pageBreakBefore w:val="0"/>
        <w:spacing w:line="360" w:lineRule="auto"/>
        <w:ind w:firstLine="540"/>
        <w:jc w:val="both"/>
        <w:rPr>
          <w:rFonts w:ascii="Times New Roman" w:hAnsi="Times New Roman" w:eastAsia="仿宋" w:cs="仿宋"/>
          <w:bCs/>
          <w:color w:val="auto"/>
          <w:sz w:val="28"/>
          <w:szCs w:val="28"/>
          <w:highlight w:val="none"/>
        </w:rPr>
      </w:pPr>
      <w:r>
        <w:rPr>
          <w:rFonts w:hint="eastAsia" w:ascii="Times New Roman" w:hAnsi="Times New Roman" w:eastAsia="仿宋" w:cs="仿宋"/>
          <w:bCs/>
          <w:color w:val="auto"/>
          <w:sz w:val="28"/>
          <w:szCs w:val="28"/>
          <w:highlight w:val="none"/>
          <w:lang w:val="en-US" w:eastAsia="zh-CN"/>
        </w:rPr>
        <w:t>2.</w:t>
      </w:r>
      <w:r>
        <w:rPr>
          <w:rFonts w:hint="eastAsia" w:ascii="Times New Roman" w:hAnsi="Times New Roman" w:eastAsia="仿宋" w:cs="仿宋"/>
          <w:bCs/>
          <w:color w:val="auto"/>
          <w:sz w:val="28"/>
          <w:szCs w:val="28"/>
          <w:highlight w:val="none"/>
        </w:rPr>
        <w:t>本次招标公告在</w:t>
      </w:r>
      <w:r>
        <w:rPr>
          <w:rFonts w:hint="eastAsia" w:ascii="Times New Roman" w:hAnsi="Times New Roman" w:eastAsia="仿宋" w:cs="仿宋"/>
          <w:bCs/>
          <w:color w:val="auto"/>
          <w:sz w:val="28"/>
          <w:szCs w:val="28"/>
          <w:highlight w:val="none"/>
          <w:lang w:val="en-US" w:eastAsia="zh-CN"/>
        </w:rPr>
        <w:t>江苏政府采购网</w:t>
      </w:r>
      <w:r>
        <w:rPr>
          <w:rFonts w:hint="eastAsia" w:ascii="Times New Roman" w:hAnsi="Times New Roman" w:eastAsia="仿宋" w:cs="仿宋"/>
          <w:bCs/>
          <w:color w:val="auto"/>
          <w:sz w:val="28"/>
          <w:szCs w:val="28"/>
          <w:highlight w:val="none"/>
        </w:rPr>
        <w:t>（发布公告的媒介名称）上发布。有关本次招标的事项若存在变动或修改，敬请及时关注“</w:t>
      </w:r>
      <w:r>
        <w:rPr>
          <w:rFonts w:hint="eastAsia" w:ascii="Times New Roman" w:hAnsi="Times New Roman" w:eastAsia="仿宋" w:cs="仿宋"/>
          <w:bCs/>
          <w:color w:val="auto"/>
          <w:sz w:val="28"/>
          <w:szCs w:val="28"/>
          <w:highlight w:val="none"/>
          <w:lang w:val="en-US" w:eastAsia="zh-CN"/>
        </w:rPr>
        <w:t>江苏政府采购网</w:t>
      </w:r>
      <w:r>
        <w:rPr>
          <w:rFonts w:hint="eastAsia" w:ascii="Times New Roman" w:hAnsi="Times New Roman" w:eastAsia="仿宋" w:cs="仿宋"/>
          <w:bCs/>
          <w:color w:val="auto"/>
          <w:sz w:val="28"/>
          <w:szCs w:val="28"/>
          <w:highlight w:val="none"/>
        </w:rPr>
        <w:t>”发布的信息更正公告。</w:t>
      </w:r>
    </w:p>
    <w:p w14:paraId="4A9AA5E0">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3.投标人通过苏采云系统参与政府采购项目，需要办理江苏省政府采购数字证书及电子签章，具体详见苏采云系统登录页“CA办理指南”。投标人按《</w:t>
      </w:r>
      <w:r>
        <w:rPr>
          <w:rFonts w:hint="eastAsia" w:ascii="Times New Roman" w:hAnsi="Times New Roman" w:eastAsia="仿宋" w:cs="仿宋"/>
          <w:bCs/>
          <w:color w:val="auto"/>
          <w:sz w:val="28"/>
          <w:szCs w:val="28"/>
          <w:highlight w:val="none"/>
          <w:lang w:val="en-US"/>
        </w:rPr>
        <w:t>江苏省政府采购数字证书（</w:t>
      </w:r>
      <w:r>
        <w:rPr>
          <w:rFonts w:hint="eastAsia" w:ascii="Times New Roman" w:hAnsi="Times New Roman" w:eastAsia="仿宋" w:cs="仿宋"/>
          <w:bCs/>
          <w:color w:val="auto"/>
          <w:sz w:val="28"/>
          <w:szCs w:val="28"/>
          <w:highlight w:val="none"/>
          <w:lang w:val="en-US" w:eastAsia="zh-CN"/>
        </w:rPr>
        <w:t>投标人</w:t>
      </w:r>
      <w:r>
        <w:rPr>
          <w:rFonts w:hint="eastAsia" w:ascii="Times New Roman" w:hAnsi="Times New Roman" w:eastAsia="仿宋" w:cs="仿宋"/>
          <w:bCs/>
          <w:color w:val="auto"/>
          <w:sz w:val="28"/>
          <w:szCs w:val="28"/>
          <w:highlight w:val="none"/>
          <w:lang w:val="en-US"/>
        </w:rPr>
        <w:t>）数字证书CA及电子签章办理指南</w:t>
      </w:r>
      <w:r>
        <w:rPr>
          <w:rFonts w:hint="eastAsia" w:ascii="Times New Roman" w:hAnsi="Times New Roman" w:eastAsia="仿宋" w:cs="仿宋"/>
          <w:bCs/>
          <w:color w:val="auto"/>
          <w:sz w:val="28"/>
          <w:szCs w:val="28"/>
          <w:highlight w:val="none"/>
          <w:lang w:val="en-US" w:eastAsia="zh-CN"/>
        </w:rPr>
        <w:t>》进行办理，并制作上传电子投标文件。</w:t>
      </w:r>
    </w:p>
    <w:p w14:paraId="4391FE48">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4.单位负责人为同一人或者存在直接控股、管理关系的不同投标人，不得参加同一合同项下的政府采购活动。</w:t>
      </w:r>
    </w:p>
    <w:p w14:paraId="5B9F44C3">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5.为采购项目提供整体设计、规范编制或者项目管理、监理、检测等服务的投标人，不得再参加该采购项目的其他采购活动。</w:t>
      </w:r>
    </w:p>
    <w:p w14:paraId="7F1DEF37">
      <w:pPr>
        <w:keepNext w:val="0"/>
        <w:keepLines w:val="0"/>
        <w:pageBreakBefore w:val="0"/>
        <w:widowControl w:val="0"/>
        <w:numPr>
          <w:ilvl w:val="0"/>
          <w:numId w:val="0"/>
        </w:numPr>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6.拒绝列入失信被执行人、重大税收违法失信主体、政府采购严重违法失信行为记录名单的投标人参与政府采购活动。</w:t>
      </w:r>
    </w:p>
    <w:p w14:paraId="337E93CB">
      <w:pPr>
        <w:keepNext w:val="0"/>
        <w:keepLines w:val="0"/>
        <w:pageBreakBefore w:val="0"/>
        <w:spacing w:line="360" w:lineRule="auto"/>
        <w:ind w:firstLine="540"/>
        <w:jc w:val="both"/>
        <w:rPr>
          <w:rFonts w:hint="eastAsia" w:ascii="Times New Roman" w:hAnsi="Times New Roman" w:eastAsia="仿宋" w:cs="仿宋"/>
          <w:bCs/>
          <w:color w:val="auto"/>
          <w:sz w:val="28"/>
          <w:szCs w:val="28"/>
          <w:highlight w:val="none"/>
          <w:lang w:val="en-US"/>
        </w:rPr>
      </w:pPr>
      <w:r>
        <w:rPr>
          <w:rFonts w:hint="eastAsia" w:ascii="Times New Roman" w:hAnsi="Times New Roman" w:eastAsia="仿宋" w:cs="仿宋"/>
          <w:bCs/>
          <w:color w:val="auto"/>
          <w:sz w:val="28"/>
          <w:szCs w:val="28"/>
          <w:highlight w:val="none"/>
          <w:lang w:val="en-US" w:eastAsia="zh-CN"/>
        </w:rPr>
        <w:t>7.</w:t>
      </w:r>
      <w:r>
        <w:rPr>
          <w:rFonts w:hint="eastAsia" w:ascii="Times New Roman" w:hAnsi="Times New Roman" w:eastAsia="仿宋" w:cs="仿宋"/>
          <w:bCs/>
          <w:color w:val="auto"/>
          <w:sz w:val="28"/>
          <w:szCs w:val="28"/>
          <w:highlight w:val="none"/>
          <w:lang w:val="en-US"/>
        </w:rPr>
        <w:t>落实政府采购政策：</w:t>
      </w:r>
    </w:p>
    <w:p w14:paraId="3A5DE66C">
      <w:pPr>
        <w:pStyle w:val="199"/>
        <w:keepNext w:val="0"/>
        <w:keepLines w:val="0"/>
        <w:pageBreakBefore w:val="0"/>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（1）政府采购促进中小企业发展</w:t>
      </w:r>
    </w:p>
    <w:p w14:paraId="3DC90B2A">
      <w:pPr>
        <w:pStyle w:val="199"/>
        <w:keepNext w:val="0"/>
        <w:keepLines w:val="0"/>
        <w:pageBreakBefore w:val="0"/>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（2）政府采购支持监狱企业发展</w:t>
      </w:r>
    </w:p>
    <w:p w14:paraId="4D6C867F">
      <w:pPr>
        <w:pStyle w:val="199"/>
        <w:keepNext w:val="0"/>
        <w:keepLines w:val="0"/>
        <w:pageBreakBefore w:val="0"/>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（3）政府采购促进残疾人就业</w:t>
      </w:r>
    </w:p>
    <w:p w14:paraId="12479855">
      <w:pPr>
        <w:pStyle w:val="199"/>
        <w:keepNext w:val="0"/>
        <w:keepLines w:val="0"/>
        <w:pageBreakBefore w:val="0"/>
        <w:spacing w:line="360" w:lineRule="auto"/>
        <w:ind w:firstLine="560"/>
        <w:jc w:val="both"/>
        <w:rPr>
          <w:rFonts w:hint="eastAsia"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eastAsia="zh-CN"/>
        </w:rPr>
        <w:t>（4）政府采购鼓励采购节能环保产品</w:t>
      </w:r>
    </w:p>
    <w:p w14:paraId="6FF1DFDE">
      <w:pPr>
        <w:pStyle w:val="199"/>
        <w:keepNext w:val="0"/>
        <w:keepLines w:val="0"/>
        <w:pageBreakBefore w:val="0"/>
        <w:spacing w:line="360" w:lineRule="auto"/>
        <w:ind w:firstLine="560"/>
        <w:jc w:val="both"/>
        <w:rPr>
          <w:rFonts w:hint="default" w:ascii="Times New Roman" w:hAnsi="Times New Roman" w:eastAsia="仿宋" w:cs="仿宋"/>
          <w:bCs/>
          <w:color w:val="auto"/>
          <w:sz w:val="28"/>
          <w:szCs w:val="28"/>
          <w:highlight w:val="none"/>
          <w:lang w:val="en-US" w:eastAsia="zh-CN"/>
        </w:rPr>
      </w:pPr>
      <w:r>
        <w:rPr>
          <w:rFonts w:hint="eastAsia" w:ascii="Times New Roman" w:hAnsi="Times New Roman" w:eastAsia="仿宋" w:cs="仿宋"/>
          <w:bCs/>
          <w:color w:val="auto"/>
          <w:sz w:val="28"/>
          <w:szCs w:val="28"/>
          <w:highlight w:val="none"/>
          <w:lang w:val="en-US" w:bidi="zh-CN"/>
        </w:rPr>
        <w:t>（5）本国产品标准及相关政策</w:t>
      </w:r>
    </w:p>
    <w:p w14:paraId="75ADEDEC">
      <w:pPr>
        <w:pStyle w:val="199"/>
        <w:keepNext w:val="0"/>
        <w:keepLines w:val="0"/>
        <w:pageBreakBefore w:val="0"/>
        <w:spacing w:line="360" w:lineRule="auto"/>
        <w:ind w:firstLine="560"/>
        <w:jc w:val="both"/>
        <w:rPr>
          <w:rFonts w:hint="default" w:ascii="仿宋" w:hAnsi="仿宋" w:eastAsia="仿宋" w:cs="仿宋"/>
          <w:bCs/>
          <w:color w:val="auto"/>
          <w:sz w:val="28"/>
          <w:szCs w:val="28"/>
          <w:highlight w:val="none"/>
          <w:lang w:val="en-US" w:eastAsia="zh-CN" w:bidi="zh-CN"/>
        </w:rPr>
      </w:pPr>
      <w:r>
        <w:rPr>
          <w:rFonts w:hint="eastAsia" w:eastAsia="仿宋" w:cs="仿宋"/>
          <w:bCs/>
          <w:color w:val="auto"/>
          <w:sz w:val="28"/>
          <w:szCs w:val="28"/>
          <w:highlight w:val="none"/>
          <w:lang w:val="en-US" w:eastAsia="zh-CN"/>
        </w:rPr>
        <w:t>8</w:t>
      </w:r>
      <w:r>
        <w:rPr>
          <w:rFonts w:hint="eastAsia" w:ascii="Times New Roman" w:hAnsi="Times New Roman" w:eastAsia="仿宋" w:cs="仿宋"/>
          <w:bCs/>
          <w:color w:val="auto"/>
          <w:sz w:val="28"/>
          <w:szCs w:val="28"/>
          <w:highlight w:val="none"/>
          <w:lang w:val="en-US" w:eastAsia="zh-CN"/>
        </w:rPr>
        <w:t>.</w:t>
      </w:r>
      <w:r>
        <w:rPr>
          <w:rFonts w:hint="eastAsia" w:ascii="仿宋" w:hAnsi="仿宋" w:eastAsia="仿宋" w:cs="仿宋"/>
          <w:bCs/>
          <w:color w:val="auto"/>
          <w:sz w:val="28"/>
          <w:szCs w:val="28"/>
          <w:highlight w:val="none"/>
          <w:lang w:val="en-US" w:eastAsia="zh-CN" w:bidi="zh-CN"/>
        </w:rPr>
        <w:t>本项目采购标的对应的中小企业划分标准所属行业为：其他未列明行业。</w:t>
      </w:r>
    </w:p>
    <w:p w14:paraId="45816637">
      <w:pPr>
        <w:pStyle w:val="3"/>
        <w:keepNext w:val="0"/>
        <w:keepLines w:val="0"/>
        <w:pageBreakBefore w:val="0"/>
        <w:spacing w:line="360" w:lineRule="auto"/>
        <w:ind w:left="0"/>
        <w:rPr>
          <w:rFonts w:eastAsia="仿宋"/>
          <w:b/>
          <w:color w:val="auto"/>
          <w:sz w:val="28"/>
          <w:szCs w:val="28"/>
          <w:highlight w:val="none"/>
        </w:rPr>
      </w:pPr>
      <w:r>
        <w:rPr>
          <w:rFonts w:hint="eastAsia" w:eastAsia="仿宋"/>
          <w:b/>
          <w:color w:val="auto"/>
          <w:sz w:val="28"/>
          <w:szCs w:val="28"/>
          <w:highlight w:val="none"/>
        </w:rPr>
        <w:t>七、对本次招标提出询问，请按以下方式联系。</w:t>
      </w:r>
    </w:p>
    <w:p w14:paraId="38C508A1">
      <w:pPr>
        <w:keepNext w:val="0"/>
        <w:keepLines w:val="0"/>
        <w:pageBreakBefore w:val="0"/>
        <w:widowControl/>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rPr>
        <w:t>7.</w:t>
      </w:r>
      <w:r>
        <w:rPr>
          <w:rFonts w:hint="eastAsia" w:ascii="仿宋" w:hAnsi="仿宋" w:eastAsia="仿宋" w:cs="仿宋"/>
          <w:color w:val="auto"/>
          <w:sz w:val="28"/>
          <w:szCs w:val="28"/>
          <w:highlight w:val="none"/>
        </w:rPr>
        <w:t>1采购人信息</w:t>
      </w:r>
    </w:p>
    <w:p w14:paraId="1BD16CC7">
      <w:pPr>
        <w:keepNext w:val="0"/>
        <w:keepLines w:val="0"/>
        <w:pageBreakBefore w:val="0"/>
        <w:widowControl/>
        <w:spacing w:line="360" w:lineRule="auto"/>
        <w:ind w:firstLine="1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扬州中国大运河博物馆</w:t>
      </w:r>
    </w:p>
    <w:p w14:paraId="1B926FB4">
      <w:pPr>
        <w:keepNext w:val="0"/>
        <w:keepLines w:val="0"/>
        <w:pageBreakBefore w:val="0"/>
        <w:widowControl/>
        <w:spacing w:line="360" w:lineRule="auto"/>
        <w:ind w:firstLine="1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地址：江苏省扬州市广陵区运博路1号</w:t>
      </w:r>
    </w:p>
    <w:p w14:paraId="794E5233">
      <w:pPr>
        <w:keepNext w:val="0"/>
        <w:keepLines w:val="0"/>
        <w:pageBreakBefore w:val="0"/>
        <w:widowControl/>
        <w:spacing w:line="360" w:lineRule="auto"/>
        <w:ind w:firstLine="1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周</w:t>
      </w:r>
      <w:r>
        <w:rPr>
          <w:rFonts w:hint="eastAsia" w:ascii="仿宋" w:hAnsi="仿宋" w:eastAsia="仿宋" w:cs="仿宋"/>
          <w:color w:val="auto"/>
          <w:sz w:val="28"/>
          <w:szCs w:val="28"/>
          <w:highlight w:val="none"/>
        </w:rPr>
        <w:t>老师</w:t>
      </w:r>
    </w:p>
    <w:p w14:paraId="40982DAF">
      <w:pPr>
        <w:keepNext w:val="0"/>
        <w:keepLines w:val="0"/>
        <w:pageBreakBefore w:val="0"/>
        <w:widowControl/>
        <w:spacing w:line="360" w:lineRule="auto"/>
        <w:ind w:firstLine="1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联系方式：0514-82773012</w:t>
      </w:r>
    </w:p>
    <w:p w14:paraId="0BF36685">
      <w:pPr>
        <w:keepNext w:val="0"/>
        <w:keepLines w:val="0"/>
        <w:pageBreakBefore w:val="0"/>
        <w:widowControl/>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7.2</w:t>
      </w:r>
      <w:r>
        <w:rPr>
          <w:rFonts w:hint="eastAsia" w:ascii="仿宋" w:hAnsi="仿宋" w:eastAsia="仿宋" w:cs="仿宋"/>
          <w:color w:val="auto"/>
          <w:sz w:val="28"/>
          <w:szCs w:val="28"/>
          <w:highlight w:val="none"/>
        </w:rPr>
        <w:t>采购代理机构信息</w:t>
      </w:r>
    </w:p>
    <w:p w14:paraId="300B0C5F">
      <w:pPr>
        <w:keepNext w:val="0"/>
        <w:keepLines w:val="0"/>
        <w:pageBreakBefore w:val="0"/>
        <w:widowControl/>
        <w:spacing w:line="360" w:lineRule="auto"/>
        <w:ind w:firstLine="11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 称：江苏苏咨工程咨询有限责任公司</w:t>
      </w:r>
    </w:p>
    <w:p w14:paraId="630C8C86">
      <w:pPr>
        <w:keepNext w:val="0"/>
        <w:keepLines w:val="0"/>
        <w:pageBreakBefore w:val="0"/>
        <w:widowControl/>
        <w:spacing w:line="360" w:lineRule="auto"/>
        <w:ind w:firstLine="112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地址：江苏省南京市鼓楼区中山北路285号江虞宾馆406室</w:t>
      </w:r>
    </w:p>
    <w:p w14:paraId="00036A50">
      <w:pPr>
        <w:keepNext w:val="0"/>
        <w:keepLines w:val="0"/>
        <w:pageBreakBefore w:val="0"/>
        <w:widowControl/>
        <w:spacing w:line="360" w:lineRule="auto"/>
        <w:ind w:firstLine="112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w:t>
      </w:r>
      <w:bookmarkStart w:id="1" w:name="_Toc28359087"/>
      <w:bookmarkStart w:id="2" w:name="_Toc28359010"/>
      <w:r>
        <w:rPr>
          <w:rFonts w:hint="eastAsia" w:ascii="仿宋" w:hAnsi="仿宋" w:eastAsia="仿宋" w:cs="仿宋"/>
          <w:color w:val="auto"/>
          <w:sz w:val="28"/>
          <w:szCs w:val="28"/>
          <w:highlight w:val="none"/>
        </w:rPr>
        <w:t>025-835813</w:t>
      </w:r>
      <w:r>
        <w:rPr>
          <w:rFonts w:hint="eastAsia" w:ascii="仿宋" w:hAnsi="仿宋" w:eastAsia="仿宋" w:cs="仿宋"/>
          <w:color w:val="auto"/>
          <w:sz w:val="28"/>
          <w:szCs w:val="28"/>
          <w:highlight w:val="none"/>
          <w:lang w:val="en-US" w:eastAsia="zh-CN"/>
        </w:rPr>
        <w:t>52</w:t>
      </w:r>
    </w:p>
    <w:p w14:paraId="7789CB3E">
      <w:pPr>
        <w:keepNext w:val="0"/>
        <w:keepLines w:val="0"/>
        <w:pageBreakBefore w:val="0"/>
        <w:widowControl/>
        <w:spacing w:line="360" w:lineRule="auto"/>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7.</w:t>
      </w:r>
      <w:r>
        <w:rPr>
          <w:rFonts w:hint="eastAsia" w:ascii="仿宋" w:hAnsi="仿宋" w:eastAsia="仿宋" w:cs="仿宋"/>
          <w:color w:val="auto"/>
          <w:sz w:val="28"/>
          <w:szCs w:val="28"/>
          <w:highlight w:val="none"/>
        </w:rPr>
        <w:t>3项目联系方式</w:t>
      </w:r>
      <w:bookmarkEnd w:id="1"/>
      <w:bookmarkEnd w:id="2"/>
    </w:p>
    <w:p w14:paraId="53D49736">
      <w:pPr>
        <w:keepNext w:val="0"/>
        <w:keepLines w:val="0"/>
        <w:pageBreakBefore w:val="0"/>
        <w:widowControl/>
        <w:spacing w:line="360" w:lineRule="auto"/>
        <w:ind w:firstLine="112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val="en-US" w:eastAsia="zh-CN"/>
        </w:rPr>
        <w:t>王工</w:t>
      </w:r>
    </w:p>
    <w:p w14:paraId="71300226">
      <w:pPr>
        <w:keepNext w:val="0"/>
        <w:keepLines w:val="0"/>
        <w:pageBreakBefore w:val="0"/>
        <w:widowControl/>
        <w:spacing w:line="360" w:lineRule="auto"/>
        <w:ind w:firstLine="1120"/>
        <w:rPr>
          <w:rFonts w:hint="default" w:eastAsia="仿宋" w:asciiTheme="minorEastAsia" w:hAnsiTheme="minorEastAsia" w:cstheme="minorEastAsia"/>
          <w:color w:val="auto"/>
          <w:sz w:val="28"/>
          <w:szCs w:val="28"/>
          <w:highlight w:val="none"/>
          <w:lang w:val="en-US" w:eastAsia="zh-CN"/>
        </w:rPr>
        <w:sectPr>
          <w:footerReference r:id="rId4" w:type="default"/>
          <w:pgSz w:w="11910" w:h="16840"/>
          <w:pgMar w:top="1418" w:right="1100" w:bottom="1418" w:left="1100" w:header="0" w:footer="1123" w:gutter="0"/>
          <w:pgNumType w:fmt="decimal" w:start="1"/>
          <w:cols w:space="425" w:num="1"/>
          <w:docGrid w:linePitch="360" w:charSpace="0"/>
        </w:sectPr>
      </w:pPr>
      <w:r>
        <w:rPr>
          <w:rFonts w:hint="eastAsia" w:ascii="仿宋" w:hAnsi="仿宋" w:eastAsia="仿宋" w:cs="仿宋"/>
          <w:color w:val="auto"/>
          <w:sz w:val="28"/>
          <w:szCs w:val="28"/>
          <w:highlight w:val="none"/>
        </w:rPr>
        <w:t>电话：025-835813</w:t>
      </w:r>
      <w:r>
        <w:rPr>
          <w:rFonts w:hint="eastAsia" w:ascii="仿宋" w:hAnsi="仿宋" w:eastAsia="仿宋" w:cs="仿宋"/>
          <w:color w:val="auto"/>
          <w:sz w:val="28"/>
          <w:szCs w:val="28"/>
          <w:highlight w:val="none"/>
          <w:lang w:val="en-US" w:eastAsia="zh-CN"/>
        </w:rPr>
        <w:t>52</w:t>
      </w:r>
    </w:p>
    <w:p w14:paraId="58099A47">
      <w:pPr>
        <w:numPr>
          <w:ilvl w:val="0"/>
          <w:numId w:val="0"/>
        </w:numPr>
        <w:tabs>
          <w:tab w:val="left" w:pos="1447"/>
        </w:tabs>
        <w:spacing w:line="567" w:lineRule="exact"/>
        <w:ind w:right="452"/>
        <w:jc w:val="both"/>
        <w:outlineLvl w:val="0"/>
        <w:rPr>
          <w:rFonts w:hint="eastAsia" w:asciiTheme="majorEastAsia" w:hAnsiTheme="majorEastAsia" w:eastAsiaTheme="majorEastAsia" w:cstheme="majorEastAsia"/>
          <w:b/>
          <w:color w:val="auto"/>
          <w:sz w:val="24"/>
          <w:szCs w:val="18"/>
          <w:highlight w:val="none"/>
        </w:rPr>
      </w:pPr>
    </w:p>
    <w:p w14:paraId="71783116">
      <w:pPr>
        <w:pStyle w:val="2"/>
        <w:tabs>
          <w:tab w:val="left" w:pos="1447"/>
        </w:tabs>
        <w:spacing w:line="567" w:lineRule="exact"/>
        <w:rPr>
          <w:rFonts w:asciiTheme="minorEastAsia" w:hAnsiTheme="minorEastAsia" w:eastAsiaTheme="minorEastAsia" w:cstheme="minorEastAsia"/>
          <w:color w:val="auto"/>
          <w:highlight w:val="none"/>
        </w:rPr>
      </w:pPr>
      <w:bookmarkStart w:id="3" w:name="_Toc17035"/>
      <w:bookmarkStart w:id="4" w:name="_Toc23325"/>
      <w:r>
        <w:rPr>
          <w:rFonts w:hint="eastAsia" w:asciiTheme="minorEastAsia" w:hAnsiTheme="minorEastAsia" w:eastAsiaTheme="minorEastAsia" w:cstheme="minorEastAsia"/>
          <w:color w:val="auto"/>
          <w:highlight w:val="none"/>
        </w:rPr>
        <w:t>第二章  投标人须知</w:t>
      </w:r>
      <w:bookmarkEnd w:id="3"/>
      <w:bookmarkEnd w:id="4"/>
    </w:p>
    <w:p w14:paraId="0CB982DC">
      <w:pPr>
        <w:spacing w:before="12" w:line="360" w:lineRule="auto"/>
        <w:jc w:val="both"/>
        <w:rPr>
          <w:rFonts w:hint="eastAsia" w:ascii="仿宋" w:hAnsi="仿宋" w:eastAsia="仿宋" w:cs="仿宋"/>
          <w:b/>
          <w:bCs/>
          <w:color w:val="auto"/>
          <w:spacing w:val="-3"/>
          <w:sz w:val="24"/>
          <w:szCs w:val="24"/>
          <w:highlight w:val="none"/>
        </w:rPr>
      </w:pPr>
      <w:bookmarkStart w:id="5" w:name="_Toc66290655"/>
      <w:r>
        <w:rPr>
          <w:rFonts w:hint="eastAsia" w:ascii="仿宋" w:hAnsi="仿宋" w:eastAsia="仿宋" w:cs="仿宋"/>
          <w:b/>
          <w:bCs/>
          <w:color w:val="auto"/>
          <w:spacing w:val="-3"/>
          <w:sz w:val="24"/>
          <w:szCs w:val="24"/>
          <w:highlight w:val="none"/>
        </w:rPr>
        <w:t>一、总   则</w:t>
      </w:r>
      <w:bookmarkEnd w:id="5"/>
    </w:p>
    <w:p w14:paraId="3EEA7D15">
      <w:pPr>
        <w:spacing w:before="12" w:line="360" w:lineRule="auto"/>
        <w:ind w:firstLine="470"/>
        <w:jc w:val="both"/>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t>1</w:t>
      </w:r>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rPr>
        <w:t>适用法律</w:t>
      </w:r>
    </w:p>
    <w:p w14:paraId="7D457FDE">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1.1 《中华人民共和国政府采购法》、《中华人民共和国政府采购法实施条例》、《中华人民共和国招标投标法》等有关法律、规章和规定等。</w:t>
      </w:r>
    </w:p>
    <w:p w14:paraId="1D2DAD47">
      <w:pPr>
        <w:spacing w:before="12" w:line="360" w:lineRule="auto"/>
        <w:ind w:firstLine="470"/>
        <w:jc w:val="both"/>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t>2</w:t>
      </w:r>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rPr>
        <w:t>定义</w:t>
      </w:r>
    </w:p>
    <w:p w14:paraId="5E6A74C7">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2.1 “投标人或</w:t>
      </w:r>
      <w:r>
        <w:rPr>
          <w:rFonts w:hint="eastAsia" w:ascii="仿宋" w:hAnsi="仿宋" w:eastAsia="仿宋" w:cs="仿宋"/>
          <w:color w:val="auto"/>
          <w:spacing w:val="-3"/>
          <w:sz w:val="24"/>
          <w:szCs w:val="24"/>
          <w:highlight w:val="none"/>
          <w:lang w:eastAsia="zh-CN"/>
        </w:rPr>
        <w:t>投标人</w:t>
      </w:r>
      <w:r>
        <w:rPr>
          <w:rFonts w:hint="eastAsia" w:ascii="仿宋" w:hAnsi="仿宋" w:eastAsia="仿宋" w:cs="仿宋"/>
          <w:color w:val="auto"/>
          <w:spacing w:val="-3"/>
          <w:sz w:val="24"/>
          <w:szCs w:val="24"/>
          <w:highlight w:val="none"/>
        </w:rPr>
        <w:t>”是指参加投标竞争，并符合招标文件规定资格条件的法人、其他组织或者自然人。</w:t>
      </w:r>
    </w:p>
    <w:p w14:paraId="67BF2A00">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2.2 “</w:t>
      </w:r>
      <w:r>
        <w:rPr>
          <w:rFonts w:hint="eastAsia" w:ascii="仿宋" w:hAnsi="仿宋" w:eastAsia="仿宋" w:cs="仿宋"/>
          <w:color w:val="auto"/>
          <w:spacing w:val="-3"/>
          <w:sz w:val="24"/>
          <w:szCs w:val="24"/>
          <w:highlight w:val="none"/>
          <w:lang w:val="en-US" w:eastAsia="zh-CN"/>
        </w:rPr>
        <w:t>服务</w:t>
      </w:r>
      <w:r>
        <w:rPr>
          <w:rFonts w:hint="eastAsia" w:ascii="仿宋" w:hAnsi="仿宋" w:eastAsia="仿宋" w:cs="仿宋"/>
          <w:color w:val="auto"/>
          <w:spacing w:val="-3"/>
          <w:sz w:val="24"/>
          <w:szCs w:val="24"/>
          <w:highlight w:val="none"/>
        </w:rPr>
        <w:t>”指本招标文件中所述产品及相关服务。</w:t>
      </w:r>
    </w:p>
    <w:p w14:paraId="5DECF5C6">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2.3 “用户或使用单位或采购人”是指采购本</w:t>
      </w:r>
      <w:r>
        <w:rPr>
          <w:rFonts w:hint="eastAsia" w:ascii="仿宋" w:hAnsi="仿宋" w:eastAsia="仿宋" w:cs="仿宋"/>
          <w:color w:val="auto"/>
          <w:spacing w:val="-3"/>
          <w:sz w:val="24"/>
          <w:szCs w:val="24"/>
          <w:highlight w:val="none"/>
          <w:lang w:val="en-US"/>
        </w:rPr>
        <w:t>项目</w:t>
      </w:r>
      <w:r>
        <w:rPr>
          <w:rFonts w:hint="eastAsia" w:ascii="仿宋" w:hAnsi="仿宋" w:eastAsia="仿宋" w:cs="仿宋"/>
          <w:color w:val="auto"/>
          <w:spacing w:val="-3"/>
          <w:sz w:val="24"/>
          <w:szCs w:val="24"/>
          <w:highlight w:val="none"/>
          <w:lang w:val="en-US" w:eastAsia="zh-CN"/>
        </w:rPr>
        <w:t>服务</w:t>
      </w:r>
      <w:r>
        <w:rPr>
          <w:rFonts w:hint="eastAsia" w:ascii="仿宋" w:hAnsi="仿宋" w:eastAsia="仿宋" w:cs="仿宋"/>
          <w:color w:val="auto"/>
          <w:spacing w:val="-3"/>
          <w:sz w:val="24"/>
          <w:szCs w:val="24"/>
          <w:highlight w:val="none"/>
        </w:rPr>
        <w:t>的单位。</w:t>
      </w:r>
    </w:p>
    <w:p w14:paraId="3F66486E">
      <w:pPr>
        <w:spacing w:before="12" w:line="360" w:lineRule="auto"/>
        <w:ind w:firstLine="470"/>
        <w:jc w:val="both"/>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rPr>
        <w:t>3</w:t>
      </w:r>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rPr>
        <w:t>政策功能</w:t>
      </w:r>
      <w:bookmarkStart w:id="6" w:name="_Toc6915"/>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lang w:val="en-US" w:eastAsia="zh-CN"/>
        </w:rPr>
        <w:t>本项目专门面向中小企业采购。</w:t>
      </w:r>
    </w:p>
    <w:p w14:paraId="749D9EF3">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3.1中小企业政策</w:t>
      </w:r>
    </w:p>
    <w:p w14:paraId="0B709CD8">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p>
    <w:p w14:paraId="0DDE1E9A">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（2）对于专门面向中小企业或小型、微型企业的项目，只面向中小企业或小型、微型企业采购。对于非专门面向中小企业的项目，对小型和微型企业产品的价格给予</w:t>
      </w:r>
      <w:r>
        <w:rPr>
          <w:rFonts w:hint="eastAsia" w:ascii="仿宋" w:hAnsi="仿宋" w:eastAsia="仿宋" w:cs="仿宋"/>
          <w:color w:val="auto"/>
          <w:spacing w:val="-3"/>
          <w:sz w:val="24"/>
          <w:szCs w:val="24"/>
          <w:highlight w:val="none"/>
          <w:lang w:val="en-US"/>
        </w:rPr>
        <w:t>10</w:t>
      </w:r>
      <w:r>
        <w:rPr>
          <w:rFonts w:hint="eastAsia" w:ascii="仿宋" w:hAnsi="仿宋" w:eastAsia="仿宋" w:cs="仿宋"/>
          <w:color w:val="auto"/>
          <w:spacing w:val="-3"/>
          <w:sz w:val="24"/>
          <w:szCs w:val="24"/>
          <w:highlight w:val="none"/>
        </w:rPr>
        <w:t>%的扣除，用扣除后的价格参与评审。</w:t>
      </w:r>
    </w:p>
    <w:p w14:paraId="1D8F94F7">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（3）参加政府采购活动的中小企业应当提供《中小企业声明函》、由省级以上监狱管理局、戒毒管理局(含新疆生产建设兵团)出具的属于监狱企业的证明文件或《残疾人福利性单位声明函》。</w:t>
      </w:r>
    </w:p>
    <w:p w14:paraId="72E67040">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（4）中小企业依据《政府采购促进中小企业发展暂行办法》（财库〔2011〕181号）规定的政策获取政府采购合同后，小型、微型企业不得分包或转包给大型、中型企业，中型企业不得分包或转包给大型企业。</w:t>
      </w:r>
    </w:p>
    <w:p w14:paraId="4E6EE739">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3.2 节能产品政策</w:t>
      </w:r>
    </w:p>
    <w:p w14:paraId="2CC0D828">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（1）节能产品是指列入财政部、国家发展和改革委员会制定的节能产品品目政府采购清单，且经过认证的节能产品；</w:t>
      </w:r>
    </w:p>
    <w:p w14:paraId="19559C27">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（2）拟采购产品属于节能产品政府采购清单规定必须强制采购的，实行强制采购。</w:t>
      </w:r>
    </w:p>
    <w:p w14:paraId="2727D585">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（3）拟采购产品属于节能产品政府采购清单规定优先采购的，在技术、服务等指标同等条件下，实行优先采购，优先采购的要求详见第三章说明内容。</w:t>
      </w:r>
    </w:p>
    <w:p w14:paraId="2ED777C8">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（4）参加政府采购活动的节能产品供应商应当提供有效的节能产品认证证书复印件。</w:t>
      </w:r>
    </w:p>
    <w:p w14:paraId="658D70FD">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（5）未按要求提供相关材料的，不享受相关政策。</w:t>
      </w:r>
    </w:p>
    <w:p w14:paraId="56B54656">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3.3 环境标志产品政策</w:t>
      </w:r>
    </w:p>
    <w:p w14:paraId="16185BF9">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（1）环境标志产品是指列入财政部、生态环境部制定的环境标志产品品目政府采购清单，且经过认证的环境标志产品；</w:t>
      </w:r>
    </w:p>
    <w:p w14:paraId="26C481FF">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（2）拟采购产品属于环境标志产品政府采购清单规定优先采购的，在性能、技术、服务等指标同等条件下，实行优先采购，优先采购的要求详见第三章说明内容。</w:t>
      </w:r>
    </w:p>
    <w:p w14:paraId="4E1D951B">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（3）参加政府采购活动的环境标志产品应当提供有效的环境标志产品认证证书复印件。未按要求提供相关材料的，不享受相关政策。</w:t>
      </w:r>
    </w:p>
    <w:p w14:paraId="38A1ABD2">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w:t>
      </w:r>
      <w:r>
        <w:rPr>
          <w:rFonts w:hint="eastAsia" w:ascii="仿宋" w:hAnsi="仿宋" w:eastAsia="仿宋" w:cs="仿宋"/>
          <w:color w:val="auto"/>
          <w:spacing w:val="-3"/>
          <w:sz w:val="24"/>
          <w:szCs w:val="24"/>
          <w:highlight w:val="none"/>
          <w:lang w:val="en-US" w:eastAsia="zh-CN"/>
        </w:rPr>
        <w:t>4</w:t>
      </w:r>
      <w:r>
        <w:rPr>
          <w:rFonts w:hint="eastAsia" w:ascii="仿宋" w:hAnsi="仿宋" w:eastAsia="仿宋" w:cs="仿宋"/>
          <w:color w:val="auto"/>
          <w:spacing w:val="-3"/>
          <w:sz w:val="24"/>
          <w:szCs w:val="24"/>
          <w:highlight w:val="none"/>
        </w:rPr>
        <w:t xml:space="preserve"> 进口产品政策</w:t>
      </w:r>
    </w:p>
    <w:p w14:paraId="32462BDD">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（1）除第一章</w:t>
      </w:r>
      <w:r>
        <w:rPr>
          <w:rFonts w:hint="eastAsia" w:ascii="仿宋" w:hAnsi="仿宋" w:eastAsia="仿宋" w:cs="仿宋"/>
          <w:color w:val="auto"/>
          <w:spacing w:val="-3"/>
          <w:sz w:val="24"/>
          <w:szCs w:val="24"/>
          <w:highlight w:val="none"/>
          <w:lang w:val="en-US"/>
        </w:rPr>
        <w:t>招标</w:t>
      </w:r>
      <w:r>
        <w:rPr>
          <w:rFonts w:hint="eastAsia" w:ascii="仿宋" w:hAnsi="仿宋" w:eastAsia="仿宋" w:cs="仿宋"/>
          <w:color w:val="auto"/>
          <w:spacing w:val="-3"/>
          <w:sz w:val="24"/>
          <w:szCs w:val="24"/>
          <w:highlight w:val="none"/>
        </w:rPr>
        <w:t>公告另有规定外，不允许进口产品参加。进口产品认定依照《财政部关于政府采购进口产品管理有关问题的通知》（财办库〔2008〕248 号）的规定。</w:t>
      </w:r>
    </w:p>
    <w:p w14:paraId="0D7955E9">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（2）允许进口产品参加的，满足需求的国内产品可以参加。</w:t>
      </w:r>
    </w:p>
    <w:p w14:paraId="3180F5B4">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（3）允许进口产品参加的，优先采购向我国企业转让技术、与我国企业签订消化吸收再创新方案的供应商的进口产品。</w:t>
      </w:r>
    </w:p>
    <w:p w14:paraId="6D4EEB6F">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4</w:t>
      </w: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rPr>
        <w:t>本项目不接受进口产品。</w:t>
      </w:r>
    </w:p>
    <w:p w14:paraId="78911CD1">
      <w:pPr>
        <w:spacing w:line="360" w:lineRule="auto"/>
        <w:ind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3.5政府采购中实施本国产品标准及相关政策</w:t>
      </w:r>
    </w:p>
    <w:p w14:paraId="5F39E51D">
      <w:pPr>
        <w:spacing w:line="360" w:lineRule="auto"/>
        <w:ind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本项目对采购本国产品给予政策支持，具体内容见招标文件“第三章 评分标准”。 适用本国产品标准的货物具体是指《政府采购品目分类目录》中的货物类产品，但不包括其中的房屋和构筑物，文物和陈列品，图书和档案，特种动植物，农林牧渔业产品，矿与矿物， 电力、城市燃气、蒸汽和热水、水，食品、饮料和烟草原料，无形资产。 本国产品应当在中国境内生产，即在中华人民共和国关境内实现从原材料、组件到产品 的属性改变。从具体情形看，在国内保税区、综合保税区等海关特殊监管区域生产的产品，属于在 中国境内生产的产品；对医疗器械产品，取得药品监督管理部门授予的准字号医疗器械注册证的，属于在中国境内生产的产品；其他产品，根据实际情况判断是否在中国境内生产。</w:t>
      </w:r>
    </w:p>
    <w:p w14:paraId="6042FA8D">
      <w:pPr>
        <w:spacing w:line="360" w:lineRule="auto"/>
        <w:ind w:firstLine="468"/>
        <w:jc w:val="both"/>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rPr>
        <w:t xml:space="preserve">3.6 </w:t>
      </w:r>
      <w:r>
        <w:rPr>
          <w:rFonts w:hint="eastAsia" w:ascii="仿宋" w:hAnsi="仿宋" w:eastAsia="仿宋" w:cs="仿宋"/>
          <w:color w:val="auto"/>
          <w:spacing w:val="-3"/>
          <w:sz w:val="24"/>
          <w:szCs w:val="24"/>
          <w:highlight w:val="none"/>
        </w:rPr>
        <w:t>未按要求提供相关材料的，不享受相关政策。</w:t>
      </w:r>
    </w:p>
    <w:p w14:paraId="45174F87">
      <w:pPr>
        <w:spacing w:line="360" w:lineRule="auto"/>
        <w:ind w:firstLine="468"/>
        <w:jc w:val="both"/>
        <w:rPr>
          <w:rFonts w:hint="eastAsia" w:ascii="仿宋" w:hAnsi="仿宋" w:eastAsia="仿宋" w:cs="仿宋"/>
          <w:b w:val="0"/>
          <w:bCs w:val="0"/>
          <w:color w:val="auto"/>
          <w:spacing w:val="-3"/>
          <w:sz w:val="24"/>
          <w:szCs w:val="24"/>
          <w:highlight w:val="none"/>
          <w:lang w:val="en-US" w:eastAsia="zh-CN"/>
        </w:rPr>
      </w:pPr>
      <w:r>
        <w:rPr>
          <w:rFonts w:hint="eastAsia" w:ascii="仿宋" w:hAnsi="仿宋" w:eastAsia="仿宋" w:cs="仿宋"/>
          <w:b w:val="0"/>
          <w:bCs w:val="0"/>
          <w:color w:val="auto"/>
          <w:spacing w:val="-3"/>
          <w:sz w:val="24"/>
          <w:szCs w:val="24"/>
          <w:highlight w:val="none"/>
          <w:lang w:val="en-US" w:eastAsia="zh-CN"/>
        </w:rPr>
        <w:t>3.7</w:t>
      </w:r>
      <w:r>
        <w:rPr>
          <w:rFonts w:hint="eastAsia" w:ascii="仿宋" w:hAnsi="仿宋" w:eastAsia="仿宋" w:cs="仿宋"/>
          <w:b w:val="0"/>
          <w:bCs w:val="0"/>
          <w:color w:val="auto"/>
          <w:spacing w:val="-3"/>
          <w:sz w:val="24"/>
          <w:szCs w:val="24"/>
          <w:highlight w:val="none"/>
        </w:rPr>
        <w:t xml:space="preserve"> 本项目所属行业为</w:t>
      </w:r>
      <w:r>
        <w:rPr>
          <w:rFonts w:hint="eastAsia" w:ascii="仿宋" w:hAnsi="仿宋" w:eastAsia="仿宋" w:cs="仿宋"/>
          <w:b/>
          <w:bCs/>
          <w:color w:val="auto"/>
          <w:spacing w:val="-3"/>
          <w:sz w:val="24"/>
          <w:szCs w:val="24"/>
          <w:highlight w:val="none"/>
          <w:lang w:val="en-US" w:eastAsia="zh-CN"/>
        </w:rPr>
        <w:t>其他未列明行业</w:t>
      </w:r>
      <w:r>
        <w:rPr>
          <w:rFonts w:hint="eastAsia" w:ascii="仿宋" w:hAnsi="仿宋" w:eastAsia="仿宋" w:cs="仿宋"/>
          <w:b w:val="0"/>
          <w:bCs w:val="0"/>
          <w:color w:val="auto"/>
          <w:spacing w:val="-3"/>
          <w:sz w:val="24"/>
          <w:szCs w:val="24"/>
          <w:highlight w:val="none"/>
          <w:lang w:val="en-US" w:eastAsia="zh-CN"/>
        </w:rPr>
        <w:t>。</w:t>
      </w:r>
    </w:p>
    <w:p w14:paraId="4C3A6ECA">
      <w:pPr>
        <w:spacing w:before="12" w:line="360" w:lineRule="auto"/>
        <w:jc w:val="both"/>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t>二、招标文件</w:t>
      </w:r>
      <w:bookmarkEnd w:id="6"/>
    </w:p>
    <w:p w14:paraId="4DABBB3E">
      <w:pPr>
        <w:spacing w:before="12" w:line="360" w:lineRule="auto"/>
        <w:ind w:firstLine="470"/>
        <w:jc w:val="both"/>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t>4</w:t>
      </w:r>
      <w:r>
        <w:rPr>
          <w:rFonts w:hint="eastAsia" w:ascii="仿宋" w:hAnsi="仿宋" w:eastAsia="仿宋" w:cs="仿宋"/>
          <w:b/>
          <w:bCs/>
          <w:color w:val="auto"/>
          <w:spacing w:val="-3"/>
          <w:sz w:val="24"/>
          <w:szCs w:val="24"/>
          <w:highlight w:val="none"/>
          <w:lang w:eastAsia="zh-CN"/>
        </w:rPr>
        <w:t>.</w:t>
      </w:r>
      <w:r>
        <w:rPr>
          <w:rFonts w:hint="eastAsia" w:ascii="仿宋" w:hAnsi="仿宋" w:eastAsia="仿宋" w:cs="仿宋"/>
          <w:b/>
          <w:bCs/>
          <w:color w:val="auto"/>
          <w:spacing w:val="-3"/>
          <w:sz w:val="24"/>
          <w:szCs w:val="24"/>
          <w:highlight w:val="none"/>
        </w:rPr>
        <w:t>招标文件组成</w:t>
      </w:r>
    </w:p>
    <w:p w14:paraId="50839190">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rPr>
        <w:t>4.1</w:t>
      </w:r>
      <w:r>
        <w:rPr>
          <w:rFonts w:hint="eastAsia" w:ascii="仿宋" w:hAnsi="仿宋" w:eastAsia="仿宋" w:cs="仿宋"/>
          <w:color w:val="auto"/>
          <w:spacing w:val="-3"/>
          <w:sz w:val="24"/>
          <w:szCs w:val="24"/>
          <w:highlight w:val="none"/>
        </w:rPr>
        <w:t>招标文件组成：招标公告、投标人须知、投标人应当提交的资格和资信证明文件、投标报价要求、投标文件编制要求和招标</w:t>
      </w:r>
      <w:r>
        <w:rPr>
          <w:rFonts w:hint="eastAsia" w:ascii="仿宋" w:hAnsi="仿宋" w:eastAsia="仿宋" w:cs="仿宋"/>
          <w:color w:val="auto"/>
          <w:spacing w:val="-3"/>
          <w:sz w:val="24"/>
          <w:szCs w:val="24"/>
          <w:highlight w:val="none"/>
          <w:lang w:val="en-US" w:eastAsia="zh-CN"/>
        </w:rPr>
        <w:t>服务</w:t>
      </w:r>
      <w:r>
        <w:rPr>
          <w:rFonts w:hint="eastAsia" w:ascii="仿宋" w:hAnsi="仿宋" w:eastAsia="仿宋" w:cs="仿宋"/>
          <w:color w:val="auto"/>
          <w:spacing w:val="-3"/>
          <w:sz w:val="24"/>
          <w:szCs w:val="24"/>
          <w:highlight w:val="none"/>
        </w:rPr>
        <w:t>的</w:t>
      </w:r>
      <w:r>
        <w:rPr>
          <w:rFonts w:hint="eastAsia" w:ascii="仿宋" w:hAnsi="仿宋" w:eastAsia="仿宋" w:cs="仿宋"/>
          <w:color w:val="auto"/>
          <w:spacing w:val="-3"/>
          <w:sz w:val="24"/>
          <w:szCs w:val="24"/>
          <w:highlight w:val="none"/>
          <w:lang w:val="en-US"/>
        </w:rPr>
        <w:t>技术</w:t>
      </w:r>
      <w:r>
        <w:rPr>
          <w:rFonts w:hint="eastAsia" w:ascii="仿宋" w:hAnsi="仿宋" w:eastAsia="仿宋" w:cs="仿宋"/>
          <w:color w:val="auto"/>
          <w:spacing w:val="-3"/>
          <w:sz w:val="24"/>
          <w:szCs w:val="24"/>
          <w:highlight w:val="none"/>
        </w:rPr>
        <w:t>要求和数量、合同主要条款及合同签订方式、</w:t>
      </w:r>
      <w:r>
        <w:rPr>
          <w:rFonts w:hint="eastAsia" w:ascii="仿宋" w:hAnsi="仿宋" w:eastAsia="仿宋" w:cs="仿宋"/>
          <w:color w:val="auto"/>
          <w:spacing w:val="-3"/>
          <w:sz w:val="24"/>
          <w:szCs w:val="24"/>
          <w:highlight w:val="none"/>
          <w:lang w:val="en-US"/>
        </w:rPr>
        <w:t>交付使用</w:t>
      </w:r>
      <w:r>
        <w:rPr>
          <w:rFonts w:hint="eastAsia" w:ascii="仿宋" w:hAnsi="仿宋" w:eastAsia="仿宋" w:cs="仿宋"/>
          <w:color w:val="auto"/>
          <w:spacing w:val="-3"/>
          <w:sz w:val="24"/>
          <w:szCs w:val="24"/>
          <w:highlight w:val="none"/>
        </w:rPr>
        <w:t>的时间、付款条件、评标方法、评标标准、无效投标和废标条款、附件等。</w:t>
      </w:r>
    </w:p>
    <w:p w14:paraId="6CEA09B7">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rPr>
        <w:t>4.2</w:t>
      </w:r>
      <w:r>
        <w:rPr>
          <w:rFonts w:hint="eastAsia" w:ascii="仿宋" w:hAnsi="仿宋" w:eastAsia="仿宋" w:cs="仿宋"/>
          <w:color w:val="auto"/>
          <w:spacing w:val="-3"/>
          <w:sz w:val="24"/>
          <w:szCs w:val="24"/>
          <w:highlight w:val="none"/>
        </w:rPr>
        <w:t>招标的最小单位是包。招标服务数量及服务要求中未分包的，投标人对要求提供的服务不得部分投标；招标服务数量及服务要求中已经分包的，可以以包为单位投标。</w:t>
      </w:r>
    </w:p>
    <w:p w14:paraId="2E963E33">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val="en-US"/>
        </w:rPr>
        <w:t>4.3</w:t>
      </w:r>
      <w:r>
        <w:rPr>
          <w:rFonts w:hint="eastAsia" w:ascii="仿宋" w:hAnsi="仿宋" w:eastAsia="仿宋" w:cs="仿宋"/>
          <w:color w:val="auto"/>
          <w:spacing w:val="-3"/>
          <w:sz w:val="24"/>
          <w:szCs w:val="24"/>
          <w:highlight w:val="none"/>
        </w:rPr>
        <w:t>采购代理如果要求投标人按照招标文件规定提交备选投标方案的，投标人可以提交备选方案；否则，备选方案将被拒绝。</w:t>
      </w:r>
    </w:p>
    <w:p w14:paraId="3F815E2C">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招标文件的澄清、修改</w:t>
      </w:r>
    </w:p>
    <w:p w14:paraId="1C4372D7">
      <w:pPr>
        <w:spacing w:line="360" w:lineRule="auto"/>
        <w:ind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5.1采购代理对已发出的招标文件进行必要澄清或者修改的，将在招标文件要求提交投标文件截止时间</w:t>
      </w:r>
      <w:r>
        <w:rPr>
          <w:rFonts w:hint="eastAsia" w:ascii="仿宋" w:hAnsi="仿宋" w:eastAsia="仿宋" w:cs="仿宋"/>
          <w:b/>
          <w:bCs/>
          <w:color w:val="auto"/>
          <w:spacing w:val="-3"/>
          <w:sz w:val="24"/>
          <w:szCs w:val="24"/>
          <w:highlight w:val="none"/>
          <w:u w:val="single"/>
          <w:lang w:val="en-US"/>
        </w:rPr>
        <w:t>十五日</w:t>
      </w:r>
      <w:r>
        <w:rPr>
          <w:rFonts w:hint="eastAsia" w:ascii="仿宋" w:hAnsi="仿宋" w:eastAsia="仿宋" w:cs="仿宋"/>
          <w:color w:val="auto"/>
          <w:spacing w:val="-3"/>
          <w:sz w:val="24"/>
          <w:szCs w:val="24"/>
          <w:highlight w:val="none"/>
          <w:lang w:val="en-US"/>
        </w:rPr>
        <w:t>前，在原招标公告媒体发布更正公告，该澄清或者修改的内容为招标文件的组成部分。</w:t>
      </w:r>
    </w:p>
    <w:p w14:paraId="7B19FA45">
      <w:pPr>
        <w:spacing w:line="360" w:lineRule="auto"/>
        <w:ind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5.2采购代理在招标文件要求提交投标文件截止时间前，有权决定延长投标截止时间和开标时间，并在原采购信息发布媒体上发布变更公告。</w:t>
      </w:r>
    </w:p>
    <w:p w14:paraId="247C542F">
      <w:pPr>
        <w:spacing w:line="360" w:lineRule="auto"/>
        <w:ind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5.3投标人应在投标截止时间前关注“江苏政府采购网”有关本招标项目有无变更公告。</w:t>
      </w:r>
    </w:p>
    <w:p w14:paraId="6C162A53">
      <w:pPr>
        <w:spacing w:before="12" w:line="360" w:lineRule="auto"/>
        <w:jc w:val="both"/>
        <w:rPr>
          <w:rFonts w:hint="eastAsia" w:ascii="仿宋" w:hAnsi="仿宋" w:eastAsia="仿宋" w:cs="仿宋"/>
          <w:b/>
          <w:bCs/>
          <w:color w:val="auto"/>
          <w:spacing w:val="-3"/>
          <w:sz w:val="24"/>
          <w:szCs w:val="24"/>
          <w:highlight w:val="none"/>
        </w:rPr>
      </w:pPr>
      <w:bookmarkStart w:id="7" w:name="_Toc20513"/>
      <w:r>
        <w:rPr>
          <w:rFonts w:hint="eastAsia" w:ascii="仿宋" w:hAnsi="仿宋" w:eastAsia="仿宋" w:cs="仿宋"/>
          <w:b/>
          <w:bCs/>
          <w:color w:val="auto"/>
          <w:spacing w:val="-3"/>
          <w:sz w:val="24"/>
          <w:szCs w:val="24"/>
          <w:highlight w:val="none"/>
        </w:rPr>
        <w:t>三、投标</w:t>
      </w:r>
      <w:bookmarkEnd w:id="7"/>
    </w:p>
    <w:p w14:paraId="0D145C79">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投标文件的语言、计量单位、货币和编制</w:t>
      </w:r>
    </w:p>
    <w:p w14:paraId="7CD101F1">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 xml:space="preserve">6.1 </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提交的投标文件、技术文件和资料，包括图纸中的说明，以及</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与代理机构就有关投标的所有来往函电均应使用中文。投标文件中若有英文或其他语言文字的资料，应提供相应的中文翻译资料。对不同文本投标文件的解释发生异议的，以中文文本为准。</w:t>
      </w:r>
    </w:p>
    <w:p w14:paraId="79C4C6A8">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 xml:space="preserve">6.2 </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所使用的计量单位应为国家法定计量单位。</w:t>
      </w:r>
    </w:p>
    <w:p w14:paraId="1B199494">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 xml:space="preserve">6.3 </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应用人民币报价。</w:t>
      </w:r>
    </w:p>
    <w:p w14:paraId="2157E2D0">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6.4 如标书制作工具中格式和内容与“江苏政府采购网”发布的招标文件不一致，以“江苏政府采购网”发布的招标文件为准。</w:t>
      </w:r>
    </w:p>
    <w:p w14:paraId="6ABEF84C">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6.</w:t>
      </w:r>
      <w:r>
        <w:rPr>
          <w:rFonts w:hint="eastAsia" w:ascii="仿宋" w:hAnsi="仿宋" w:eastAsia="仿宋" w:cs="仿宋"/>
          <w:color w:val="auto"/>
          <w:spacing w:val="-3"/>
          <w:sz w:val="24"/>
          <w:szCs w:val="24"/>
          <w:highlight w:val="none"/>
          <w:lang w:val="en-US" w:eastAsia="zh-CN"/>
        </w:rPr>
        <w:t>5</w:t>
      </w:r>
      <w:r>
        <w:rPr>
          <w:rFonts w:hint="eastAsia" w:ascii="仿宋" w:hAnsi="仿宋" w:eastAsia="仿宋" w:cs="仿宋"/>
          <w:color w:val="auto"/>
          <w:spacing w:val="-3"/>
          <w:sz w:val="24"/>
          <w:szCs w:val="24"/>
          <w:highlight w:val="none"/>
          <w:lang w:val="en-US"/>
        </w:rPr>
        <w:t xml:space="preserve"> </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应在投标文件中写清相应的项目编号、项目名称、</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全称、地址、电话、传真等。</w:t>
      </w:r>
    </w:p>
    <w:p w14:paraId="25A8C05A">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6.</w:t>
      </w:r>
      <w:r>
        <w:rPr>
          <w:rFonts w:hint="eastAsia" w:ascii="仿宋" w:hAnsi="仿宋" w:eastAsia="仿宋" w:cs="仿宋"/>
          <w:color w:val="auto"/>
          <w:spacing w:val="-3"/>
          <w:sz w:val="24"/>
          <w:szCs w:val="24"/>
          <w:highlight w:val="none"/>
          <w:lang w:val="en-US" w:eastAsia="zh-CN"/>
        </w:rPr>
        <w:t>6</w:t>
      </w:r>
      <w:r>
        <w:rPr>
          <w:rFonts w:hint="eastAsia" w:ascii="仿宋" w:hAnsi="仿宋" w:eastAsia="仿宋" w:cs="仿宋"/>
          <w:color w:val="auto"/>
          <w:spacing w:val="-3"/>
          <w:sz w:val="24"/>
          <w:szCs w:val="24"/>
          <w:highlight w:val="none"/>
          <w:lang w:val="en-US"/>
        </w:rPr>
        <w:t xml:space="preserve"> </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所使用的技术标准应遵循国家最新标准及规范。</w:t>
      </w:r>
    </w:p>
    <w:p w14:paraId="5A9D3C34">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联合投标（本项目不采用）</w:t>
      </w:r>
    </w:p>
    <w:p w14:paraId="5FCBF430">
      <w:pPr>
        <w:spacing w:before="22" w:line="360" w:lineRule="auto"/>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8</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投标费用</w:t>
      </w:r>
    </w:p>
    <w:p w14:paraId="12731D3E">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8.1投标人应承担所有与准备和参加投标有关的费用，无论采购结果如何，采购代理和采购人在任何情况下均无义务和责任承担这些费用。</w:t>
      </w:r>
    </w:p>
    <w:p w14:paraId="43B6995E">
      <w:pPr>
        <w:pStyle w:val="222"/>
        <w:tabs>
          <w:tab w:val="left" w:pos="1061"/>
        </w:tabs>
        <w:spacing w:line="360" w:lineRule="auto"/>
        <w:ind w:left="0" w:firstLine="468" w:firstLineChars="200"/>
        <w:jc w:val="both"/>
        <w:rPr>
          <w:rFonts w:hint="eastAsia" w:ascii="仿宋" w:hAnsi="仿宋" w:eastAsia="仿宋" w:cs="仿宋"/>
          <w:color w:val="auto"/>
          <w:spacing w:val="-3"/>
          <w:sz w:val="24"/>
          <w:szCs w:val="24"/>
          <w:highlight w:val="none"/>
          <w:lang w:val="en-US"/>
        </w:rPr>
      </w:pPr>
      <w:r>
        <w:rPr>
          <w:rFonts w:hint="eastAsia" w:ascii="仿宋" w:hAnsi="仿宋" w:eastAsia="仿宋" w:cs="仿宋"/>
          <w:b w:val="0"/>
          <w:bCs w:val="0"/>
          <w:color w:val="auto"/>
          <w:spacing w:val="-3"/>
          <w:sz w:val="24"/>
          <w:szCs w:val="24"/>
          <w:highlight w:val="none"/>
          <w:lang w:val="en-US" w:eastAsia="zh-CN" w:bidi="zh-CN"/>
        </w:rPr>
        <w:t>8.2</w:t>
      </w:r>
      <w:r>
        <w:rPr>
          <w:rFonts w:hint="eastAsia" w:ascii="仿宋" w:hAnsi="仿宋" w:eastAsia="仿宋" w:cs="仿宋"/>
          <w:color w:val="auto"/>
          <w:spacing w:val="-3"/>
          <w:sz w:val="24"/>
          <w:szCs w:val="24"/>
          <w:highlight w:val="none"/>
          <w:lang w:val="en-US"/>
        </w:rPr>
        <w:t>招</w:t>
      </w:r>
      <w:r>
        <w:rPr>
          <w:rFonts w:hint="eastAsia" w:ascii="仿宋" w:hAnsi="仿宋" w:eastAsia="仿宋" w:cs="仿宋"/>
          <w:color w:val="auto"/>
          <w:spacing w:val="-3"/>
          <w:sz w:val="24"/>
          <w:szCs w:val="24"/>
          <w:highlight w:val="none"/>
          <w:lang w:val="en-US" w:eastAsia="zh-CN" w:bidi="zh-CN"/>
        </w:rPr>
        <w:t>标代理服务费为：本次招标代理服务费由采购人向代理机构结算，代理服务费以中标金额为基础，如本项目中标金额在 100万元（不含）以下，代理服务费按照固定价人民币4000元扣除专家评审费收取；如本项目中标金额 100万元(含)以上，代理服务费按照中标金额的0.35%扣除专家评审费收取。</w:t>
      </w:r>
    </w:p>
    <w:p w14:paraId="5AE05241">
      <w:pPr>
        <w:spacing w:before="22" w:line="360" w:lineRule="auto"/>
        <w:ind w:firstLine="482"/>
        <w:rPr>
          <w:rFonts w:hint="eastAsia" w:ascii="仿宋" w:hAnsi="仿宋" w:eastAsia="仿宋" w:cs="仿宋"/>
          <w:b/>
          <w:color w:val="auto"/>
          <w:sz w:val="24"/>
          <w:szCs w:val="24"/>
          <w:highlight w:val="none"/>
        </w:rPr>
      </w:pPr>
      <w:bookmarkStart w:id="8" w:name="_Toc18811"/>
      <w:bookmarkStart w:id="9" w:name="_Toc32667"/>
      <w:r>
        <w:rPr>
          <w:rFonts w:hint="eastAsia" w:ascii="仿宋" w:hAnsi="仿宋" w:eastAsia="仿宋" w:cs="仿宋"/>
          <w:b/>
          <w:color w:val="auto"/>
          <w:sz w:val="24"/>
          <w:szCs w:val="24"/>
          <w:highlight w:val="none"/>
        </w:rPr>
        <w:t>9</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投标文件组成</w:t>
      </w:r>
    </w:p>
    <w:p w14:paraId="1CD2100D">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9.1投标人应当根据招标文件要求编制投标文件，投标文件应对招标文件提出的要求和条件作出实质性响应。</w:t>
      </w:r>
    </w:p>
    <w:p w14:paraId="321DAA10">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9.2本项目不允许转包、分包。</w:t>
      </w:r>
    </w:p>
    <w:p w14:paraId="1E76D328">
      <w:pPr>
        <w:spacing w:line="360" w:lineRule="auto"/>
        <w:ind w:firstLine="468"/>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9.3投标文件由商务部分、技术部分、价格部分，以及其他部分组成。</w:t>
      </w:r>
    </w:p>
    <w:p w14:paraId="1B5FF996">
      <w:pPr>
        <w:spacing w:before="22" w:line="360" w:lineRule="auto"/>
        <w:ind w:firstLine="482"/>
        <w:jc w:val="both"/>
        <w:rPr>
          <w:rFonts w:hint="eastAsia" w:ascii="Times New Roman" w:hAnsi="Times New Roman" w:eastAsia="仿宋" w:cs="仿宋"/>
          <w:b/>
          <w:color w:val="auto"/>
          <w:sz w:val="24"/>
          <w:szCs w:val="24"/>
          <w:highlight w:val="none"/>
        </w:rPr>
      </w:pPr>
      <w:r>
        <w:rPr>
          <w:rFonts w:hint="eastAsia" w:ascii="Times New Roman" w:hAnsi="Times New Roman" w:eastAsia="仿宋" w:cs="仿宋"/>
          <w:b/>
          <w:color w:val="auto"/>
          <w:sz w:val="24"/>
          <w:szCs w:val="24"/>
          <w:highlight w:val="none"/>
        </w:rPr>
        <w:t>10</w:t>
      </w:r>
      <w:r>
        <w:rPr>
          <w:rFonts w:hint="eastAsia" w:ascii="Times New Roman" w:hAnsi="Times New Roman" w:eastAsia="仿宋" w:cs="仿宋"/>
          <w:b/>
          <w:color w:val="auto"/>
          <w:sz w:val="24"/>
          <w:szCs w:val="24"/>
          <w:highlight w:val="none"/>
          <w:lang w:eastAsia="zh-CN"/>
        </w:rPr>
        <w:t>.</w:t>
      </w:r>
      <w:r>
        <w:rPr>
          <w:rFonts w:hint="eastAsia" w:ascii="Times New Roman" w:hAnsi="Times New Roman" w:eastAsia="仿宋" w:cs="仿宋"/>
          <w:b/>
          <w:color w:val="auto"/>
          <w:sz w:val="24"/>
          <w:szCs w:val="24"/>
          <w:highlight w:val="none"/>
        </w:rPr>
        <w:t>投标文件的商务部分</w:t>
      </w:r>
    </w:p>
    <w:p w14:paraId="46D35C69">
      <w:pPr>
        <w:spacing w:line="360" w:lineRule="auto"/>
        <w:ind w:firstLine="468"/>
        <w:rPr>
          <w:rFonts w:hint="eastAsia" w:ascii="仿宋" w:hAnsi="仿宋" w:eastAsia="仿宋" w:cs="仿宋"/>
          <w:b/>
          <w:bCs/>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10.1 商务部分是证明投标人有资格参加投标和中标后有能力履行合同的文件，这些文件应能满足招标的要求，包括但不限于下列文件，</w:t>
      </w:r>
      <w:r>
        <w:rPr>
          <w:rFonts w:hint="eastAsia" w:ascii="仿宋" w:hAnsi="仿宋" w:eastAsia="仿宋" w:cs="仿宋"/>
          <w:b/>
          <w:bCs/>
          <w:color w:val="auto"/>
          <w:spacing w:val="-3"/>
          <w:sz w:val="24"/>
          <w:szCs w:val="24"/>
          <w:highlight w:val="none"/>
          <w:lang w:val="en-US"/>
        </w:rPr>
        <w:t>其中加</w:t>
      </w:r>
      <w:r>
        <w:rPr>
          <w:rFonts w:hint="eastAsia" w:ascii="仿宋" w:hAnsi="仿宋" w:eastAsia="仿宋" w:cs="仿宋"/>
          <w:b/>
          <w:bCs/>
          <w:color w:val="auto"/>
          <w:spacing w:val="-3"/>
          <w:sz w:val="24"/>
          <w:szCs w:val="24"/>
          <w:highlight w:val="none"/>
          <w:lang w:val="en-US" w:eastAsia="zh-CN"/>
        </w:rPr>
        <w:t>“</w:t>
      </w:r>
      <w:r>
        <w:rPr>
          <w:rFonts w:hint="eastAsia" w:ascii="仿宋" w:hAnsi="仿宋" w:eastAsia="仿宋" w:cs="仿宋"/>
          <w:b/>
          <w:bCs/>
          <w:color w:val="auto"/>
          <w:spacing w:val="-3"/>
          <w:sz w:val="24"/>
          <w:szCs w:val="24"/>
          <w:highlight w:val="none"/>
          <w:lang w:val="en-US"/>
        </w:rPr>
        <w:t>★</w:t>
      </w:r>
      <w:r>
        <w:rPr>
          <w:rFonts w:hint="eastAsia" w:ascii="仿宋" w:hAnsi="仿宋" w:eastAsia="仿宋" w:cs="仿宋"/>
          <w:b/>
          <w:bCs/>
          <w:color w:val="auto"/>
          <w:spacing w:val="-3"/>
          <w:sz w:val="24"/>
          <w:szCs w:val="24"/>
          <w:highlight w:val="none"/>
          <w:lang w:val="en-US" w:eastAsia="zh-CN"/>
        </w:rPr>
        <w:t>”</w:t>
      </w:r>
      <w:r>
        <w:rPr>
          <w:rFonts w:hint="eastAsia" w:ascii="仿宋" w:hAnsi="仿宋" w:eastAsia="仿宋" w:cs="仿宋"/>
          <w:b/>
          <w:bCs/>
          <w:color w:val="auto"/>
          <w:spacing w:val="-3"/>
          <w:sz w:val="24"/>
          <w:szCs w:val="24"/>
          <w:highlight w:val="none"/>
          <w:lang w:val="en-US"/>
        </w:rPr>
        <w:t>项目不得有缺失或无效：</w:t>
      </w:r>
    </w:p>
    <w:p w14:paraId="34C27516">
      <w:pPr>
        <w:spacing w:line="360" w:lineRule="auto"/>
        <w:ind w:firstLine="468"/>
        <w:jc w:val="both"/>
        <w:rPr>
          <w:rFonts w:hint="eastAsia" w:ascii="仿宋" w:hAnsi="仿宋" w:eastAsia="仿宋" w:cs="仿宋"/>
          <w:b/>
          <w:bCs/>
          <w:color w:val="auto"/>
          <w:spacing w:val="-3"/>
          <w:sz w:val="24"/>
          <w:szCs w:val="24"/>
          <w:highlight w:val="none"/>
          <w:lang w:val="en-US"/>
        </w:rPr>
      </w:pPr>
      <w:r>
        <w:rPr>
          <w:rFonts w:hint="eastAsia" w:ascii="仿宋" w:hAnsi="仿宋" w:eastAsia="仿宋" w:cs="仿宋"/>
          <w:b/>
          <w:bCs/>
          <w:color w:val="auto"/>
          <w:spacing w:val="-3"/>
          <w:sz w:val="24"/>
          <w:szCs w:val="24"/>
          <w:highlight w:val="none"/>
          <w:lang w:val="en-US"/>
        </w:rPr>
        <w:t>（1）★投标申请及声明；</w:t>
      </w:r>
    </w:p>
    <w:p w14:paraId="6590ECA7">
      <w:pPr>
        <w:spacing w:line="360" w:lineRule="auto"/>
        <w:ind w:firstLine="468"/>
        <w:jc w:val="both"/>
        <w:rPr>
          <w:rFonts w:hint="eastAsia" w:ascii="仿宋" w:hAnsi="仿宋" w:eastAsia="仿宋" w:cs="仿宋"/>
          <w:b/>
          <w:bCs/>
          <w:color w:val="auto"/>
          <w:spacing w:val="-3"/>
          <w:sz w:val="24"/>
          <w:szCs w:val="24"/>
          <w:highlight w:val="none"/>
          <w:lang w:val="en-US"/>
        </w:rPr>
      </w:pPr>
      <w:r>
        <w:rPr>
          <w:rFonts w:hint="eastAsia" w:ascii="仿宋" w:hAnsi="仿宋" w:eastAsia="仿宋" w:cs="仿宋"/>
          <w:b/>
          <w:bCs/>
          <w:color w:val="auto"/>
          <w:spacing w:val="-3"/>
          <w:sz w:val="24"/>
          <w:szCs w:val="24"/>
          <w:highlight w:val="none"/>
          <w:lang w:val="en-US"/>
        </w:rPr>
        <w:t>（2）★法定代表人身份证明、法定代表人授权委托书及委托代理人的身份证明文件的复印件；</w:t>
      </w:r>
    </w:p>
    <w:p w14:paraId="762E6FF2">
      <w:pPr>
        <w:spacing w:line="360" w:lineRule="auto"/>
        <w:ind w:firstLine="468"/>
        <w:jc w:val="both"/>
        <w:rPr>
          <w:rFonts w:hint="eastAsia" w:ascii="仿宋" w:hAnsi="仿宋" w:eastAsia="仿宋" w:cs="仿宋"/>
          <w:b/>
          <w:bCs/>
          <w:color w:val="auto"/>
          <w:spacing w:val="-3"/>
          <w:sz w:val="24"/>
          <w:szCs w:val="24"/>
          <w:highlight w:val="none"/>
          <w:lang w:val="en-US"/>
        </w:rPr>
      </w:pPr>
      <w:r>
        <w:rPr>
          <w:rFonts w:hint="eastAsia" w:ascii="仿宋" w:hAnsi="仿宋" w:eastAsia="仿宋" w:cs="仿宋"/>
          <w:b/>
          <w:bCs/>
          <w:color w:val="auto"/>
          <w:spacing w:val="-3"/>
          <w:sz w:val="24"/>
          <w:szCs w:val="24"/>
          <w:highlight w:val="none"/>
          <w:lang w:val="en-US"/>
        </w:rPr>
        <w:t>（3）★《开标一览表》；</w:t>
      </w:r>
    </w:p>
    <w:p w14:paraId="6101D08D">
      <w:pPr>
        <w:pStyle w:val="204"/>
        <w:tabs>
          <w:tab w:val="left" w:pos="1167"/>
        </w:tabs>
        <w:spacing w:line="360" w:lineRule="auto"/>
        <w:ind w:firstLine="476"/>
        <w:jc w:val="both"/>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pacing w:val="-1"/>
          <w:sz w:val="24"/>
          <w:szCs w:val="24"/>
          <w:highlight w:val="none"/>
          <w:lang w:eastAsia="zh-CN"/>
        </w:rPr>
        <w:t>（</w:t>
      </w:r>
      <w:r>
        <w:rPr>
          <w:rFonts w:hint="eastAsia" w:ascii="仿宋" w:hAnsi="仿宋" w:eastAsia="仿宋" w:cs="仿宋"/>
          <w:b/>
          <w:bCs/>
          <w:color w:val="auto"/>
          <w:spacing w:val="-1"/>
          <w:sz w:val="24"/>
          <w:szCs w:val="24"/>
          <w:highlight w:val="none"/>
          <w:lang w:val="en-US" w:eastAsia="zh-CN"/>
        </w:rPr>
        <w:t>4</w:t>
      </w:r>
      <w:r>
        <w:rPr>
          <w:rFonts w:hint="eastAsia" w:ascii="仿宋" w:hAnsi="仿宋" w:eastAsia="仿宋" w:cs="仿宋"/>
          <w:b/>
          <w:bCs/>
          <w:color w:val="auto"/>
          <w:spacing w:val="-1"/>
          <w:sz w:val="24"/>
          <w:szCs w:val="24"/>
          <w:highlight w:val="none"/>
          <w:lang w:eastAsia="zh-CN"/>
        </w:rPr>
        <w:t>）</w:t>
      </w:r>
      <w:r>
        <w:rPr>
          <w:rFonts w:hint="eastAsia" w:ascii="仿宋" w:hAnsi="仿宋" w:eastAsia="仿宋" w:cs="仿宋"/>
          <w:b/>
          <w:bCs/>
          <w:color w:val="auto"/>
          <w:spacing w:val="-3"/>
          <w:sz w:val="24"/>
          <w:szCs w:val="24"/>
          <w:highlight w:val="none"/>
          <w:lang w:val="en-US"/>
        </w:rPr>
        <w:t>★</w:t>
      </w:r>
      <w:r>
        <w:rPr>
          <w:rFonts w:hint="eastAsia" w:ascii="仿宋" w:hAnsi="仿宋" w:eastAsia="仿宋" w:cs="仿宋"/>
          <w:b/>
          <w:bCs/>
          <w:color w:val="auto"/>
          <w:spacing w:val="-3"/>
          <w:sz w:val="24"/>
          <w:szCs w:val="24"/>
          <w:highlight w:val="none"/>
          <w:lang w:val="en-US" w:eastAsia="zh-CN"/>
        </w:rPr>
        <w:t>二、</w:t>
      </w:r>
      <w:r>
        <w:rPr>
          <w:rFonts w:hint="eastAsia" w:ascii="仿宋" w:hAnsi="仿宋" w:eastAsia="仿宋" w:cs="仿宋"/>
          <w:b/>
          <w:bCs/>
          <w:color w:val="auto"/>
          <w:spacing w:val="-1"/>
          <w:sz w:val="24"/>
          <w:szCs w:val="24"/>
          <w:highlight w:val="none"/>
          <w:lang w:val="en-US" w:eastAsia="zh-CN"/>
        </w:rPr>
        <w:t>申请人资格要求的证明材料</w:t>
      </w:r>
    </w:p>
    <w:p w14:paraId="3EE2ACE8">
      <w:pPr>
        <w:pStyle w:val="204"/>
        <w:tabs>
          <w:tab w:val="left" w:pos="1167"/>
        </w:tabs>
        <w:spacing w:line="360" w:lineRule="auto"/>
        <w:ind w:firstLine="476"/>
        <w:jc w:val="both"/>
        <w:rPr>
          <w:rFonts w:hint="eastAsia" w:ascii="仿宋" w:hAnsi="仿宋" w:eastAsia="仿宋" w:cs="仿宋"/>
          <w:b/>
          <w:bCs w:val="0"/>
          <w:color w:val="auto"/>
          <w:spacing w:val="-1"/>
          <w:sz w:val="24"/>
          <w:szCs w:val="24"/>
          <w:highlight w:val="none"/>
          <w:lang w:val="en-US" w:eastAsia="zh-CN"/>
        </w:rPr>
      </w:pPr>
      <w:r>
        <w:rPr>
          <w:rFonts w:hint="eastAsia" w:ascii="仿宋" w:hAnsi="仿宋" w:eastAsia="仿宋" w:cs="仿宋"/>
          <w:b/>
          <w:bCs w:val="0"/>
          <w:color w:val="auto"/>
          <w:spacing w:val="-1"/>
          <w:sz w:val="24"/>
          <w:szCs w:val="24"/>
          <w:highlight w:val="none"/>
          <w:lang w:val="en-US" w:eastAsia="zh-CN"/>
        </w:rPr>
        <w:t>（5）</w:t>
      </w:r>
      <w:r>
        <w:rPr>
          <w:rFonts w:hint="eastAsia" w:ascii="仿宋" w:hAnsi="仿宋" w:eastAsia="仿宋" w:cs="仿宋"/>
          <w:b/>
          <w:bCs w:val="0"/>
          <w:color w:val="auto"/>
          <w:spacing w:val="-3"/>
          <w:sz w:val="24"/>
          <w:szCs w:val="24"/>
          <w:highlight w:val="none"/>
          <w:lang w:val="en-US"/>
        </w:rPr>
        <w:t>★《</w:t>
      </w:r>
      <w:r>
        <w:rPr>
          <w:rFonts w:hint="eastAsia" w:ascii="仿宋" w:hAnsi="仿宋" w:eastAsia="仿宋" w:cs="仿宋"/>
          <w:b/>
          <w:bCs w:val="0"/>
          <w:color w:val="auto"/>
          <w:spacing w:val="-3"/>
          <w:sz w:val="24"/>
          <w:szCs w:val="24"/>
          <w:highlight w:val="none"/>
          <w:lang w:val="en-US" w:eastAsia="zh-CN"/>
        </w:rPr>
        <w:t>中小微企业声明函</w:t>
      </w:r>
      <w:r>
        <w:rPr>
          <w:rFonts w:hint="eastAsia" w:ascii="仿宋" w:hAnsi="仿宋" w:eastAsia="仿宋" w:cs="仿宋"/>
          <w:b/>
          <w:bCs w:val="0"/>
          <w:color w:val="auto"/>
          <w:spacing w:val="-3"/>
          <w:sz w:val="24"/>
          <w:szCs w:val="24"/>
          <w:highlight w:val="none"/>
          <w:lang w:val="en-US"/>
        </w:rPr>
        <w:t>》；</w:t>
      </w:r>
    </w:p>
    <w:p w14:paraId="230D3712">
      <w:pPr>
        <w:pStyle w:val="204"/>
        <w:tabs>
          <w:tab w:val="left" w:pos="1167"/>
        </w:tabs>
        <w:spacing w:line="360" w:lineRule="auto"/>
        <w:ind w:firstLine="476"/>
        <w:jc w:val="both"/>
        <w:rPr>
          <w:rFonts w:hint="eastAsia" w:ascii="仿宋" w:hAnsi="仿宋" w:eastAsia="仿宋" w:cs="仿宋"/>
          <w:bCs/>
          <w:color w:val="auto"/>
          <w:spacing w:val="-1"/>
          <w:sz w:val="24"/>
          <w:szCs w:val="24"/>
          <w:highlight w:val="none"/>
          <w:lang w:val="en-US" w:eastAsia="zh-CN"/>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6</w:t>
      </w:r>
      <w:r>
        <w:rPr>
          <w:rFonts w:hint="eastAsia" w:ascii="仿宋" w:hAnsi="仿宋" w:eastAsia="仿宋" w:cs="仿宋"/>
          <w:color w:val="auto"/>
          <w:spacing w:val="-3"/>
          <w:sz w:val="24"/>
          <w:szCs w:val="24"/>
          <w:highlight w:val="none"/>
          <w:lang w:val="en-US"/>
        </w:rPr>
        <w:t>）</w:t>
      </w:r>
      <w:r>
        <w:rPr>
          <w:rFonts w:hint="eastAsia" w:ascii="仿宋" w:hAnsi="仿宋" w:eastAsia="仿宋" w:cs="仿宋"/>
          <w:bCs/>
          <w:color w:val="auto"/>
          <w:spacing w:val="-1"/>
          <w:sz w:val="24"/>
          <w:szCs w:val="24"/>
          <w:highlight w:val="none"/>
          <w:lang w:val="en-US" w:eastAsia="zh-CN"/>
        </w:rPr>
        <w:t>《分项报价表》；</w:t>
      </w:r>
    </w:p>
    <w:p w14:paraId="27DCB320">
      <w:pPr>
        <w:pStyle w:val="204"/>
        <w:tabs>
          <w:tab w:val="left" w:pos="1167"/>
        </w:tabs>
        <w:spacing w:line="360" w:lineRule="auto"/>
        <w:ind w:firstLine="476"/>
        <w:jc w:val="both"/>
        <w:rPr>
          <w:rFonts w:hint="eastAsia" w:ascii="仿宋" w:hAnsi="仿宋" w:eastAsia="仿宋" w:cs="仿宋"/>
          <w:bCs/>
          <w:color w:val="auto"/>
          <w:spacing w:val="-1"/>
          <w:sz w:val="24"/>
          <w:szCs w:val="24"/>
          <w:highlight w:val="none"/>
          <w:lang w:val="en-US" w:eastAsia="zh-CN"/>
        </w:rPr>
      </w:pPr>
      <w:r>
        <w:rPr>
          <w:rFonts w:hint="eastAsia" w:ascii="仿宋" w:hAnsi="仿宋" w:eastAsia="仿宋" w:cs="仿宋"/>
          <w:bCs/>
          <w:color w:val="auto"/>
          <w:spacing w:val="-1"/>
          <w:sz w:val="24"/>
          <w:szCs w:val="24"/>
          <w:highlight w:val="none"/>
          <w:lang w:val="en-US" w:eastAsia="zh-CN"/>
        </w:rPr>
        <w:t>（7）《商务条款偏离表》；</w:t>
      </w:r>
    </w:p>
    <w:p w14:paraId="60EFAC4E">
      <w:pPr>
        <w:pStyle w:val="204"/>
        <w:tabs>
          <w:tab w:val="left" w:pos="1167"/>
        </w:tabs>
        <w:spacing w:line="360" w:lineRule="auto"/>
        <w:ind w:firstLine="476"/>
        <w:jc w:val="both"/>
        <w:rPr>
          <w:rFonts w:hint="eastAsia" w:ascii="仿宋" w:hAnsi="仿宋" w:eastAsia="仿宋" w:cs="仿宋"/>
          <w:bCs/>
          <w:color w:val="auto"/>
          <w:spacing w:val="-1"/>
          <w:sz w:val="24"/>
          <w:szCs w:val="24"/>
          <w:highlight w:val="none"/>
          <w:lang w:val="en-US" w:eastAsia="zh-CN"/>
        </w:rPr>
      </w:pPr>
      <w:r>
        <w:rPr>
          <w:rFonts w:hint="eastAsia" w:ascii="仿宋" w:hAnsi="仿宋" w:eastAsia="仿宋" w:cs="仿宋"/>
          <w:bCs/>
          <w:color w:val="auto"/>
          <w:spacing w:val="-1"/>
          <w:sz w:val="24"/>
          <w:szCs w:val="24"/>
          <w:highlight w:val="none"/>
          <w:lang w:val="en-US" w:eastAsia="zh-CN"/>
        </w:rPr>
        <w:t>（8）投标人认为需要提供的其他资格证明文件和商务资料。</w:t>
      </w:r>
    </w:p>
    <w:p w14:paraId="01B8F597">
      <w:pPr>
        <w:pStyle w:val="202"/>
        <w:tabs>
          <w:tab w:val="left" w:pos="1167"/>
        </w:tabs>
        <w:spacing w:line="360" w:lineRule="auto"/>
        <w:ind w:left="0" w:firstLine="476"/>
        <w:jc w:val="both"/>
        <w:rPr>
          <w:rFonts w:hint="eastAsia" w:ascii="仿宋" w:hAnsi="仿宋" w:eastAsia="仿宋" w:cs="仿宋"/>
          <w:bCs/>
          <w:color w:val="auto"/>
          <w:spacing w:val="-1"/>
          <w:sz w:val="24"/>
          <w:szCs w:val="24"/>
          <w:highlight w:val="none"/>
          <w:lang w:val="en-US"/>
        </w:rPr>
      </w:pPr>
      <w:r>
        <w:rPr>
          <w:rFonts w:hint="eastAsia" w:ascii="仿宋" w:hAnsi="仿宋" w:eastAsia="仿宋" w:cs="仿宋"/>
          <w:bCs/>
          <w:color w:val="auto"/>
          <w:spacing w:val="-1"/>
          <w:sz w:val="24"/>
          <w:szCs w:val="24"/>
          <w:highlight w:val="none"/>
          <w:lang w:val="en-US"/>
        </w:rPr>
        <w:t>11</w:t>
      </w:r>
      <w:r>
        <w:rPr>
          <w:rFonts w:hint="eastAsia" w:ascii="仿宋" w:hAnsi="仿宋" w:eastAsia="仿宋" w:cs="仿宋"/>
          <w:bCs/>
          <w:color w:val="auto"/>
          <w:spacing w:val="-1"/>
          <w:sz w:val="24"/>
          <w:szCs w:val="24"/>
          <w:highlight w:val="none"/>
          <w:lang w:val="en-US" w:eastAsia="zh-CN"/>
        </w:rPr>
        <w:t>.</w:t>
      </w:r>
      <w:r>
        <w:rPr>
          <w:rFonts w:hint="eastAsia" w:ascii="仿宋" w:hAnsi="仿宋" w:eastAsia="仿宋" w:cs="仿宋"/>
          <w:bCs/>
          <w:color w:val="auto"/>
          <w:spacing w:val="-1"/>
          <w:sz w:val="24"/>
          <w:szCs w:val="24"/>
          <w:highlight w:val="none"/>
          <w:lang w:val="en-US"/>
        </w:rPr>
        <w:t>投标文件的技术部分</w:t>
      </w:r>
    </w:p>
    <w:p w14:paraId="570BBBF6">
      <w:pPr>
        <w:pStyle w:val="202"/>
        <w:tabs>
          <w:tab w:val="left" w:pos="1167"/>
        </w:tabs>
        <w:spacing w:line="360" w:lineRule="auto"/>
        <w:ind w:left="0" w:firstLine="476"/>
        <w:jc w:val="both"/>
        <w:rPr>
          <w:rFonts w:hint="eastAsia" w:ascii="仿宋" w:hAnsi="仿宋" w:eastAsia="仿宋" w:cs="仿宋"/>
          <w:bCs/>
          <w:color w:val="auto"/>
          <w:spacing w:val="-1"/>
          <w:sz w:val="24"/>
          <w:szCs w:val="24"/>
          <w:highlight w:val="none"/>
          <w:lang w:val="en-US"/>
        </w:rPr>
      </w:pPr>
      <w:r>
        <w:rPr>
          <w:rFonts w:hint="eastAsia" w:ascii="仿宋" w:hAnsi="仿宋" w:eastAsia="仿宋" w:cs="仿宋"/>
          <w:bCs/>
          <w:color w:val="auto"/>
          <w:spacing w:val="-1"/>
          <w:sz w:val="24"/>
          <w:szCs w:val="24"/>
          <w:highlight w:val="none"/>
          <w:lang w:val="en-US"/>
        </w:rPr>
        <w:t>11.1技术部分是证明</w:t>
      </w:r>
      <w:r>
        <w:rPr>
          <w:rFonts w:hint="eastAsia" w:ascii="仿宋" w:hAnsi="仿宋" w:eastAsia="仿宋" w:cs="仿宋"/>
          <w:bCs/>
          <w:color w:val="auto"/>
          <w:spacing w:val="-1"/>
          <w:sz w:val="24"/>
          <w:szCs w:val="24"/>
          <w:highlight w:val="none"/>
          <w:lang w:val="en-US" w:eastAsia="zh-CN"/>
        </w:rPr>
        <w:t>投标人</w:t>
      </w:r>
      <w:r>
        <w:rPr>
          <w:rFonts w:hint="eastAsia" w:ascii="仿宋" w:hAnsi="仿宋" w:eastAsia="仿宋" w:cs="仿宋"/>
          <w:bCs/>
          <w:color w:val="auto"/>
          <w:spacing w:val="-1"/>
          <w:sz w:val="24"/>
          <w:szCs w:val="24"/>
          <w:highlight w:val="none"/>
          <w:lang w:val="en-US"/>
        </w:rPr>
        <w:t>提供的货物</w:t>
      </w:r>
      <w:r>
        <w:rPr>
          <w:rFonts w:hint="eastAsia" w:ascii="仿宋" w:hAnsi="仿宋" w:eastAsia="仿宋" w:cs="仿宋"/>
          <w:color w:val="auto"/>
          <w:sz w:val="24"/>
          <w:szCs w:val="24"/>
          <w:highlight w:val="none"/>
        </w:rPr>
        <w:t>和</w:t>
      </w:r>
      <w:r>
        <w:rPr>
          <w:rFonts w:hint="eastAsia" w:ascii="仿宋" w:hAnsi="仿宋" w:eastAsia="仿宋" w:cs="仿宋"/>
          <w:bCs/>
          <w:color w:val="auto"/>
          <w:spacing w:val="-1"/>
          <w:sz w:val="24"/>
          <w:szCs w:val="24"/>
          <w:highlight w:val="none"/>
          <w:lang w:val="en-US" w:eastAsia="zh-CN"/>
        </w:rPr>
        <w:t>服务</w:t>
      </w:r>
      <w:r>
        <w:rPr>
          <w:rFonts w:hint="eastAsia" w:ascii="仿宋" w:hAnsi="仿宋" w:eastAsia="仿宋" w:cs="仿宋"/>
          <w:bCs/>
          <w:color w:val="auto"/>
          <w:spacing w:val="-1"/>
          <w:sz w:val="24"/>
          <w:szCs w:val="24"/>
          <w:highlight w:val="none"/>
          <w:lang w:val="en-US"/>
        </w:rPr>
        <w:t>是合格的、并符合招标文件要求的证明文件，以及对投标报价表中的货物</w:t>
      </w:r>
      <w:r>
        <w:rPr>
          <w:rFonts w:hint="eastAsia" w:ascii="仿宋" w:hAnsi="仿宋" w:eastAsia="仿宋" w:cs="仿宋"/>
          <w:color w:val="auto"/>
          <w:sz w:val="24"/>
          <w:szCs w:val="24"/>
          <w:highlight w:val="none"/>
        </w:rPr>
        <w:t>和</w:t>
      </w:r>
      <w:r>
        <w:rPr>
          <w:rFonts w:hint="eastAsia" w:ascii="仿宋" w:hAnsi="仿宋" w:eastAsia="仿宋" w:cs="仿宋"/>
          <w:bCs/>
          <w:color w:val="auto"/>
          <w:spacing w:val="-1"/>
          <w:sz w:val="24"/>
          <w:szCs w:val="24"/>
          <w:highlight w:val="none"/>
          <w:lang w:val="en-US" w:eastAsia="zh-CN"/>
        </w:rPr>
        <w:t>服务</w:t>
      </w:r>
      <w:r>
        <w:rPr>
          <w:rFonts w:hint="eastAsia" w:ascii="仿宋" w:hAnsi="仿宋" w:eastAsia="仿宋" w:cs="仿宋"/>
          <w:bCs/>
          <w:color w:val="auto"/>
          <w:spacing w:val="-1"/>
          <w:sz w:val="24"/>
          <w:szCs w:val="24"/>
          <w:highlight w:val="none"/>
          <w:lang w:val="en-US"/>
        </w:rPr>
        <w:t>的详细说明，这些文件可以是文字资料、图纸和数据等。</w:t>
      </w:r>
    </w:p>
    <w:p w14:paraId="3C6C3FE3">
      <w:pPr>
        <w:pStyle w:val="202"/>
        <w:tabs>
          <w:tab w:val="left" w:pos="1167"/>
        </w:tabs>
        <w:spacing w:line="360" w:lineRule="auto"/>
        <w:ind w:left="0" w:firstLine="476"/>
        <w:jc w:val="both"/>
        <w:rPr>
          <w:rFonts w:hint="eastAsia" w:ascii="仿宋" w:hAnsi="仿宋" w:eastAsia="仿宋" w:cs="仿宋"/>
          <w:bCs/>
          <w:color w:val="auto"/>
          <w:spacing w:val="-1"/>
          <w:sz w:val="24"/>
          <w:szCs w:val="24"/>
          <w:highlight w:val="none"/>
          <w:lang w:val="en-US"/>
        </w:rPr>
      </w:pPr>
      <w:r>
        <w:rPr>
          <w:rFonts w:hint="eastAsia" w:ascii="仿宋" w:hAnsi="仿宋" w:eastAsia="仿宋" w:cs="仿宋"/>
          <w:bCs/>
          <w:color w:val="auto"/>
          <w:spacing w:val="-1"/>
          <w:sz w:val="24"/>
          <w:szCs w:val="24"/>
          <w:highlight w:val="none"/>
          <w:lang w:val="en-US"/>
        </w:rPr>
        <w:t>11.2若提供的货物</w:t>
      </w:r>
      <w:r>
        <w:rPr>
          <w:rFonts w:hint="eastAsia" w:ascii="仿宋" w:hAnsi="仿宋" w:eastAsia="仿宋" w:cs="仿宋"/>
          <w:bCs/>
          <w:color w:val="auto"/>
          <w:spacing w:val="-1"/>
          <w:sz w:val="24"/>
          <w:szCs w:val="24"/>
          <w:highlight w:val="none"/>
          <w:lang w:val="en-US" w:eastAsia="zh-CN"/>
        </w:rPr>
        <w:t>和服务</w:t>
      </w:r>
      <w:r>
        <w:rPr>
          <w:rFonts w:hint="eastAsia" w:ascii="仿宋" w:hAnsi="仿宋" w:eastAsia="仿宋" w:cs="仿宋"/>
          <w:bCs/>
          <w:color w:val="auto"/>
          <w:spacing w:val="-1"/>
          <w:sz w:val="24"/>
          <w:szCs w:val="24"/>
          <w:highlight w:val="none"/>
          <w:lang w:val="en-US"/>
        </w:rPr>
        <w:t>与招标文件要求有不符之处，应说明其差别之所在。</w:t>
      </w:r>
    </w:p>
    <w:p w14:paraId="0E0B4D58">
      <w:pPr>
        <w:pStyle w:val="202"/>
        <w:tabs>
          <w:tab w:val="left" w:pos="1167"/>
        </w:tabs>
        <w:spacing w:line="360" w:lineRule="auto"/>
        <w:ind w:left="0" w:firstLine="476"/>
        <w:jc w:val="both"/>
        <w:rPr>
          <w:rFonts w:hint="eastAsia" w:ascii="仿宋" w:hAnsi="仿宋" w:eastAsia="仿宋" w:cs="仿宋"/>
          <w:color w:val="auto"/>
          <w:spacing w:val="-1"/>
          <w:sz w:val="24"/>
          <w:szCs w:val="24"/>
          <w:highlight w:val="none"/>
          <w:lang w:val="en-US"/>
        </w:rPr>
      </w:pPr>
      <w:r>
        <w:rPr>
          <w:rFonts w:hint="eastAsia" w:ascii="仿宋" w:hAnsi="仿宋" w:eastAsia="仿宋" w:cs="仿宋"/>
          <w:bCs/>
          <w:color w:val="auto"/>
          <w:spacing w:val="-1"/>
          <w:sz w:val="24"/>
          <w:szCs w:val="24"/>
          <w:highlight w:val="none"/>
          <w:lang w:val="en-US"/>
        </w:rPr>
        <w:t>11.3投标文件应按照招标文件要求提供货物</w:t>
      </w:r>
      <w:r>
        <w:rPr>
          <w:rFonts w:hint="eastAsia" w:ascii="仿宋" w:hAnsi="仿宋" w:eastAsia="仿宋" w:cs="仿宋"/>
          <w:color w:val="auto"/>
          <w:sz w:val="24"/>
          <w:szCs w:val="24"/>
          <w:highlight w:val="none"/>
        </w:rPr>
        <w:t>和</w:t>
      </w:r>
      <w:r>
        <w:rPr>
          <w:rFonts w:hint="eastAsia" w:ascii="仿宋" w:hAnsi="仿宋" w:eastAsia="仿宋" w:cs="仿宋"/>
          <w:bCs/>
          <w:color w:val="auto"/>
          <w:spacing w:val="-1"/>
          <w:sz w:val="24"/>
          <w:szCs w:val="24"/>
          <w:highlight w:val="none"/>
          <w:lang w:val="en-US" w:eastAsia="zh-CN"/>
        </w:rPr>
        <w:t>服务</w:t>
      </w:r>
      <w:r>
        <w:rPr>
          <w:rFonts w:hint="eastAsia" w:ascii="仿宋" w:hAnsi="仿宋" w:eastAsia="仿宋" w:cs="仿宋"/>
          <w:bCs/>
          <w:color w:val="auto"/>
          <w:spacing w:val="-1"/>
          <w:sz w:val="24"/>
          <w:szCs w:val="24"/>
          <w:highlight w:val="none"/>
          <w:lang w:val="en-US"/>
        </w:rPr>
        <w:t>说明，技术资料、文件和有关证明，包括但不限于其中加</w:t>
      </w:r>
      <w:r>
        <w:rPr>
          <w:rFonts w:hint="eastAsia" w:ascii="仿宋" w:hAnsi="仿宋" w:eastAsia="仿宋" w:cs="仿宋"/>
          <w:b/>
          <w:bCs/>
          <w:color w:val="auto"/>
          <w:spacing w:val="-3"/>
          <w:sz w:val="24"/>
          <w:szCs w:val="24"/>
          <w:highlight w:val="none"/>
          <w:lang w:val="en-US" w:eastAsia="zh-CN"/>
        </w:rPr>
        <w:t>“</w:t>
      </w:r>
      <w:r>
        <w:rPr>
          <w:rFonts w:hint="eastAsia" w:ascii="仿宋" w:hAnsi="仿宋" w:eastAsia="仿宋" w:cs="仿宋"/>
          <w:b/>
          <w:bCs/>
          <w:color w:val="auto"/>
          <w:spacing w:val="-3"/>
          <w:sz w:val="24"/>
          <w:szCs w:val="24"/>
          <w:highlight w:val="none"/>
          <w:lang w:val="en-US"/>
        </w:rPr>
        <w:t>★</w:t>
      </w:r>
      <w:r>
        <w:rPr>
          <w:rFonts w:hint="eastAsia" w:ascii="仿宋" w:hAnsi="仿宋" w:eastAsia="仿宋" w:cs="仿宋"/>
          <w:b/>
          <w:bCs/>
          <w:color w:val="auto"/>
          <w:spacing w:val="-3"/>
          <w:sz w:val="24"/>
          <w:szCs w:val="24"/>
          <w:highlight w:val="none"/>
          <w:lang w:val="en-US" w:eastAsia="zh-CN"/>
        </w:rPr>
        <w:t>”</w:t>
      </w:r>
      <w:r>
        <w:rPr>
          <w:rFonts w:hint="eastAsia" w:ascii="仿宋" w:hAnsi="仿宋" w:eastAsia="仿宋" w:cs="仿宋"/>
          <w:color w:val="auto"/>
          <w:spacing w:val="-1"/>
          <w:sz w:val="24"/>
          <w:szCs w:val="24"/>
          <w:highlight w:val="none"/>
          <w:lang w:val="en-US"/>
        </w:rPr>
        <w:t>项目不得有缺失或无效：</w:t>
      </w:r>
    </w:p>
    <w:p w14:paraId="7C890CEB">
      <w:pPr>
        <w:pStyle w:val="202"/>
        <w:tabs>
          <w:tab w:val="left" w:pos="1167"/>
        </w:tabs>
        <w:spacing w:line="360" w:lineRule="auto"/>
        <w:ind w:left="0" w:firstLine="476"/>
        <w:jc w:val="both"/>
        <w:rPr>
          <w:rFonts w:hint="eastAsia" w:ascii="仿宋" w:hAnsi="仿宋" w:eastAsia="仿宋" w:cs="仿宋"/>
          <w:color w:val="auto"/>
          <w:spacing w:val="-1"/>
          <w:sz w:val="24"/>
          <w:szCs w:val="24"/>
          <w:highlight w:val="none"/>
          <w:lang w:val="en-US"/>
        </w:rPr>
      </w:pPr>
      <w:r>
        <w:rPr>
          <w:rFonts w:hint="eastAsia" w:ascii="仿宋" w:hAnsi="仿宋" w:eastAsia="仿宋" w:cs="仿宋"/>
          <w:color w:val="auto"/>
          <w:spacing w:val="-1"/>
          <w:sz w:val="24"/>
          <w:szCs w:val="24"/>
          <w:highlight w:val="none"/>
          <w:lang w:val="en-US"/>
        </w:rPr>
        <w:t>（1）项目实施或集成方案；</w:t>
      </w:r>
    </w:p>
    <w:p w14:paraId="78A7DC43">
      <w:pPr>
        <w:pStyle w:val="202"/>
        <w:tabs>
          <w:tab w:val="left" w:pos="1167"/>
        </w:tabs>
        <w:spacing w:line="360" w:lineRule="auto"/>
        <w:ind w:left="0" w:firstLine="476"/>
        <w:jc w:val="both"/>
        <w:rPr>
          <w:rFonts w:hint="eastAsia" w:ascii="仿宋" w:hAnsi="仿宋" w:eastAsia="仿宋" w:cs="仿宋"/>
          <w:bCs/>
          <w:color w:val="auto"/>
          <w:spacing w:val="-1"/>
          <w:sz w:val="24"/>
          <w:szCs w:val="24"/>
          <w:highlight w:val="none"/>
          <w:lang w:val="en-US"/>
        </w:rPr>
      </w:pPr>
      <w:r>
        <w:rPr>
          <w:rFonts w:hint="eastAsia" w:ascii="仿宋" w:hAnsi="仿宋" w:eastAsia="仿宋" w:cs="仿宋"/>
          <w:color w:val="auto"/>
          <w:spacing w:val="-1"/>
          <w:sz w:val="24"/>
          <w:szCs w:val="24"/>
          <w:highlight w:val="none"/>
          <w:lang w:val="en-US"/>
        </w:rPr>
        <w:t>（2）技术条</w:t>
      </w:r>
      <w:r>
        <w:rPr>
          <w:rFonts w:hint="eastAsia" w:ascii="仿宋" w:hAnsi="仿宋" w:eastAsia="仿宋" w:cs="仿宋"/>
          <w:bCs/>
          <w:color w:val="auto"/>
          <w:spacing w:val="-1"/>
          <w:sz w:val="24"/>
          <w:szCs w:val="24"/>
          <w:highlight w:val="none"/>
          <w:lang w:val="en-US"/>
        </w:rPr>
        <w:t>款偏离表；</w:t>
      </w:r>
    </w:p>
    <w:p w14:paraId="437C2BBB">
      <w:pPr>
        <w:pStyle w:val="202"/>
        <w:tabs>
          <w:tab w:val="left" w:pos="1167"/>
        </w:tabs>
        <w:spacing w:line="360" w:lineRule="auto"/>
        <w:ind w:left="0" w:firstLine="476"/>
        <w:jc w:val="both"/>
        <w:rPr>
          <w:rFonts w:hint="eastAsia" w:ascii="仿宋" w:hAnsi="仿宋" w:eastAsia="仿宋" w:cs="仿宋"/>
          <w:bCs/>
          <w:color w:val="auto"/>
          <w:spacing w:val="-1"/>
          <w:sz w:val="24"/>
          <w:szCs w:val="24"/>
          <w:highlight w:val="none"/>
          <w:lang w:val="en-US"/>
        </w:rPr>
      </w:pPr>
      <w:r>
        <w:rPr>
          <w:rFonts w:hint="eastAsia" w:ascii="仿宋" w:hAnsi="仿宋" w:eastAsia="仿宋" w:cs="仿宋"/>
          <w:bCs/>
          <w:color w:val="auto"/>
          <w:spacing w:val="-1"/>
          <w:sz w:val="24"/>
          <w:szCs w:val="24"/>
          <w:highlight w:val="none"/>
          <w:lang w:val="en-US"/>
        </w:rPr>
        <w:t>（3）其他技术资料。</w:t>
      </w:r>
    </w:p>
    <w:p w14:paraId="5FEE0408">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12</w:t>
      </w:r>
      <w:r>
        <w:rPr>
          <w:rFonts w:hint="eastAsia" w:ascii="仿宋" w:hAnsi="仿宋" w:eastAsia="仿宋" w:cs="仿宋"/>
          <w:b/>
          <w:color w:val="auto"/>
          <w:sz w:val="24"/>
          <w:szCs w:val="24"/>
          <w:highlight w:val="none"/>
          <w:lang w:val="en-US" w:eastAsia="zh-CN"/>
        </w:rPr>
        <w:t>.</w:t>
      </w:r>
      <w:r>
        <w:rPr>
          <w:rFonts w:hint="eastAsia" w:ascii="仿宋" w:hAnsi="仿宋" w:eastAsia="仿宋" w:cs="仿宋"/>
          <w:b/>
          <w:color w:val="auto"/>
          <w:sz w:val="24"/>
          <w:szCs w:val="24"/>
          <w:highlight w:val="none"/>
        </w:rPr>
        <w:t>投标文件的价格部分</w:t>
      </w:r>
    </w:p>
    <w:p w14:paraId="1C768FE6">
      <w:pPr>
        <w:widowControl/>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12.1价格部分是对本项目价格构成的说明，招标文件如没有特别说明，每一项仅接受一个价格。</w:t>
      </w:r>
    </w:p>
    <w:p w14:paraId="70BC9247">
      <w:pPr>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12.2报价应包含与招标项目有关的所用费用，以及技术资料、支付给员工的工资和国家强制缴纳的各种社会保障资金，以及投标人认为需要的其他费用等。</w:t>
      </w:r>
    </w:p>
    <w:p w14:paraId="795384A0">
      <w:pPr>
        <w:spacing w:line="360" w:lineRule="auto"/>
        <w:ind w:firstLine="48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12.3投标人的任何错漏、优惠、竞争性报价不得作为减轻责任、减少</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lang w:val="en-US"/>
        </w:rPr>
        <w:t>数量</w:t>
      </w:r>
      <w:r>
        <w:rPr>
          <w:rFonts w:hint="eastAsia" w:ascii="仿宋" w:hAnsi="仿宋" w:eastAsia="仿宋" w:cs="仿宋"/>
          <w:color w:val="auto"/>
          <w:sz w:val="24"/>
          <w:szCs w:val="24"/>
          <w:highlight w:val="none"/>
        </w:rPr>
        <w:t>、增加收费、降低质量的理由。</w:t>
      </w:r>
    </w:p>
    <w:p w14:paraId="4F4B2DFB">
      <w:pPr>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12.4投标人应在《开标一览表》等标明提供货物和服务的</w:t>
      </w:r>
      <w:r>
        <w:rPr>
          <w:rFonts w:hint="eastAsia" w:ascii="仿宋" w:hAnsi="仿宋" w:eastAsia="仿宋" w:cs="仿宋"/>
          <w:b/>
          <w:color w:val="auto"/>
          <w:sz w:val="24"/>
          <w:szCs w:val="24"/>
          <w:highlight w:val="none"/>
        </w:rPr>
        <w:t>单价、总价以及分项</w:t>
      </w:r>
      <w:r>
        <w:rPr>
          <w:rFonts w:hint="eastAsia" w:ascii="仿宋" w:hAnsi="仿宋" w:eastAsia="仿宋" w:cs="仿宋"/>
          <w:color w:val="auto"/>
          <w:sz w:val="24"/>
          <w:szCs w:val="24"/>
          <w:highlight w:val="none"/>
        </w:rPr>
        <w:t>报价。</w:t>
      </w:r>
    </w:p>
    <w:p w14:paraId="07D0648C">
      <w:pPr>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12.5《开标一览表》</w:t>
      </w:r>
      <w:r>
        <w:rPr>
          <w:rFonts w:hint="eastAsia" w:ascii="仿宋" w:hAnsi="仿宋" w:eastAsia="仿宋" w:cs="仿宋"/>
          <w:color w:val="auto"/>
          <w:sz w:val="24"/>
          <w:szCs w:val="24"/>
          <w:highlight w:val="none"/>
          <w:lang w:val="en-US" w:eastAsia="zh-CN"/>
        </w:rPr>
        <w:t>须加盖电子公章</w:t>
      </w:r>
      <w:r>
        <w:rPr>
          <w:rFonts w:hint="eastAsia" w:ascii="仿宋" w:hAnsi="仿宋" w:eastAsia="仿宋" w:cs="仿宋"/>
          <w:color w:val="auto"/>
          <w:sz w:val="24"/>
          <w:szCs w:val="24"/>
          <w:highlight w:val="none"/>
        </w:rPr>
        <w:t>。</w:t>
      </w:r>
    </w:p>
    <w:p w14:paraId="0740EA8C">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13</w:t>
      </w:r>
      <w:r>
        <w:rPr>
          <w:rFonts w:hint="eastAsia" w:ascii="仿宋" w:hAnsi="仿宋" w:eastAsia="仿宋" w:cs="仿宋"/>
          <w:b/>
          <w:color w:val="auto"/>
          <w:sz w:val="24"/>
          <w:szCs w:val="24"/>
          <w:highlight w:val="none"/>
          <w:lang w:val="en-US" w:eastAsia="zh-CN"/>
        </w:rPr>
        <w:t>.</w:t>
      </w:r>
      <w:r>
        <w:rPr>
          <w:rFonts w:hint="eastAsia" w:ascii="仿宋" w:hAnsi="仿宋" w:eastAsia="仿宋" w:cs="仿宋"/>
          <w:b/>
          <w:color w:val="auto"/>
          <w:sz w:val="24"/>
          <w:szCs w:val="24"/>
          <w:highlight w:val="none"/>
        </w:rPr>
        <w:t>投标文件的其他部分</w:t>
      </w:r>
    </w:p>
    <w:p w14:paraId="0703ED8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rPr>
        <w:t>13.1其他部分由投标人根据编制投标文件需要提供的其他相关文件。</w:t>
      </w:r>
    </w:p>
    <w:p w14:paraId="5D5AB38B">
      <w:pPr>
        <w:pStyle w:val="17"/>
        <w:tabs>
          <w:tab w:val="left" w:pos="9680"/>
        </w:tabs>
        <w:spacing w:before="5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14</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投标保证金</w:t>
      </w:r>
    </w:p>
    <w:p w14:paraId="2C2D3AA1">
      <w:pPr>
        <w:spacing w:line="360" w:lineRule="auto"/>
        <w:ind w:firstLine="468"/>
        <w:jc w:val="both"/>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本次招标不收取投标保证金。</w:t>
      </w:r>
    </w:p>
    <w:p w14:paraId="56837227">
      <w:pPr>
        <w:spacing w:before="22" w:line="360" w:lineRule="auto"/>
        <w:ind w:firstLine="482"/>
        <w:jc w:val="both"/>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15</w:t>
      </w:r>
      <w:r>
        <w:rPr>
          <w:rFonts w:hint="eastAsia" w:ascii="仿宋" w:hAnsi="仿宋" w:eastAsia="仿宋" w:cs="仿宋"/>
          <w:b/>
          <w:color w:val="auto"/>
          <w:sz w:val="24"/>
          <w:szCs w:val="24"/>
          <w:highlight w:val="none"/>
          <w:lang w:val="en-US" w:eastAsia="zh-CN"/>
        </w:rPr>
        <w:t>.</w:t>
      </w:r>
      <w:r>
        <w:rPr>
          <w:rFonts w:hint="eastAsia" w:ascii="仿宋" w:hAnsi="仿宋" w:eastAsia="仿宋" w:cs="仿宋"/>
          <w:b/>
          <w:color w:val="auto"/>
          <w:sz w:val="24"/>
          <w:szCs w:val="24"/>
          <w:highlight w:val="none"/>
          <w:lang w:val="en-US"/>
        </w:rPr>
        <w:t>投标有效期</w:t>
      </w:r>
    </w:p>
    <w:p w14:paraId="7E975EA9">
      <w:pPr>
        <w:pStyle w:val="202"/>
        <w:tabs>
          <w:tab w:val="left" w:pos="1164"/>
        </w:tabs>
        <w:spacing w:line="360" w:lineRule="auto"/>
        <w:ind w:left="0" w:firstLine="468"/>
        <w:jc w:val="both"/>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lang w:val="en-US"/>
        </w:rPr>
        <w:t>15.1</w:t>
      </w:r>
      <w:r>
        <w:rPr>
          <w:rFonts w:hint="eastAsia" w:ascii="仿宋" w:hAnsi="仿宋" w:eastAsia="仿宋" w:cs="仿宋"/>
          <w:color w:val="auto"/>
          <w:spacing w:val="-3"/>
          <w:sz w:val="24"/>
          <w:szCs w:val="24"/>
          <w:highlight w:val="none"/>
        </w:rPr>
        <w:t>自开标之日起</w:t>
      </w:r>
      <w:r>
        <w:rPr>
          <w:rFonts w:hint="eastAsia" w:ascii="仿宋" w:hAnsi="仿宋" w:eastAsia="仿宋" w:cs="仿宋"/>
          <w:color w:val="auto"/>
          <w:sz w:val="24"/>
          <w:szCs w:val="24"/>
          <w:highlight w:val="none"/>
          <w:lang w:val="en-US" w:eastAsia="zh-CN"/>
        </w:rPr>
        <w:t>90</w:t>
      </w:r>
      <w:r>
        <w:rPr>
          <w:rFonts w:hint="eastAsia" w:ascii="仿宋" w:hAnsi="仿宋" w:eastAsia="仿宋" w:cs="仿宋"/>
          <w:color w:val="auto"/>
          <w:spacing w:val="-3"/>
          <w:sz w:val="24"/>
          <w:szCs w:val="24"/>
          <w:highlight w:val="none"/>
        </w:rPr>
        <w:t>天内投标有效。</w:t>
      </w:r>
    </w:p>
    <w:p w14:paraId="4BA1EE87">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52A328DE">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16</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投标文件的份数、签署</w:t>
      </w:r>
    </w:p>
    <w:p w14:paraId="233A053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16.1除</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对错处做必要修改外，投标文件不得行间插字、涂改或增删。如有修改错漏处，必须由投标文件签署人签字或加盖电子公章。</w:t>
      </w:r>
    </w:p>
    <w:p w14:paraId="6DA14125">
      <w:pPr>
        <w:pStyle w:val="202"/>
        <w:tabs>
          <w:tab w:val="left" w:pos="1164"/>
        </w:tabs>
        <w:spacing w:line="360" w:lineRule="auto"/>
        <w:ind w:left="0"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17</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投标文件的密封和递交</w:t>
      </w:r>
    </w:p>
    <w:p w14:paraId="2F22ABDD">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17.1 投标人应当按照《操作手册》规定，在招标公告规定的投标截止时间前制作并上传电子投标文件。</w:t>
      </w:r>
    </w:p>
    <w:p w14:paraId="207FD1C7">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17.2 投标人应充分考虑网络环境、网络带宽等因素可能对投标产生的影响，如因投标人自身原因造成的电子投标文件上传不成功的，按照本招标文件第二章第21.2.2.4 条规定做无效投标处理。</w:t>
      </w:r>
    </w:p>
    <w:p w14:paraId="26D07EEA">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17.3 代理机构有权通过修改招标文件酌情延长投标截止时间，在此情况下，投标人的所有权利和义务均以延长后新的截止时间为准。</w:t>
      </w:r>
    </w:p>
    <w:p w14:paraId="50C87211">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18</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有下列情形之一的投标文件将拒收：</w:t>
      </w:r>
    </w:p>
    <w:p w14:paraId="294A8AB2">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18.1在招标文件要求提交投标文件的截止时间之后</w:t>
      </w:r>
      <w:r>
        <w:rPr>
          <w:rFonts w:hint="eastAsia" w:ascii="仿宋" w:hAnsi="仿宋" w:eastAsia="仿宋" w:cs="仿宋"/>
          <w:color w:val="auto"/>
          <w:spacing w:val="-3"/>
          <w:sz w:val="24"/>
          <w:szCs w:val="24"/>
          <w:highlight w:val="none"/>
          <w:lang w:val="en-US" w:eastAsia="zh-CN"/>
        </w:rPr>
        <w:t>上传</w:t>
      </w:r>
      <w:r>
        <w:rPr>
          <w:rFonts w:hint="eastAsia" w:ascii="仿宋" w:hAnsi="仿宋" w:eastAsia="仿宋" w:cs="仿宋"/>
          <w:color w:val="auto"/>
          <w:spacing w:val="-3"/>
          <w:sz w:val="24"/>
          <w:szCs w:val="24"/>
          <w:highlight w:val="none"/>
          <w:lang w:val="en-US"/>
        </w:rPr>
        <w:t>的</w:t>
      </w:r>
      <w:r>
        <w:rPr>
          <w:rFonts w:hint="eastAsia" w:ascii="仿宋" w:hAnsi="仿宋" w:eastAsia="仿宋" w:cs="仿宋"/>
          <w:color w:val="auto"/>
          <w:spacing w:val="-3"/>
          <w:sz w:val="24"/>
          <w:szCs w:val="24"/>
          <w:highlight w:val="none"/>
          <w:lang w:val="en-US" w:eastAsia="zh-CN"/>
        </w:rPr>
        <w:t>等</w:t>
      </w:r>
      <w:r>
        <w:rPr>
          <w:rFonts w:hint="eastAsia" w:ascii="仿宋" w:hAnsi="仿宋" w:eastAsia="仿宋" w:cs="仿宋"/>
          <w:color w:val="auto"/>
          <w:spacing w:val="-3"/>
          <w:sz w:val="24"/>
          <w:szCs w:val="24"/>
          <w:highlight w:val="none"/>
          <w:lang w:val="en-US"/>
        </w:rPr>
        <w:t>。</w:t>
      </w:r>
    </w:p>
    <w:p w14:paraId="082ECA48">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19</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投标文件的修改和撤回</w:t>
      </w:r>
    </w:p>
    <w:p w14:paraId="661A89AA">
      <w:pPr>
        <w:spacing w:before="22" w:line="360" w:lineRule="auto"/>
        <w:ind w:firstLine="482"/>
        <w:jc w:val="both"/>
        <w:rPr>
          <w:rFonts w:hint="eastAsia" w:ascii="仿宋" w:hAnsi="仿宋" w:eastAsia="仿宋" w:cs="仿宋"/>
          <w:color w:val="auto"/>
          <w:spacing w:val="-3"/>
          <w:sz w:val="24"/>
          <w:szCs w:val="24"/>
          <w:highlight w:val="none"/>
          <w:lang w:val="en-US"/>
        </w:rPr>
      </w:pPr>
      <w:bookmarkStart w:id="10" w:name="_Toc11334"/>
      <w:r>
        <w:rPr>
          <w:rFonts w:hint="eastAsia" w:ascii="仿宋" w:hAnsi="仿宋" w:eastAsia="仿宋" w:cs="仿宋"/>
          <w:color w:val="auto"/>
          <w:spacing w:val="-3"/>
          <w:sz w:val="24"/>
          <w:szCs w:val="24"/>
          <w:highlight w:val="none"/>
          <w:lang w:val="en-US"/>
        </w:rPr>
        <w:t>19.2.1 投标人可在投标截止时间前对其电子投标文件进行修改，具体操作方法见《操作手册》。</w:t>
      </w:r>
    </w:p>
    <w:p w14:paraId="035C66DF">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19.2.2 投标截止时间之后，投标人不得对其电子投标文件作任何修改。</w:t>
      </w:r>
    </w:p>
    <w:p w14:paraId="09F0B6FB">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19.2 投标文件的撤回</w:t>
      </w:r>
    </w:p>
    <w:p w14:paraId="36E34291">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19.2.1投标人可在投标截止时间前撤回其电子投标文件，具体操作方法见《操作手册》。</w:t>
      </w:r>
    </w:p>
    <w:p w14:paraId="68C57A73">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19.2.2 投标人撤回电子投标文件，则认为其不再参与本项目投标活动。</w:t>
      </w:r>
    </w:p>
    <w:p w14:paraId="0DD6E13D">
      <w:pPr>
        <w:spacing w:before="22" w:line="360" w:lineRule="auto"/>
        <w:ind w:firstLine="482"/>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19.2.3 在投标截止时间至招标文件中规定的投标有效期满之间的这段时间内，投标人不得撤回其投标。</w:t>
      </w:r>
    </w:p>
    <w:p w14:paraId="03660B9A">
      <w:pPr>
        <w:spacing w:before="22" w:line="360" w:lineRule="auto"/>
        <w:ind w:firstLine="482"/>
        <w:jc w:val="both"/>
        <w:rPr>
          <w:rFonts w:hint="eastAsia" w:ascii="仿宋" w:hAnsi="仿宋" w:eastAsia="仿宋" w:cs="仿宋"/>
          <w:b/>
          <w:bCs/>
          <w:color w:val="auto"/>
          <w:spacing w:val="-3"/>
          <w:sz w:val="24"/>
          <w:szCs w:val="24"/>
          <w:highlight w:val="none"/>
          <w:lang w:eastAsia="zh-CN"/>
        </w:rPr>
      </w:pPr>
      <w:r>
        <w:rPr>
          <w:rFonts w:hint="eastAsia" w:ascii="仿宋" w:hAnsi="仿宋" w:eastAsia="仿宋" w:cs="仿宋"/>
          <w:b/>
          <w:bCs/>
          <w:color w:val="auto"/>
          <w:spacing w:val="-3"/>
          <w:sz w:val="24"/>
          <w:szCs w:val="24"/>
          <w:highlight w:val="none"/>
        </w:rPr>
        <w:t>四、开标、评标与确定</w:t>
      </w:r>
      <w:bookmarkEnd w:id="10"/>
      <w:r>
        <w:rPr>
          <w:rFonts w:hint="eastAsia" w:ascii="仿宋" w:hAnsi="仿宋" w:eastAsia="仿宋" w:cs="仿宋"/>
          <w:b/>
          <w:bCs/>
          <w:color w:val="auto"/>
          <w:spacing w:val="-3"/>
          <w:sz w:val="24"/>
          <w:szCs w:val="24"/>
          <w:highlight w:val="none"/>
          <w:lang w:eastAsia="zh-CN"/>
        </w:rPr>
        <w:t>中标人</w:t>
      </w:r>
    </w:p>
    <w:p w14:paraId="1A9A3E55">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20</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开标</w:t>
      </w:r>
    </w:p>
    <w:p w14:paraId="142AEC96">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20.1 代理机构将在招标文件确定的时间和地点进行公开开标。投标人按照《操作手册》规定参加开标活动，并在苏采云系统规定的时间内对投标文件进行解密。苏采云系统公布各投标人名称和投标价格。</w:t>
      </w:r>
    </w:p>
    <w:p w14:paraId="245C314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20.2 投标人在开标过程中涉及到的投标文件解密、开标结果确认等工作，应按照《操作手册》规定执行。</w:t>
      </w:r>
    </w:p>
    <w:p w14:paraId="565BFA7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20.3 投标人如果对开标过程和开标结果有疑义，应当根据《操作手册》规定提出，苏采云系统中《开标记录表》公布后5分钟内未提出的，视同认可开标结果。</w:t>
      </w:r>
    </w:p>
    <w:p w14:paraId="6858E807">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21</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评标</w:t>
      </w:r>
    </w:p>
    <w:p w14:paraId="6726917E">
      <w:pPr>
        <w:pStyle w:val="202"/>
        <w:tabs>
          <w:tab w:val="left" w:pos="1164"/>
        </w:tabs>
        <w:spacing w:before="19" w:line="360" w:lineRule="auto"/>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21.1</w:t>
      </w:r>
      <w:r>
        <w:rPr>
          <w:rFonts w:hint="eastAsia" w:ascii="仿宋" w:hAnsi="仿宋" w:eastAsia="仿宋" w:cs="仿宋"/>
          <w:b/>
          <w:color w:val="auto"/>
          <w:sz w:val="24"/>
          <w:szCs w:val="24"/>
          <w:highlight w:val="none"/>
        </w:rPr>
        <w:t>评标组织</w:t>
      </w:r>
    </w:p>
    <w:p w14:paraId="0686FA45">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21.1.1评标工作由采购代理负责组织，具体评标事务由依法组建的评标委员会负责，并独立履行下列职责：</w:t>
      </w:r>
    </w:p>
    <w:p w14:paraId="0B0B0DA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（1）审查投标文件是否符合招标文件要求，并作出评价；</w:t>
      </w:r>
    </w:p>
    <w:p w14:paraId="54265FF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（2）要求投标人对投标文件有关事项作出解释或者澄清；</w:t>
      </w:r>
    </w:p>
    <w:p w14:paraId="32897EE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（3）推荐中标候选投标人名单，或者按照招标文件规定直接确定投标人；</w:t>
      </w:r>
    </w:p>
    <w:p w14:paraId="68A81F5A">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（4）向采购代理或者有关部门报告非法干预评标工作的行为。</w:t>
      </w:r>
    </w:p>
    <w:p w14:paraId="030D86C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21.1.2评标委员会由采购人代表和有关技术、经济等方面的专家组成，独立开展评审工作。</w:t>
      </w:r>
    </w:p>
    <w:p w14:paraId="342E27D9">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rPr>
        <w:t>21.2</w:t>
      </w:r>
      <w:r>
        <w:rPr>
          <w:rFonts w:hint="eastAsia" w:ascii="仿宋" w:hAnsi="仿宋" w:eastAsia="仿宋" w:cs="仿宋"/>
          <w:b/>
          <w:color w:val="auto"/>
          <w:sz w:val="24"/>
          <w:szCs w:val="24"/>
          <w:highlight w:val="none"/>
        </w:rPr>
        <w:t>评标程序</w:t>
      </w:r>
    </w:p>
    <w:p w14:paraId="574074A6">
      <w:pPr>
        <w:pStyle w:val="202"/>
        <w:tabs>
          <w:tab w:val="left" w:pos="1373"/>
        </w:tabs>
        <w:spacing w:before="21" w:line="360" w:lineRule="auto"/>
        <w:ind w:left="0" w:firstLine="478"/>
        <w:jc w:val="both"/>
        <w:rPr>
          <w:rFonts w:hint="eastAsia" w:ascii="仿宋" w:hAnsi="仿宋" w:eastAsia="仿宋" w:cs="仿宋"/>
          <w:color w:val="auto"/>
          <w:sz w:val="24"/>
          <w:szCs w:val="24"/>
          <w:highlight w:val="none"/>
        </w:rPr>
      </w:pPr>
      <w:r>
        <w:rPr>
          <w:rFonts w:hint="eastAsia" w:ascii="仿宋" w:hAnsi="仿宋" w:eastAsia="仿宋" w:cs="仿宋"/>
          <w:b/>
          <w:color w:val="auto"/>
          <w:spacing w:val="-1"/>
          <w:sz w:val="24"/>
          <w:szCs w:val="24"/>
          <w:highlight w:val="none"/>
          <w:lang w:val="en-US"/>
        </w:rPr>
        <w:t>21.2.1</w:t>
      </w:r>
      <w:r>
        <w:rPr>
          <w:rFonts w:hint="eastAsia" w:ascii="仿宋" w:hAnsi="仿宋" w:eastAsia="仿宋" w:cs="仿宋"/>
          <w:b/>
          <w:color w:val="auto"/>
          <w:spacing w:val="-1"/>
          <w:sz w:val="24"/>
          <w:szCs w:val="24"/>
          <w:highlight w:val="none"/>
        </w:rPr>
        <w:t>投标文件的资格性检查。</w:t>
      </w:r>
      <w:r>
        <w:rPr>
          <w:rFonts w:hint="eastAsia" w:ascii="仿宋" w:hAnsi="仿宋" w:eastAsia="仿宋" w:cs="仿宋"/>
          <w:color w:val="auto"/>
          <w:spacing w:val="-3"/>
          <w:sz w:val="24"/>
          <w:szCs w:val="24"/>
          <w:highlight w:val="none"/>
        </w:rPr>
        <w:t>依据法律法规和招标文件的规定，对投标文件中资格证明、</w:t>
      </w:r>
      <w:r>
        <w:rPr>
          <w:rFonts w:hint="eastAsia" w:ascii="仿宋" w:hAnsi="仿宋" w:eastAsia="仿宋" w:cs="仿宋"/>
          <w:color w:val="auto"/>
          <w:sz w:val="24"/>
          <w:szCs w:val="24"/>
          <w:highlight w:val="none"/>
        </w:rPr>
        <w:t>投标保证金等进行审查，以确定投标人是否具备投标资格。</w:t>
      </w:r>
      <w:r>
        <w:rPr>
          <w:rFonts w:hint="eastAsia" w:ascii="仿宋" w:hAnsi="仿宋" w:eastAsia="仿宋" w:cs="仿宋"/>
          <w:color w:val="auto"/>
          <w:sz w:val="24"/>
          <w:szCs w:val="24"/>
          <w:highlight w:val="none"/>
          <w:lang w:val="en-US" w:eastAsia="zh-CN"/>
        </w:rPr>
        <w:t>由采购人委托采购代理机构对投标文件中的资格证明文件进行审查。资格审查的结论，采购代理机构以书面形式向评标委员会进行反馈。</w:t>
      </w:r>
      <w:r>
        <w:rPr>
          <w:rFonts w:hint="eastAsia" w:ascii="仿宋" w:hAnsi="仿宋" w:eastAsia="仿宋" w:cs="仿宋"/>
          <w:color w:val="auto"/>
          <w:sz w:val="24"/>
          <w:szCs w:val="24"/>
          <w:highlight w:val="none"/>
        </w:rPr>
        <w:t>投标文件有下列情况之一的，在资格性、符合性检查时按照无效投标处理：</w:t>
      </w:r>
    </w:p>
    <w:p w14:paraId="37769626">
      <w:pPr>
        <w:pStyle w:val="202"/>
        <w:tabs>
          <w:tab w:val="left" w:pos="1373"/>
        </w:tabs>
        <w:spacing w:before="21" w:line="360" w:lineRule="auto"/>
        <w:ind w:left="0" w:firstLine="47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（1）不具备招标文件规定资格条件的； </w:t>
      </w:r>
    </w:p>
    <w:p w14:paraId="04AF3893">
      <w:pPr>
        <w:pStyle w:val="202"/>
        <w:tabs>
          <w:tab w:val="left" w:pos="1373"/>
        </w:tabs>
        <w:spacing w:before="21" w:line="360" w:lineRule="auto"/>
        <w:ind w:left="0" w:firstLine="47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p>
    <w:p w14:paraId="4BE6057F">
      <w:pPr>
        <w:pStyle w:val="202"/>
        <w:tabs>
          <w:tab w:val="left" w:pos="1164"/>
        </w:tabs>
        <w:spacing w:line="360" w:lineRule="auto"/>
        <w:ind w:left="0" w:firstLine="468"/>
        <w:jc w:val="both"/>
        <w:rPr>
          <w:rFonts w:hint="eastAsia" w:ascii="仿宋" w:hAnsi="仿宋" w:eastAsia="仿宋" w:cs="仿宋"/>
          <w:color w:val="auto"/>
          <w:spacing w:val="-12"/>
          <w:sz w:val="24"/>
          <w:szCs w:val="24"/>
          <w:highlight w:val="none"/>
        </w:rPr>
      </w:pPr>
      <w:r>
        <w:rPr>
          <w:rFonts w:hint="eastAsia" w:ascii="仿宋" w:hAnsi="仿宋" w:eastAsia="仿宋" w:cs="仿宋"/>
          <w:b/>
          <w:color w:val="auto"/>
          <w:spacing w:val="-1"/>
          <w:sz w:val="24"/>
          <w:szCs w:val="24"/>
          <w:highlight w:val="none"/>
          <w:lang w:val="en-US"/>
        </w:rPr>
        <w:t>21.2.2</w:t>
      </w:r>
      <w:r>
        <w:rPr>
          <w:rFonts w:hint="eastAsia" w:ascii="仿宋" w:hAnsi="仿宋" w:eastAsia="仿宋" w:cs="仿宋"/>
          <w:b/>
          <w:color w:val="auto"/>
          <w:spacing w:val="-1"/>
          <w:sz w:val="24"/>
          <w:szCs w:val="24"/>
          <w:highlight w:val="none"/>
        </w:rPr>
        <w:t>投标文件的符合性检查</w:t>
      </w:r>
      <w:r>
        <w:rPr>
          <w:rFonts w:hint="eastAsia" w:ascii="仿宋" w:hAnsi="仿宋" w:eastAsia="仿宋" w:cs="仿宋"/>
          <w:color w:val="auto"/>
          <w:spacing w:val="-12"/>
          <w:sz w:val="24"/>
          <w:szCs w:val="24"/>
          <w:highlight w:val="none"/>
        </w:rPr>
        <w:t>。</w:t>
      </w:r>
    </w:p>
    <w:p w14:paraId="61B2FF2A">
      <w:pPr>
        <w:pStyle w:val="202"/>
        <w:tabs>
          <w:tab w:val="left" w:pos="1164"/>
        </w:tabs>
        <w:spacing w:line="360" w:lineRule="auto"/>
        <w:ind w:left="0" w:firstLine="468"/>
        <w:jc w:val="both"/>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21.2.2.1评标委员会将依据法律法规和招标文件的规定，对投标文件的有效性、完整性和对招标文件的响应程度进行审查，以确定是否对招标文件的实质性要求作出响应。</w:t>
      </w:r>
    </w:p>
    <w:p w14:paraId="0992856B">
      <w:pPr>
        <w:pStyle w:val="202"/>
        <w:tabs>
          <w:tab w:val="left" w:pos="1164"/>
        </w:tabs>
        <w:spacing w:line="360" w:lineRule="auto"/>
        <w:ind w:left="0" w:firstLine="468"/>
        <w:jc w:val="both"/>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21.2.2.2 实质性要求是指本招标文件中带“★”的商务和技术要求。</w:t>
      </w:r>
    </w:p>
    <w:p w14:paraId="22E5E6F8">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12"/>
          <w:sz w:val="24"/>
          <w:szCs w:val="24"/>
          <w:highlight w:val="none"/>
        </w:rPr>
        <w:t>21.2.2.3 如果投标文件实质上没有响应招标文件的要求，评标委员会将予以拒绝，</w:t>
      </w:r>
      <w:r>
        <w:rPr>
          <w:rFonts w:hint="eastAsia" w:ascii="仿宋" w:hAnsi="仿宋" w:eastAsia="仿宋" w:cs="仿宋"/>
          <w:color w:val="auto"/>
          <w:spacing w:val="-12"/>
          <w:sz w:val="24"/>
          <w:szCs w:val="24"/>
          <w:highlight w:val="none"/>
          <w:lang w:val="en-US" w:eastAsia="zh-CN"/>
        </w:rPr>
        <w:t>投标人</w:t>
      </w:r>
      <w:r>
        <w:rPr>
          <w:rFonts w:hint="eastAsia" w:ascii="仿宋" w:hAnsi="仿宋" w:eastAsia="仿宋" w:cs="仿宋"/>
          <w:color w:val="auto"/>
          <w:spacing w:val="-12"/>
          <w:sz w:val="24"/>
          <w:szCs w:val="24"/>
          <w:highlight w:val="none"/>
        </w:rPr>
        <w:t>不得通过修改或撤销不合要求的偏离而使其投标成为实质性响应的投标。</w:t>
      </w:r>
    </w:p>
    <w:p w14:paraId="2B010EEB">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rPr>
        <w:t>21.2.2.4投标文件有下列情况之一的，在符合性审查时按照无效投标处理</w:t>
      </w:r>
      <w:r>
        <w:rPr>
          <w:rFonts w:hint="eastAsia" w:ascii="仿宋" w:hAnsi="仿宋" w:eastAsia="仿宋" w:cs="仿宋"/>
          <w:color w:val="auto"/>
          <w:spacing w:val="-3"/>
          <w:sz w:val="24"/>
          <w:szCs w:val="24"/>
          <w:highlight w:val="none"/>
          <w:lang w:val="en-US" w:eastAsia="zh-CN"/>
        </w:rPr>
        <w:t>：</w:t>
      </w:r>
    </w:p>
    <w:p w14:paraId="577408D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（1）未按招标文件规定签署、盖章的；</w:t>
      </w:r>
    </w:p>
    <w:p w14:paraId="6118ABCB">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（2）没有《开标一览表》或《开标一览表》未按招标文件要求盖章的；</w:t>
      </w:r>
    </w:p>
    <w:p w14:paraId="02E92531">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（3）投标总价超出采购预算金额或者最高限价的；</w:t>
      </w:r>
    </w:p>
    <w:p w14:paraId="20E5F23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4</w:t>
      </w:r>
      <w:r>
        <w:rPr>
          <w:rFonts w:hint="eastAsia" w:ascii="仿宋" w:hAnsi="仿宋" w:eastAsia="仿宋" w:cs="仿宋"/>
          <w:color w:val="auto"/>
          <w:spacing w:val="-3"/>
          <w:sz w:val="24"/>
          <w:szCs w:val="24"/>
          <w:highlight w:val="none"/>
          <w:lang w:val="en-US"/>
        </w:rPr>
        <w:t>）不同</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的法定代表人或委托代理人有夫妻、直系血亲关系的；</w:t>
      </w:r>
    </w:p>
    <w:p w14:paraId="4BC8A27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5</w:t>
      </w:r>
      <w:r>
        <w:rPr>
          <w:rFonts w:hint="eastAsia" w:ascii="仿宋" w:hAnsi="仿宋" w:eastAsia="仿宋" w:cs="仿宋"/>
          <w:color w:val="auto"/>
          <w:spacing w:val="-3"/>
          <w:sz w:val="24"/>
          <w:szCs w:val="24"/>
          <w:highlight w:val="none"/>
          <w:lang w:val="en-US"/>
        </w:rPr>
        <w:t>）不同</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的负责人为同一人或者存在控股、管理关系的；</w:t>
      </w:r>
    </w:p>
    <w:p w14:paraId="13C8B4BB">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6</w:t>
      </w:r>
      <w:r>
        <w:rPr>
          <w:rFonts w:hint="eastAsia" w:ascii="仿宋" w:hAnsi="仿宋" w:eastAsia="仿宋" w:cs="仿宋"/>
          <w:color w:val="auto"/>
          <w:spacing w:val="-3"/>
          <w:sz w:val="24"/>
          <w:szCs w:val="24"/>
          <w:highlight w:val="none"/>
          <w:lang w:val="en-US"/>
        </w:rPr>
        <w:t>）属于</w:t>
      </w:r>
      <w:r>
        <w:rPr>
          <w:rFonts w:hint="eastAsia" w:ascii="仿宋" w:hAnsi="仿宋" w:eastAsia="仿宋" w:cs="仿宋"/>
          <w:color w:val="auto"/>
          <w:spacing w:val="-3"/>
          <w:sz w:val="24"/>
          <w:szCs w:val="24"/>
          <w:highlight w:val="none"/>
          <w:lang w:val="en-US" w:eastAsia="zh-CN"/>
        </w:rPr>
        <w:t>招标公告</w:t>
      </w:r>
      <w:r>
        <w:rPr>
          <w:rFonts w:hint="eastAsia" w:ascii="仿宋" w:hAnsi="仿宋" w:eastAsia="仿宋" w:cs="仿宋"/>
          <w:color w:val="auto"/>
          <w:spacing w:val="-3"/>
          <w:sz w:val="24"/>
          <w:szCs w:val="24"/>
          <w:highlight w:val="none"/>
          <w:lang w:val="en-US"/>
        </w:rPr>
        <w:t>中拒绝参加本次采购活动</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w:t>
      </w:r>
    </w:p>
    <w:p w14:paraId="14ADD785">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7</w:t>
      </w:r>
      <w:r>
        <w:rPr>
          <w:rFonts w:hint="eastAsia" w:ascii="仿宋" w:hAnsi="仿宋" w:eastAsia="仿宋" w:cs="仿宋"/>
          <w:color w:val="auto"/>
          <w:spacing w:val="-3"/>
          <w:sz w:val="24"/>
          <w:szCs w:val="24"/>
          <w:highlight w:val="none"/>
          <w:lang w:val="en-US"/>
        </w:rPr>
        <w:t>）投标文件含有采购人不能接受的附加条件的；</w:t>
      </w:r>
    </w:p>
    <w:p w14:paraId="61862592">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8</w:t>
      </w:r>
      <w:r>
        <w:rPr>
          <w:rFonts w:hint="eastAsia" w:ascii="仿宋" w:hAnsi="仿宋" w:eastAsia="仿宋" w:cs="仿宋"/>
          <w:color w:val="auto"/>
          <w:spacing w:val="-3"/>
          <w:sz w:val="24"/>
          <w:szCs w:val="24"/>
          <w:highlight w:val="none"/>
          <w:lang w:val="en-US"/>
        </w:rPr>
        <w:t>）评标委员会认为</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的报价明显低于其他通过符合性审查</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的报价，有可能影响服务质量或者不能诚信履约的，未在评标现场合理的时间内提供书面说明或相关证明材料，不能证明其报价合理的。</w:t>
      </w:r>
    </w:p>
    <w:p w14:paraId="57484E6F">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9</w:t>
      </w:r>
      <w:r>
        <w:rPr>
          <w:rFonts w:hint="eastAsia" w:ascii="仿宋" w:hAnsi="仿宋" w:eastAsia="仿宋" w:cs="仿宋"/>
          <w:color w:val="auto"/>
          <w:spacing w:val="-3"/>
          <w:sz w:val="24"/>
          <w:szCs w:val="24"/>
          <w:highlight w:val="none"/>
          <w:lang w:val="en-US"/>
        </w:rPr>
        <w:t>）投标人在苏采云系统规定的时间内未成功解密电子投标文件。</w:t>
      </w:r>
    </w:p>
    <w:p w14:paraId="0A87DF5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w:t>
      </w:r>
      <w:r>
        <w:rPr>
          <w:rFonts w:hint="eastAsia" w:ascii="仿宋" w:hAnsi="仿宋" w:eastAsia="仿宋" w:cs="仿宋"/>
          <w:color w:val="auto"/>
          <w:spacing w:val="-3"/>
          <w:sz w:val="24"/>
          <w:szCs w:val="24"/>
          <w:highlight w:val="none"/>
          <w:lang w:val="en-US" w:eastAsia="zh-CN"/>
        </w:rPr>
        <w:t>0</w:t>
      </w:r>
      <w:r>
        <w:rPr>
          <w:rFonts w:hint="eastAsia" w:ascii="仿宋" w:hAnsi="仿宋" w:eastAsia="仿宋" w:cs="仿宋"/>
          <w:color w:val="auto"/>
          <w:spacing w:val="-3"/>
          <w:sz w:val="24"/>
          <w:szCs w:val="24"/>
          <w:highlight w:val="none"/>
          <w:lang w:val="en-US"/>
        </w:rPr>
        <w:t>）投标人未按照招标文件要求上传电子投标文件。</w:t>
      </w:r>
    </w:p>
    <w:p w14:paraId="6D79473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w:t>
      </w:r>
      <w:r>
        <w:rPr>
          <w:rFonts w:hint="eastAsia" w:ascii="仿宋" w:hAnsi="仿宋" w:eastAsia="仿宋" w:cs="仿宋"/>
          <w:color w:val="auto"/>
          <w:spacing w:val="-3"/>
          <w:sz w:val="24"/>
          <w:szCs w:val="24"/>
          <w:highlight w:val="none"/>
          <w:lang w:val="en-US" w:eastAsia="zh-CN"/>
        </w:rPr>
        <w:t>1</w:t>
      </w:r>
      <w:r>
        <w:rPr>
          <w:rFonts w:hint="eastAsia" w:ascii="仿宋" w:hAnsi="仿宋" w:eastAsia="仿宋" w:cs="仿宋"/>
          <w:color w:val="auto"/>
          <w:spacing w:val="-3"/>
          <w:sz w:val="24"/>
          <w:szCs w:val="24"/>
          <w:highlight w:val="none"/>
          <w:lang w:val="en-US"/>
        </w:rPr>
        <w:t>）同一投标人提交两个（含两个）以上不同的投标报价。</w:t>
      </w:r>
    </w:p>
    <w:p w14:paraId="05381AA6">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w:t>
      </w:r>
      <w:r>
        <w:rPr>
          <w:rFonts w:hint="eastAsia" w:ascii="仿宋" w:hAnsi="仿宋" w:eastAsia="仿宋" w:cs="仿宋"/>
          <w:color w:val="auto"/>
          <w:spacing w:val="-3"/>
          <w:sz w:val="24"/>
          <w:szCs w:val="24"/>
          <w:highlight w:val="none"/>
          <w:lang w:val="en-US" w:eastAsia="zh-CN"/>
        </w:rPr>
        <w:t>2</w:t>
      </w:r>
      <w:r>
        <w:rPr>
          <w:rFonts w:hint="eastAsia" w:ascii="仿宋" w:hAnsi="仿宋" w:eastAsia="仿宋" w:cs="仿宋"/>
          <w:color w:val="auto"/>
          <w:spacing w:val="-3"/>
          <w:sz w:val="24"/>
          <w:szCs w:val="24"/>
          <w:highlight w:val="none"/>
          <w:lang w:val="en-US"/>
        </w:rPr>
        <w:t>）采购产品被财政部、国家发改委、生态环境部等列入“节能产品品目清单”强制采购范围，而投标人提供的产品不在强制采购范围内。</w:t>
      </w:r>
    </w:p>
    <w:p w14:paraId="6BF46E1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（13）投标人与参与本次采购活动的其他投标人的法定代表人或委托代理人有夫妻、直系血亲关系或二代以内亲缘关系的。</w:t>
      </w:r>
    </w:p>
    <w:p w14:paraId="40E3DE3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上述情形（</w:t>
      </w:r>
      <w:r>
        <w:rPr>
          <w:rFonts w:hint="eastAsia" w:ascii="仿宋" w:hAnsi="仿宋" w:eastAsia="仿宋" w:cs="仿宋"/>
          <w:color w:val="auto"/>
          <w:spacing w:val="-3"/>
          <w:sz w:val="24"/>
          <w:szCs w:val="24"/>
          <w:highlight w:val="none"/>
          <w:lang w:val="en-US" w:eastAsia="zh-CN"/>
        </w:rPr>
        <w:t>8</w:t>
      </w:r>
      <w:r>
        <w:rPr>
          <w:rFonts w:hint="eastAsia" w:ascii="仿宋" w:hAnsi="仿宋" w:eastAsia="仿宋" w:cs="仿宋"/>
          <w:color w:val="auto"/>
          <w:spacing w:val="-3"/>
          <w:sz w:val="24"/>
          <w:szCs w:val="24"/>
          <w:highlight w:val="none"/>
          <w:lang w:val="en-US"/>
        </w:rPr>
        <w:t>）的异常低价审查的情形和具体要求，包括：</w:t>
      </w:r>
    </w:p>
    <w:p w14:paraId="1DF02D0A">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1）评审过程中出现下列情形之一的，评标委员会应当启动异常低价投标（响应）审查程序：</w:t>
      </w:r>
    </w:p>
    <w:p w14:paraId="163AC0F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①投标（响应）报价低于全部通过符合性审查</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投标（响应）报价平均值50%的，即投标（响应）报价&lt;全部通过符合性审查</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投标（响应）报价平均值×50%；</w:t>
      </w:r>
    </w:p>
    <w:p w14:paraId="42ED55E8">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②投标（响应）报价低于通过符合性审查的次低报价</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投标（响应）报价50%的，即投标（响应）报价&lt;通过符合性审查的次低报价</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投标（响应）报价×50%；</w:t>
      </w:r>
    </w:p>
    <w:p w14:paraId="7CF394B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③投标（响应）报价低于采购项目最高限价45%的，即投标（响应）报价&lt;采购项目最高限价×45%；</w:t>
      </w:r>
    </w:p>
    <w:p w14:paraId="0737986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④评审委员会基于专业判断，认为</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报价过低，有可能影响产品质量或者不能诚信履约的其他情形。</w:t>
      </w:r>
    </w:p>
    <w:p w14:paraId="23B9C93B">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采购人可以结合具体项目实际情况，提高上述第①项至第③项中启动异常低价投标（响应）审查的数值标准，但是最高不得超过65%。</w:t>
      </w:r>
    </w:p>
    <w:p w14:paraId="053031A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相关法律法规对</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报价有规定的，从其规定。</w:t>
      </w:r>
    </w:p>
    <w:p w14:paraId="1191D65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2）评审委员会启动异常低价投标（响应）审查后，属于前述第①项至第④项情形的，应当要求相关</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的合理时间一般不少于30分钟。其中，属于第3项情形，</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已随投标（响应）文件一并提交相关书面说明及必要的证明材料的，在评审现场可不再重复提交。</w:t>
      </w:r>
    </w:p>
    <w:p w14:paraId="6870F33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不能提供书面说明、证明材料，或者提供的书面说明、证明材料不能证明其报价合理性的，评审委员会应当将其作为无效投标（响应）处理。</w:t>
      </w:r>
    </w:p>
    <w:p w14:paraId="4B0885BF">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其他未尽事宜详见《关于推动解决政府采购异常低价问题的通知》（财库〔2026〕2号）。</w:t>
      </w:r>
    </w:p>
    <w:p w14:paraId="015D66DD">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w:t>
      </w:r>
      <w:r>
        <w:rPr>
          <w:rFonts w:hint="eastAsia" w:ascii="仿宋" w:hAnsi="仿宋" w:eastAsia="仿宋" w:cs="仿宋"/>
          <w:color w:val="auto"/>
          <w:spacing w:val="-3"/>
          <w:sz w:val="24"/>
          <w:szCs w:val="24"/>
          <w:highlight w:val="none"/>
          <w:lang w:val="en-US" w:eastAsia="zh-CN"/>
        </w:rPr>
        <w:t>1</w:t>
      </w: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2</w:t>
      </w:r>
      <w:r>
        <w:rPr>
          <w:rFonts w:hint="eastAsia" w:ascii="仿宋" w:hAnsi="仿宋" w:eastAsia="仿宋" w:cs="仿宋"/>
          <w:color w:val="auto"/>
          <w:spacing w:val="-3"/>
          <w:sz w:val="24"/>
          <w:szCs w:val="24"/>
          <w:highlight w:val="none"/>
          <w:lang w:val="en-US"/>
        </w:rPr>
        <w:t>.</w:t>
      </w:r>
      <w:r>
        <w:rPr>
          <w:rFonts w:hint="eastAsia" w:ascii="仿宋" w:hAnsi="仿宋" w:eastAsia="仿宋" w:cs="仿宋"/>
          <w:color w:val="auto"/>
          <w:spacing w:val="-3"/>
          <w:sz w:val="24"/>
          <w:szCs w:val="24"/>
          <w:highlight w:val="none"/>
          <w:lang w:val="en-US" w:eastAsia="zh-CN"/>
        </w:rPr>
        <w:t>2.5</w:t>
      </w:r>
      <w:r>
        <w:rPr>
          <w:rFonts w:hint="eastAsia" w:ascii="仿宋" w:hAnsi="仿宋" w:eastAsia="仿宋" w:cs="仿宋"/>
          <w:color w:val="auto"/>
          <w:spacing w:val="-3"/>
          <w:sz w:val="24"/>
          <w:szCs w:val="24"/>
          <w:highlight w:val="none"/>
          <w:lang w:val="en-US"/>
        </w:rPr>
        <w:t>有下列情形之一的，视为</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串通投标，其投标无效：</w:t>
      </w:r>
    </w:p>
    <w:p w14:paraId="22C13908">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w:t>
      </w:r>
      <w:r>
        <w:rPr>
          <w:rFonts w:hint="eastAsia" w:ascii="仿宋" w:hAnsi="仿宋" w:eastAsia="仿宋" w:cs="仿宋"/>
          <w:color w:val="auto"/>
          <w:spacing w:val="-3"/>
          <w:sz w:val="24"/>
          <w:szCs w:val="24"/>
          <w:highlight w:val="none"/>
          <w:lang w:val="en-US"/>
        </w:rPr>
        <w:t>1）不同</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的投标文件由同一单位或者个人编制；</w:t>
      </w:r>
    </w:p>
    <w:p w14:paraId="086B2BC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w:t>
      </w:r>
      <w:r>
        <w:rPr>
          <w:rFonts w:hint="eastAsia" w:ascii="仿宋" w:hAnsi="仿宋" w:eastAsia="仿宋" w:cs="仿宋"/>
          <w:color w:val="auto"/>
          <w:spacing w:val="-3"/>
          <w:sz w:val="24"/>
          <w:szCs w:val="24"/>
          <w:highlight w:val="none"/>
          <w:lang w:val="en-US"/>
        </w:rPr>
        <w:t>2）不同</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委托同一单位或者个人办理投标事宜；</w:t>
      </w:r>
    </w:p>
    <w:p w14:paraId="6AC8F421">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w:t>
      </w:r>
      <w:r>
        <w:rPr>
          <w:rFonts w:hint="eastAsia" w:ascii="仿宋" w:hAnsi="仿宋" w:eastAsia="仿宋" w:cs="仿宋"/>
          <w:color w:val="auto"/>
          <w:spacing w:val="-3"/>
          <w:sz w:val="24"/>
          <w:szCs w:val="24"/>
          <w:highlight w:val="none"/>
          <w:lang w:val="en-US"/>
        </w:rPr>
        <w:t>3）不同</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的投标文件载明的项目管理成员或者联系人员为同一人；</w:t>
      </w:r>
    </w:p>
    <w:p w14:paraId="23F741F2">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w:t>
      </w:r>
      <w:r>
        <w:rPr>
          <w:rFonts w:hint="eastAsia" w:ascii="仿宋" w:hAnsi="仿宋" w:eastAsia="仿宋" w:cs="仿宋"/>
          <w:color w:val="auto"/>
          <w:spacing w:val="-3"/>
          <w:sz w:val="24"/>
          <w:szCs w:val="24"/>
          <w:highlight w:val="none"/>
          <w:lang w:val="en-US"/>
        </w:rPr>
        <w:t>4）不同</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的投标文件异常一致或者投标报价呈规律性差异</w:t>
      </w:r>
      <w:r>
        <w:rPr>
          <w:rFonts w:hint="eastAsia" w:ascii="仿宋" w:hAnsi="仿宋" w:eastAsia="仿宋" w:cs="仿宋"/>
          <w:color w:val="auto"/>
          <w:spacing w:val="-3"/>
          <w:sz w:val="24"/>
          <w:szCs w:val="24"/>
          <w:highlight w:val="none"/>
          <w:lang w:val="en-US" w:eastAsia="zh-CN"/>
        </w:rPr>
        <w:t>。</w:t>
      </w:r>
    </w:p>
    <w:p w14:paraId="79293F3D">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未通过资格审查或符合性审查的投标人，代理机构将通过苏采云系统告知其具体原因，评标结束后不再接受有关询问。</w:t>
      </w:r>
    </w:p>
    <w:p w14:paraId="74B20B9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b/>
          <w:bCs/>
          <w:color w:val="auto"/>
          <w:spacing w:val="-3"/>
          <w:sz w:val="24"/>
          <w:szCs w:val="24"/>
          <w:highlight w:val="none"/>
          <w:lang w:val="en-US"/>
        </w:rPr>
        <w:t>21.2.2.5 废标</w:t>
      </w:r>
    </w:p>
    <w:p w14:paraId="22F6F18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21.2.2.5.1 符合资格条件的</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或者对招标文件作实质响应的</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不足三家。</w:t>
      </w:r>
    </w:p>
    <w:p w14:paraId="516F4755">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21.2.2.5.2 出现影响采购公正的违法、违规行为。</w:t>
      </w:r>
    </w:p>
    <w:p w14:paraId="715644E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21.2.2.5.3 因重大变故采购任务取消。</w:t>
      </w:r>
    </w:p>
    <w:p w14:paraId="0E411D92">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21.2.2.5.4 评委会认定招标文件存在歧义、重大缺陷导致评审工作无法进行。</w:t>
      </w:r>
    </w:p>
    <w:p w14:paraId="283E5385">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21.2.2.5.5 预留份额的采购项目或采购包，通过发布公告方式邀请</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后，符合资格条件的中小企业数量不足3家的。</w:t>
      </w:r>
    </w:p>
    <w:p w14:paraId="49FF10C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21.2.2.5.6 因苏采云系统故障造成开标不成功。</w:t>
      </w:r>
    </w:p>
    <w:p w14:paraId="143EB938">
      <w:pPr>
        <w:pStyle w:val="202"/>
        <w:tabs>
          <w:tab w:val="left" w:pos="1373"/>
        </w:tabs>
        <w:spacing w:line="360" w:lineRule="auto"/>
        <w:ind w:left="0" w:firstLine="482"/>
        <w:jc w:val="both"/>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21.2.3 投标文件的进一步评审</w:t>
      </w:r>
    </w:p>
    <w:p w14:paraId="1AB09C07">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21.2.3.1评标委员会将对确定为实质性响应的投标文件进行进一步评审，看其是否有计算上或累加上的算术错误，修正错误的原则如下：</w:t>
      </w:r>
    </w:p>
    <w:p w14:paraId="2B6F8958">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（1）如果用数字表示的金额和用文字表示的金额不一致时，应以文字表示的金额为准进行修正；</w:t>
      </w:r>
    </w:p>
    <w:p w14:paraId="5E295A20">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（2）当单价与数量的乘积和总价不一致时，以单价为准进行修正。只有在评标委员会认为单价有明显的小数点错误时，才能以标出的总价为准，并修改单价。</w:t>
      </w:r>
    </w:p>
    <w:p w14:paraId="2AD1DA3B">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21.2.3.2 评委会将按上述修正错误的方法调整投标文件中的投标报价，并通过苏采云系统告知投标人，调整后的价格对投标人具有约束力。如果投标人不接受修正后的价格，则其投标将被拒绝。</w:t>
      </w:r>
    </w:p>
    <w:p w14:paraId="6F054128">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21.2.3.3 评标委员会将允许修正投标文件中不构成重大偏离的、微小的、非正规的、不一致的或不规则的地方，但这些修改不能影响任何</w:t>
      </w: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rPr>
        <w:t>相应的名次排列。</w:t>
      </w:r>
    </w:p>
    <w:p w14:paraId="1DF17F62">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21.2.3.4 澄清有关问题。对投标文件中含义不明确、同类问题表述不一致或者明显文字错误的内容，评标委员会可以要求</w:t>
      </w: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rPr>
        <w:t>作出必要的澄清、说明或者补正。需要</w:t>
      </w: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0B513323">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21.2.3.5 比较与评价。按照招标文件中规定的评标方法和标准，对资格性检查和符合性检查合格的投标文件进行商务和技术评估，综合比较与评价。</w:t>
      </w:r>
    </w:p>
    <w:p w14:paraId="42EF85D6">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21.2.3.6 投标人在开、评标全过程中应保持通讯畅通，及时登录苏采云系统查阅、答复相关信息，并安排专人与代理机构及评委会联系。</w:t>
      </w:r>
    </w:p>
    <w:p w14:paraId="2AFF49AC">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21.2.3.7 如出现投标截止时间后参加投标的</w:t>
      </w: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rPr>
        <w:t>或者对招标文件作出实质性响应的</w:t>
      </w:r>
      <w:r>
        <w:rPr>
          <w:rFonts w:hint="eastAsia" w:ascii="仿宋" w:hAnsi="仿宋" w:eastAsia="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rPr>
        <w:t>不足三家的情况，按政府采购相关规定执行。</w:t>
      </w:r>
    </w:p>
    <w:p w14:paraId="228339F5">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bCs w:val="0"/>
          <w:color w:val="auto"/>
          <w:sz w:val="24"/>
          <w:szCs w:val="24"/>
          <w:highlight w:val="none"/>
          <w:lang w:val="en-US"/>
        </w:rPr>
        <w:t>21.3 评标方法和标准</w:t>
      </w:r>
    </w:p>
    <w:p w14:paraId="592151FB">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21.3.1 采用综合评分法。即在投标文件满足招标文件全部实质性要求前提下，按照评审因素的量化指标评分。未中标的投标人可于中标结果公告期限届满之日起通过苏采云系统查看本单位的评审得分及排名情况。</w:t>
      </w:r>
    </w:p>
    <w:p w14:paraId="6E9A264D">
      <w:pPr>
        <w:pStyle w:val="202"/>
        <w:tabs>
          <w:tab w:val="left" w:pos="1373"/>
        </w:tabs>
        <w:spacing w:line="360" w:lineRule="auto"/>
        <w:ind w:left="0" w:firstLine="482"/>
        <w:jc w:val="both"/>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rPr>
        <w:t>21.3.2 综合评分的主要因素详见文件第三章。</w:t>
      </w:r>
    </w:p>
    <w:p w14:paraId="5E11C86F">
      <w:pPr>
        <w:pStyle w:val="202"/>
        <w:tabs>
          <w:tab w:val="left" w:pos="1373"/>
        </w:tabs>
        <w:spacing w:line="360" w:lineRule="auto"/>
        <w:ind w:left="0" w:firstLine="482"/>
        <w:jc w:val="both"/>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w:t>
      </w:r>
      <w:r>
        <w:rPr>
          <w:rFonts w:hint="eastAsia" w:ascii="仿宋" w:hAnsi="仿宋" w:eastAsia="仿宋" w:cs="仿宋"/>
          <w:color w:val="auto"/>
          <w:spacing w:val="-12"/>
          <w:sz w:val="24"/>
          <w:szCs w:val="24"/>
          <w:highlight w:val="none"/>
          <w:lang w:val="en-US" w:eastAsia="zh-CN"/>
        </w:rPr>
        <w:t>1</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12"/>
          <w:sz w:val="24"/>
          <w:szCs w:val="24"/>
          <w:highlight w:val="none"/>
          <w:lang w:val="en-US" w:eastAsia="zh-CN"/>
        </w:rPr>
        <w:t>3</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12"/>
          <w:sz w:val="24"/>
          <w:szCs w:val="24"/>
          <w:highlight w:val="none"/>
          <w:lang w:val="en-US" w:eastAsia="zh-CN"/>
        </w:rPr>
        <w:t xml:space="preserve">3 </w:t>
      </w:r>
      <w:r>
        <w:rPr>
          <w:rFonts w:hint="eastAsia" w:ascii="仿宋" w:hAnsi="仿宋" w:eastAsia="仿宋" w:cs="仿宋"/>
          <w:color w:val="auto"/>
          <w:spacing w:val="-12"/>
          <w:sz w:val="24"/>
          <w:szCs w:val="24"/>
          <w:highlight w:val="none"/>
        </w:rPr>
        <w:t>相同品牌产品的投标</w:t>
      </w:r>
    </w:p>
    <w:p w14:paraId="78CDF742">
      <w:pPr>
        <w:pStyle w:val="202"/>
        <w:tabs>
          <w:tab w:val="left" w:pos="1373"/>
        </w:tabs>
        <w:spacing w:line="360" w:lineRule="auto"/>
        <w:ind w:left="0" w:firstLine="482"/>
        <w:jc w:val="both"/>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C1822C5">
      <w:pPr>
        <w:pStyle w:val="202"/>
        <w:tabs>
          <w:tab w:val="left" w:pos="1373"/>
        </w:tabs>
        <w:spacing w:line="360" w:lineRule="auto"/>
        <w:ind w:left="0" w:firstLine="482"/>
        <w:jc w:val="both"/>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9702074">
      <w:pPr>
        <w:pStyle w:val="202"/>
        <w:tabs>
          <w:tab w:val="left" w:pos="1373"/>
        </w:tabs>
        <w:spacing w:line="360" w:lineRule="auto"/>
        <w:ind w:left="0" w:firstLine="482"/>
        <w:jc w:val="both"/>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非单一产品采购项目，确定核心产品的方法在招标文件技术需求中载明。多家投标人提供的核心产品品牌相同的，按前两款规定处理。</w:t>
      </w:r>
    </w:p>
    <w:p w14:paraId="0C2235A8">
      <w:pPr>
        <w:pStyle w:val="202"/>
        <w:tabs>
          <w:tab w:val="left" w:pos="1375"/>
        </w:tabs>
        <w:spacing w:before="139" w:line="360" w:lineRule="auto"/>
        <w:ind w:left="0" w:right="5720" w:firstLine="482"/>
        <w:jc w:val="both"/>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22</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确定</w:t>
      </w:r>
      <w:r>
        <w:rPr>
          <w:rFonts w:hint="eastAsia" w:ascii="仿宋" w:hAnsi="仿宋" w:eastAsia="仿宋" w:cs="仿宋"/>
          <w:b/>
          <w:color w:val="auto"/>
          <w:sz w:val="24"/>
          <w:szCs w:val="24"/>
          <w:highlight w:val="none"/>
          <w:lang w:eastAsia="zh-CN"/>
        </w:rPr>
        <w:t>中标人</w:t>
      </w:r>
    </w:p>
    <w:p w14:paraId="08D6004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22.1 在综合比较与评价后按照得分由高到低顺序对</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进行排序。评标委员会按综合得分排名推荐3名中标候选人。得分相同的，按投标报价由低到高顺序排列。得分且报价相同的，按技术指标优劣顺序排列。</w:t>
      </w:r>
    </w:p>
    <w:p w14:paraId="7024E31E">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rPr>
        <w:t>22.2 按以下第（</w:t>
      </w:r>
      <w:r>
        <w:rPr>
          <w:rFonts w:hint="eastAsia" w:ascii="仿宋" w:hAnsi="仿宋" w:eastAsia="仿宋" w:cs="仿宋"/>
          <w:color w:val="auto"/>
          <w:spacing w:val="-3"/>
          <w:sz w:val="24"/>
          <w:szCs w:val="24"/>
          <w:highlight w:val="none"/>
          <w:lang w:val="en-US" w:eastAsia="zh-CN"/>
        </w:rPr>
        <w:t>1</w:t>
      </w:r>
      <w:r>
        <w:rPr>
          <w:rFonts w:hint="eastAsia" w:ascii="仿宋" w:hAnsi="仿宋" w:eastAsia="仿宋" w:cs="仿宋"/>
          <w:color w:val="auto"/>
          <w:spacing w:val="-3"/>
          <w:sz w:val="24"/>
          <w:szCs w:val="24"/>
          <w:highlight w:val="none"/>
          <w:lang w:val="en-US"/>
        </w:rPr>
        <w:t>）种方式确定中标</w:t>
      </w:r>
      <w:r>
        <w:rPr>
          <w:rFonts w:hint="eastAsia" w:ascii="仿宋" w:hAnsi="仿宋" w:eastAsia="仿宋" w:cs="仿宋"/>
          <w:color w:val="auto"/>
          <w:spacing w:val="-3"/>
          <w:sz w:val="24"/>
          <w:szCs w:val="24"/>
          <w:highlight w:val="none"/>
          <w:lang w:val="en-US" w:eastAsia="zh-CN"/>
        </w:rPr>
        <w:t>人</w:t>
      </w:r>
    </w:p>
    <w:p w14:paraId="5C861B7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（1）评标委员会直接确定排名第一的中标候选人为中标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w:t>
      </w:r>
    </w:p>
    <w:p w14:paraId="5D4EF238">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（2）采购人在评标委员会推荐的中标候选人中按顺序确定中标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w:t>
      </w:r>
    </w:p>
    <w:p w14:paraId="22124AE1">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按第二种方式确定中标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的，代理机构自评审结束之日起两个工作日内将评审报告送交采购人，采购人应当自收到评审报告之日起五个工作日内在评审报告推荐的中标候选人中按顺序确定中标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w:t>
      </w:r>
    </w:p>
    <w:p w14:paraId="12BAC73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22.3 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确定之日起两个工作日内，将在财政部门指定的政府采购信息发布媒体上公告。</w:t>
      </w:r>
    </w:p>
    <w:p w14:paraId="060EFED7">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22.4 《中标通知书》对采购人和中标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具有同等法律效力。</w:t>
      </w:r>
    </w:p>
    <w:p w14:paraId="775D3E7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22.5 《中标通知书》发出后，中标</w:t>
      </w:r>
      <w:r>
        <w:rPr>
          <w:rFonts w:hint="eastAsia" w:ascii="仿宋" w:hAnsi="仿宋" w:eastAsia="仿宋" w:cs="仿宋"/>
          <w:color w:val="auto"/>
          <w:spacing w:val="-3"/>
          <w:sz w:val="24"/>
          <w:szCs w:val="24"/>
          <w:highlight w:val="none"/>
          <w:lang w:val="en-US" w:eastAsia="zh-CN"/>
        </w:rPr>
        <w:t>人</w:t>
      </w:r>
      <w:r>
        <w:rPr>
          <w:rFonts w:hint="eastAsia" w:ascii="仿宋" w:hAnsi="仿宋" w:eastAsia="仿宋" w:cs="仿宋"/>
          <w:color w:val="auto"/>
          <w:spacing w:val="-3"/>
          <w:sz w:val="24"/>
          <w:szCs w:val="24"/>
          <w:highlight w:val="none"/>
          <w:lang w:val="en-US"/>
        </w:rPr>
        <w:t>无正当理由不与采购人签订合同的，应当依法承担法律责任。</w:t>
      </w:r>
    </w:p>
    <w:p w14:paraId="6913E9E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22.6代理机构和评标委员会对未中标的</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不作未中标原因的解释。</w:t>
      </w:r>
    </w:p>
    <w:p w14:paraId="00DEBC89">
      <w:pPr>
        <w:pStyle w:val="202"/>
        <w:tabs>
          <w:tab w:val="left" w:pos="1164"/>
        </w:tabs>
        <w:spacing w:before="137" w:line="360" w:lineRule="auto"/>
        <w:ind w:left="0" w:right="2046" w:firstLine="470"/>
        <w:jc w:val="both"/>
        <w:rPr>
          <w:rFonts w:hint="eastAsia" w:ascii="仿宋" w:hAnsi="仿宋" w:eastAsia="仿宋" w:cs="仿宋"/>
          <w:b/>
          <w:color w:val="auto"/>
          <w:sz w:val="24"/>
          <w:szCs w:val="24"/>
          <w:highlight w:val="none"/>
        </w:rPr>
      </w:pPr>
      <w:r>
        <w:rPr>
          <w:rFonts w:hint="eastAsia" w:ascii="仿宋" w:hAnsi="仿宋" w:eastAsia="仿宋" w:cs="仿宋"/>
          <w:b/>
          <w:color w:val="auto"/>
          <w:spacing w:val="-3"/>
          <w:sz w:val="24"/>
          <w:szCs w:val="24"/>
          <w:highlight w:val="none"/>
        </w:rPr>
        <w:t>23</w:t>
      </w:r>
      <w:r>
        <w:rPr>
          <w:rFonts w:hint="eastAsia" w:ascii="仿宋" w:hAnsi="仿宋" w:eastAsia="仿宋" w:cs="仿宋"/>
          <w:b/>
          <w:color w:val="auto"/>
          <w:spacing w:val="-3"/>
          <w:sz w:val="24"/>
          <w:szCs w:val="24"/>
          <w:highlight w:val="none"/>
          <w:lang w:eastAsia="zh-CN"/>
        </w:rPr>
        <w:t>.</w:t>
      </w:r>
      <w:r>
        <w:rPr>
          <w:rFonts w:hint="eastAsia" w:ascii="仿宋" w:hAnsi="仿宋" w:eastAsia="仿宋" w:cs="仿宋"/>
          <w:b/>
          <w:color w:val="auto"/>
          <w:spacing w:val="-3"/>
          <w:sz w:val="24"/>
          <w:szCs w:val="24"/>
          <w:highlight w:val="none"/>
        </w:rPr>
        <w:t>编写评标报告</w:t>
      </w:r>
    </w:p>
    <w:p w14:paraId="5C3C7E0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23.1 评标委员会根据全体评标成员签字的原始评标记录和评标结果编写评标报告。</w:t>
      </w:r>
    </w:p>
    <w:p w14:paraId="0F34CF00">
      <w:pPr>
        <w:tabs>
          <w:tab w:val="left" w:pos="9680"/>
        </w:tabs>
        <w:spacing w:line="360" w:lineRule="auto"/>
        <w:ind w:right="-220"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24</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评标过程的保密性</w:t>
      </w:r>
    </w:p>
    <w:p w14:paraId="3092A3EF">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24.1采购代理将采取必要措施，保证评标在严格保密的情况下进行。</w:t>
      </w:r>
    </w:p>
    <w:p w14:paraId="0CE08DE1">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24.2任何单位和个人不得非法干预、影响评标办法的确定，以及评标过程和结果。</w:t>
      </w:r>
    </w:p>
    <w:p w14:paraId="1701DA97">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24.3凡是与审查、澄清、评价和比较投标的有关资料等，均不向投标人及与评标无关的其他人员透露。</w:t>
      </w:r>
    </w:p>
    <w:p w14:paraId="4AB8B088">
      <w:pPr>
        <w:spacing w:before="12" w:line="360" w:lineRule="auto"/>
        <w:jc w:val="both"/>
        <w:rPr>
          <w:rFonts w:hint="eastAsia" w:ascii="仿宋" w:hAnsi="仿宋" w:eastAsia="仿宋" w:cs="仿宋"/>
          <w:b/>
          <w:bCs/>
          <w:color w:val="auto"/>
          <w:spacing w:val="-3"/>
          <w:sz w:val="24"/>
          <w:szCs w:val="24"/>
          <w:highlight w:val="none"/>
          <w:lang w:val="en-US"/>
        </w:rPr>
      </w:pPr>
      <w:bookmarkStart w:id="11" w:name="_Toc2830"/>
      <w:r>
        <w:rPr>
          <w:rFonts w:hint="eastAsia" w:ascii="仿宋" w:hAnsi="仿宋" w:eastAsia="仿宋" w:cs="仿宋"/>
          <w:b/>
          <w:bCs/>
          <w:color w:val="auto"/>
          <w:spacing w:val="-3"/>
          <w:sz w:val="24"/>
          <w:szCs w:val="24"/>
          <w:highlight w:val="none"/>
        </w:rPr>
        <w:t>五、履约担保</w:t>
      </w:r>
      <w:bookmarkEnd w:id="11"/>
    </w:p>
    <w:p w14:paraId="7979B506">
      <w:pPr>
        <w:pStyle w:val="204"/>
        <w:tabs>
          <w:tab w:val="left" w:pos="1164"/>
        </w:tabs>
        <w:spacing w:line="360" w:lineRule="auto"/>
        <w:ind w:firstLine="468"/>
        <w:jc w:val="both"/>
        <w:rPr>
          <w:rFonts w:hint="eastAsia" w:ascii="仿宋" w:hAnsi="仿宋" w:eastAsia="仿宋" w:cs="仿宋"/>
          <w:color w:val="auto"/>
          <w:spacing w:val="-3"/>
          <w:sz w:val="24"/>
          <w:szCs w:val="24"/>
          <w:highlight w:val="none"/>
          <w:lang w:val="en-US" w:eastAsia="zh-CN"/>
        </w:rPr>
      </w:pPr>
      <w:bookmarkStart w:id="12" w:name="_Toc9217"/>
      <w:r>
        <w:rPr>
          <w:rFonts w:hint="eastAsia" w:ascii="仿宋" w:hAnsi="仿宋" w:eastAsia="仿宋" w:cs="仿宋"/>
          <w:color w:val="auto"/>
          <w:spacing w:val="-3"/>
          <w:sz w:val="24"/>
          <w:szCs w:val="24"/>
          <w:highlight w:val="none"/>
          <w:lang w:val="en-US" w:eastAsia="zh-CN"/>
        </w:rPr>
        <w:t>25.1本项目不需提供履约保证金。</w:t>
      </w:r>
    </w:p>
    <w:p w14:paraId="01582998">
      <w:pPr>
        <w:spacing w:before="12" w:line="360" w:lineRule="auto"/>
        <w:jc w:val="both"/>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t>六、签订合同</w:t>
      </w:r>
      <w:bookmarkEnd w:id="12"/>
    </w:p>
    <w:p w14:paraId="322AF7CF">
      <w:pPr>
        <w:spacing w:before="22" w:line="360" w:lineRule="auto"/>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26</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签订合同</w:t>
      </w:r>
    </w:p>
    <w:p w14:paraId="2601C8C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26.1</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应当自中标通知书发出之日起</w:t>
      </w:r>
      <w:r>
        <w:rPr>
          <w:rFonts w:hint="eastAsia" w:ascii="仿宋" w:hAnsi="仿宋" w:eastAsia="仿宋" w:cs="仿宋"/>
          <w:color w:val="auto"/>
          <w:spacing w:val="-3"/>
          <w:sz w:val="24"/>
          <w:szCs w:val="24"/>
          <w:highlight w:val="none"/>
          <w:lang w:val="en-US" w:eastAsia="zh-CN"/>
        </w:rPr>
        <w:t>三十</w:t>
      </w:r>
      <w:r>
        <w:rPr>
          <w:rFonts w:hint="eastAsia" w:ascii="仿宋" w:hAnsi="仿宋" w:eastAsia="仿宋" w:cs="仿宋"/>
          <w:color w:val="auto"/>
          <w:spacing w:val="-3"/>
          <w:sz w:val="24"/>
          <w:szCs w:val="24"/>
          <w:highlight w:val="none"/>
          <w:lang w:val="en-US"/>
        </w:rPr>
        <w:t>日内，按照招标文件和</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投标文件的约定与采购人签订政府采购合同，所签订的合同不得对招标文件和</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投标文件作实质性修改。</w:t>
      </w:r>
    </w:p>
    <w:p w14:paraId="786C577C">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26.2采购人不得向</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提出任何不合理的要求作为签订合同的条件，不得与</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私下订立背离合同实质性内容的协议。</w:t>
      </w:r>
    </w:p>
    <w:p w14:paraId="7163E2F2">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26.3</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因不可抗力或者自身原因不能履行政府采购合同的，采购人可以视情与排位在</w:t>
      </w:r>
      <w:r>
        <w:rPr>
          <w:rFonts w:hint="eastAsia" w:ascii="仿宋" w:hAnsi="仿宋" w:eastAsia="仿宋" w:cs="仿宋"/>
          <w:color w:val="auto"/>
          <w:spacing w:val="-3"/>
          <w:sz w:val="24"/>
          <w:szCs w:val="24"/>
          <w:highlight w:val="none"/>
          <w:lang w:val="en-US" w:eastAsia="zh-CN"/>
        </w:rPr>
        <w:t>中标人</w:t>
      </w:r>
      <w:r>
        <w:rPr>
          <w:rFonts w:hint="eastAsia" w:ascii="仿宋" w:hAnsi="仿宋" w:eastAsia="仿宋" w:cs="仿宋"/>
          <w:color w:val="auto"/>
          <w:spacing w:val="-3"/>
          <w:sz w:val="24"/>
          <w:szCs w:val="24"/>
          <w:highlight w:val="none"/>
          <w:lang w:val="en-US"/>
        </w:rPr>
        <w:t>之后第一位的中标候选投标人签订政府采购合同，以此类推。</w:t>
      </w:r>
    </w:p>
    <w:p w14:paraId="5B50A46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26.4政府采购合同履行中，采购人需追加与合同标的相同的服务的，在不改变合同其他条款的前提下，可以与投标人协商签订补充合同，但所有补充合同的采购金额不得超过原合同采购金额的百分之十。</w:t>
      </w:r>
    </w:p>
    <w:p w14:paraId="0624BCA6">
      <w:pPr>
        <w:pStyle w:val="202"/>
        <w:tabs>
          <w:tab w:val="left" w:pos="1164"/>
        </w:tabs>
        <w:spacing w:line="360" w:lineRule="auto"/>
        <w:ind w:left="0" w:firstLine="468"/>
        <w:jc w:val="both"/>
        <w:rPr>
          <w:rFonts w:hint="default"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26.5采购文件中所要求的证明、证书、认证等资料的复印件或扫描件，采购人有权在中标后签订合同前要求中标人提供原件备查，如有虚假，按虚假投标处理。</w:t>
      </w:r>
    </w:p>
    <w:p w14:paraId="06B35BB3">
      <w:pPr>
        <w:spacing w:before="12" w:line="360" w:lineRule="auto"/>
        <w:jc w:val="both"/>
        <w:rPr>
          <w:rFonts w:hint="eastAsia" w:ascii="仿宋" w:hAnsi="仿宋" w:eastAsia="仿宋" w:cs="仿宋"/>
          <w:b/>
          <w:bCs/>
          <w:color w:val="auto"/>
          <w:spacing w:val="-3"/>
          <w:sz w:val="24"/>
          <w:szCs w:val="24"/>
          <w:highlight w:val="none"/>
        </w:rPr>
      </w:pPr>
      <w:bookmarkStart w:id="13" w:name="_Toc19574"/>
      <w:r>
        <w:rPr>
          <w:rFonts w:hint="eastAsia" w:ascii="仿宋" w:hAnsi="仿宋" w:eastAsia="仿宋" w:cs="仿宋"/>
          <w:b/>
          <w:bCs/>
          <w:color w:val="auto"/>
          <w:spacing w:val="-3"/>
          <w:sz w:val="24"/>
          <w:szCs w:val="24"/>
          <w:highlight w:val="none"/>
        </w:rPr>
        <w:t>七、质疑、投诉和诚实信用</w:t>
      </w:r>
      <w:bookmarkEnd w:id="13"/>
    </w:p>
    <w:p w14:paraId="3949DCC7">
      <w:pPr>
        <w:spacing w:before="24" w:line="360" w:lineRule="auto"/>
        <w:ind w:firstLine="458"/>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27</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质疑</w:t>
      </w:r>
    </w:p>
    <w:p w14:paraId="69724E0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27.1投标人对招标活动事项有疑问的，可以向采购代理提出询问，采购代理将依法作出答复，但答复的内容不涉及商业秘密。</w:t>
      </w:r>
    </w:p>
    <w:p w14:paraId="7127CECB">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27.2投标人认为采购文件、采购过程和中标结果使自己的合法权益受到损害的，可以在知道或者应当知道其权益受到损害之日起七个工作日内，将质疑文件原件送达采购代理。</w:t>
      </w:r>
    </w:p>
    <w:p w14:paraId="3470FF0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27.3质疑文件应包括以下主要内容，并按照“谁主张、谁举证”的原则，附上相关证明材料。否则，采购代理不予受理：</w:t>
      </w:r>
    </w:p>
    <w:p w14:paraId="54A9DE2E">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（1）投标人</w:t>
      </w:r>
      <w:r>
        <w:rPr>
          <w:rFonts w:hint="eastAsia" w:ascii="仿宋" w:hAnsi="仿宋" w:eastAsia="仿宋" w:cs="仿宋"/>
          <w:color w:val="auto"/>
          <w:spacing w:val="-3"/>
          <w:sz w:val="24"/>
          <w:szCs w:val="24"/>
          <w:highlight w:val="none"/>
          <w:lang w:val="en-US"/>
        </w:rPr>
        <w:t>的姓名或者名称、地址、邮编、联系人及联系电话；</w:t>
      </w:r>
    </w:p>
    <w:p w14:paraId="7F27265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（2）</w:t>
      </w:r>
      <w:r>
        <w:rPr>
          <w:rFonts w:hint="eastAsia" w:ascii="仿宋" w:hAnsi="仿宋" w:eastAsia="仿宋" w:cs="仿宋"/>
          <w:color w:val="auto"/>
          <w:spacing w:val="-3"/>
          <w:sz w:val="24"/>
          <w:szCs w:val="24"/>
          <w:highlight w:val="none"/>
          <w:lang w:val="en-US"/>
        </w:rPr>
        <w:t>质疑项目的名称、编号；</w:t>
      </w:r>
    </w:p>
    <w:p w14:paraId="24BD4AAF">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（3）</w:t>
      </w:r>
      <w:r>
        <w:rPr>
          <w:rFonts w:hint="eastAsia" w:ascii="仿宋" w:hAnsi="仿宋" w:eastAsia="仿宋" w:cs="仿宋"/>
          <w:color w:val="auto"/>
          <w:spacing w:val="-3"/>
          <w:sz w:val="24"/>
          <w:szCs w:val="24"/>
          <w:highlight w:val="none"/>
          <w:lang w:val="en-US"/>
        </w:rPr>
        <w:t>具体、明确的质疑事项和与质疑事项相关的请求；</w:t>
      </w:r>
    </w:p>
    <w:p w14:paraId="1C7396AE">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（4）</w:t>
      </w:r>
      <w:r>
        <w:rPr>
          <w:rFonts w:hint="eastAsia" w:ascii="仿宋" w:hAnsi="仿宋" w:eastAsia="仿宋" w:cs="仿宋"/>
          <w:color w:val="auto"/>
          <w:spacing w:val="-3"/>
          <w:sz w:val="24"/>
          <w:szCs w:val="24"/>
          <w:highlight w:val="none"/>
          <w:lang w:val="en-US"/>
        </w:rPr>
        <w:t>事实依据；</w:t>
      </w:r>
    </w:p>
    <w:p w14:paraId="32B2C626">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（5）</w:t>
      </w:r>
      <w:r>
        <w:rPr>
          <w:rFonts w:hint="eastAsia" w:ascii="仿宋" w:hAnsi="仿宋" w:eastAsia="仿宋" w:cs="仿宋"/>
          <w:color w:val="auto"/>
          <w:spacing w:val="-3"/>
          <w:sz w:val="24"/>
          <w:szCs w:val="24"/>
          <w:highlight w:val="none"/>
          <w:lang w:val="en-US"/>
        </w:rPr>
        <w:t>必要的法律依据；</w:t>
      </w:r>
    </w:p>
    <w:p w14:paraId="08AC6DE4">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（6）</w:t>
      </w:r>
      <w:r>
        <w:rPr>
          <w:rFonts w:hint="eastAsia" w:ascii="仿宋" w:hAnsi="仿宋" w:eastAsia="仿宋" w:cs="仿宋"/>
          <w:color w:val="auto"/>
          <w:spacing w:val="-3"/>
          <w:sz w:val="24"/>
          <w:szCs w:val="24"/>
          <w:highlight w:val="none"/>
          <w:lang w:val="en-US"/>
        </w:rPr>
        <w:t>提出质疑的日期。</w:t>
      </w:r>
    </w:p>
    <w:p w14:paraId="2954403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为自然人的，应当由本人签字；</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为法人或者其他组织的，应当由法定代表人、主要负责人，或者其授权代表签字或者盖章，并加盖公章。</w:t>
      </w:r>
    </w:p>
    <w:p w14:paraId="69E5C881">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27.4质疑投标人是指直接参加本项目采购活动的投标人；投标人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p>
    <w:p w14:paraId="29FE54D3">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27.5采购代理在收到投标人的书面质疑后将及时组织调查核实，在七个工作日内作出答复，并以书面或在网站公告形式通知质疑投标人和其他有关投标人，答复的内容不涉及商业秘密。采购代理遵循“谁过错谁负担”的原则，有过错的一方承担调查论证费用。</w:t>
      </w:r>
    </w:p>
    <w:p w14:paraId="11693E1D">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28</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投诉</w:t>
      </w:r>
    </w:p>
    <w:p w14:paraId="26A1AA42">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28.1 质疑投标人对采购代理的答复不满意，或采购代理未在规定的时间内作出答复的，可以在答复期满后</w:t>
      </w:r>
      <w:r>
        <w:rPr>
          <w:rFonts w:hint="eastAsia" w:ascii="仿宋" w:hAnsi="仿宋" w:eastAsia="仿宋" w:cs="仿宋"/>
          <w:b/>
          <w:bCs/>
          <w:color w:val="auto"/>
          <w:spacing w:val="-3"/>
          <w:sz w:val="24"/>
          <w:szCs w:val="24"/>
          <w:highlight w:val="none"/>
          <w:lang w:val="en-US"/>
        </w:rPr>
        <w:t>十五个工作日</w:t>
      </w:r>
      <w:r>
        <w:rPr>
          <w:rFonts w:hint="eastAsia" w:ascii="仿宋" w:hAnsi="仿宋" w:eastAsia="仿宋" w:cs="仿宋"/>
          <w:color w:val="auto"/>
          <w:spacing w:val="-3"/>
          <w:sz w:val="24"/>
          <w:szCs w:val="24"/>
          <w:highlight w:val="none"/>
          <w:lang w:val="en-US"/>
        </w:rPr>
        <w:t>内向采购项目同级财政部门投诉。</w:t>
      </w:r>
    </w:p>
    <w:p w14:paraId="0FA8B005">
      <w:pPr>
        <w:spacing w:before="22" w:line="360" w:lineRule="auto"/>
        <w:ind w:firstLine="482"/>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29</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诚实信用</w:t>
      </w:r>
    </w:p>
    <w:p w14:paraId="436C4B09">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29.1投标人之间不得相互串通投标报价，不得妨碍其他投标人的公平竞争，不得损害采购人和其他投标人的合法权益。</w:t>
      </w:r>
    </w:p>
    <w:p w14:paraId="518BC480">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29.2投标人不得以向采购代理工作人员、评标委员会成员行贿或者采取其他不正当手段谋取中标。政府采购管理部门将</w:t>
      </w:r>
      <w:r>
        <w:rPr>
          <w:rFonts w:hint="eastAsia" w:ascii="仿宋" w:hAnsi="仿宋" w:eastAsia="仿宋" w:cs="仿宋"/>
          <w:color w:val="auto"/>
          <w:spacing w:val="-3"/>
          <w:sz w:val="24"/>
          <w:szCs w:val="24"/>
          <w:highlight w:val="none"/>
          <w:lang w:val="en-US" w:eastAsia="zh-CN"/>
        </w:rPr>
        <w:t>投标人</w:t>
      </w:r>
      <w:r>
        <w:rPr>
          <w:rFonts w:hint="eastAsia" w:ascii="仿宋" w:hAnsi="仿宋" w:eastAsia="仿宋" w:cs="仿宋"/>
          <w:color w:val="auto"/>
          <w:spacing w:val="-3"/>
          <w:sz w:val="24"/>
          <w:szCs w:val="24"/>
          <w:highlight w:val="none"/>
          <w:lang w:val="en-US"/>
        </w:rPr>
        <w:t>列入不良行为记录名单，按照《政府采购法》有关规定处理。</w:t>
      </w:r>
    </w:p>
    <w:p w14:paraId="36747991">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29.3投标人不得虚假质疑和恶意质疑，并对质疑内容的真实性承担责任。投标人或者其他利害关系人通过捏造事实、伪造证明材料等方式提出异议或投诉，阻碍招投标活动正常进行的，属于严重不良行为，采购代理将提请财政部门将其列入不良行为记录名单，并依法予以处罚。</w:t>
      </w:r>
    </w:p>
    <w:p w14:paraId="602880CB">
      <w:pPr>
        <w:pStyle w:val="202"/>
        <w:tabs>
          <w:tab w:val="left" w:pos="1164"/>
        </w:tabs>
        <w:spacing w:line="360" w:lineRule="auto"/>
        <w:ind w:left="0" w:firstLine="468"/>
        <w:jc w:val="both"/>
        <w:rPr>
          <w:rFonts w:hint="eastAsia" w:ascii="仿宋" w:hAnsi="仿宋" w:eastAsia="仿宋" w:cs="仿宋"/>
          <w:color w:val="auto"/>
          <w:spacing w:val="-3"/>
          <w:sz w:val="24"/>
          <w:szCs w:val="24"/>
          <w:highlight w:val="none"/>
          <w:lang w:val="en-US"/>
        </w:rPr>
      </w:pPr>
      <w:r>
        <w:rPr>
          <w:rFonts w:hint="eastAsia" w:ascii="仿宋" w:hAnsi="仿宋" w:eastAsia="仿宋" w:cs="仿宋"/>
          <w:color w:val="auto"/>
          <w:spacing w:val="-3"/>
          <w:sz w:val="24"/>
          <w:szCs w:val="24"/>
          <w:highlight w:val="none"/>
          <w:lang w:val="en-US"/>
        </w:rPr>
        <w:t>29.4投标人不得虚假承诺，否则，按照提供虚假材料谋取中标成交处理。</w:t>
      </w:r>
    </w:p>
    <w:p w14:paraId="6702598C">
      <w:pPr>
        <w:pStyle w:val="202"/>
        <w:tabs>
          <w:tab w:val="left" w:pos="1164"/>
        </w:tabs>
        <w:spacing w:line="360" w:lineRule="auto"/>
        <w:ind w:left="0" w:firstLine="468"/>
        <w:rPr>
          <w:rFonts w:hint="eastAsia" w:ascii="仿宋" w:hAnsi="仿宋" w:eastAsia="仿宋" w:cs="仿宋"/>
          <w:color w:val="auto"/>
          <w:spacing w:val="-3"/>
          <w:sz w:val="24"/>
          <w:szCs w:val="24"/>
          <w:highlight w:val="none"/>
          <w:lang w:val="en-US"/>
        </w:rPr>
        <w:sectPr>
          <w:footerReference r:id="rId5" w:type="default"/>
          <w:pgSz w:w="11910" w:h="16840"/>
          <w:pgMar w:top="799" w:right="1130" w:bottom="1321" w:left="1100" w:header="0" w:footer="1123" w:gutter="0"/>
          <w:cols w:space="425" w:num="1"/>
          <w:docGrid w:linePitch="360" w:charSpace="0"/>
        </w:sectPr>
      </w:pPr>
    </w:p>
    <w:p w14:paraId="6EBDD4D5">
      <w:pPr>
        <w:jc w:val="center"/>
        <w:outlineLvl w:val="0"/>
        <w:rPr>
          <w:rFonts w:asciiTheme="minorEastAsia" w:hAnsiTheme="minorEastAsia" w:eastAsiaTheme="minorEastAsia" w:cstheme="minorEastAsia"/>
          <w:b/>
          <w:bCs/>
          <w:color w:val="auto"/>
          <w:sz w:val="36"/>
          <w:szCs w:val="36"/>
          <w:highlight w:val="none"/>
        </w:rPr>
      </w:pPr>
      <w:r>
        <w:rPr>
          <w:rFonts w:hint="eastAsia" w:asciiTheme="minorEastAsia" w:hAnsiTheme="minorEastAsia" w:cstheme="minorEastAsia"/>
          <w:b/>
          <w:bCs/>
          <w:color w:val="auto"/>
          <w:sz w:val="36"/>
          <w:szCs w:val="36"/>
          <w:highlight w:val="none"/>
          <w:lang w:val="en-US" w:eastAsia="zh-CN"/>
        </w:rPr>
        <w:t>第三章</w:t>
      </w:r>
      <w:r>
        <w:rPr>
          <w:rFonts w:hint="eastAsia" w:asciiTheme="minorEastAsia" w:hAnsiTheme="minorEastAsia" w:eastAsiaTheme="minorEastAsia" w:cstheme="minorEastAsia"/>
          <w:b/>
          <w:bCs/>
          <w:color w:val="auto"/>
          <w:sz w:val="36"/>
          <w:szCs w:val="36"/>
          <w:highlight w:val="none"/>
          <w:lang w:val="en-US"/>
        </w:rPr>
        <w:t xml:space="preserve"> </w:t>
      </w:r>
      <w:r>
        <w:rPr>
          <w:rFonts w:hint="eastAsia" w:asciiTheme="minorEastAsia" w:hAnsiTheme="minorEastAsia" w:eastAsiaTheme="minorEastAsia" w:cstheme="minorEastAsia"/>
          <w:b/>
          <w:bCs/>
          <w:color w:val="auto"/>
          <w:sz w:val="36"/>
          <w:szCs w:val="36"/>
          <w:highlight w:val="none"/>
        </w:rPr>
        <w:t xml:space="preserve"> 评标标准</w:t>
      </w:r>
      <w:bookmarkEnd w:id="8"/>
      <w:bookmarkEnd w:id="9"/>
    </w:p>
    <w:tbl>
      <w:tblPr>
        <w:tblStyle w:val="42"/>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4"/>
        <w:gridCol w:w="1557"/>
        <w:gridCol w:w="6521"/>
        <w:gridCol w:w="572"/>
      </w:tblGrid>
      <w:tr w14:paraId="760F1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 w:hRule="atLeast"/>
          <w:jc w:val="center"/>
        </w:trPr>
        <w:tc>
          <w:tcPr>
            <w:tcW w:w="584" w:type="dxa"/>
            <w:noWrap w:val="0"/>
            <w:vAlign w:val="center"/>
          </w:tcPr>
          <w:p w14:paraId="487725A4">
            <w:pPr>
              <w:keepNext w:val="0"/>
              <w:keepLines w:val="0"/>
              <w:suppressLineNumbers w:val="0"/>
              <w:spacing w:before="0" w:beforeAutospacing="0" w:after="0" w:afterAutospacing="0" w:line="360" w:lineRule="auto"/>
              <w:ind w:left="0" w:right="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1557" w:type="dxa"/>
            <w:noWrap w:val="0"/>
            <w:vAlign w:val="center"/>
          </w:tcPr>
          <w:p w14:paraId="4AA9AC41">
            <w:pPr>
              <w:keepNext w:val="0"/>
              <w:keepLines w:val="0"/>
              <w:suppressLineNumbers w:val="0"/>
              <w:spacing w:before="0" w:beforeAutospacing="0" w:after="0" w:afterAutospacing="0" w:line="360" w:lineRule="auto"/>
              <w:ind w:left="0" w:right="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评分项</w:t>
            </w:r>
          </w:p>
        </w:tc>
        <w:tc>
          <w:tcPr>
            <w:tcW w:w="6521" w:type="dxa"/>
            <w:noWrap w:val="0"/>
            <w:vAlign w:val="center"/>
          </w:tcPr>
          <w:p w14:paraId="090B3157">
            <w:pPr>
              <w:keepNext w:val="0"/>
              <w:keepLines w:val="0"/>
              <w:suppressLineNumbers w:val="0"/>
              <w:spacing w:before="0" w:beforeAutospacing="0" w:after="0" w:afterAutospacing="0" w:line="360" w:lineRule="auto"/>
              <w:ind w:left="0" w:right="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评审标准</w:t>
            </w:r>
          </w:p>
        </w:tc>
        <w:tc>
          <w:tcPr>
            <w:tcW w:w="572" w:type="dxa"/>
            <w:noWrap w:val="0"/>
            <w:vAlign w:val="center"/>
          </w:tcPr>
          <w:p w14:paraId="50D16980">
            <w:pPr>
              <w:keepNext w:val="0"/>
              <w:keepLines w:val="0"/>
              <w:suppressLineNumbers w:val="0"/>
              <w:spacing w:before="0" w:beforeAutospacing="0" w:after="0" w:afterAutospacing="0" w:line="360" w:lineRule="auto"/>
              <w:ind w:left="0" w:right="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分值</w:t>
            </w:r>
          </w:p>
        </w:tc>
      </w:tr>
      <w:tr w14:paraId="4DC3F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584" w:type="dxa"/>
            <w:noWrap w:val="0"/>
            <w:vAlign w:val="center"/>
          </w:tcPr>
          <w:p w14:paraId="79C6C5AF">
            <w:pPr>
              <w:keepNext w:val="0"/>
              <w:keepLines w:val="0"/>
              <w:suppressLineNumbers w:val="0"/>
              <w:spacing w:before="0" w:beforeAutospacing="0" w:after="0" w:afterAutospacing="0" w:line="360" w:lineRule="auto"/>
              <w:ind w:left="0" w:right="0"/>
              <w:jc w:val="center"/>
              <w:rPr>
                <w:rFonts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1</w:t>
            </w:r>
          </w:p>
        </w:tc>
        <w:tc>
          <w:tcPr>
            <w:tcW w:w="1557" w:type="dxa"/>
            <w:noWrap w:val="0"/>
            <w:vAlign w:val="center"/>
          </w:tcPr>
          <w:p w14:paraId="6DB4D289">
            <w:pPr>
              <w:keepNext w:val="0"/>
              <w:keepLines w:val="0"/>
              <w:suppressLineNumbers w:val="0"/>
              <w:spacing w:before="0" w:beforeAutospacing="0" w:after="0" w:afterAutospacing="0" w:line="360" w:lineRule="auto"/>
              <w:ind w:left="0" w:right="0"/>
              <w:jc w:val="center"/>
              <w:rPr>
                <w:rFonts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价格分</w:t>
            </w:r>
          </w:p>
        </w:tc>
        <w:tc>
          <w:tcPr>
            <w:tcW w:w="6521" w:type="dxa"/>
            <w:noWrap w:val="0"/>
            <w:vAlign w:val="center"/>
          </w:tcPr>
          <w:p w14:paraId="0FA9CB38">
            <w:pPr>
              <w:pStyle w:val="203"/>
              <w:keepNext w:val="0"/>
              <w:keepLines w:val="0"/>
              <w:suppressLineNumbers w:val="0"/>
              <w:spacing w:before="22" w:beforeAutospacing="0" w:after="0" w:afterAutospacing="0" w:line="278" w:lineRule="auto"/>
              <w:ind w:left="0" w:right="-40"/>
              <w:jc w:val="both"/>
              <w:rPr>
                <w:rFonts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满足招标文件要求且投标价格最低的投标报价为评标基准价，其价格分得满分；其他投标人的价格分按下列公式计算：投标报价得分＝（评标基准价／投标报价）×</w:t>
            </w:r>
            <w:r>
              <w:rPr>
                <w:rFonts w:hint="eastAsia" w:ascii="Times New Roman" w:hAnsi="Times New Roman" w:eastAsia="仿宋" w:cs="仿宋"/>
                <w:color w:val="auto"/>
                <w:sz w:val="24"/>
                <w:szCs w:val="24"/>
                <w:highlight w:val="none"/>
                <w:lang w:val="en-US" w:eastAsia="zh-CN"/>
              </w:rPr>
              <w:t>1</w:t>
            </w:r>
            <w:r>
              <w:rPr>
                <w:rFonts w:hint="eastAsia" w:ascii="Times New Roman" w:hAnsi="Times New Roman" w:eastAsia="仿宋" w:cs="仿宋"/>
                <w:color w:val="auto"/>
                <w:sz w:val="24"/>
                <w:szCs w:val="24"/>
                <w:highlight w:val="none"/>
                <w:lang w:val="en-US"/>
              </w:rPr>
              <w:t>0</w:t>
            </w:r>
            <w:r>
              <w:rPr>
                <w:rFonts w:hint="eastAsia" w:ascii="Times New Roman" w:hAnsi="Times New Roman" w:eastAsia="仿宋" w:cs="仿宋"/>
                <w:color w:val="auto"/>
                <w:sz w:val="24"/>
                <w:szCs w:val="24"/>
                <w:highlight w:val="none"/>
              </w:rPr>
              <w:t>）(保留2位小数)</w:t>
            </w:r>
          </w:p>
        </w:tc>
        <w:tc>
          <w:tcPr>
            <w:tcW w:w="572" w:type="dxa"/>
            <w:noWrap w:val="0"/>
            <w:vAlign w:val="center"/>
          </w:tcPr>
          <w:p w14:paraId="771F0AD8">
            <w:pPr>
              <w:keepNext w:val="0"/>
              <w:keepLines w:val="0"/>
              <w:suppressLineNumbers w:val="0"/>
              <w:spacing w:before="0" w:beforeAutospacing="0" w:after="0" w:afterAutospacing="0" w:line="360" w:lineRule="auto"/>
              <w:ind w:left="0" w:right="0"/>
              <w:jc w:val="center"/>
              <w:rPr>
                <w:rFonts w:ascii="Times New Roman" w:hAnsi="Times New Roman" w:eastAsia="仿宋" w:cs="仿宋"/>
                <w:color w:val="auto"/>
                <w:sz w:val="24"/>
                <w:szCs w:val="24"/>
                <w:highlight w:val="none"/>
                <w:lang w:val="en-US"/>
              </w:rPr>
            </w:pPr>
            <w:r>
              <w:rPr>
                <w:rFonts w:hint="eastAsia" w:ascii="Times New Roman" w:hAnsi="Times New Roman" w:eastAsia="仿宋" w:cs="仿宋"/>
                <w:color w:val="auto"/>
                <w:sz w:val="24"/>
                <w:szCs w:val="24"/>
                <w:highlight w:val="none"/>
                <w:lang w:val="en-US" w:eastAsia="zh-CN"/>
              </w:rPr>
              <w:t>1</w:t>
            </w:r>
            <w:r>
              <w:rPr>
                <w:rFonts w:hint="eastAsia" w:ascii="Times New Roman" w:hAnsi="Times New Roman" w:eastAsia="仿宋" w:cs="仿宋"/>
                <w:color w:val="auto"/>
                <w:sz w:val="24"/>
                <w:szCs w:val="24"/>
                <w:highlight w:val="none"/>
                <w:lang w:val="en-US"/>
              </w:rPr>
              <w:t>0</w:t>
            </w:r>
          </w:p>
        </w:tc>
      </w:tr>
      <w:tr w14:paraId="0985C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35930037">
            <w:pPr>
              <w:keepNext w:val="0"/>
              <w:keepLines w:val="0"/>
              <w:suppressLineNumbers w:val="0"/>
              <w:spacing w:before="0" w:beforeAutospacing="0" w:after="0" w:afterAutospacing="0" w:line="360" w:lineRule="auto"/>
              <w:ind w:left="0" w:right="0"/>
              <w:jc w:val="center"/>
              <w:rPr>
                <w:rFonts w:ascii="Times New Roman" w:hAnsi="Times New Roman" w:eastAsia="仿宋" w:cs="仿宋"/>
                <w:color w:val="auto"/>
                <w:sz w:val="24"/>
                <w:szCs w:val="24"/>
                <w:highlight w:val="none"/>
                <w:lang w:val="en-US"/>
              </w:rPr>
            </w:pPr>
            <w:r>
              <w:rPr>
                <w:rFonts w:hint="eastAsia" w:ascii="Times New Roman" w:hAnsi="Times New Roman" w:eastAsia="仿宋" w:cs="仿宋"/>
                <w:color w:val="auto"/>
                <w:sz w:val="24"/>
                <w:szCs w:val="24"/>
                <w:highlight w:val="none"/>
                <w:lang w:val="en-US"/>
              </w:rPr>
              <w:t>2</w:t>
            </w:r>
          </w:p>
        </w:tc>
        <w:tc>
          <w:tcPr>
            <w:tcW w:w="1557" w:type="dxa"/>
            <w:vMerge w:val="restart"/>
            <w:noWrap w:val="0"/>
            <w:vAlign w:val="center"/>
          </w:tcPr>
          <w:p w14:paraId="5C96B3AC">
            <w:pPr>
              <w:keepNext w:val="0"/>
              <w:keepLines w:val="0"/>
              <w:suppressLineNumbers w:val="0"/>
              <w:spacing w:before="0" w:beforeAutospacing="0" w:after="0" w:afterAutospacing="0" w:line="360" w:lineRule="auto"/>
              <w:ind w:left="0" w:right="0"/>
              <w:jc w:val="center"/>
              <w:rPr>
                <w:rFonts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商务评审</w:t>
            </w:r>
          </w:p>
        </w:tc>
        <w:tc>
          <w:tcPr>
            <w:tcW w:w="6521" w:type="dxa"/>
            <w:noWrap w:val="0"/>
            <w:vAlign w:val="center"/>
          </w:tcPr>
          <w:p w14:paraId="1AAC904C">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业绩：</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自202</w:t>
            </w:r>
            <w:r>
              <w:rPr>
                <w:rFonts w:hint="eastAsia" w:ascii="Times New Roman" w:hAnsi="Times New Roman" w:eastAsia="仿宋" w:cs="仿宋"/>
                <w:color w:val="auto"/>
                <w:sz w:val="24"/>
                <w:szCs w:val="24"/>
                <w:highlight w:val="none"/>
                <w:lang w:val="en-US" w:eastAsia="zh-CN"/>
              </w:rPr>
              <w:t>3</w:t>
            </w:r>
            <w:r>
              <w:rPr>
                <w:rFonts w:hint="eastAsia" w:ascii="Times New Roman" w:hAnsi="Times New Roman" w:eastAsia="仿宋" w:cs="仿宋"/>
                <w:color w:val="auto"/>
                <w:sz w:val="24"/>
                <w:szCs w:val="24"/>
                <w:highlight w:val="none"/>
              </w:rPr>
              <w:t>年1月1日（含）以来</w:t>
            </w:r>
            <w:r>
              <w:rPr>
                <w:rFonts w:hint="eastAsia" w:ascii="Times New Roman" w:hAnsi="Times New Roman" w:eastAsia="仿宋" w:cs="仿宋"/>
                <w:color w:val="auto"/>
                <w:sz w:val="24"/>
                <w:szCs w:val="24"/>
                <w:highlight w:val="none"/>
                <w:lang w:eastAsia="zh-CN"/>
              </w:rPr>
              <w:t>（</w:t>
            </w:r>
            <w:r>
              <w:rPr>
                <w:rFonts w:hint="eastAsia" w:ascii="Times New Roman" w:hAnsi="Times New Roman" w:eastAsia="仿宋" w:cs="仿宋"/>
                <w:color w:val="auto"/>
                <w:sz w:val="24"/>
                <w:szCs w:val="24"/>
                <w:highlight w:val="none"/>
              </w:rPr>
              <w:t>时间以合同签订时间为准</w:t>
            </w:r>
            <w:r>
              <w:rPr>
                <w:rFonts w:hint="eastAsia" w:ascii="Times New Roman" w:hAnsi="Times New Roman" w:eastAsia="仿宋" w:cs="仿宋"/>
                <w:color w:val="auto"/>
                <w:sz w:val="24"/>
                <w:szCs w:val="24"/>
                <w:highlight w:val="none"/>
                <w:lang w:eastAsia="zh-CN"/>
              </w:rPr>
              <w:t>），</w:t>
            </w:r>
            <w:r>
              <w:rPr>
                <w:rFonts w:hint="eastAsia" w:ascii="Times New Roman" w:hAnsi="Times New Roman" w:eastAsia="仿宋" w:cs="仿宋"/>
                <w:color w:val="auto"/>
                <w:sz w:val="24"/>
                <w:szCs w:val="24"/>
                <w:highlight w:val="none"/>
              </w:rPr>
              <w:t>完成与本次</w:t>
            </w:r>
            <w:r>
              <w:rPr>
                <w:rFonts w:hint="eastAsia" w:ascii="Times New Roman" w:hAnsi="Times New Roman" w:eastAsia="仿宋" w:cs="仿宋"/>
                <w:color w:val="auto"/>
                <w:sz w:val="24"/>
                <w:szCs w:val="24"/>
                <w:highlight w:val="none"/>
                <w:lang w:val="en-US" w:eastAsia="zh-CN"/>
              </w:rPr>
              <w:t>文物展览</w:t>
            </w:r>
            <w:r>
              <w:rPr>
                <w:rFonts w:hint="eastAsia" w:ascii="Times New Roman" w:hAnsi="Times New Roman" w:eastAsia="仿宋" w:cs="仿宋"/>
                <w:color w:val="auto"/>
                <w:sz w:val="24"/>
                <w:szCs w:val="24"/>
                <w:highlight w:val="none"/>
              </w:rPr>
              <w:t>类似的业绩。（合同需反映相关数据，如合同中未能体现的，另需提供业主单位盖章证明材料复印件并加盖</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公章），每提供一个得4分，本项最高得</w:t>
            </w:r>
            <w:r>
              <w:rPr>
                <w:rFonts w:hint="eastAsia" w:ascii="Times New Roman" w:hAnsi="Times New Roman" w:eastAsia="仿宋" w:cs="仿宋"/>
                <w:color w:val="auto"/>
                <w:sz w:val="24"/>
                <w:szCs w:val="24"/>
                <w:highlight w:val="none"/>
                <w:lang w:val="en-US" w:eastAsia="zh-CN"/>
              </w:rPr>
              <w:t>16</w:t>
            </w:r>
            <w:r>
              <w:rPr>
                <w:rFonts w:hint="eastAsia" w:ascii="Times New Roman" w:hAnsi="Times New Roman" w:eastAsia="仿宋" w:cs="仿宋"/>
                <w:color w:val="auto"/>
                <w:sz w:val="24"/>
                <w:szCs w:val="24"/>
                <w:highlight w:val="none"/>
              </w:rPr>
              <w:t>分。</w:t>
            </w:r>
          </w:p>
        </w:tc>
        <w:tc>
          <w:tcPr>
            <w:tcW w:w="572" w:type="dxa"/>
            <w:shd w:val="clear" w:color="auto" w:fill="auto"/>
            <w:noWrap w:val="0"/>
            <w:vAlign w:val="center"/>
          </w:tcPr>
          <w:p w14:paraId="2AB2A291">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16</w:t>
            </w:r>
          </w:p>
        </w:tc>
      </w:tr>
      <w:tr w14:paraId="3E887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3A3AE3EC">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3</w:t>
            </w:r>
          </w:p>
        </w:tc>
        <w:tc>
          <w:tcPr>
            <w:tcW w:w="1557" w:type="dxa"/>
            <w:vMerge w:val="continue"/>
            <w:noWrap w:val="0"/>
            <w:vAlign w:val="center"/>
          </w:tcPr>
          <w:p w14:paraId="750E1C6F">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color w:val="auto"/>
                <w:sz w:val="24"/>
                <w:szCs w:val="24"/>
                <w:highlight w:val="none"/>
              </w:rPr>
            </w:pPr>
          </w:p>
        </w:tc>
        <w:tc>
          <w:tcPr>
            <w:tcW w:w="6521" w:type="dxa"/>
            <w:noWrap w:val="0"/>
            <w:vAlign w:val="center"/>
          </w:tcPr>
          <w:p w14:paraId="1003202C">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人员配备方案：</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根据项目实际情况提供对应人员配备方案，评委从人员配备专业能力、工作经验、人员分工的科学合理性、针对性和可行性进行评审。</w:t>
            </w:r>
          </w:p>
          <w:p w14:paraId="71FF1683">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人员配备完全符合项目需求，专业能力出色，经验丰富，分工合理的得6分；人员配备基本符合项目需求，个别细节需优化的得</w:t>
            </w:r>
            <w:r>
              <w:rPr>
                <w:rFonts w:hint="eastAsia" w:ascii="Times New Roman" w:hAnsi="Times New Roman" w:eastAsia="仿宋" w:cs="仿宋"/>
                <w:color w:val="auto"/>
                <w:sz w:val="24"/>
                <w:szCs w:val="24"/>
                <w:highlight w:val="none"/>
                <w:lang w:val="en-US" w:eastAsia="zh-CN"/>
              </w:rPr>
              <w:t>4</w:t>
            </w:r>
            <w:r>
              <w:rPr>
                <w:rFonts w:hint="eastAsia" w:ascii="Times New Roman" w:hAnsi="Times New Roman" w:eastAsia="仿宋" w:cs="仿宋"/>
                <w:color w:val="auto"/>
                <w:sz w:val="24"/>
                <w:szCs w:val="24"/>
                <w:highlight w:val="none"/>
              </w:rPr>
              <w:t>分；人员配备部分满足，但存在明显不足（如经验不足、分工模糊）的得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p w14:paraId="4AF2DC57">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注：需提供相关人员简历</w:t>
            </w:r>
            <w:r>
              <w:rPr>
                <w:rFonts w:hint="eastAsia" w:ascii="Times New Roman" w:hAnsi="Times New Roman" w:eastAsia="仿宋" w:cs="仿宋"/>
                <w:color w:val="auto"/>
                <w:sz w:val="24"/>
                <w:szCs w:val="24"/>
                <w:highlight w:val="none"/>
                <w:lang w:eastAsia="zh-CN"/>
              </w:rPr>
              <w:t>（</w:t>
            </w:r>
            <w:r>
              <w:rPr>
                <w:rFonts w:hint="eastAsia" w:ascii="Times New Roman" w:hAnsi="Times New Roman" w:eastAsia="仿宋" w:cs="仿宋"/>
                <w:color w:val="auto"/>
                <w:sz w:val="24"/>
                <w:szCs w:val="24"/>
                <w:highlight w:val="none"/>
              </w:rPr>
              <w:t>包括但不限于学历或职称、从业年数及工作经验、工作职责等</w:t>
            </w:r>
            <w:r>
              <w:rPr>
                <w:rFonts w:hint="eastAsia" w:ascii="Times New Roman" w:hAnsi="Times New Roman" w:eastAsia="仿宋" w:cs="仿宋"/>
                <w:color w:val="auto"/>
                <w:sz w:val="24"/>
                <w:szCs w:val="24"/>
                <w:highlight w:val="none"/>
                <w:lang w:eastAsia="zh-CN"/>
              </w:rPr>
              <w:t>）</w:t>
            </w:r>
            <w:r>
              <w:rPr>
                <w:rFonts w:hint="eastAsia" w:ascii="Times New Roman" w:hAnsi="Times New Roman" w:eastAsia="仿宋" w:cs="仿宋"/>
                <w:color w:val="auto"/>
                <w:sz w:val="24"/>
                <w:szCs w:val="24"/>
                <w:highlight w:val="none"/>
              </w:rPr>
              <w:t>以及上述人员近三个月社保缴纳证明材料</w:t>
            </w:r>
            <w:r>
              <w:rPr>
                <w:rFonts w:hint="eastAsia" w:ascii="Times New Roman" w:hAnsi="Times New Roman" w:eastAsia="仿宋" w:cs="仿宋"/>
                <w:color w:val="auto"/>
                <w:sz w:val="24"/>
                <w:szCs w:val="24"/>
                <w:highlight w:val="none"/>
                <w:lang w:val="en-US" w:eastAsia="zh-CN"/>
              </w:rPr>
              <w:t>。</w:t>
            </w:r>
          </w:p>
        </w:tc>
        <w:tc>
          <w:tcPr>
            <w:tcW w:w="572" w:type="dxa"/>
            <w:shd w:val="clear" w:color="auto" w:fill="auto"/>
            <w:noWrap w:val="0"/>
            <w:vAlign w:val="center"/>
          </w:tcPr>
          <w:p w14:paraId="057EBDBB">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6</w:t>
            </w:r>
          </w:p>
        </w:tc>
      </w:tr>
      <w:tr w14:paraId="672E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7" w:hRule="atLeast"/>
          <w:jc w:val="center"/>
        </w:trPr>
        <w:tc>
          <w:tcPr>
            <w:tcW w:w="584" w:type="dxa"/>
            <w:noWrap w:val="0"/>
            <w:vAlign w:val="center"/>
          </w:tcPr>
          <w:p w14:paraId="269BFB72">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4</w:t>
            </w:r>
          </w:p>
        </w:tc>
        <w:tc>
          <w:tcPr>
            <w:tcW w:w="1557" w:type="dxa"/>
            <w:vMerge w:val="restart"/>
            <w:noWrap w:val="0"/>
            <w:vAlign w:val="center"/>
          </w:tcPr>
          <w:p w14:paraId="014EC347">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技术评审</w:t>
            </w:r>
          </w:p>
        </w:tc>
        <w:tc>
          <w:tcPr>
            <w:tcW w:w="6521" w:type="dxa"/>
            <w:shd w:val="clear" w:color="auto" w:fill="auto"/>
            <w:noWrap w:val="0"/>
            <w:vAlign w:val="center"/>
          </w:tcPr>
          <w:p w14:paraId="0784982E">
            <w:pPr>
              <w:keepNext w:val="0"/>
              <w:keepLines w:val="0"/>
              <w:suppressLineNumbers w:val="0"/>
              <w:adjustRightInd w:val="0"/>
              <w:snapToGrid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宋体" w:hAnsi="宋体" w:cs="仿宋"/>
                <w:b/>
                <w:bCs/>
                <w:color w:val="auto"/>
                <w:sz w:val="24"/>
                <w:szCs w:val="24"/>
                <w:highlight w:val="none"/>
              </w:rPr>
              <w:t>需求理解与分析方案</w:t>
            </w:r>
            <w:r>
              <w:rPr>
                <w:rFonts w:hint="eastAsia" w:ascii="宋体" w:hAnsi="宋体" w:cs="仿宋"/>
                <w:b/>
                <w:bCs/>
                <w:color w:val="auto"/>
                <w:sz w:val="24"/>
                <w:szCs w:val="24"/>
                <w:highlight w:val="none"/>
                <w:lang w:eastAsia="zh-CN"/>
              </w:rPr>
              <w:t>：</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根据本项目需求，结合实际情况，提供需求理解与分析方案，从项目展示目的、展示主题内容与特点、设计思路</w:t>
            </w:r>
            <w:r>
              <w:rPr>
                <w:rFonts w:hint="eastAsia" w:ascii="Times New Roman" w:hAnsi="Times New Roman" w:eastAsia="仿宋" w:cs="仿宋"/>
                <w:color w:val="auto"/>
                <w:sz w:val="24"/>
                <w:szCs w:val="24"/>
                <w:highlight w:val="none"/>
                <w:lang w:eastAsia="zh-CN"/>
              </w:rPr>
              <w:t>、</w:t>
            </w:r>
            <w:r>
              <w:rPr>
                <w:rFonts w:hint="eastAsia" w:ascii="Times New Roman" w:hAnsi="Times New Roman" w:eastAsia="仿宋" w:cs="仿宋"/>
                <w:color w:val="auto"/>
                <w:sz w:val="24"/>
                <w:szCs w:val="24"/>
                <w:highlight w:val="none"/>
                <w:lang w:val="en-US" w:eastAsia="zh-CN"/>
              </w:rPr>
              <w:t>重点展品或展项分析</w:t>
            </w:r>
            <w:r>
              <w:rPr>
                <w:rFonts w:hint="eastAsia" w:ascii="Times New Roman" w:hAnsi="Times New Roman" w:eastAsia="仿宋" w:cs="仿宋"/>
                <w:color w:val="auto"/>
                <w:sz w:val="24"/>
                <w:szCs w:val="24"/>
                <w:highlight w:val="none"/>
              </w:rPr>
              <w:t>等方面进行评审：</w:t>
            </w:r>
          </w:p>
          <w:p w14:paraId="260608EE">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全面准确把握需求，主题鲜明有深度，设计方案科学可行的得</w:t>
            </w:r>
            <w:r>
              <w:rPr>
                <w:rFonts w:hint="eastAsia" w:ascii="Times New Roman" w:hAnsi="Times New Roman" w:eastAsia="仿宋" w:cs="仿宋"/>
                <w:color w:val="auto"/>
                <w:sz w:val="24"/>
                <w:szCs w:val="24"/>
                <w:highlight w:val="none"/>
                <w:lang w:val="en-US" w:eastAsia="zh-CN"/>
              </w:rPr>
              <w:t>8</w:t>
            </w:r>
            <w:r>
              <w:rPr>
                <w:rFonts w:hint="eastAsia" w:ascii="Times New Roman" w:hAnsi="Times New Roman" w:eastAsia="仿宋" w:cs="仿宋"/>
                <w:color w:val="auto"/>
                <w:sz w:val="24"/>
                <w:szCs w:val="24"/>
                <w:highlight w:val="none"/>
              </w:rPr>
              <w:t>分；基本符合项目需求，个别方面需完善的得</w:t>
            </w:r>
            <w:r>
              <w:rPr>
                <w:rFonts w:hint="eastAsia" w:ascii="Times New Roman" w:hAnsi="Times New Roman" w:eastAsia="仿宋" w:cs="仿宋"/>
                <w:color w:val="auto"/>
                <w:sz w:val="24"/>
                <w:szCs w:val="24"/>
                <w:highlight w:val="none"/>
                <w:lang w:val="en-US" w:eastAsia="zh-CN"/>
              </w:rPr>
              <w:t>5</w:t>
            </w:r>
            <w:r>
              <w:rPr>
                <w:rFonts w:hint="eastAsia" w:ascii="Times New Roman" w:hAnsi="Times New Roman" w:eastAsia="仿宋" w:cs="仿宋"/>
                <w:color w:val="auto"/>
                <w:sz w:val="24"/>
                <w:szCs w:val="24"/>
                <w:highlight w:val="none"/>
              </w:rPr>
              <w:t>分；部分满足，但存在明显不足（如主题不突出、设计不合理）的得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tc>
        <w:tc>
          <w:tcPr>
            <w:tcW w:w="572" w:type="dxa"/>
            <w:shd w:val="clear" w:color="auto" w:fill="auto"/>
            <w:noWrap w:val="0"/>
            <w:vAlign w:val="center"/>
          </w:tcPr>
          <w:p w14:paraId="41FB9970">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8</w:t>
            </w:r>
          </w:p>
        </w:tc>
      </w:tr>
      <w:tr w14:paraId="1DD15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4" w:type="dxa"/>
            <w:noWrap w:val="0"/>
            <w:vAlign w:val="center"/>
          </w:tcPr>
          <w:p w14:paraId="156779AB">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5</w:t>
            </w:r>
          </w:p>
        </w:tc>
        <w:tc>
          <w:tcPr>
            <w:tcW w:w="1557" w:type="dxa"/>
            <w:vMerge w:val="continue"/>
            <w:noWrap w:val="0"/>
            <w:vAlign w:val="center"/>
          </w:tcPr>
          <w:p w14:paraId="761D7FFE">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p>
        </w:tc>
        <w:tc>
          <w:tcPr>
            <w:tcW w:w="6521" w:type="dxa"/>
            <w:shd w:val="clear" w:color="auto" w:fill="auto"/>
            <w:noWrap w:val="0"/>
            <w:vAlign w:val="center"/>
          </w:tcPr>
          <w:p w14:paraId="400C5E29">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实施方案：</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根据本项目特殊性，结合实际情况，提供项目实施方案，从项目管理、设备供应投入、工作进度计划保障进行评审：</w:t>
            </w:r>
          </w:p>
          <w:p w14:paraId="6EC0A372">
            <w:pPr>
              <w:keepNext w:val="0"/>
              <w:keepLines w:val="0"/>
              <w:suppressLineNumbers w:val="0"/>
              <w:spacing w:before="0" w:beforeAutospacing="0" w:after="0" w:afterAutospacing="0"/>
              <w:ind w:left="0" w:right="0"/>
              <w:jc w:val="both"/>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rPr>
              <w:t>计划周密可行，资源保障充分，管理体系完善的得6分；基本要素齐全，个别细节待优化的得</w:t>
            </w:r>
            <w:r>
              <w:rPr>
                <w:rFonts w:hint="eastAsia" w:ascii="Times New Roman" w:hAnsi="Times New Roman" w:eastAsia="仿宋" w:cs="仿宋"/>
                <w:color w:val="auto"/>
                <w:sz w:val="24"/>
                <w:szCs w:val="24"/>
                <w:highlight w:val="none"/>
                <w:lang w:val="en-US" w:eastAsia="zh-CN"/>
              </w:rPr>
              <w:t>4</w:t>
            </w:r>
            <w:r>
              <w:rPr>
                <w:rFonts w:hint="eastAsia" w:ascii="Times New Roman" w:hAnsi="Times New Roman" w:eastAsia="仿宋" w:cs="仿宋"/>
                <w:color w:val="auto"/>
                <w:sz w:val="24"/>
                <w:szCs w:val="24"/>
                <w:highlight w:val="none"/>
              </w:rPr>
              <w:t>分；主要框架具备，但存在明显缺陷的得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tc>
        <w:tc>
          <w:tcPr>
            <w:tcW w:w="572" w:type="dxa"/>
            <w:shd w:val="clear" w:color="auto" w:fill="auto"/>
            <w:noWrap w:val="0"/>
            <w:vAlign w:val="center"/>
          </w:tcPr>
          <w:p w14:paraId="7B690B60">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6</w:t>
            </w:r>
          </w:p>
        </w:tc>
      </w:tr>
      <w:tr w14:paraId="4A88E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4" w:type="dxa"/>
            <w:noWrap w:val="0"/>
            <w:vAlign w:val="center"/>
          </w:tcPr>
          <w:p w14:paraId="06C4D639">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r>
              <w:rPr>
                <w:rFonts w:hint="eastAsia" w:eastAsia="仿宋" w:cs="仿宋"/>
                <w:color w:val="auto"/>
                <w:highlight w:val="none"/>
                <w:lang w:val="en-US" w:bidi="zh-CN"/>
              </w:rPr>
              <w:t>6</w:t>
            </w:r>
          </w:p>
        </w:tc>
        <w:tc>
          <w:tcPr>
            <w:tcW w:w="1557" w:type="dxa"/>
            <w:vMerge w:val="continue"/>
            <w:noWrap w:val="0"/>
            <w:vAlign w:val="center"/>
          </w:tcPr>
          <w:p w14:paraId="5EDF6651">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52A9711C">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深化设计总体方案：</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根据项目实际情况提供深化设计总体方案，评委从突出深化设计方案主题，形式多样性，形式和内容完美统一性，提炼项目内容涉及的历史文化元素方面，创意新颖性，构思等方面进行评审：</w:t>
            </w:r>
          </w:p>
          <w:p w14:paraId="367C6C9A">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完全满足项目需求，兼具创新性与实用性的得6分；整体符合项目需求的得</w:t>
            </w:r>
            <w:r>
              <w:rPr>
                <w:rFonts w:hint="eastAsia" w:ascii="Times New Roman" w:hAnsi="Times New Roman" w:eastAsia="仿宋" w:cs="仿宋"/>
                <w:color w:val="auto"/>
                <w:sz w:val="24"/>
                <w:szCs w:val="24"/>
                <w:highlight w:val="none"/>
                <w:lang w:val="en-US" w:eastAsia="zh-CN"/>
              </w:rPr>
              <w:t>4</w:t>
            </w:r>
            <w:r>
              <w:rPr>
                <w:rFonts w:hint="eastAsia" w:ascii="Times New Roman" w:hAnsi="Times New Roman" w:eastAsia="仿宋" w:cs="仿宋"/>
                <w:color w:val="auto"/>
                <w:sz w:val="24"/>
                <w:szCs w:val="24"/>
                <w:highlight w:val="none"/>
              </w:rPr>
              <w:t>分；方案存在部分不足的得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tc>
        <w:tc>
          <w:tcPr>
            <w:tcW w:w="572" w:type="dxa"/>
            <w:shd w:val="clear" w:color="auto" w:fill="auto"/>
            <w:noWrap w:val="0"/>
            <w:vAlign w:val="center"/>
          </w:tcPr>
          <w:p w14:paraId="226308E3">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6</w:t>
            </w:r>
          </w:p>
        </w:tc>
      </w:tr>
      <w:tr w14:paraId="49AFB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4" w:type="dxa"/>
            <w:noWrap w:val="0"/>
            <w:vAlign w:val="center"/>
          </w:tcPr>
          <w:p w14:paraId="10CFCD73">
            <w:pPr>
              <w:pStyle w:val="224"/>
              <w:keepNext w:val="0"/>
              <w:keepLines w:val="0"/>
              <w:suppressLineNumbers w:val="0"/>
              <w:spacing w:before="0" w:beforeAutospacing="0" w:after="0" w:afterAutospacing="0"/>
              <w:ind w:left="0" w:right="0"/>
              <w:jc w:val="center"/>
              <w:rPr>
                <w:rFonts w:hint="default" w:eastAsia="仿宋" w:cs="仿宋"/>
                <w:color w:val="auto"/>
                <w:highlight w:val="none"/>
                <w:lang w:val="en-US" w:bidi="zh-CN"/>
              </w:rPr>
            </w:pPr>
            <w:r>
              <w:rPr>
                <w:rFonts w:hint="eastAsia" w:eastAsia="仿宋" w:cs="仿宋"/>
                <w:color w:val="auto"/>
                <w:highlight w:val="none"/>
                <w:lang w:val="en-US" w:bidi="zh-CN"/>
              </w:rPr>
              <w:t>7</w:t>
            </w:r>
          </w:p>
        </w:tc>
        <w:tc>
          <w:tcPr>
            <w:tcW w:w="1557" w:type="dxa"/>
            <w:vMerge w:val="continue"/>
            <w:noWrap w:val="0"/>
            <w:vAlign w:val="center"/>
          </w:tcPr>
          <w:p w14:paraId="43CC9C6D">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22428E0E">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val="en-US" w:eastAsia="zh-CN"/>
              </w:rPr>
              <w:t>展区空间深化设计方案</w:t>
            </w:r>
            <w:r>
              <w:rPr>
                <w:rFonts w:hint="eastAsia" w:ascii="Times New Roman" w:hAnsi="Times New Roman" w:eastAsia="仿宋" w:cs="仿宋"/>
                <w:b/>
                <w:bCs/>
                <w:color w:val="auto"/>
                <w:sz w:val="24"/>
                <w:szCs w:val="24"/>
                <w:highlight w:val="none"/>
                <w:lang w:eastAsia="zh-CN"/>
              </w:rPr>
              <w:t>：</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根据项目实际情况提供展区空间</w:t>
            </w:r>
            <w:r>
              <w:rPr>
                <w:rFonts w:hint="eastAsia" w:ascii="Times New Roman" w:hAnsi="Times New Roman" w:eastAsia="仿宋" w:cs="仿宋"/>
                <w:color w:val="auto"/>
                <w:sz w:val="24"/>
                <w:szCs w:val="24"/>
                <w:highlight w:val="none"/>
                <w:lang w:val="en-US" w:eastAsia="zh-CN"/>
              </w:rPr>
              <w:t>深化</w:t>
            </w:r>
            <w:r>
              <w:rPr>
                <w:rFonts w:hint="eastAsia" w:ascii="Times New Roman" w:hAnsi="Times New Roman" w:eastAsia="仿宋" w:cs="仿宋"/>
                <w:color w:val="auto"/>
                <w:sz w:val="24"/>
                <w:szCs w:val="24"/>
                <w:highlight w:val="none"/>
              </w:rPr>
              <w:t>设计方案，评委从空间规划的合理性、科学性及针对性等方面进行评审：</w:t>
            </w:r>
          </w:p>
          <w:p w14:paraId="015E0FB9">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完全满足项目需求，兼具创新性与实用性的得6分；整体符合项目需求的得</w:t>
            </w:r>
            <w:r>
              <w:rPr>
                <w:rFonts w:hint="eastAsia" w:ascii="Times New Roman" w:hAnsi="Times New Roman" w:eastAsia="仿宋" w:cs="仿宋"/>
                <w:color w:val="auto"/>
                <w:sz w:val="24"/>
                <w:szCs w:val="24"/>
                <w:highlight w:val="none"/>
                <w:lang w:val="en-US" w:eastAsia="zh-CN"/>
              </w:rPr>
              <w:t>4</w:t>
            </w:r>
            <w:r>
              <w:rPr>
                <w:rFonts w:hint="eastAsia" w:ascii="Times New Roman" w:hAnsi="Times New Roman" w:eastAsia="仿宋" w:cs="仿宋"/>
                <w:color w:val="auto"/>
                <w:sz w:val="24"/>
                <w:szCs w:val="24"/>
                <w:highlight w:val="none"/>
              </w:rPr>
              <w:t>分；方案存在部分不足的得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p w14:paraId="535DCDC8">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注：以上需提供设计说明图、文化元素分析报告、空间规划图等技术文件，关键项无佐证材料不得分。</w:t>
            </w:r>
          </w:p>
        </w:tc>
        <w:tc>
          <w:tcPr>
            <w:tcW w:w="572" w:type="dxa"/>
            <w:shd w:val="clear" w:color="auto" w:fill="auto"/>
            <w:noWrap w:val="0"/>
            <w:vAlign w:val="center"/>
          </w:tcPr>
          <w:p w14:paraId="59217E05">
            <w:pPr>
              <w:pStyle w:val="224"/>
              <w:keepNext w:val="0"/>
              <w:keepLines w:val="0"/>
              <w:suppressLineNumbers w:val="0"/>
              <w:spacing w:before="0" w:beforeAutospacing="0" w:after="0" w:afterAutospacing="0"/>
              <w:ind w:left="0" w:right="0"/>
              <w:jc w:val="center"/>
              <w:rPr>
                <w:rFonts w:hint="default" w:eastAsia="仿宋" w:cs="仿宋"/>
                <w:color w:val="auto"/>
                <w:highlight w:val="none"/>
                <w:lang w:val="en-US" w:bidi="zh-CN"/>
              </w:rPr>
            </w:pPr>
            <w:r>
              <w:rPr>
                <w:rFonts w:hint="eastAsia" w:eastAsia="仿宋" w:cs="仿宋"/>
                <w:color w:val="auto"/>
                <w:highlight w:val="none"/>
                <w:lang w:val="en-US" w:bidi="zh-CN"/>
              </w:rPr>
              <w:t>6</w:t>
            </w:r>
          </w:p>
        </w:tc>
      </w:tr>
      <w:tr w14:paraId="2B0FD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4" w:type="dxa"/>
            <w:noWrap w:val="0"/>
            <w:vAlign w:val="center"/>
          </w:tcPr>
          <w:p w14:paraId="15FE3560">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8</w:t>
            </w:r>
          </w:p>
        </w:tc>
        <w:tc>
          <w:tcPr>
            <w:tcW w:w="1557" w:type="dxa"/>
            <w:vMerge w:val="continue"/>
            <w:noWrap w:val="0"/>
            <w:vAlign w:val="center"/>
          </w:tcPr>
          <w:p w14:paraId="48B2A411">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p>
        </w:tc>
        <w:tc>
          <w:tcPr>
            <w:tcW w:w="6521" w:type="dxa"/>
            <w:shd w:val="clear" w:color="auto" w:fill="auto"/>
            <w:noWrap w:val="0"/>
            <w:vAlign w:val="center"/>
          </w:tcPr>
          <w:p w14:paraId="3A789ED3">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展线、平面布局方案：</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根据项目实际情况提供展线、平面布局方案，评委从展线流畅性、布局合理性、重点展品表现，层次结构，创意性等方面进行评审：</w:t>
            </w:r>
          </w:p>
          <w:p w14:paraId="33D029A8">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动线科学、布局合理、创意突出的得</w:t>
            </w:r>
            <w:r>
              <w:rPr>
                <w:rFonts w:hint="eastAsia" w:ascii="Times New Roman" w:hAnsi="Times New Roman" w:eastAsia="仿宋" w:cs="仿宋"/>
                <w:color w:val="auto"/>
                <w:sz w:val="24"/>
                <w:szCs w:val="24"/>
                <w:highlight w:val="none"/>
                <w:lang w:val="en-US" w:eastAsia="zh-CN"/>
              </w:rPr>
              <w:t>8</w:t>
            </w:r>
            <w:r>
              <w:rPr>
                <w:rFonts w:hint="eastAsia" w:ascii="Times New Roman" w:hAnsi="Times New Roman" w:eastAsia="仿宋" w:cs="仿宋"/>
                <w:color w:val="auto"/>
                <w:sz w:val="24"/>
                <w:szCs w:val="24"/>
                <w:highlight w:val="none"/>
              </w:rPr>
              <w:t>分；基本要素达标，局部可优化的得</w:t>
            </w:r>
            <w:r>
              <w:rPr>
                <w:rFonts w:hint="eastAsia" w:ascii="Times New Roman" w:hAnsi="Times New Roman" w:eastAsia="仿宋" w:cs="仿宋"/>
                <w:color w:val="auto"/>
                <w:sz w:val="24"/>
                <w:szCs w:val="24"/>
                <w:highlight w:val="none"/>
                <w:lang w:val="en-US" w:eastAsia="zh-CN"/>
              </w:rPr>
              <w:t>5</w:t>
            </w:r>
            <w:r>
              <w:rPr>
                <w:rFonts w:hint="eastAsia" w:ascii="Times New Roman" w:hAnsi="Times New Roman" w:eastAsia="仿宋" w:cs="仿宋"/>
                <w:color w:val="auto"/>
                <w:sz w:val="24"/>
                <w:szCs w:val="24"/>
                <w:highlight w:val="none"/>
              </w:rPr>
              <w:t>分；主要框架具备，但存在明显缺陷的得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p w14:paraId="21EB7F5D">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rPr>
              <w:t xml:space="preserve">注：需提供平面布局图、动线分析图、重点展项设计说明等材料，关键项无佐证不得分。          </w:t>
            </w:r>
          </w:p>
        </w:tc>
        <w:tc>
          <w:tcPr>
            <w:tcW w:w="572" w:type="dxa"/>
            <w:shd w:val="clear" w:color="auto" w:fill="auto"/>
            <w:noWrap w:val="0"/>
            <w:vAlign w:val="center"/>
          </w:tcPr>
          <w:p w14:paraId="040E946F">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8</w:t>
            </w:r>
          </w:p>
        </w:tc>
      </w:tr>
      <w:tr w14:paraId="7F7CC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74E7852C">
            <w:pPr>
              <w:keepNext w:val="0"/>
              <w:keepLines w:val="0"/>
              <w:suppressLineNumbers w:val="0"/>
              <w:spacing w:before="0" w:beforeAutospacing="0" w:after="0" w:afterAutospacing="0" w:line="360" w:lineRule="auto"/>
              <w:ind w:left="0" w:right="0"/>
              <w:jc w:val="center"/>
              <w:rPr>
                <w:rFonts w:hint="eastAsia"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9</w:t>
            </w:r>
          </w:p>
        </w:tc>
        <w:tc>
          <w:tcPr>
            <w:tcW w:w="1557" w:type="dxa"/>
            <w:vMerge w:val="continue"/>
            <w:noWrap w:val="0"/>
            <w:vAlign w:val="center"/>
          </w:tcPr>
          <w:p w14:paraId="463C8CD4">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1F03D0D5">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平面设计部分方案：</w:t>
            </w:r>
            <w:r>
              <w:rPr>
                <w:rFonts w:hint="eastAsia" w:ascii="Times New Roman" w:hAnsi="Times New Roman" w:eastAsia="仿宋" w:cs="仿宋"/>
                <w:color w:val="auto"/>
                <w:sz w:val="24"/>
                <w:szCs w:val="24"/>
                <w:highlight w:val="none"/>
              </w:rPr>
              <w:t>根据</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提供的平面设计部分方案进行评审。包括海报、说明牌、文字版面等。从设计美观度、表现效果、排版内容等方面进行评审：</w:t>
            </w:r>
          </w:p>
          <w:p w14:paraId="658CAD31">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color w:val="auto"/>
                <w:sz w:val="24"/>
                <w:szCs w:val="24"/>
                <w:highlight w:val="none"/>
              </w:rPr>
              <w:t>设计精美、信息传达高效、创意突出的得</w:t>
            </w:r>
            <w:r>
              <w:rPr>
                <w:rFonts w:hint="eastAsia" w:ascii="Times New Roman" w:hAnsi="Times New Roman" w:eastAsia="仿宋" w:cs="仿宋"/>
                <w:color w:val="auto"/>
                <w:sz w:val="24"/>
                <w:szCs w:val="24"/>
                <w:highlight w:val="none"/>
                <w:lang w:val="en-US" w:eastAsia="zh-CN"/>
              </w:rPr>
              <w:t>8</w:t>
            </w:r>
            <w:r>
              <w:rPr>
                <w:rFonts w:hint="eastAsia" w:ascii="Times New Roman" w:hAnsi="Times New Roman" w:eastAsia="仿宋" w:cs="仿宋"/>
                <w:color w:val="auto"/>
                <w:sz w:val="24"/>
                <w:szCs w:val="24"/>
                <w:highlight w:val="none"/>
              </w:rPr>
              <w:t>分；基本要求达标，细节可优化的得</w:t>
            </w:r>
            <w:r>
              <w:rPr>
                <w:rFonts w:hint="eastAsia" w:ascii="Times New Roman" w:hAnsi="Times New Roman" w:eastAsia="仿宋" w:cs="仿宋"/>
                <w:color w:val="auto"/>
                <w:sz w:val="24"/>
                <w:szCs w:val="24"/>
                <w:highlight w:val="none"/>
                <w:lang w:val="en-US" w:eastAsia="zh-CN"/>
              </w:rPr>
              <w:t>5</w:t>
            </w:r>
            <w:r>
              <w:rPr>
                <w:rFonts w:hint="eastAsia" w:ascii="Times New Roman" w:hAnsi="Times New Roman" w:eastAsia="仿宋" w:cs="仿宋"/>
                <w:color w:val="auto"/>
                <w:sz w:val="24"/>
                <w:szCs w:val="24"/>
                <w:highlight w:val="none"/>
              </w:rPr>
              <w:t>分；主要要素具备，但表现平庸的得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p w14:paraId="24E58589">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注：需提供设计样稿（海报、说明牌等）及设计说明文件，关键项无佐证不得分。</w:t>
            </w:r>
          </w:p>
        </w:tc>
        <w:tc>
          <w:tcPr>
            <w:tcW w:w="572" w:type="dxa"/>
            <w:shd w:val="clear" w:color="auto" w:fill="auto"/>
            <w:noWrap w:val="0"/>
            <w:vAlign w:val="center"/>
          </w:tcPr>
          <w:p w14:paraId="58D43BC6">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8</w:t>
            </w:r>
          </w:p>
        </w:tc>
      </w:tr>
      <w:tr w14:paraId="32E16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0F14FE0E">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10</w:t>
            </w:r>
          </w:p>
        </w:tc>
        <w:tc>
          <w:tcPr>
            <w:tcW w:w="1557" w:type="dxa"/>
            <w:vMerge w:val="continue"/>
            <w:noWrap w:val="0"/>
            <w:vAlign w:val="center"/>
          </w:tcPr>
          <w:p w14:paraId="7FC5F34C">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5F969D32">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rPr>
              <w:t>质量保障方案</w:t>
            </w:r>
            <w:r>
              <w:rPr>
                <w:rFonts w:hint="eastAsia" w:ascii="Times New Roman" w:hAnsi="Times New Roman" w:eastAsia="仿宋" w:cs="仿宋"/>
                <w:b/>
                <w:bCs/>
                <w:color w:val="auto"/>
                <w:sz w:val="24"/>
                <w:szCs w:val="24"/>
                <w:highlight w:val="none"/>
                <w:lang w:eastAsia="zh-CN"/>
              </w:rPr>
              <w:t>：</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根据项目需求提供质量保障方案，评委从内容的合理性、科学性、针对性等方面进行评审：</w:t>
            </w:r>
          </w:p>
          <w:p w14:paraId="79A8CAD3">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体系完整、措施全面、可操作性强的得5分；主要要素齐全，部分细节待完善的得3分；基本框架具备，但深度不足的得1分；其他或未提供的不得分。</w:t>
            </w:r>
          </w:p>
        </w:tc>
        <w:tc>
          <w:tcPr>
            <w:tcW w:w="572" w:type="dxa"/>
            <w:shd w:val="clear" w:color="auto" w:fill="auto"/>
            <w:noWrap w:val="0"/>
            <w:vAlign w:val="center"/>
          </w:tcPr>
          <w:p w14:paraId="51F5DBDD">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r w14:paraId="66182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41DCB31E">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11</w:t>
            </w:r>
          </w:p>
        </w:tc>
        <w:tc>
          <w:tcPr>
            <w:tcW w:w="1557" w:type="dxa"/>
            <w:vMerge w:val="continue"/>
            <w:noWrap w:val="0"/>
            <w:vAlign w:val="center"/>
          </w:tcPr>
          <w:p w14:paraId="52D7E8A9">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73F1B6CE">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重点、难点、关键技术分析及解决方案：</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根据项目需求提供重点、难点、关键技术分析及解决方案，评委从内容的合理性、科学性、针对性等方面进行评审：</w:t>
            </w:r>
          </w:p>
          <w:p w14:paraId="3E6EF4D4">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问题定位精准、分析深入、解决方案切实可行的得5分；主要难点覆盖完全，解决方案基本有效的得 3分；仅识别基础性问题，解决方案较空泛的得1分；其他或未提供的不得分。</w:t>
            </w:r>
          </w:p>
        </w:tc>
        <w:tc>
          <w:tcPr>
            <w:tcW w:w="572" w:type="dxa"/>
            <w:shd w:val="clear" w:color="auto" w:fill="auto"/>
            <w:noWrap w:val="0"/>
            <w:vAlign w:val="center"/>
          </w:tcPr>
          <w:p w14:paraId="6FD56E18">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r w14:paraId="3913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565E0EC7">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12</w:t>
            </w:r>
          </w:p>
        </w:tc>
        <w:tc>
          <w:tcPr>
            <w:tcW w:w="1557" w:type="dxa"/>
            <w:vMerge w:val="continue"/>
            <w:noWrap w:val="0"/>
            <w:vAlign w:val="center"/>
          </w:tcPr>
          <w:p w14:paraId="7634753D">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52E08F6B">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lang w:eastAsia="zh-CN"/>
              </w:rPr>
              <w:t>文物安全方案：</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根据项目实际情况提供文物安全方案，评委从安全保障制度、技术安全保障措施、重点防护等方面的合理性、科学性、针对性等方面进行评审：</w:t>
            </w:r>
          </w:p>
          <w:p w14:paraId="7301DC76">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制度完善、技术先进、防护全面的得6分；主要防护措施到位，细节待完善的得</w:t>
            </w:r>
            <w:r>
              <w:rPr>
                <w:rFonts w:hint="eastAsia" w:ascii="Times New Roman" w:hAnsi="Times New Roman" w:eastAsia="仿宋" w:cs="仿宋"/>
                <w:color w:val="auto"/>
                <w:sz w:val="24"/>
                <w:szCs w:val="24"/>
                <w:highlight w:val="none"/>
                <w:lang w:val="en-US" w:eastAsia="zh-CN"/>
              </w:rPr>
              <w:t>4</w:t>
            </w:r>
            <w:r>
              <w:rPr>
                <w:rFonts w:hint="eastAsia" w:ascii="Times New Roman" w:hAnsi="Times New Roman" w:eastAsia="仿宋" w:cs="仿宋"/>
                <w:color w:val="auto"/>
                <w:sz w:val="24"/>
                <w:szCs w:val="24"/>
                <w:highlight w:val="none"/>
              </w:rPr>
              <w:t>分；基本要求满足，但深度不足的得</w:t>
            </w:r>
            <w:r>
              <w:rPr>
                <w:rFonts w:hint="eastAsia" w:ascii="Times New Roman" w:hAnsi="Times New Roman" w:eastAsia="仿宋" w:cs="仿宋"/>
                <w:color w:val="auto"/>
                <w:sz w:val="24"/>
                <w:szCs w:val="24"/>
                <w:highlight w:val="none"/>
                <w:lang w:val="en-US" w:eastAsia="zh-CN"/>
              </w:rPr>
              <w:t>2</w:t>
            </w:r>
            <w:r>
              <w:rPr>
                <w:rFonts w:hint="eastAsia" w:ascii="Times New Roman" w:hAnsi="Times New Roman" w:eastAsia="仿宋" w:cs="仿宋"/>
                <w:color w:val="auto"/>
                <w:sz w:val="24"/>
                <w:szCs w:val="24"/>
                <w:highlight w:val="none"/>
              </w:rPr>
              <w:t>分；其他或未提供的不得分。</w:t>
            </w:r>
          </w:p>
        </w:tc>
        <w:tc>
          <w:tcPr>
            <w:tcW w:w="572" w:type="dxa"/>
            <w:shd w:val="clear" w:color="auto" w:fill="auto"/>
            <w:noWrap w:val="0"/>
            <w:vAlign w:val="center"/>
          </w:tcPr>
          <w:p w14:paraId="4D533A20">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6</w:t>
            </w:r>
          </w:p>
        </w:tc>
      </w:tr>
      <w:tr w14:paraId="5C259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6D27EEB1">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13</w:t>
            </w:r>
          </w:p>
        </w:tc>
        <w:tc>
          <w:tcPr>
            <w:tcW w:w="1557" w:type="dxa"/>
            <w:vMerge w:val="continue"/>
            <w:noWrap w:val="0"/>
            <w:vAlign w:val="center"/>
          </w:tcPr>
          <w:p w14:paraId="36E53ED2">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46183CC0">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rPr>
              <w:t>应急预案</w:t>
            </w:r>
            <w:r>
              <w:rPr>
                <w:rFonts w:hint="eastAsia" w:ascii="Times New Roman" w:hAnsi="Times New Roman" w:eastAsia="仿宋" w:cs="仿宋"/>
                <w:b/>
                <w:bCs/>
                <w:color w:val="auto"/>
                <w:sz w:val="24"/>
                <w:szCs w:val="24"/>
                <w:highlight w:val="none"/>
                <w:lang w:eastAsia="zh-CN"/>
              </w:rPr>
              <w:t>：</w:t>
            </w:r>
            <w:r>
              <w:rPr>
                <w:rFonts w:hint="eastAsia" w:ascii="Times New Roman" w:hAnsi="Times New Roman" w:eastAsia="仿宋" w:cs="仿宋"/>
                <w:color w:val="auto"/>
                <w:sz w:val="24"/>
                <w:szCs w:val="24"/>
                <w:highlight w:val="none"/>
              </w:rPr>
              <w:t>根据</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提供的应急预案进行评审，评委从应急准备和响应、消防安全预案、群体性事件预案等方面进行评审：</w:t>
            </w:r>
          </w:p>
          <w:p w14:paraId="71475225">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体系完善、预案全面、可操作性强的得</w:t>
            </w:r>
            <w:r>
              <w:rPr>
                <w:rFonts w:hint="eastAsia" w:ascii="Times New Roman" w:hAnsi="Times New Roman" w:eastAsia="仿宋" w:cs="仿宋"/>
                <w:color w:val="auto"/>
                <w:sz w:val="24"/>
                <w:szCs w:val="24"/>
                <w:highlight w:val="none"/>
                <w:lang w:val="en-US" w:eastAsia="zh-CN"/>
              </w:rPr>
              <w:t>5</w:t>
            </w:r>
            <w:r>
              <w:rPr>
                <w:rFonts w:hint="eastAsia" w:ascii="Times New Roman" w:hAnsi="Times New Roman" w:eastAsia="仿宋" w:cs="仿宋"/>
                <w:color w:val="auto"/>
                <w:sz w:val="24"/>
                <w:szCs w:val="24"/>
                <w:highlight w:val="none"/>
              </w:rPr>
              <w:t>分；主要要素齐全，部分细节待完善的得</w:t>
            </w:r>
            <w:r>
              <w:rPr>
                <w:rFonts w:hint="eastAsia" w:ascii="Times New Roman" w:hAnsi="Times New Roman" w:eastAsia="仿宋" w:cs="仿宋"/>
                <w:color w:val="auto"/>
                <w:sz w:val="24"/>
                <w:szCs w:val="24"/>
                <w:highlight w:val="none"/>
                <w:lang w:val="en-US" w:eastAsia="zh-CN"/>
              </w:rPr>
              <w:t>3</w:t>
            </w:r>
            <w:r>
              <w:rPr>
                <w:rFonts w:hint="eastAsia" w:ascii="Times New Roman" w:hAnsi="Times New Roman" w:eastAsia="仿宋" w:cs="仿宋"/>
                <w:color w:val="auto"/>
                <w:sz w:val="24"/>
                <w:szCs w:val="24"/>
                <w:highlight w:val="none"/>
              </w:rPr>
              <w:t>分；基本框架具备，但深度不足的得</w:t>
            </w:r>
            <w:r>
              <w:rPr>
                <w:rFonts w:hint="eastAsia" w:ascii="Times New Roman" w:hAnsi="Times New Roman" w:eastAsia="仿宋" w:cs="仿宋"/>
                <w:color w:val="auto"/>
                <w:sz w:val="24"/>
                <w:szCs w:val="24"/>
                <w:highlight w:val="none"/>
                <w:lang w:val="en-US" w:eastAsia="zh-CN"/>
              </w:rPr>
              <w:t>1</w:t>
            </w:r>
            <w:r>
              <w:rPr>
                <w:rFonts w:hint="eastAsia" w:ascii="Times New Roman" w:hAnsi="Times New Roman" w:eastAsia="仿宋" w:cs="仿宋"/>
                <w:color w:val="auto"/>
                <w:sz w:val="24"/>
                <w:szCs w:val="24"/>
                <w:highlight w:val="none"/>
              </w:rPr>
              <w:t>分；其他或未提供的不得分。</w:t>
            </w:r>
          </w:p>
        </w:tc>
        <w:tc>
          <w:tcPr>
            <w:tcW w:w="572" w:type="dxa"/>
            <w:shd w:val="clear" w:color="auto" w:fill="auto"/>
            <w:noWrap w:val="0"/>
            <w:vAlign w:val="center"/>
          </w:tcPr>
          <w:p w14:paraId="25B859C7">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r w14:paraId="54246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584" w:type="dxa"/>
            <w:noWrap w:val="0"/>
            <w:vAlign w:val="center"/>
          </w:tcPr>
          <w:p w14:paraId="5344266A">
            <w:pPr>
              <w:keepNext w:val="0"/>
              <w:keepLines w:val="0"/>
              <w:suppressLineNumbers w:val="0"/>
              <w:spacing w:before="0" w:beforeAutospacing="0" w:after="0" w:afterAutospacing="0" w:line="360" w:lineRule="auto"/>
              <w:ind w:left="0" w:right="0"/>
              <w:jc w:val="center"/>
              <w:rPr>
                <w:rFonts w:hint="default" w:ascii="Times New Roman" w:hAnsi="Times New Roman" w:eastAsia="仿宋" w:cs="仿宋"/>
                <w:color w:val="auto"/>
                <w:sz w:val="24"/>
                <w:szCs w:val="24"/>
                <w:highlight w:val="none"/>
                <w:lang w:val="en-US" w:eastAsia="zh-CN"/>
              </w:rPr>
            </w:pPr>
            <w:r>
              <w:rPr>
                <w:rFonts w:hint="eastAsia" w:ascii="Times New Roman" w:hAnsi="Times New Roman" w:eastAsia="仿宋" w:cs="仿宋"/>
                <w:color w:val="auto"/>
                <w:sz w:val="24"/>
                <w:szCs w:val="24"/>
                <w:highlight w:val="none"/>
                <w:lang w:val="en-US" w:eastAsia="zh-CN"/>
              </w:rPr>
              <w:t>14</w:t>
            </w:r>
          </w:p>
        </w:tc>
        <w:tc>
          <w:tcPr>
            <w:tcW w:w="1557" w:type="dxa"/>
            <w:vMerge w:val="continue"/>
            <w:noWrap w:val="0"/>
            <w:vAlign w:val="center"/>
          </w:tcPr>
          <w:p w14:paraId="3DAE980E">
            <w:pPr>
              <w:pStyle w:val="224"/>
              <w:keepNext w:val="0"/>
              <w:keepLines w:val="0"/>
              <w:suppressLineNumbers w:val="0"/>
              <w:spacing w:before="0" w:beforeAutospacing="0" w:after="0" w:afterAutospacing="0"/>
              <w:ind w:left="0" w:right="0"/>
              <w:jc w:val="center"/>
              <w:rPr>
                <w:rFonts w:ascii="Times New Roman" w:hAnsi="Times New Roman" w:eastAsia="仿宋" w:cs="仿宋"/>
                <w:color w:val="auto"/>
                <w:highlight w:val="none"/>
                <w:lang w:bidi="zh-CN"/>
              </w:rPr>
            </w:pPr>
          </w:p>
        </w:tc>
        <w:tc>
          <w:tcPr>
            <w:tcW w:w="6521" w:type="dxa"/>
            <w:shd w:val="clear" w:color="auto" w:fill="auto"/>
            <w:noWrap w:val="0"/>
            <w:vAlign w:val="center"/>
          </w:tcPr>
          <w:p w14:paraId="4D9077B9">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rPr>
            </w:pPr>
            <w:r>
              <w:rPr>
                <w:rFonts w:hint="eastAsia" w:ascii="Times New Roman" w:hAnsi="Times New Roman" w:eastAsia="仿宋" w:cs="仿宋"/>
                <w:b/>
                <w:bCs/>
                <w:color w:val="auto"/>
                <w:sz w:val="24"/>
                <w:szCs w:val="24"/>
                <w:highlight w:val="none"/>
              </w:rPr>
              <w:t>撤展恢复及售后服务方案</w:t>
            </w:r>
            <w:r>
              <w:rPr>
                <w:rFonts w:hint="eastAsia" w:ascii="Times New Roman" w:hAnsi="Times New Roman" w:eastAsia="仿宋" w:cs="仿宋"/>
                <w:b/>
                <w:bCs/>
                <w:color w:val="auto"/>
                <w:sz w:val="24"/>
                <w:szCs w:val="24"/>
                <w:highlight w:val="none"/>
                <w:lang w:eastAsia="zh-CN"/>
              </w:rPr>
              <w:t>：</w:t>
            </w:r>
            <w:r>
              <w:rPr>
                <w:rFonts w:hint="eastAsia" w:ascii="Times New Roman" w:hAnsi="Times New Roman" w:eastAsia="仿宋" w:cs="仿宋"/>
                <w:color w:val="auto"/>
                <w:sz w:val="24"/>
                <w:szCs w:val="24"/>
                <w:highlight w:val="none"/>
              </w:rPr>
              <w:t>根据</w:t>
            </w:r>
            <w:r>
              <w:rPr>
                <w:rFonts w:hint="eastAsia" w:ascii="Times New Roman" w:hAnsi="Times New Roman" w:eastAsia="仿宋" w:cs="仿宋"/>
                <w:color w:val="auto"/>
                <w:sz w:val="24"/>
                <w:szCs w:val="24"/>
                <w:highlight w:val="none"/>
                <w:lang w:eastAsia="zh-CN"/>
              </w:rPr>
              <w:t>投标人</w:t>
            </w:r>
            <w:r>
              <w:rPr>
                <w:rFonts w:hint="eastAsia" w:ascii="Times New Roman" w:hAnsi="Times New Roman" w:eastAsia="仿宋" w:cs="仿宋"/>
                <w:color w:val="auto"/>
                <w:sz w:val="24"/>
                <w:szCs w:val="24"/>
                <w:highlight w:val="none"/>
              </w:rPr>
              <w:t>提供的撤展恢复及售后服务方案，评委从方案的合理性、科学性、针对性等方面进行评审：</w:t>
            </w:r>
          </w:p>
          <w:p w14:paraId="76E6FE83">
            <w:pPr>
              <w:keepNext w:val="0"/>
              <w:keepLines w:val="0"/>
              <w:suppressLineNumbers w:val="0"/>
              <w:spacing w:before="0" w:beforeAutospacing="0" w:after="0" w:afterAutospacing="0"/>
              <w:ind w:left="0" w:right="0"/>
              <w:jc w:val="both"/>
              <w:rPr>
                <w:rFonts w:hint="eastAsia" w:ascii="Times New Roman" w:hAnsi="Times New Roman" w:eastAsia="仿宋" w:cs="仿宋"/>
                <w:color w:val="auto"/>
                <w:sz w:val="24"/>
                <w:szCs w:val="24"/>
                <w:highlight w:val="none"/>
                <w:lang w:val="zh-CN" w:eastAsia="zh-CN"/>
              </w:rPr>
            </w:pPr>
            <w:r>
              <w:rPr>
                <w:rFonts w:hint="eastAsia" w:ascii="Times New Roman" w:hAnsi="Times New Roman" w:eastAsia="仿宋" w:cs="仿宋"/>
                <w:color w:val="auto"/>
                <w:sz w:val="24"/>
                <w:szCs w:val="24"/>
                <w:highlight w:val="none"/>
              </w:rPr>
              <w:t>方案全面，各项措施完善的得</w:t>
            </w:r>
            <w:r>
              <w:rPr>
                <w:rFonts w:hint="eastAsia" w:ascii="Times New Roman" w:hAnsi="Times New Roman" w:eastAsia="仿宋" w:cs="仿宋"/>
                <w:color w:val="auto"/>
                <w:sz w:val="24"/>
                <w:szCs w:val="24"/>
                <w:highlight w:val="none"/>
                <w:lang w:val="en-US" w:eastAsia="zh-CN"/>
              </w:rPr>
              <w:t>5</w:t>
            </w:r>
            <w:r>
              <w:rPr>
                <w:rFonts w:hint="eastAsia" w:ascii="Times New Roman" w:hAnsi="Times New Roman" w:eastAsia="仿宋" w:cs="仿宋"/>
                <w:color w:val="auto"/>
                <w:sz w:val="24"/>
                <w:szCs w:val="24"/>
                <w:highlight w:val="none"/>
              </w:rPr>
              <w:t xml:space="preserve">分；主要要求满足，个别细节待优化的得 </w:t>
            </w:r>
            <w:r>
              <w:rPr>
                <w:rFonts w:hint="eastAsia" w:ascii="Times New Roman" w:hAnsi="Times New Roman" w:eastAsia="仿宋" w:cs="仿宋"/>
                <w:color w:val="auto"/>
                <w:sz w:val="24"/>
                <w:szCs w:val="24"/>
                <w:highlight w:val="none"/>
                <w:lang w:val="en-US" w:eastAsia="zh-CN"/>
              </w:rPr>
              <w:t>3</w:t>
            </w:r>
            <w:r>
              <w:rPr>
                <w:rFonts w:hint="eastAsia" w:ascii="Times New Roman" w:hAnsi="Times New Roman" w:eastAsia="仿宋" w:cs="仿宋"/>
                <w:color w:val="auto"/>
                <w:sz w:val="24"/>
                <w:szCs w:val="24"/>
                <w:highlight w:val="none"/>
              </w:rPr>
              <w:t>分；基本内容具备，但不够深入的得1分；其他或未提供的不得分。</w:t>
            </w:r>
          </w:p>
        </w:tc>
        <w:tc>
          <w:tcPr>
            <w:tcW w:w="572" w:type="dxa"/>
            <w:shd w:val="clear" w:color="auto" w:fill="auto"/>
            <w:noWrap w:val="0"/>
            <w:vAlign w:val="center"/>
          </w:tcPr>
          <w:p w14:paraId="11D73882">
            <w:pPr>
              <w:pStyle w:val="224"/>
              <w:keepNext w:val="0"/>
              <w:keepLines w:val="0"/>
              <w:suppressLineNumbers w:val="0"/>
              <w:spacing w:before="0" w:beforeAutospacing="0" w:after="0" w:afterAutospacing="0"/>
              <w:ind w:left="0" w:right="0"/>
              <w:jc w:val="center"/>
              <w:rPr>
                <w:rFonts w:hint="default" w:ascii="Times New Roman" w:hAnsi="Times New Roman" w:eastAsia="仿宋" w:cs="仿宋"/>
                <w:color w:val="auto"/>
                <w:highlight w:val="none"/>
                <w:lang w:val="en-US" w:bidi="zh-CN"/>
              </w:rPr>
            </w:pPr>
            <w:r>
              <w:rPr>
                <w:rFonts w:hint="eastAsia" w:eastAsia="仿宋" w:cs="仿宋"/>
                <w:color w:val="auto"/>
                <w:highlight w:val="none"/>
                <w:lang w:val="en-US" w:bidi="zh-CN"/>
              </w:rPr>
              <w:t>5</w:t>
            </w:r>
          </w:p>
        </w:tc>
      </w:tr>
    </w:tbl>
    <w:p w14:paraId="187B99DE">
      <w:pPr>
        <w:pStyle w:val="17"/>
        <w:spacing w:before="5"/>
        <w:rPr>
          <w:rFonts w:asciiTheme="minorEastAsia" w:hAnsiTheme="minorEastAsia" w:eastAsiaTheme="minorEastAsia" w:cstheme="minorEastAsia"/>
          <w:b/>
          <w:color w:val="auto"/>
          <w:sz w:val="8"/>
          <w:highlight w:val="none"/>
        </w:rPr>
      </w:pPr>
    </w:p>
    <w:p w14:paraId="4C9FEC9D">
      <w:pPr>
        <w:rPr>
          <w:rFonts w:hint="eastAsia" w:asciiTheme="minorEastAsia" w:hAnsiTheme="minorEastAsia" w:eastAsiaTheme="minorEastAsia" w:cstheme="minorEastAsia"/>
          <w:b/>
          <w:color w:val="auto"/>
          <w:sz w:val="36"/>
          <w:highlight w:val="none"/>
          <w:lang w:val="en-US"/>
        </w:rPr>
      </w:pPr>
      <w:bookmarkStart w:id="14" w:name="_Toc3408"/>
      <w:bookmarkStart w:id="15" w:name="_Toc32495"/>
      <w:r>
        <w:rPr>
          <w:rFonts w:hint="eastAsia" w:asciiTheme="minorEastAsia" w:hAnsiTheme="minorEastAsia" w:eastAsiaTheme="minorEastAsia" w:cstheme="minorEastAsia"/>
          <w:b/>
          <w:color w:val="auto"/>
          <w:sz w:val="36"/>
          <w:highlight w:val="none"/>
          <w:lang w:val="en-US"/>
        </w:rPr>
        <w:br w:type="page"/>
      </w:r>
    </w:p>
    <w:p w14:paraId="65E8A2F9">
      <w:pPr>
        <w:pStyle w:val="17"/>
        <w:spacing w:line="360" w:lineRule="auto"/>
        <w:jc w:val="center"/>
        <w:rPr>
          <w:rFonts w:asciiTheme="minorEastAsia" w:hAnsiTheme="minorEastAsia" w:eastAsiaTheme="minorEastAsia" w:cstheme="minorEastAsia"/>
          <w:b/>
          <w:bCs/>
          <w:color w:val="auto"/>
          <w:highlight w:val="none"/>
          <w:lang w:val="en-US"/>
        </w:rPr>
      </w:pPr>
      <w:r>
        <w:rPr>
          <w:rFonts w:hint="eastAsia" w:asciiTheme="minorEastAsia" w:hAnsiTheme="minorEastAsia" w:eastAsiaTheme="minorEastAsia" w:cstheme="minorEastAsia"/>
          <w:b/>
          <w:color w:val="auto"/>
          <w:sz w:val="36"/>
          <w:highlight w:val="none"/>
          <w:lang w:val="en-US"/>
        </w:rPr>
        <w:t xml:space="preserve">第四章  </w:t>
      </w:r>
      <w:r>
        <w:rPr>
          <w:rFonts w:hint="eastAsia" w:asciiTheme="minorEastAsia" w:hAnsiTheme="minorEastAsia" w:eastAsiaTheme="minorEastAsia" w:cstheme="minorEastAsia"/>
          <w:b/>
          <w:color w:val="auto"/>
          <w:sz w:val="36"/>
          <w:highlight w:val="none"/>
        </w:rPr>
        <w:t>项目需求</w:t>
      </w:r>
      <w:bookmarkEnd w:id="14"/>
      <w:bookmarkEnd w:id="15"/>
    </w:p>
    <w:p w14:paraId="41152006">
      <w:pPr>
        <w:rPr>
          <w:color w:val="auto"/>
          <w:highlight w:val="none"/>
        </w:rPr>
      </w:pPr>
    </w:p>
    <w:p w14:paraId="44E6782D">
      <w:pPr>
        <w:adjustRightInd w:val="0"/>
        <w:snapToGrid w:val="0"/>
        <w:spacing w:line="360" w:lineRule="auto"/>
        <w:outlineLvl w:val="0"/>
        <w:rPr>
          <w:rFonts w:hint="eastAsia" w:ascii="宋体" w:hAnsi="宋体" w:eastAsia="宋体"/>
          <w:b/>
          <w:bCs/>
          <w:color w:val="auto"/>
          <w:sz w:val="24"/>
          <w:highlight w:val="none"/>
          <w:lang w:eastAsia="zh-CN"/>
        </w:rPr>
      </w:pPr>
      <w:r>
        <w:rPr>
          <w:rFonts w:hint="eastAsia" w:ascii="宋体" w:hAnsi="宋体"/>
          <w:b/>
          <w:bCs/>
          <w:color w:val="auto"/>
          <w:sz w:val="24"/>
          <w:highlight w:val="none"/>
        </w:rPr>
        <w:t>一、项目</w:t>
      </w:r>
      <w:r>
        <w:rPr>
          <w:rFonts w:hint="eastAsia"/>
          <w:b/>
          <w:bCs/>
          <w:color w:val="auto"/>
          <w:sz w:val="24"/>
          <w:highlight w:val="none"/>
          <w:lang w:val="en-US" w:eastAsia="zh-CN"/>
        </w:rPr>
        <w:t>名称</w:t>
      </w:r>
    </w:p>
    <w:p w14:paraId="261EBCDF">
      <w:pPr>
        <w:widowControl/>
        <w:shd w:val="clear" w:color="auto" w:fill="FFFFFF"/>
        <w:spacing w:line="360" w:lineRule="auto"/>
        <w:ind w:firstLine="440" w:firstLineChars="200"/>
        <w:rPr>
          <w:rFonts w:hint="eastAsia" w:eastAsia="宋体"/>
          <w:color w:val="auto"/>
          <w:highlight w:val="none"/>
          <w:lang w:eastAsia="zh-CN"/>
        </w:rPr>
      </w:pPr>
      <w:r>
        <w:rPr>
          <w:rFonts w:hint="eastAsia" w:eastAsia="宋体"/>
          <w:color w:val="auto"/>
          <w:highlight w:val="none"/>
          <w:lang w:eastAsia="zh-CN"/>
        </w:rPr>
        <w:t>扬州</w:t>
      </w:r>
      <w:r>
        <w:rPr>
          <w:rFonts w:hint="eastAsia" w:eastAsia="宋体"/>
          <w:color w:val="auto"/>
          <w:highlight w:val="none"/>
          <w:lang w:val="en-US" w:eastAsia="zh-CN"/>
        </w:rPr>
        <w:t>中国</w:t>
      </w:r>
      <w:r>
        <w:rPr>
          <w:rFonts w:hint="eastAsia" w:eastAsia="宋体"/>
          <w:color w:val="auto"/>
          <w:highlight w:val="none"/>
          <w:lang w:eastAsia="zh-CN"/>
        </w:rPr>
        <w:t>大运河博物馆</w:t>
      </w:r>
      <w:r>
        <w:rPr>
          <w:rFonts w:hint="eastAsia" w:eastAsia="宋体"/>
          <w:color w:val="auto"/>
          <w:highlight w:val="none"/>
          <w:lang w:val="en-US" w:eastAsia="zh-CN"/>
        </w:rPr>
        <w:t>景迈山古茶林文化遗产</w:t>
      </w:r>
      <w:r>
        <w:rPr>
          <w:rFonts w:hint="eastAsia" w:eastAsia="宋体"/>
          <w:color w:val="auto"/>
          <w:highlight w:val="none"/>
          <w:lang w:eastAsia="zh-CN"/>
        </w:rPr>
        <w:t>展览设计制作服务</w:t>
      </w:r>
    </w:p>
    <w:p w14:paraId="6AC29352">
      <w:pPr>
        <w:widowControl/>
        <w:shd w:val="clear" w:color="auto" w:fill="FFFFFF"/>
        <w:spacing w:line="360" w:lineRule="auto"/>
        <w:rPr>
          <w:rFonts w:hint="default"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rPr>
        <w:t>二、</w:t>
      </w:r>
      <w:r>
        <w:rPr>
          <w:rFonts w:hint="eastAsia"/>
          <w:b/>
          <w:bCs/>
          <w:color w:val="auto"/>
          <w:sz w:val="24"/>
          <w:szCs w:val="24"/>
          <w:highlight w:val="none"/>
          <w:lang w:val="en-US" w:eastAsia="zh-CN"/>
        </w:rPr>
        <w:t>项目概况</w:t>
      </w:r>
    </w:p>
    <w:p w14:paraId="5D82A9C2">
      <w:pPr>
        <w:adjustRightInd w:val="0"/>
        <w:snapToGrid w:val="0"/>
        <w:spacing w:line="360" w:lineRule="auto"/>
        <w:ind w:firstLine="480" w:firstLineChars="200"/>
        <w:rPr>
          <w:rFonts w:hint="default" w:ascii="宋体" w:hAnsi="宋体"/>
          <w:b w:val="0"/>
          <w:bCs/>
          <w:color w:val="auto"/>
          <w:kern w:val="0"/>
          <w:sz w:val="24"/>
          <w:szCs w:val="24"/>
          <w:highlight w:val="none"/>
          <w:lang w:val="en-US" w:eastAsia="zh-CN"/>
        </w:rPr>
      </w:pPr>
      <w:r>
        <w:rPr>
          <w:rFonts w:hint="eastAsia" w:ascii="宋体" w:hAnsi="宋体"/>
          <w:bCs/>
          <w:color w:val="auto"/>
          <w:kern w:val="0"/>
          <w:sz w:val="24"/>
          <w:szCs w:val="24"/>
          <w:highlight w:val="none"/>
        </w:rPr>
        <w:t>本项目为扬州</w:t>
      </w:r>
      <w:r>
        <w:rPr>
          <w:rFonts w:hint="eastAsia" w:ascii="宋体" w:hAnsi="宋体"/>
          <w:bCs/>
          <w:color w:val="auto"/>
          <w:kern w:val="0"/>
          <w:sz w:val="24"/>
          <w:szCs w:val="24"/>
          <w:highlight w:val="none"/>
          <w:lang w:val="en-US" w:eastAsia="zh-CN"/>
        </w:rPr>
        <w:t>中国</w:t>
      </w:r>
      <w:r>
        <w:rPr>
          <w:rFonts w:hint="eastAsia" w:ascii="宋体" w:hAnsi="宋体"/>
          <w:bCs/>
          <w:color w:val="auto"/>
          <w:kern w:val="0"/>
          <w:sz w:val="24"/>
          <w:szCs w:val="24"/>
          <w:highlight w:val="none"/>
        </w:rPr>
        <w:t>大运河博物馆</w:t>
      </w:r>
      <w:r>
        <w:rPr>
          <w:rFonts w:hint="eastAsia" w:ascii="宋体" w:hAnsi="宋体"/>
          <w:bCs/>
          <w:color w:val="auto"/>
          <w:kern w:val="0"/>
          <w:sz w:val="24"/>
          <w:szCs w:val="24"/>
          <w:highlight w:val="none"/>
          <w:lang w:val="en-US" w:eastAsia="zh-CN"/>
        </w:rPr>
        <w:t>景迈山古茶林文化遗产</w:t>
      </w:r>
      <w:r>
        <w:rPr>
          <w:rFonts w:hint="eastAsia" w:ascii="宋体" w:hAnsi="宋体"/>
          <w:bCs/>
          <w:color w:val="auto"/>
          <w:kern w:val="0"/>
          <w:sz w:val="24"/>
          <w:szCs w:val="24"/>
          <w:highlight w:val="none"/>
        </w:rPr>
        <w:t>展览设计制作服务，地点：扬州中国大运河博物馆，</w:t>
      </w:r>
      <w:r>
        <w:rPr>
          <w:rFonts w:hint="eastAsia" w:ascii="宋体" w:hAnsi="宋体"/>
          <w:bCs/>
          <w:color w:val="auto"/>
          <w:kern w:val="0"/>
          <w:sz w:val="24"/>
          <w:szCs w:val="24"/>
          <w:highlight w:val="none"/>
          <w:lang w:val="en-US" w:eastAsia="zh-CN"/>
        </w:rPr>
        <w:t>展厅</w:t>
      </w:r>
      <w:r>
        <w:rPr>
          <w:rFonts w:hint="eastAsia" w:ascii="宋体" w:hAnsi="宋体"/>
          <w:bCs/>
          <w:color w:val="auto"/>
          <w:kern w:val="0"/>
          <w:sz w:val="24"/>
          <w:szCs w:val="24"/>
          <w:highlight w:val="none"/>
        </w:rPr>
        <w:t>内部展览面积：约</w:t>
      </w:r>
      <w:r>
        <w:rPr>
          <w:rFonts w:hint="eastAsia" w:ascii="宋体" w:hAnsi="宋体"/>
          <w:bCs/>
          <w:color w:val="auto"/>
          <w:kern w:val="0"/>
          <w:sz w:val="24"/>
          <w:szCs w:val="24"/>
          <w:highlight w:val="none"/>
          <w:lang w:val="en-US" w:eastAsia="zh-CN"/>
        </w:rPr>
        <w:t>700</w:t>
      </w:r>
      <w:r>
        <w:rPr>
          <w:rFonts w:hint="eastAsia" w:ascii="宋体" w:hAnsi="宋体"/>
          <w:bCs/>
          <w:color w:val="auto"/>
          <w:kern w:val="0"/>
          <w:sz w:val="24"/>
          <w:szCs w:val="24"/>
          <w:highlight w:val="none"/>
        </w:rPr>
        <w:t>平方米。</w:t>
      </w:r>
      <w:r>
        <w:rPr>
          <w:rFonts w:hint="eastAsia" w:ascii="宋体" w:hAnsi="宋体"/>
          <w:b w:val="0"/>
          <w:bCs/>
          <w:color w:val="auto"/>
          <w:kern w:val="0"/>
          <w:sz w:val="24"/>
          <w:szCs w:val="24"/>
          <w:highlight w:val="none"/>
          <w:lang w:val="en-US" w:eastAsia="zh-CN"/>
        </w:rPr>
        <w:t>（详见</w:t>
      </w:r>
      <w:r>
        <w:rPr>
          <w:rFonts w:hint="eastAsia"/>
          <w:b w:val="0"/>
          <w:bCs/>
          <w:color w:val="auto"/>
          <w:kern w:val="0"/>
          <w:sz w:val="24"/>
          <w:szCs w:val="24"/>
          <w:highlight w:val="none"/>
          <w:lang w:val="en-US" w:eastAsia="zh-CN"/>
        </w:rPr>
        <w:t>附件</w:t>
      </w:r>
      <w:r>
        <w:rPr>
          <w:rFonts w:hint="eastAsia" w:ascii="宋体" w:hAnsi="宋体"/>
          <w:b w:val="0"/>
          <w:bCs/>
          <w:color w:val="auto"/>
          <w:kern w:val="0"/>
          <w:sz w:val="24"/>
          <w:szCs w:val="24"/>
          <w:highlight w:val="none"/>
          <w:lang w:val="en-US" w:eastAsia="zh-CN"/>
        </w:rPr>
        <w:t>图纸）</w:t>
      </w:r>
    </w:p>
    <w:p w14:paraId="28912115">
      <w:pPr>
        <w:widowControl/>
        <w:shd w:val="clear" w:color="auto" w:fill="FFFFFF"/>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rPr>
        <w:t>三、</w:t>
      </w:r>
      <w:r>
        <w:rPr>
          <w:rFonts w:hint="eastAsia"/>
          <w:b/>
          <w:bCs/>
          <w:color w:val="auto"/>
          <w:sz w:val="24"/>
          <w:szCs w:val="24"/>
          <w:highlight w:val="none"/>
          <w:lang w:val="en-US" w:eastAsia="zh-CN"/>
        </w:rPr>
        <w:t>项目要求</w:t>
      </w:r>
    </w:p>
    <w:p w14:paraId="6FF46652">
      <w:pPr>
        <w:widowControl/>
        <w:shd w:val="clear" w:color="auto" w:fill="FFFFFF"/>
        <w:spacing w:line="360" w:lineRule="auto"/>
        <w:jc w:val="center"/>
        <w:rPr>
          <w:rFonts w:hint="default" w:ascii="宋体" w:hAnsi="宋体" w:eastAsia="宋体"/>
          <w:b/>
          <w:bCs/>
          <w:color w:val="auto"/>
          <w:sz w:val="24"/>
          <w:szCs w:val="24"/>
          <w:highlight w:val="none"/>
          <w:lang w:val="en-US" w:eastAsia="zh-CN"/>
        </w:rPr>
      </w:pPr>
      <w:r>
        <w:rPr>
          <w:rFonts w:hint="eastAsia"/>
          <w:b/>
          <w:bCs/>
          <w:color w:val="auto"/>
          <w:sz w:val="24"/>
          <w:szCs w:val="24"/>
          <w:highlight w:val="none"/>
          <w:lang w:val="en-US" w:eastAsia="zh-CN"/>
        </w:rPr>
        <w:t>（一）技术要求</w:t>
      </w:r>
    </w:p>
    <w:p w14:paraId="509F6944">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中标</w:t>
      </w:r>
      <w:r>
        <w:rPr>
          <w:rFonts w:hint="eastAsia" w:ascii="宋体" w:hAnsi="宋体" w:eastAsia="宋体" w:cs="宋体"/>
          <w:b/>
          <w:bCs/>
          <w:color w:val="auto"/>
          <w:sz w:val="24"/>
          <w:szCs w:val="24"/>
          <w:highlight w:val="none"/>
          <w:lang w:val="en-US" w:eastAsia="zh-CN"/>
        </w:rPr>
        <w:t>人</w:t>
      </w:r>
      <w:r>
        <w:rPr>
          <w:rFonts w:hint="eastAsia" w:ascii="宋体" w:hAnsi="宋体" w:eastAsia="宋体" w:cs="宋体"/>
          <w:b/>
          <w:bCs/>
          <w:color w:val="auto"/>
          <w:sz w:val="24"/>
          <w:szCs w:val="24"/>
          <w:highlight w:val="none"/>
        </w:rPr>
        <w:t>应根据项目需求进行设计，最终的设计方案及实施方案，应由采购人确认后方可实施，具体要求如下：</w:t>
      </w:r>
    </w:p>
    <w:p w14:paraId="1FD39B2F">
      <w:pPr>
        <w:widowControl/>
        <w:shd w:val="clear" w:color="auto" w:fill="FFFFFF"/>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1、制作图纸：</w:t>
      </w:r>
      <w:r>
        <w:rPr>
          <w:rFonts w:hint="eastAsia" w:ascii="宋体" w:hAnsi="宋体" w:eastAsia="宋体" w:cs="宋体"/>
          <w:color w:val="auto"/>
          <w:sz w:val="24"/>
          <w:szCs w:val="24"/>
          <w:highlight w:val="none"/>
        </w:rPr>
        <w:t>本项目必须由中标</w:t>
      </w:r>
      <w:r>
        <w:rPr>
          <w:rFonts w:hint="eastAsia" w:cs="宋体"/>
          <w:color w:val="auto"/>
          <w:sz w:val="24"/>
          <w:szCs w:val="24"/>
          <w:highlight w:val="none"/>
          <w:lang w:eastAsia="zh-CN"/>
        </w:rPr>
        <w:t>人</w:t>
      </w:r>
      <w:r>
        <w:rPr>
          <w:rFonts w:hint="eastAsia" w:ascii="宋体" w:hAnsi="宋体" w:eastAsia="宋体" w:cs="宋体"/>
          <w:color w:val="auto"/>
          <w:sz w:val="24"/>
          <w:szCs w:val="24"/>
          <w:highlight w:val="none"/>
        </w:rPr>
        <w:t>出具完整CAD制作图纸（包括综合平面布置图、综合天花布置图、灯具尺寸定位图、地坪材质铺贴图、立面索引图、多媒体布置定位图、隔墙尺寸定位图、展柜索引图、关键部位制作详图等）。</w:t>
      </w:r>
    </w:p>
    <w:p w14:paraId="229EE08F">
      <w:pPr>
        <w:widowControl/>
        <w:shd w:val="clear" w:color="auto" w:fill="FFFFFF"/>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2、人员要求：</w:t>
      </w:r>
      <w:r>
        <w:rPr>
          <w:rFonts w:hint="eastAsia" w:ascii="宋体" w:hAnsi="宋体" w:eastAsia="宋体" w:cs="宋体"/>
          <w:color w:val="auto"/>
          <w:sz w:val="24"/>
          <w:szCs w:val="24"/>
          <w:highlight w:val="none"/>
        </w:rPr>
        <w:t>配备若干设计人员和1位项目经理，项目经理应全程驻场，由扬州中国大运河博物馆项目负责人统一协调工作任务。</w:t>
      </w:r>
    </w:p>
    <w:p w14:paraId="3789CDFB">
      <w:pPr>
        <w:widowControl/>
        <w:shd w:val="clear" w:color="auto" w:fill="FFFFFF"/>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3、项目具体内容：</w:t>
      </w:r>
      <w:r>
        <w:rPr>
          <w:rFonts w:hint="eastAsia" w:ascii="宋体" w:hAnsi="宋体" w:eastAsia="宋体" w:cs="宋体"/>
          <w:color w:val="auto"/>
          <w:sz w:val="24"/>
          <w:szCs w:val="24"/>
          <w:highlight w:val="none"/>
        </w:rPr>
        <w:t>临时展览的大致包括以下几个部分：</w:t>
      </w:r>
    </w:p>
    <w:p w14:paraId="0569BA78">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（1）展览设计服务包括：空间设计、平面设计、深化设计等（包含各类相关图纸的出具）。</w:t>
      </w:r>
    </w:p>
    <w:p w14:paraId="11950E61">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（2）空间基础设计制作包括：展墙搭建、墙面艺术处理、展台制作、地面处理（地毯、地板、地胶等）、特殊展品展柜设计制作、以及按照定点点位重新布置电线和灯轨接线等。</w:t>
      </w:r>
    </w:p>
    <w:p w14:paraId="49FD3382">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（3）艺术造型设计制作包括：场景、模型、艺术氛围装置等的设计制作和安装。</w:t>
      </w:r>
    </w:p>
    <w:p w14:paraId="5BD17114">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（4）辅助展品设计制作包括：各级文字看板、图版展板、说明牌、提示牌、告知牌等的设计制作和安装。部分辅助展品采用特种工艺制作（如丝网印刷等）。</w:t>
      </w:r>
    </w:p>
    <w:p w14:paraId="39C7845A">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（5）辅助展具设计制作包括：各类展台展架、展品定制固定件及辅助陈设品的设计制作和安装。</w:t>
      </w:r>
    </w:p>
    <w:p w14:paraId="4B945849">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（6）多媒体展项设计制作服务包括：各类</w:t>
      </w:r>
      <w:r>
        <w:rPr>
          <w:rFonts w:hint="eastAsia" w:ascii="宋体" w:hAnsi="宋体" w:eastAsia="宋体" w:cs="宋体"/>
          <w:color w:val="auto"/>
          <w:sz w:val="24"/>
          <w:szCs w:val="24"/>
          <w:highlight w:val="none"/>
          <w:lang w:val="en-US" w:eastAsia="zh-CN"/>
        </w:rPr>
        <w:t>音</w:t>
      </w:r>
      <w:r>
        <w:rPr>
          <w:rFonts w:hint="eastAsia" w:ascii="宋体" w:hAnsi="宋体" w:eastAsia="宋体" w:cs="宋体"/>
          <w:color w:val="auto"/>
          <w:sz w:val="24"/>
          <w:szCs w:val="24"/>
          <w:highlight w:val="none"/>
        </w:rPr>
        <w:t>视频、体感、触摸互动展项等（包括提供相关设备的租赁服务）的设计制作以及安装调试，需配合馆方要求将相关展项布置在统一的设备间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并具备自动时控开关系统</w:t>
      </w:r>
      <w:r>
        <w:rPr>
          <w:rFonts w:hint="eastAsia" w:ascii="宋体" w:hAnsi="宋体" w:eastAsia="宋体" w:cs="宋体"/>
          <w:color w:val="auto"/>
          <w:sz w:val="24"/>
          <w:szCs w:val="24"/>
          <w:highlight w:val="none"/>
        </w:rPr>
        <w:t>。</w:t>
      </w:r>
    </w:p>
    <w:p w14:paraId="73C589FA">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（7）灯光设计服务包括：空间照明、柜内照明及特殊照明的设计及调试，包括对展厅灯具的编号及调试；特殊照明灯具的设计制作和调试；灯光设计需按照展览视觉要求和文物保护要求进行设计和调试。</w:t>
      </w:r>
    </w:p>
    <w:p w14:paraId="1AED8CA7">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（8）海报等宣传品设计制作包括：配合博物馆场地，设计制作不同材质、尺寸的衍生宣传海报并进行安装服务。</w:t>
      </w:r>
    </w:p>
    <w:p w14:paraId="62DED9BC">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4、深化设计原则</w:t>
      </w:r>
    </w:p>
    <w:p w14:paraId="3818149F">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（1）总体要求</w:t>
      </w:r>
    </w:p>
    <w:p w14:paraId="744664BB">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展览设计应符合展览内容设计需要，以创新的思维展示手法，突出陈列的教育性、艺术性、观赏性、舒适性与参与性，以展示的亮点突显陈列内容的重点，力求内容与形式的高度统一。在设计中，要体现“五个性”：</w:t>
      </w:r>
    </w:p>
    <w:p w14:paraId="56E882C3">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1）艺术性：所有展品除了按照艺术规律进行高水平创作外，必须充分考虑与陈列主题的高度契合，重点处理好空间布局、展品组合、局部细节的艺术构思，使之成为“佳品荟萃、陈设精妙”的艺术殿堂。 </w:t>
      </w:r>
    </w:p>
    <w:p w14:paraId="0F2B97C3">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2）科学性：所有展示手段的运用必须符合历史类陈列展览的内在要求，要综合运用包括灯光、色调等的各种展示手段，尤其要恰当运用现代科技展示手段，注重实际效果而不喧宾夺主。 </w:t>
      </w:r>
    </w:p>
    <w:p w14:paraId="3A0DAF0C">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w:t>
      </w:r>
      <w:r>
        <w:rPr>
          <w:rFonts w:hint="eastAsia" w:ascii="宋体" w:hAnsi="宋体" w:eastAsia="宋体" w:cs="宋体"/>
          <w:color w:val="auto"/>
          <w:sz w:val="24"/>
          <w:szCs w:val="24"/>
          <w:highlight w:val="none"/>
          <w:lang w:val="en-US" w:eastAsia="zh-CN"/>
        </w:rPr>
        <w:t>洋溢</w:t>
      </w:r>
      <w:r>
        <w:rPr>
          <w:rFonts w:hint="eastAsia" w:ascii="宋体" w:hAnsi="宋体" w:eastAsia="宋体" w:cs="宋体"/>
          <w:color w:val="auto"/>
          <w:sz w:val="24"/>
          <w:szCs w:val="24"/>
          <w:highlight w:val="none"/>
        </w:rPr>
        <w:t xml:space="preserve">人文气息、体现人文关怀的的观览场所。 </w:t>
      </w:r>
    </w:p>
    <w:p w14:paraId="03EE80B5">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4）创新性：设计应有创新性，要有现代博物馆陈列展览必备的功能空间，追求简约、大气、厚重、高雅，无多余装饰、无多余粗糙或臆想的人造场景、无与内容主题无关的辅助展项。</w:t>
      </w:r>
    </w:p>
    <w:p w14:paraId="24728E5E">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5）安全性：所有展陈设施的设计，以及灯具、材料与工艺的选择必须确保文物展品的绝对安全，使用环保</w:t>
      </w:r>
      <w:r>
        <w:rPr>
          <w:rFonts w:hint="eastAsia" w:ascii="宋体" w:hAnsi="宋体" w:eastAsia="宋体" w:cs="宋体"/>
          <w:color w:val="auto"/>
          <w:sz w:val="24"/>
          <w:szCs w:val="24"/>
          <w:highlight w:val="none"/>
          <w:lang w:val="en-US" w:eastAsia="zh-CN"/>
        </w:rPr>
        <w:t>型</w:t>
      </w:r>
      <w:r>
        <w:rPr>
          <w:rFonts w:hint="eastAsia" w:ascii="宋体" w:hAnsi="宋体" w:eastAsia="宋体" w:cs="宋体"/>
          <w:color w:val="auto"/>
          <w:sz w:val="24"/>
          <w:szCs w:val="24"/>
          <w:highlight w:val="none"/>
        </w:rPr>
        <w:t>装饰材料。</w:t>
      </w:r>
    </w:p>
    <w:p w14:paraId="4B7F849B">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（2）辅助展品要求</w:t>
      </w:r>
    </w:p>
    <w:p w14:paraId="19D943FC">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体现科学性、艺术性、知识性，要有一定的科技含量，场景、模型、沙盘及人物形象等应有历史感、时代感、真实感，不应道具化。应起到形象地表达陈列思想，烘托主题，调节展览氛围，丰富陈列艺术形式的作用，而且安全耐用、维护成本低。</w:t>
      </w:r>
    </w:p>
    <w:p w14:paraId="6E4EE140">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（3）声光电设计的要求</w:t>
      </w:r>
    </w:p>
    <w:p w14:paraId="1DE44C54">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慎重选择声、光、电等现代科技展示手段的运用，不要喧宾夺主，避免声光对陈列环境的干扰。辅助陈列与艺术品的创作体裁运用得当，艺术表现形式得体，艺术水准高，声光电效果设计科学、合理并富有创意，而且技术要成熟、稳定，便于日常维护，节能、安全。</w:t>
      </w:r>
    </w:p>
    <w:p w14:paraId="7AE6F6FE">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科技互动项目必须提供设计图纸、科技原理图及说明、制作安装方案、技术保障措施及相关资料。互动项目需根据展项设置，提供触摸屏、透明屏设备以及播放互动程序制作。</w:t>
      </w:r>
    </w:p>
    <w:p w14:paraId="511F4573">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（4）其他</w:t>
      </w:r>
    </w:p>
    <w:p w14:paraId="202D996E">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1）文物的支架、台座支撑加固设计制作是确保文物安全，彰显文物历史魅力、重塑展柜内部空间的重要手段。支撑加固手法包括底垫、随形式支座、内部和背部隐藏式支架、悬空支撑和有机</w:t>
      </w:r>
      <w:r>
        <w:rPr>
          <w:rFonts w:hint="eastAsia" w:ascii="宋体" w:hAnsi="宋体" w:eastAsia="宋体" w:cs="宋体"/>
          <w:color w:val="auto"/>
          <w:sz w:val="24"/>
          <w:szCs w:val="24"/>
          <w:highlight w:val="none"/>
          <w:lang w:val="en-US" w:eastAsia="zh-CN"/>
        </w:rPr>
        <w:t>玻璃透明</w:t>
      </w:r>
      <w:r>
        <w:rPr>
          <w:rFonts w:hint="eastAsia" w:ascii="宋体" w:hAnsi="宋体" w:eastAsia="宋体" w:cs="宋体"/>
          <w:color w:val="auto"/>
          <w:sz w:val="24"/>
          <w:szCs w:val="24"/>
          <w:highlight w:val="none"/>
        </w:rPr>
        <w:t>背板台座等形式。要对重要文物事先做出支撑加固表现的图纸，分析其承重最佳支点，以安全为第一位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所设计制作的展具、垫层、支架等材料均应保证环保安全、无病虫害、不会对文物和展陈微环境产生污染</w:t>
      </w:r>
      <w:r>
        <w:rPr>
          <w:rFonts w:hint="eastAsia" w:ascii="宋体" w:hAnsi="宋体" w:eastAsia="宋体" w:cs="宋体"/>
          <w:color w:val="auto"/>
          <w:sz w:val="24"/>
          <w:szCs w:val="24"/>
          <w:highlight w:val="none"/>
        </w:rPr>
        <w:t>。</w:t>
      </w:r>
    </w:p>
    <w:p w14:paraId="0D05A1EC">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文物说明和标牌部分：①版式设计是展览的辅助展示手段，在展厅图片和文字说明要选择合适的版面语言，对版式空间布局、方图编排、色彩作用以及字体字号的选用特别是平面设计制作中色彩准确度，要有严格的要求，充分考虑观众的视觉适应力和舒适度。②图版制作中注意新材质、新工艺的运用，选取耐久不变形、不变色的材料。</w:t>
      </w:r>
    </w:p>
    <w:p w14:paraId="3589109D">
      <w:pPr>
        <w:widowControl/>
        <w:shd w:val="clear" w:color="auto" w:fill="FFFFFF"/>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val="0"/>
          <w:bCs w:val="0"/>
          <w:color w:val="auto"/>
          <w:sz w:val="24"/>
          <w:szCs w:val="24"/>
          <w:highlight w:val="none"/>
        </w:rPr>
        <w:t>项目现场条件</w:t>
      </w:r>
    </w:p>
    <w:p w14:paraId="7FB0B042">
      <w:pPr>
        <w:widowControl/>
        <w:shd w:val="clear" w:color="auto" w:fill="FFFFFF"/>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制作主体位于扬州中国大运河博物馆主馆二楼临展厅，现场内部基础装修已完成；安防、消防、楼宇控制、照明系统、强电、弱电等设施配置完善，三通一平达到制作条件要求。</w:t>
      </w:r>
    </w:p>
    <w:p w14:paraId="1016DA9C">
      <w:pPr>
        <w:widowControl/>
        <w:shd w:val="clear" w:color="auto" w:fill="FFFFFF"/>
        <w:spacing w:line="360" w:lineRule="auto"/>
        <w:ind w:firstLine="482" w:firstLineChars="20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6、</w:t>
      </w:r>
      <w:r>
        <w:rPr>
          <w:rFonts w:hint="eastAsia" w:ascii="宋体" w:hAnsi="宋体" w:eastAsia="宋体" w:cs="宋体"/>
          <w:b w:val="0"/>
          <w:bCs w:val="0"/>
          <w:color w:val="auto"/>
          <w:sz w:val="24"/>
          <w:szCs w:val="24"/>
          <w:highlight w:val="none"/>
          <w:lang w:val="en-US"/>
        </w:rPr>
        <w:t>本项目采用的有关技术规范</w:t>
      </w:r>
    </w:p>
    <w:p w14:paraId="21526A71">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《建筑工程施工质量验收统一标准》GB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rPr>
        <w:t>50300-2013</w:t>
      </w:r>
    </w:p>
    <w:p w14:paraId="3CDCD795">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《建筑装饰装修工程质量验收标准》GB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rPr>
        <w:t>50210-2018</w:t>
      </w:r>
    </w:p>
    <w:p w14:paraId="518A0E38">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《博物馆陈列展览形式设计与施工规范》WW/T 0089-2018</w:t>
      </w:r>
    </w:p>
    <w:p w14:paraId="246D8AC7">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《博物馆照明设计规范》</w:t>
      </w:r>
    </w:p>
    <w:p w14:paraId="29F66CAC">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《文物展柜质量评估标准》</w:t>
      </w:r>
    </w:p>
    <w:p w14:paraId="63E2F8B0">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装修材料应当符合国家颁布的《建筑内部装修设计防火规范》以及其它现行的国家标准和规范要求。</w:t>
      </w:r>
    </w:p>
    <w:p w14:paraId="6A24219C">
      <w:pPr>
        <w:widowControl/>
        <w:shd w:val="clear" w:color="auto" w:fill="FFFFFF"/>
        <w:spacing w:line="360" w:lineRule="auto"/>
        <w:ind w:firstLine="482" w:firstLineChars="20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7、</w:t>
      </w:r>
      <w:r>
        <w:rPr>
          <w:rFonts w:hint="eastAsia" w:ascii="宋体" w:hAnsi="宋体" w:eastAsia="宋体" w:cs="宋体"/>
          <w:b w:val="0"/>
          <w:bCs w:val="0"/>
          <w:color w:val="auto"/>
          <w:sz w:val="24"/>
          <w:szCs w:val="24"/>
          <w:highlight w:val="none"/>
          <w:lang w:val="en-US"/>
        </w:rPr>
        <w:t>安全要求</w:t>
      </w:r>
    </w:p>
    <w:p w14:paraId="0DE20A25">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（1）必须遵守国家安全生产法律法规和有关规程规范，中标人对项目安全负全责。</w:t>
      </w:r>
    </w:p>
    <w:p w14:paraId="6454EE07">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（2）中标人应设有专职安监人员，对项目过程中落实安全措施，预防事故发生。</w:t>
      </w:r>
    </w:p>
    <w:p w14:paraId="5170081F">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（3）中标人应按采购人要求提供项目安全资料。</w:t>
      </w:r>
    </w:p>
    <w:p w14:paraId="1867B061">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4）中标人应在项目执行范围装设临时围栏或警告标志，不得超越指定的范围进行制作，禁止无关人员进入现场。未经采购人同意，中标人不得擅自使用与制作无关的采购人设施设备；不得擅自拆除、变更采购人防护设施及标示。</w:t>
      </w:r>
    </w:p>
    <w:p w14:paraId="07DC42C2">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（5）中标人在项目过程中如需使用电、水源、通讯资源，应事先与采购人取得联系，经采购人批准后方可使用，不得私拉乱接。中断作业或遇故障应立即切断有关开关。</w:t>
      </w:r>
    </w:p>
    <w:p w14:paraId="66A6C488">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（6）中标人在项目过程中应确保安全文明，做到人离场清。</w:t>
      </w:r>
    </w:p>
    <w:p w14:paraId="31D8EE5C">
      <w:pPr>
        <w:widowControl/>
        <w:shd w:val="clear" w:color="auto" w:fill="FFFFFF"/>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（7）中标人必须接受采购人的监督、检查，对采购人提出的安全整改意见必须及时整改。</w:t>
      </w:r>
    </w:p>
    <w:p w14:paraId="75A68AE2">
      <w:pPr>
        <w:widowControl/>
        <w:shd w:val="clear" w:color="auto" w:fill="FFFFFF"/>
        <w:spacing w:line="360" w:lineRule="auto"/>
        <w:ind w:firstLine="482" w:firstLineChars="200"/>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lang w:val="en-US"/>
        </w:rPr>
        <w:t>8、</w:t>
      </w:r>
      <w:r>
        <w:rPr>
          <w:rFonts w:hint="eastAsia" w:ascii="宋体" w:hAnsi="宋体" w:eastAsia="宋体" w:cs="宋体"/>
          <w:b w:val="0"/>
          <w:bCs w:val="0"/>
          <w:color w:val="auto"/>
          <w:sz w:val="24"/>
          <w:szCs w:val="24"/>
          <w:highlight w:val="none"/>
          <w:lang w:val="en-US"/>
        </w:rPr>
        <w:t>临时展览由于造景结构形式复杂、质量标准要求高、形式需要新颖、材料多样多变、需要成交</w:t>
      </w:r>
      <w:r>
        <w:rPr>
          <w:rFonts w:hint="eastAsia"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rPr>
        <w:t>具备并提供在相关艺术领域制作的经验和案例。</w:t>
      </w:r>
    </w:p>
    <w:p w14:paraId="0545B672">
      <w:pPr>
        <w:widowControl/>
        <w:shd w:val="clear" w:color="auto" w:fill="FFFFFF"/>
        <w:spacing w:line="360" w:lineRule="auto"/>
        <w:ind w:firstLine="482" w:firstLineChars="200"/>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lang w:val="en-US"/>
        </w:rPr>
        <w:t>9、</w:t>
      </w:r>
      <w:r>
        <w:rPr>
          <w:rFonts w:hint="eastAsia" w:ascii="宋体" w:hAnsi="宋体" w:eastAsia="宋体" w:cs="宋体"/>
          <w:b w:val="0"/>
          <w:bCs w:val="0"/>
          <w:color w:val="auto"/>
          <w:sz w:val="24"/>
          <w:szCs w:val="24"/>
          <w:highlight w:val="none"/>
          <w:lang w:val="en-US"/>
        </w:rPr>
        <w:t>制作材料符合环保、消防要求。其中，用于挂画的背板厚度不低于6MM</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rPr>
        <w:t>新做展柜</w:t>
      </w:r>
      <w:r>
        <w:rPr>
          <w:rFonts w:hint="eastAsia" w:ascii="宋体" w:hAnsi="宋体" w:eastAsia="宋体" w:cs="宋体"/>
          <w:b w:val="0"/>
          <w:bCs w:val="0"/>
          <w:color w:val="auto"/>
          <w:sz w:val="24"/>
          <w:szCs w:val="24"/>
          <w:highlight w:val="none"/>
          <w:lang w:val="en-US" w:eastAsia="zh-CN"/>
        </w:rPr>
        <w:t>布线应按电气相关规范敷设，采用隐藏式处理，线路不得直接裸露在地面上，线路接头处应牢靠，采用固定接入方式；展柜内设备具备独立开关控制器，同时配备漏电保护器，预留弱点接口，电容量及布线考虑增加设备及日后升级需求；展柜背板等</w:t>
      </w:r>
      <w:r>
        <w:rPr>
          <w:rFonts w:hint="eastAsia" w:ascii="宋体" w:hAnsi="宋体" w:eastAsia="宋体" w:cs="宋体"/>
          <w:b w:val="0"/>
          <w:bCs w:val="0"/>
          <w:color w:val="auto"/>
          <w:sz w:val="24"/>
          <w:szCs w:val="24"/>
          <w:highlight w:val="none"/>
          <w:lang w:val="en-US"/>
        </w:rPr>
        <w:t>须以低甲醛防火夹板建造，并以无酸胶水封边</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rPr>
        <w:t>定制展柜玻璃边角需要倒角；裸展展品展台边角或压线条需倒角并避免尖锐角产生的危险。</w:t>
      </w:r>
    </w:p>
    <w:p w14:paraId="51C98CCC">
      <w:pPr>
        <w:widowControl/>
        <w:shd w:val="clear" w:color="auto" w:fill="FFFFFF"/>
        <w:spacing w:line="360" w:lineRule="auto"/>
        <w:ind w:firstLine="482" w:firstLineChars="200"/>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lang w:val="en-US"/>
        </w:rPr>
        <w:t>10、</w:t>
      </w:r>
      <w:r>
        <w:rPr>
          <w:rFonts w:hint="eastAsia" w:ascii="宋体" w:hAnsi="宋体" w:eastAsia="宋体" w:cs="宋体"/>
          <w:b w:val="0"/>
          <w:bCs w:val="0"/>
          <w:color w:val="auto"/>
          <w:sz w:val="24"/>
          <w:szCs w:val="24"/>
          <w:highlight w:val="none"/>
          <w:lang w:val="en-US"/>
        </w:rPr>
        <w:t>成品保护：制作方在展览制作过程中设备材料运输需注意展馆内的成品保护，若有损坏需照价赔偿，进场前与馆方签订承诺书。</w:t>
      </w:r>
    </w:p>
    <w:p w14:paraId="348493F3">
      <w:pPr>
        <w:widowControl/>
        <w:shd w:val="clear" w:color="auto" w:fill="FFFFFF"/>
        <w:spacing w:line="360" w:lineRule="auto"/>
        <w:ind w:firstLine="482" w:firstLineChars="200"/>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rPr>
        <w:t>11、</w:t>
      </w:r>
      <w:r>
        <w:rPr>
          <w:rFonts w:hint="eastAsia" w:ascii="宋体" w:hAnsi="宋体" w:eastAsia="宋体" w:cs="宋体"/>
          <w:b w:val="0"/>
          <w:bCs w:val="0"/>
          <w:color w:val="auto"/>
          <w:sz w:val="24"/>
          <w:szCs w:val="24"/>
          <w:highlight w:val="none"/>
          <w:lang w:val="en-US"/>
        </w:rPr>
        <w:t>噪音及扬尘等控制：展厅制作不得影响馆内观众的正常参观，白天禁止有噪音及有扬尘的制作，要有完善的降尘措施。每周一为闭馆时间，</w:t>
      </w:r>
      <w:r>
        <w:rPr>
          <w:rFonts w:hint="eastAsia" w:ascii="宋体" w:hAnsi="宋体" w:eastAsia="宋体" w:cs="宋体"/>
          <w:color w:val="auto"/>
          <w:sz w:val="24"/>
          <w:szCs w:val="24"/>
          <w:highlight w:val="none"/>
          <w:lang w:val="en-US"/>
        </w:rPr>
        <w:t>全天可以正常制作。现场应及时清理垃圾，保持场地清洁和有序，不得堆放建筑垃圾或有害垃圾。</w:t>
      </w:r>
    </w:p>
    <w:p w14:paraId="51852818">
      <w:pPr>
        <w:widowControl/>
        <w:shd w:val="clear" w:color="auto" w:fill="FFFFFF"/>
        <w:spacing w:line="360" w:lineRule="auto"/>
        <w:ind w:firstLine="482" w:firstLineChars="200"/>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rPr>
        <w:t>12、</w:t>
      </w:r>
      <w:r>
        <w:rPr>
          <w:rFonts w:hint="eastAsia" w:ascii="宋体" w:hAnsi="宋体" w:eastAsia="宋体" w:cs="宋体"/>
          <w:color w:val="auto"/>
          <w:sz w:val="24"/>
          <w:szCs w:val="24"/>
          <w:highlight w:val="none"/>
          <w:lang w:val="en-US"/>
        </w:rPr>
        <w:t>展览结束后，按照采购人要求进行撤展并恢复展厅至进场前状态。</w:t>
      </w:r>
    </w:p>
    <w:p w14:paraId="388EC5CD">
      <w:pPr>
        <w:widowControl/>
        <w:shd w:val="clear" w:color="auto" w:fill="FFFFFF"/>
        <w:spacing w:line="360" w:lineRule="auto"/>
        <w:ind w:firstLine="241" w:firstLineChars="1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w:t>
      </w:r>
      <w:r>
        <w:rPr>
          <w:rFonts w:hint="eastAsia" w:ascii="宋体" w:hAnsi="宋体" w:eastAsia="宋体" w:cs="宋体"/>
          <w:b w:val="0"/>
          <w:bCs w:val="0"/>
          <w:color w:val="auto"/>
          <w:sz w:val="24"/>
          <w:szCs w:val="24"/>
          <w:highlight w:val="none"/>
          <w:lang w:val="en-US" w:eastAsia="zh-CN"/>
        </w:rPr>
        <w:t>在本项目服务期间，如发生因</w:t>
      </w:r>
      <w:r>
        <w:rPr>
          <w:rFonts w:hint="eastAsia" w:ascii="宋体" w:hAnsi="宋体" w:cs="仿宋"/>
          <w:bCs/>
          <w:color w:val="auto"/>
          <w:sz w:val="24"/>
          <w:szCs w:val="24"/>
          <w:highlight w:val="none"/>
        </w:rPr>
        <w:t>中标人</w:t>
      </w:r>
      <w:r>
        <w:rPr>
          <w:rFonts w:hint="eastAsia" w:ascii="宋体" w:hAnsi="宋体" w:eastAsia="宋体" w:cs="宋体"/>
          <w:b w:val="0"/>
          <w:bCs w:val="0"/>
          <w:color w:val="auto"/>
          <w:sz w:val="24"/>
          <w:szCs w:val="24"/>
          <w:highlight w:val="none"/>
          <w:lang w:val="en-US" w:eastAsia="zh-CN"/>
        </w:rPr>
        <w:t>自身展陈制作相关原因引发的文物安全相关事故，</w:t>
      </w:r>
      <w:r>
        <w:rPr>
          <w:rFonts w:hint="eastAsia" w:ascii="宋体" w:hAnsi="宋体" w:cs="仿宋"/>
          <w:bCs/>
          <w:color w:val="auto"/>
          <w:sz w:val="24"/>
          <w:szCs w:val="24"/>
          <w:highlight w:val="none"/>
        </w:rPr>
        <w:t>中标人</w:t>
      </w:r>
      <w:r>
        <w:rPr>
          <w:rFonts w:hint="eastAsia" w:ascii="宋体" w:hAnsi="宋体" w:eastAsia="宋体" w:cs="宋体"/>
          <w:b w:val="0"/>
          <w:bCs w:val="0"/>
          <w:color w:val="auto"/>
          <w:sz w:val="24"/>
          <w:szCs w:val="24"/>
          <w:highlight w:val="none"/>
          <w:lang w:val="en-US" w:eastAsia="zh-CN"/>
        </w:rPr>
        <w:t>须承担一切责任（包含连带赔偿责任等）。（须提供承诺书，格式自拟）</w:t>
      </w:r>
    </w:p>
    <w:p w14:paraId="71D58D9C">
      <w:pPr>
        <w:adjustRightInd w:val="0"/>
        <w:snapToGrid w:val="0"/>
        <w:spacing w:line="360" w:lineRule="auto"/>
        <w:ind w:firstLine="482" w:firstLineChars="200"/>
        <w:jc w:val="center"/>
        <w:rPr>
          <w:rFonts w:hint="eastAsia" w:ascii="宋体" w:hAnsi="宋体" w:cs="宋体"/>
          <w:b/>
          <w:bCs/>
          <w:color w:val="auto"/>
          <w:sz w:val="24"/>
          <w:szCs w:val="24"/>
          <w:highlight w:val="none"/>
        </w:rPr>
      </w:pPr>
      <w:bookmarkStart w:id="16" w:name="_Toc27448"/>
      <w:bookmarkStart w:id="17" w:name="_Toc28983"/>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rPr>
        <w:t>（二）商务要求</w:t>
      </w:r>
    </w:p>
    <w:p w14:paraId="713807E4">
      <w:pPr>
        <w:numPr>
          <w:ilvl w:val="0"/>
          <w:numId w:val="4"/>
        </w:numPr>
        <w:adjustRightInd w:val="0"/>
        <w:snapToGrid w:val="0"/>
        <w:spacing w:line="360" w:lineRule="auto"/>
        <w:ind w:firstLine="482" w:firstLineChars="200"/>
        <w:rPr>
          <w:rFonts w:hint="default" w:ascii="宋体" w:hAnsi="宋体" w:cs="仿宋"/>
          <w:b/>
          <w:bCs w:val="0"/>
          <w:color w:val="auto"/>
          <w:sz w:val="24"/>
          <w:szCs w:val="24"/>
          <w:highlight w:val="none"/>
        </w:rPr>
      </w:pPr>
      <w:r>
        <w:rPr>
          <w:rFonts w:hint="default" w:ascii="宋体" w:hAnsi="宋体" w:cs="仿宋"/>
          <w:b/>
          <w:bCs w:val="0"/>
          <w:color w:val="auto"/>
          <w:sz w:val="24"/>
          <w:szCs w:val="24"/>
          <w:highlight w:val="none"/>
        </w:rPr>
        <w:t>交货期</w:t>
      </w:r>
    </w:p>
    <w:p w14:paraId="587CB908">
      <w:pPr>
        <w:numPr>
          <w:ilvl w:val="0"/>
          <w:numId w:val="0"/>
        </w:numPr>
        <w:adjustRightInd w:val="0"/>
        <w:snapToGrid w:val="0"/>
        <w:spacing w:line="360" w:lineRule="auto"/>
        <w:ind w:firstLine="720" w:firstLineChars="0"/>
        <w:rPr>
          <w:rFonts w:hint="default" w:ascii="宋体" w:hAnsi="宋体" w:cs="仿宋"/>
          <w:bCs/>
          <w:color w:val="auto"/>
          <w:sz w:val="24"/>
          <w:szCs w:val="24"/>
          <w:highlight w:val="none"/>
        </w:rPr>
      </w:pPr>
      <w:r>
        <w:rPr>
          <w:rFonts w:hint="eastAsia" w:cs="仿宋"/>
          <w:b/>
          <w:bCs w:val="0"/>
          <w:color w:val="auto"/>
          <w:sz w:val="24"/>
          <w:szCs w:val="24"/>
          <w:highlight w:val="none"/>
          <w:lang w:val="en-US" w:eastAsia="zh-CN"/>
        </w:rPr>
        <w:t>2026年9月16日前设计、供货并制作完成</w:t>
      </w:r>
      <w:r>
        <w:rPr>
          <w:rFonts w:hint="default" w:ascii="宋体" w:hAnsi="宋体" w:cs="仿宋"/>
          <w:b/>
          <w:bCs w:val="0"/>
          <w:color w:val="auto"/>
          <w:sz w:val="24"/>
          <w:szCs w:val="24"/>
          <w:highlight w:val="none"/>
        </w:rPr>
        <w:t>。</w:t>
      </w:r>
    </w:p>
    <w:p w14:paraId="0828E485">
      <w:pPr>
        <w:adjustRightInd w:val="0"/>
        <w:snapToGrid w:val="0"/>
        <w:spacing w:line="360" w:lineRule="auto"/>
        <w:ind w:firstLine="482" w:firstLineChars="200"/>
        <w:rPr>
          <w:rFonts w:hint="default" w:ascii="宋体" w:hAnsi="宋体" w:cs="仿宋"/>
          <w:b/>
          <w:bCs w:val="0"/>
          <w:color w:val="auto"/>
          <w:sz w:val="24"/>
          <w:szCs w:val="24"/>
          <w:highlight w:val="none"/>
        </w:rPr>
      </w:pPr>
      <w:r>
        <w:rPr>
          <w:rFonts w:hint="eastAsia"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w:t>
      </w:r>
      <w:r>
        <w:rPr>
          <w:rFonts w:hint="default" w:ascii="宋体" w:hAnsi="宋体" w:cs="仿宋"/>
          <w:b/>
          <w:bCs w:val="0"/>
          <w:color w:val="auto"/>
          <w:sz w:val="24"/>
          <w:szCs w:val="24"/>
          <w:highlight w:val="none"/>
        </w:rPr>
        <w:t>付款方式</w:t>
      </w:r>
    </w:p>
    <w:p w14:paraId="49DE9013">
      <w:pPr>
        <w:adjustRightInd w:val="0"/>
        <w:snapToGrid w:val="0"/>
        <w:spacing w:line="360" w:lineRule="auto"/>
        <w:ind w:firstLine="480" w:firstLineChars="200"/>
        <w:rPr>
          <w:rFonts w:hint="default" w:ascii="宋体" w:hAnsi="宋体" w:cs="仿宋"/>
          <w:bCs/>
          <w:color w:val="auto"/>
          <w:sz w:val="24"/>
          <w:szCs w:val="24"/>
          <w:highlight w:val="none"/>
        </w:rPr>
      </w:pPr>
      <w:r>
        <w:rPr>
          <w:rFonts w:hint="default" w:ascii="宋体" w:hAnsi="宋体" w:cs="仿宋"/>
          <w:bCs/>
          <w:color w:val="auto"/>
          <w:sz w:val="24"/>
          <w:szCs w:val="24"/>
          <w:highlight w:val="none"/>
        </w:rPr>
        <w:t>第一次付款：签订合同</w:t>
      </w:r>
      <w:r>
        <w:rPr>
          <w:rFonts w:hint="eastAsia" w:ascii="宋体" w:hAnsi="宋体" w:cs="仿宋"/>
          <w:bCs/>
          <w:color w:val="auto"/>
          <w:sz w:val="24"/>
          <w:szCs w:val="24"/>
          <w:highlight w:val="none"/>
          <w:lang w:val="en-US" w:eastAsia="zh-CN"/>
        </w:rPr>
        <w:t>后且</w:t>
      </w:r>
      <w:r>
        <w:rPr>
          <w:rFonts w:hint="eastAsia" w:cs="仿宋"/>
          <w:bCs/>
          <w:color w:val="auto"/>
          <w:sz w:val="24"/>
          <w:szCs w:val="24"/>
          <w:highlight w:val="none"/>
          <w:lang w:val="en-US" w:eastAsia="zh-CN"/>
        </w:rPr>
        <w:t>收到中标人</w:t>
      </w:r>
      <w:r>
        <w:rPr>
          <w:rFonts w:hint="default" w:ascii="宋体" w:hAnsi="宋体" w:cs="仿宋"/>
          <w:bCs/>
          <w:color w:val="auto"/>
          <w:sz w:val="24"/>
          <w:szCs w:val="24"/>
          <w:highlight w:val="none"/>
        </w:rPr>
        <w:t>开具正规发票后</w:t>
      </w:r>
      <w:r>
        <w:rPr>
          <w:rFonts w:hint="eastAsia" w:ascii="宋体" w:hAnsi="宋体" w:cs="仿宋"/>
          <w:bCs/>
          <w:color w:val="auto"/>
          <w:sz w:val="24"/>
          <w:szCs w:val="24"/>
          <w:highlight w:val="none"/>
          <w:lang w:val="en-US" w:eastAsia="zh-CN"/>
        </w:rPr>
        <w:t>25</w:t>
      </w:r>
      <w:r>
        <w:rPr>
          <w:rFonts w:hint="default" w:ascii="宋体" w:hAnsi="宋体" w:cs="仿宋"/>
          <w:bCs/>
          <w:color w:val="auto"/>
          <w:sz w:val="24"/>
          <w:szCs w:val="24"/>
          <w:highlight w:val="none"/>
        </w:rPr>
        <w:t>个工作日内，支付合同金额的40%；</w:t>
      </w:r>
    </w:p>
    <w:p w14:paraId="2CB02899">
      <w:pPr>
        <w:adjustRightInd w:val="0"/>
        <w:snapToGrid w:val="0"/>
        <w:spacing w:line="360" w:lineRule="auto"/>
        <w:ind w:firstLine="480" w:firstLineChars="200"/>
        <w:rPr>
          <w:rFonts w:hint="default" w:ascii="宋体" w:hAnsi="宋体" w:cs="仿宋"/>
          <w:bCs/>
          <w:color w:val="auto"/>
          <w:sz w:val="24"/>
          <w:szCs w:val="24"/>
          <w:highlight w:val="none"/>
        </w:rPr>
      </w:pPr>
      <w:r>
        <w:rPr>
          <w:rFonts w:hint="default" w:ascii="宋体" w:hAnsi="宋体" w:cs="仿宋"/>
          <w:bCs/>
          <w:color w:val="auto"/>
          <w:sz w:val="24"/>
          <w:szCs w:val="24"/>
          <w:highlight w:val="none"/>
        </w:rPr>
        <w:t>第二次付款：布展完成、</w:t>
      </w:r>
      <w:r>
        <w:rPr>
          <w:rFonts w:hint="eastAsia" w:cs="仿宋"/>
          <w:bCs/>
          <w:color w:val="auto"/>
          <w:sz w:val="24"/>
          <w:szCs w:val="24"/>
          <w:highlight w:val="none"/>
          <w:lang w:val="en-US" w:eastAsia="zh-CN"/>
        </w:rPr>
        <w:t>中标人</w:t>
      </w:r>
      <w:r>
        <w:rPr>
          <w:rFonts w:hint="eastAsia" w:ascii="宋体" w:hAnsi="宋体" w:cs="仿宋"/>
          <w:bCs/>
          <w:color w:val="auto"/>
          <w:sz w:val="24"/>
          <w:szCs w:val="24"/>
          <w:highlight w:val="none"/>
          <w:lang w:val="en-US" w:eastAsia="zh-CN"/>
        </w:rPr>
        <w:t>完整</w:t>
      </w:r>
      <w:r>
        <w:rPr>
          <w:rFonts w:hint="default" w:ascii="宋体" w:hAnsi="宋体" w:cs="仿宋"/>
          <w:bCs/>
          <w:color w:val="auto"/>
          <w:sz w:val="24"/>
          <w:szCs w:val="24"/>
          <w:highlight w:val="none"/>
        </w:rPr>
        <w:t>递交项目资料</w:t>
      </w:r>
      <w:r>
        <w:rPr>
          <w:rFonts w:hint="eastAsia" w:ascii="宋体" w:hAnsi="宋体" w:cs="仿宋"/>
          <w:bCs/>
          <w:color w:val="auto"/>
          <w:sz w:val="24"/>
          <w:szCs w:val="24"/>
          <w:highlight w:val="none"/>
          <w:lang w:eastAsia="zh-CN"/>
        </w:rPr>
        <w:t>、</w:t>
      </w:r>
      <w:r>
        <w:rPr>
          <w:rFonts w:hint="eastAsia" w:ascii="宋体" w:hAnsi="宋体" w:cs="仿宋"/>
          <w:bCs/>
          <w:color w:val="auto"/>
          <w:sz w:val="24"/>
          <w:szCs w:val="24"/>
          <w:highlight w:val="none"/>
          <w:lang w:val="en-US" w:eastAsia="zh-CN"/>
        </w:rPr>
        <w:t>出具结项报告</w:t>
      </w:r>
      <w:r>
        <w:rPr>
          <w:rFonts w:hint="default" w:ascii="宋体" w:hAnsi="宋体" w:cs="仿宋"/>
          <w:bCs/>
          <w:color w:val="auto"/>
          <w:sz w:val="24"/>
          <w:szCs w:val="24"/>
          <w:highlight w:val="none"/>
        </w:rPr>
        <w:t>且经采购人验收合格后</w:t>
      </w:r>
      <w:r>
        <w:rPr>
          <w:rFonts w:hint="eastAsia" w:ascii="宋体" w:hAnsi="宋体" w:cs="仿宋"/>
          <w:bCs/>
          <w:color w:val="auto"/>
          <w:sz w:val="24"/>
          <w:szCs w:val="24"/>
          <w:highlight w:val="none"/>
          <w:lang w:eastAsia="zh-CN"/>
        </w:rPr>
        <w:t>，</w:t>
      </w:r>
      <w:r>
        <w:rPr>
          <w:rFonts w:hint="eastAsia" w:ascii="宋体" w:hAnsi="宋体" w:cs="仿宋"/>
          <w:bCs/>
          <w:color w:val="auto"/>
          <w:sz w:val="24"/>
          <w:szCs w:val="24"/>
          <w:highlight w:val="none"/>
          <w:lang w:val="en-US" w:eastAsia="zh-CN"/>
        </w:rPr>
        <w:t>采购人通知</w:t>
      </w:r>
      <w:r>
        <w:rPr>
          <w:rFonts w:hint="eastAsia" w:cs="仿宋"/>
          <w:bCs/>
          <w:color w:val="auto"/>
          <w:sz w:val="24"/>
          <w:szCs w:val="24"/>
          <w:highlight w:val="none"/>
          <w:lang w:val="en-US" w:eastAsia="zh-CN"/>
        </w:rPr>
        <w:t>中标人</w:t>
      </w:r>
      <w:r>
        <w:rPr>
          <w:rFonts w:hint="default" w:ascii="宋体" w:hAnsi="宋体" w:cs="仿宋"/>
          <w:bCs/>
          <w:color w:val="auto"/>
          <w:sz w:val="24"/>
          <w:szCs w:val="24"/>
          <w:highlight w:val="none"/>
        </w:rPr>
        <w:t>开具正规发票</w:t>
      </w:r>
      <w:r>
        <w:rPr>
          <w:rFonts w:hint="eastAsia" w:ascii="宋体" w:hAnsi="宋体" w:cs="仿宋"/>
          <w:bCs/>
          <w:color w:val="auto"/>
          <w:sz w:val="24"/>
          <w:szCs w:val="24"/>
          <w:highlight w:val="none"/>
          <w:lang w:eastAsia="zh-CN"/>
        </w:rPr>
        <w:t>，</w:t>
      </w:r>
      <w:r>
        <w:rPr>
          <w:rFonts w:hint="eastAsia" w:ascii="宋体" w:hAnsi="宋体" w:cs="仿宋"/>
          <w:bCs/>
          <w:color w:val="auto"/>
          <w:sz w:val="24"/>
          <w:szCs w:val="24"/>
          <w:highlight w:val="none"/>
          <w:lang w:val="en-US" w:eastAsia="zh-CN"/>
        </w:rPr>
        <w:t>收到发票</w:t>
      </w:r>
      <w:r>
        <w:rPr>
          <w:rFonts w:hint="default" w:ascii="宋体" w:hAnsi="宋体" w:cs="仿宋"/>
          <w:bCs/>
          <w:color w:val="auto"/>
          <w:sz w:val="24"/>
          <w:szCs w:val="24"/>
          <w:highlight w:val="none"/>
        </w:rPr>
        <w:t>后</w:t>
      </w:r>
      <w:r>
        <w:rPr>
          <w:rFonts w:hint="eastAsia" w:ascii="宋体" w:hAnsi="宋体" w:cs="仿宋"/>
          <w:bCs/>
          <w:color w:val="auto"/>
          <w:sz w:val="24"/>
          <w:szCs w:val="24"/>
          <w:highlight w:val="none"/>
          <w:lang w:val="en-US" w:eastAsia="zh-CN"/>
        </w:rPr>
        <w:t>25</w:t>
      </w:r>
      <w:r>
        <w:rPr>
          <w:rFonts w:hint="default" w:ascii="宋体" w:hAnsi="宋体" w:cs="仿宋"/>
          <w:bCs/>
          <w:color w:val="auto"/>
          <w:sz w:val="24"/>
          <w:szCs w:val="24"/>
          <w:highlight w:val="none"/>
        </w:rPr>
        <w:t>个工作日内，支付至合同金额的</w:t>
      </w:r>
      <w:r>
        <w:rPr>
          <w:rFonts w:hint="eastAsia" w:ascii="宋体" w:hAnsi="宋体" w:cs="仿宋"/>
          <w:bCs/>
          <w:color w:val="auto"/>
          <w:sz w:val="24"/>
          <w:szCs w:val="24"/>
          <w:highlight w:val="none"/>
          <w:lang w:val="en-US" w:eastAsia="zh-CN"/>
        </w:rPr>
        <w:t>9</w:t>
      </w:r>
      <w:r>
        <w:rPr>
          <w:rFonts w:hint="eastAsia" w:cs="仿宋"/>
          <w:bCs/>
          <w:color w:val="auto"/>
          <w:sz w:val="24"/>
          <w:szCs w:val="24"/>
          <w:highlight w:val="none"/>
          <w:lang w:val="en-US" w:eastAsia="zh-CN"/>
        </w:rPr>
        <w:t>5</w:t>
      </w:r>
      <w:r>
        <w:rPr>
          <w:rFonts w:hint="default" w:ascii="宋体" w:hAnsi="宋体" w:cs="仿宋"/>
          <w:bCs/>
          <w:color w:val="auto"/>
          <w:sz w:val="24"/>
          <w:szCs w:val="24"/>
          <w:highlight w:val="none"/>
        </w:rPr>
        <w:t>%；</w:t>
      </w:r>
    </w:p>
    <w:p w14:paraId="7E508E1D">
      <w:pPr>
        <w:adjustRightInd w:val="0"/>
        <w:snapToGrid w:val="0"/>
        <w:spacing w:line="360" w:lineRule="auto"/>
        <w:ind w:firstLine="480" w:firstLineChars="200"/>
        <w:rPr>
          <w:rFonts w:hint="default" w:ascii="宋体" w:hAnsi="宋体" w:cs="仿宋"/>
          <w:bCs/>
          <w:color w:val="auto"/>
          <w:sz w:val="24"/>
          <w:szCs w:val="24"/>
          <w:highlight w:val="none"/>
        </w:rPr>
      </w:pPr>
      <w:r>
        <w:rPr>
          <w:rFonts w:hint="default" w:ascii="宋体" w:hAnsi="宋体" w:cs="仿宋"/>
          <w:bCs/>
          <w:color w:val="auto"/>
          <w:sz w:val="24"/>
          <w:szCs w:val="24"/>
          <w:highlight w:val="none"/>
        </w:rPr>
        <w:t>第三次付款：展览结束后，按照</w:t>
      </w:r>
      <w:r>
        <w:rPr>
          <w:rFonts w:hint="eastAsia" w:ascii="宋体" w:hAnsi="宋体" w:cs="仿宋"/>
          <w:bCs/>
          <w:color w:val="auto"/>
          <w:sz w:val="24"/>
          <w:szCs w:val="24"/>
          <w:highlight w:val="none"/>
          <w:lang w:val="en-US" w:eastAsia="zh-CN"/>
        </w:rPr>
        <w:t>采购人</w:t>
      </w:r>
      <w:r>
        <w:rPr>
          <w:rFonts w:hint="default" w:ascii="宋体" w:hAnsi="宋体" w:cs="仿宋"/>
          <w:bCs/>
          <w:color w:val="auto"/>
          <w:sz w:val="24"/>
          <w:szCs w:val="24"/>
          <w:highlight w:val="none"/>
        </w:rPr>
        <w:t>要求将展厅恢复至进场前状态，收到</w:t>
      </w:r>
      <w:r>
        <w:rPr>
          <w:rFonts w:hint="eastAsia" w:cs="仿宋"/>
          <w:bCs/>
          <w:color w:val="auto"/>
          <w:sz w:val="24"/>
          <w:szCs w:val="24"/>
          <w:highlight w:val="none"/>
          <w:lang w:val="en-US" w:eastAsia="zh-CN"/>
        </w:rPr>
        <w:t>中标人</w:t>
      </w:r>
      <w:r>
        <w:rPr>
          <w:rFonts w:hint="default" w:ascii="宋体" w:hAnsi="宋体" w:cs="仿宋"/>
          <w:bCs/>
          <w:color w:val="auto"/>
          <w:sz w:val="24"/>
          <w:szCs w:val="24"/>
          <w:highlight w:val="none"/>
        </w:rPr>
        <w:t>开具的正规发票后</w:t>
      </w:r>
      <w:r>
        <w:rPr>
          <w:rFonts w:hint="eastAsia" w:ascii="宋体" w:hAnsi="宋体" w:cs="仿宋"/>
          <w:bCs/>
          <w:color w:val="auto"/>
          <w:sz w:val="24"/>
          <w:szCs w:val="24"/>
          <w:highlight w:val="none"/>
          <w:lang w:val="en-US" w:eastAsia="zh-CN"/>
        </w:rPr>
        <w:t>25</w:t>
      </w:r>
      <w:r>
        <w:rPr>
          <w:rFonts w:hint="default" w:ascii="宋体" w:hAnsi="宋体" w:cs="仿宋"/>
          <w:bCs/>
          <w:color w:val="auto"/>
          <w:sz w:val="24"/>
          <w:szCs w:val="24"/>
          <w:highlight w:val="none"/>
        </w:rPr>
        <w:t>个工作日内，支付至合同金额的100%。</w:t>
      </w:r>
    </w:p>
    <w:p w14:paraId="0864E7EE">
      <w:pPr>
        <w:adjustRightInd w:val="0"/>
        <w:snapToGrid w:val="0"/>
        <w:spacing w:line="360" w:lineRule="auto"/>
        <w:ind w:firstLine="482" w:firstLineChars="200"/>
        <w:rPr>
          <w:rFonts w:hint="default" w:ascii="宋体" w:hAnsi="宋体" w:cs="仿宋"/>
          <w:b/>
          <w:bCs/>
          <w:color w:val="auto"/>
          <w:sz w:val="24"/>
          <w:szCs w:val="24"/>
          <w:highlight w:val="none"/>
        </w:rPr>
      </w:pPr>
      <w:r>
        <w:rPr>
          <w:rFonts w:hint="eastAsia" w:cs="宋体"/>
          <w:b/>
          <w:bCs/>
          <w:color w:val="auto"/>
          <w:sz w:val="24"/>
          <w:szCs w:val="24"/>
          <w:highlight w:val="none"/>
          <w:lang w:val="en-US" w:eastAsia="zh-CN"/>
        </w:rPr>
        <w:t>3</w:t>
      </w:r>
      <w:r>
        <w:rPr>
          <w:rFonts w:hint="eastAsia" w:ascii="宋体" w:hAnsi="宋体" w:cs="宋体"/>
          <w:b/>
          <w:bCs/>
          <w:color w:val="auto"/>
          <w:sz w:val="24"/>
          <w:szCs w:val="24"/>
          <w:highlight w:val="none"/>
          <w:lang w:val="en-US" w:eastAsia="zh-CN"/>
        </w:rPr>
        <w:t>、</w:t>
      </w:r>
      <w:r>
        <w:rPr>
          <w:rFonts w:hint="default" w:ascii="宋体" w:hAnsi="宋体" w:cs="仿宋"/>
          <w:b/>
          <w:bCs/>
          <w:color w:val="auto"/>
          <w:sz w:val="24"/>
          <w:szCs w:val="24"/>
          <w:highlight w:val="none"/>
        </w:rPr>
        <w:t>质量保证</w:t>
      </w:r>
      <w:r>
        <w:rPr>
          <w:rFonts w:hint="eastAsia" w:ascii="宋体" w:hAnsi="宋体" w:cs="仿宋"/>
          <w:b/>
          <w:bCs/>
          <w:color w:val="auto"/>
          <w:sz w:val="24"/>
          <w:szCs w:val="24"/>
          <w:highlight w:val="none"/>
          <w:lang w:val="en-US" w:eastAsia="zh-CN"/>
        </w:rPr>
        <w:t>要求</w:t>
      </w:r>
    </w:p>
    <w:p w14:paraId="28643673">
      <w:pPr>
        <w:adjustRightInd w:val="0"/>
        <w:snapToGrid w:val="0"/>
        <w:spacing w:line="360" w:lineRule="auto"/>
        <w:ind w:firstLine="480" w:firstLineChars="200"/>
        <w:rPr>
          <w:rFonts w:hint="default" w:ascii="宋体" w:hAnsi="宋体" w:cs="仿宋"/>
          <w:bCs/>
          <w:color w:val="auto"/>
          <w:sz w:val="24"/>
          <w:szCs w:val="24"/>
          <w:highlight w:val="none"/>
        </w:rPr>
      </w:pPr>
      <w:r>
        <w:rPr>
          <w:rFonts w:hint="default" w:ascii="宋体" w:hAnsi="宋体" w:cs="仿宋"/>
          <w:bCs/>
          <w:color w:val="auto"/>
          <w:sz w:val="24"/>
          <w:szCs w:val="24"/>
          <w:highlight w:val="none"/>
        </w:rPr>
        <w:t>3.1质量保证期：自验收合格之日起</w:t>
      </w:r>
      <w:r>
        <w:rPr>
          <w:rFonts w:hint="eastAsia" w:ascii="宋体" w:hAnsi="宋体" w:cs="仿宋"/>
          <w:bCs/>
          <w:color w:val="auto"/>
          <w:sz w:val="24"/>
          <w:szCs w:val="24"/>
          <w:highlight w:val="none"/>
          <w:lang w:val="en-US" w:eastAsia="zh-CN"/>
        </w:rPr>
        <w:t>至展览结束（不超过1年），</w:t>
      </w:r>
      <w:r>
        <w:rPr>
          <w:rFonts w:hint="default" w:ascii="宋体" w:hAnsi="宋体" w:cs="仿宋"/>
          <w:bCs/>
          <w:color w:val="auto"/>
          <w:sz w:val="24"/>
          <w:szCs w:val="24"/>
          <w:highlight w:val="none"/>
        </w:rPr>
        <w:t>因制作质量而造成返修，其费用由中标人负责，如质保期内因制作质量而造成返修，中标人不予维修，则需退回合同总金额的5%。</w:t>
      </w:r>
    </w:p>
    <w:p w14:paraId="168C6C6A">
      <w:pPr>
        <w:adjustRightInd w:val="0"/>
        <w:snapToGrid w:val="0"/>
        <w:spacing w:line="360" w:lineRule="auto"/>
        <w:ind w:firstLine="480" w:firstLineChars="200"/>
        <w:rPr>
          <w:rFonts w:hint="default" w:ascii="宋体" w:hAnsi="宋体" w:cs="仿宋"/>
          <w:bCs/>
          <w:color w:val="auto"/>
          <w:sz w:val="24"/>
          <w:szCs w:val="24"/>
          <w:highlight w:val="none"/>
        </w:rPr>
      </w:pPr>
      <w:r>
        <w:rPr>
          <w:rFonts w:hint="default" w:ascii="宋体" w:hAnsi="宋体" w:cs="仿宋"/>
          <w:bCs/>
          <w:color w:val="auto"/>
          <w:sz w:val="24"/>
          <w:szCs w:val="24"/>
          <w:highlight w:val="none"/>
        </w:rPr>
        <w:t>3.</w:t>
      </w:r>
      <w:r>
        <w:rPr>
          <w:rFonts w:hint="eastAsia" w:ascii="宋体" w:hAnsi="宋体" w:cs="仿宋"/>
          <w:bCs/>
          <w:color w:val="auto"/>
          <w:sz w:val="24"/>
          <w:szCs w:val="24"/>
          <w:highlight w:val="none"/>
          <w:lang w:val="en-US" w:eastAsia="zh-CN"/>
        </w:rPr>
        <w:t>2</w:t>
      </w:r>
      <w:r>
        <w:rPr>
          <w:rFonts w:hint="default" w:ascii="宋体" w:hAnsi="宋体" w:cs="仿宋"/>
          <w:bCs/>
          <w:color w:val="auto"/>
          <w:sz w:val="24"/>
          <w:szCs w:val="24"/>
          <w:highlight w:val="none"/>
        </w:rPr>
        <w:t>维修响应时间：质保期内，中标人接到采购人通知后2小时内响应，12小时内赶至现场，48小时内现场修复。</w:t>
      </w:r>
    </w:p>
    <w:p w14:paraId="242FBE08">
      <w:pPr>
        <w:adjustRightInd w:val="0"/>
        <w:snapToGrid w:val="0"/>
        <w:spacing w:line="360" w:lineRule="auto"/>
        <w:ind w:firstLine="480" w:firstLineChars="200"/>
        <w:rPr>
          <w:rFonts w:hint="default" w:ascii="宋体" w:hAnsi="宋体" w:cs="仿宋"/>
          <w:bCs/>
          <w:color w:val="auto"/>
          <w:sz w:val="24"/>
          <w:szCs w:val="24"/>
          <w:highlight w:val="none"/>
        </w:rPr>
      </w:pPr>
      <w:r>
        <w:rPr>
          <w:rFonts w:hint="default" w:ascii="宋体" w:hAnsi="宋体" w:cs="仿宋"/>
          <w:bCs/>
          <w:color w:val="auto"/>
          <w:sz w:val="24"/>
          <w:szCs w:val="24"/>
          <w:highlight w:val="none"/>
        </w:rPr>
        <w:t>3.</w:t>
      </w:r>
      <w:r>
        <w:rPr>
          <w:rFonts w:hint="eastAsia" w:ascii="宋体" w:hAnsi="宋体" w:cs="仿宋"/>
          <w:bCs/>
          <w:color w:val="auto"/>
          <w:sz w:val="24"/>
          <w:szCs w:val="24"/>
          <w:highlight w:val="none"/>
          <w:lang w:val="en-US" w:eastAsia="zh-CN"/>
        </w:rPr>
        <w:t>3</w:t>
      </w:r>
      <w:r>
        <w:rPr>
          <w:rFonts w:hint="default" w:ascii="宋体" w:hAnsi="宋体" w:cs="仿宋"/>
          <w:bCs/>
          <w:color w:val="auto"/>
          <w:sz w:val="24"/>
          <w:szCs w:val="24"/>
          <w:highlight w:val="none"/>
        </w:rPr>
        <w:t>质保期内，中标人负责对其提供的整个项目进行维修和维护，不再收取任何费用，但非中标人责任的人为因素、自然因素（如火灾、雷击等）造成的故障除外。</w:t>
      </w:r>
    </w:p>
    <w:p w14:paraId="5F487ECF">
      <w:pPr>
        <w:adjustRightInd w:val="0"/>
        <w:snapToGrid w:val="0"/>
        <w:spacing w:line="360" w:lineRule="auto"/>
        <w:ind w:firstLine="480" w:firstLineChars="200"/>
        <w:rPr>
          <w:rFonts w:hint="eastAsia" w:ascii="宋体" w:hAnsi="宋体" w:cs="仿宋"/>
          <w:bCs/>
          <w:color w:val="auto"/>
          <w:sz w:val="24"/>
          <w:szCs w:val="24"/>
          <w:highlight w:val="none"/>
          <w:lang w:eastAsia="zh-CN"/>
        </w:rPr>
      </w:pPr>
      <w:r>
        <w:rPr>
          <w:rFonts w:hint="default" w:ascii="宋体" w:hAnsi="宋体" w:cs="仿宋"/>
          <w:bCs/>
          <w:color w:val="auto"/>
          <w:sz w:val="24"/>
          <w:szCs w:val="24"/>
          <w:highlight w:val="none"/>
        </w:rPr>
        <w:t>3.</w:t>
      </w:r>
      <w:r>
        <w:rPr>
          <w:rFonts w:hint="eastAsia" w:ascii="宋体" w:hAnsi="宋体" w:cs="仿宋"/>
          <w:bCs/>
          <w:color w:val="auto"/>
          <w:sz w:val="24"/>
          <w:szCs w:val="24"/>
          <w:highlight w:val="none"/>
          <w:lang w:val="en-US" w:eastAsia="zh-CN"/>
        </w:rPr>
        <w:t>4</w:t>
      </w:r>
      <w:r>
        <w:rPr>
          <w:rFonts w:hint="default" w:ascii="宋体" w:hAnsi="宋体" w:cs="仿宋"/>
          <w:bCs/>
          <w:color w:val="auto"/>
          <w:sz w:val="24"/>
          <w:szCs w:val="24"/>
          <w:highlight w:val="none"/>
        </w:rPr>
        <w:t>质保期服务方式均为中标人上门维修，即由中标人派员到采购人现场维修，由此产生的一切费用均由中标人承担。</w:t>
      </w:r>
    </w:p>
    <w:p w14:paraId="53D7CD1B">
      <w:pPr>
        <w:adjustRightInd w:val="0"/>
        <w:snapToGrid w:val="0"/>
        <w:spacing w:line="360" w:lineRule="auto"/>
        <w:ind w:firstLine="482" w:firstLineChars="200"/>
        <w:rPr>
          <w:rFonts w:hint="eastAsia" w:ascii="宋体" w:hAnsi="宋体" w:eastAsia="宋体" w:cs="宋体"/>
          <w:b/>
          <w:bCs/>
          <w:color w:val="auto"/>
          <w:sz w:val="24"/>
          <w:szCs w:val="24"/>
          <w:highlight w:val="none"/>
          <w:lang w:eastAsia="zh-CN"/>
        </w:rPr>
      </w:pPr>
      <w:r>
        <w:rPr>
          <w:rFonts w:hint="eastAsia" w:cs="宋体"/>
          <w:b/>
          <w:bCs/>
          <w:color w:val="auto"/>
          <w:sz w:val="24"/>
          <w:szCs w:val="24"/>
          <w:highlight w:val="none"/>
          <w:lang w:val="en-US" w:eastAsia="zh-CN"/>
        </w:rPr>
        <w:t>4</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售后服务要求</w:t>
      </w:r>
    </w:p>
    <w:p w14:paraId="5AA06C15">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Cs/>
          <w:color w:val="auto"/>
          <w:sz w:val="24"/>
          <w:szCs w:val="24"/>
          <w:highlight w:val="none"/>
        </w:rPr>
      </w:pPr>
      <w:r>
        <w:rPr>
          <w:rFonts w:hint="eastAsia" w:ascii="宋体" w:hAnsi="宋体" w:cs="仿宋"/>
          <w:bCs/>
          <w:color w:val="auto"/>
          <w:sz w:val="24"/>
          <w:szCs w:val="24"/>
          <w:highlight w:val="none"/>
          <w:lang w:val="en-US" w:eastAsia="zh-CN"/>
        </w:rPr>
        <w:t>4.1</w:t>
      </w:r>
      <w:r>
        <w:rPr>
          <w:rFonts w:hint="eastAsia" w:ascii="宋体" w:hAnsi="宋体" w:cs="仿宋"/>
          <w:bCs/>
          <w:color w:val="auto"/>
          <w:sz w:val="24"/>
          <w:szCs w:val="24"/>
          <w:highlight w:val="none"/>
        </w:rPr>
        <w:t>质保范围:项目下所有内容，包括配套附件等所出现的任何故障及性能偏差。</w:t>
      </w:r>
    </w:p>
    <w:p w14:paraId="0DA69E80">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Cs/>
          <w:color w:val="auto"/>
          <w:sz w:val="24"/>
          <w:szCs w:val="24"/>
          <w:highlight w:val="none"/>
        </w:rPr>
      </w:pPr>
      <w:r>
        <w:rPr>
          <w:rFonts w:hint="eastAsia" w:ascii="宋体" w:hAnsi="宋体" w:cs="仿宋"/>
          <w:bCs/>
          <w:color w:val="auto"/>
          <w:sz w:val="24"/>
          <w:szCs w:val="24"/>
          <w:highlight w:val="none"/>
          <w:lang w:val="en-US" w:eastAsia="zh-CN"/>
        </w:rPr>
        <w:t>4.2</w:t>
      </w:r>
      <w:r>
        <w:rPr>
          <w:rFonts w:hint="eastAsia" w:ascii="宋体" w:hAnsi="宋体" w:cs="仿宋"/>
          <w:bCs/>
          <w:color w:val="auto"/>
          <w:sz w:val="24"/>
          <w:szCs w:val="24"/>
          <w:highlight w:val="none"/>
        </w:rPr>
        <w:t>中标人负责在维修保养中所需要的专用工具、易损件、维修配件。</w:t>
      </w:r>
    </w:p>
    <w:p w14:paraId="591DD9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4.3</w:t>
      </w:r>
      <w:r>
        <w:rPr>
          <w:rFonts w:hint="eastAsia" w:ascii="宋体" w:hAnsi="宋体" w:cs="仿宋"/>
          <w:bCs/>
          <w:color w:val="auto"/>
          <w:sz w:val="24"/>
          <w:szCs w:val="24"/>
          <w:highlight w:val="none"/>
        </w:rPr>
        <w:t>无论何时，中标人保证有充足的备件确保在接到采购人报修电话48小时内现场修复。</w:t>
      </w:r>
    </w:p>
    <w:p w14:paraId="257C92F1">
      <w:pPr>
        <w:pStyle w:val="41"/>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cs="仿宋"/>
          <w:bCs/>
          <w:color w:val="auto"/>
          <w:sz w:val="24"/>
          <w:szCs w:val="24"/>
          <w:highlight w:val="none"/>
        </w:rPr>
      </w:pPr>
      <w:r>
        <w:rPr>
          <w:rFonts w:hint="eastAsia" w:cs="仿宋"/>
          <w:bCs/>
          <w:color w:val="auto"/>
          <w:sz w:val="24"/>
          <w:szCs w:val="24"/>
          <w:highlight w:val="none"/>
          <w:lang w:val="en-US" w:eastAsia="zh-CN"/>
        </w:rPr>
        <w:t xml:space="preserve">4.4 </w:t>
      </w:r>
      <w:r>
        <w:rPr>
          <w:rFonts w:hint="default" w:ascii="宋体" w:hAnsi="宋体" w:cs="仿宋"/>
          <w:bCs/>
          <w:color w:val="auto"/>
          <w:sz w:val="24"/>
          <w:szCs w:val="24"/>
          <w:highlight w:val="none"/>
        </w:rPr>
        <w:t>质保期</w:t>
      </w:r>
      <w:r>
        <w:rPr>
          <w:rFonts w:hint="eastAsia" w:cs="仿宋"/>
          <w:bCs/>
          <w:color w:val="auto"/>
          <w:sz w:val="24"/>
          <w:szCs w:val="24"/>
          <w:highlight w:val="none"/>
        </w:rPr>
        <w:t>期内如出现质量问题，中标人应无条件在规定时间内完成维修、更换或其他补救措施，并通过采购人代表确认。</w:t>
      </w:r>
    </w:p>
    <w:p w14:paraId="71DADED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auto"/>
          <w:sz w:val="24"/>
          <w:szCs w:val="24"/>
          <w:highlight w:val="none"/>
        </w:rPr>
      </w:pPr>
      <w:r>
        <w:rPr>
          <w:rFonts w:hint="eastAsia" w:cs="宋体"/>
          <w:b/>
          <w:bCs/>
          <w:color w:val="auto"/>
          <w:sz w:val="24"/>
          <w:szCs w:val="24"/>
          <w:highlight w:val="none"/>
          <w:lang w:val="en-US" w:eastAsia="zh-CN"/>
        </w:rPr>
        <w:t>5</w:t>
      </w:r>
      <w:r>
        <w:rPr>
          <w:rFonts w:hint="eastAsia" w:ascii="宋体" w:hAnsi="宋体" w:cs="宋体"/>
          <w:b/>
          <w:bCs/>
          <w:color w:val="auto"/>
          <w:sz w:val="24"/>
          <w:szCs w:val="24"/>
          <w:highlight w:val="none"/>
          <w:lang w:val="en-US" w:eastAsia="zh-CN"/>
        </w:rPr>
        <w:t>、项目</w:t>
      </w:r>
      <w:r>
        <w:rPr>
          <w:rFonts w:hint="eastAsia" w:ascii="宋体" w:hAnsi="宋体" w:cs="宋体"/>
          <w:b/>
          <w:bCs/>
          <w:color w:val="auto"/>
          <w:sz w:val="24"/>
          <w:szCs w:val="24"/>
          <w:highlight w:val="none"/>
        </w:rPr>
        <w:t>验收要求</w:t>
      </w:r>
    </w:p>
    <w:p w14:paraId="6635A0E0">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Cs/>
          <w:color w:val="auto"/>
          <w:sz w:val="24"/>
          <w:szCs w:val="24"/>
          <w:highlight w:val="none"/>
        </w:rPr>
      </w:pPr>
      <w:bookmarkStart w:id="18" w:name="_Hlk110504599"/>
      <w:r>
        <w:rPr>
          <w:rFonts w:hint="eastAsia" w:ascii="宋体" w:hAnsi="宋体" w:cs="仿宋"/>
          <w:bCs/>
          <w:color w:val="auto"/>
          <w:sz w:val="24"/>
          <w:szCs w:val="24"/>
          <w:highlight w:val="none"/>
        </w:rPr>
        <w:t>采购人将自中标人履行完合同义务之日并出具结项报告后十</w:t>
      </w:r>
      <w:r>
        <w:rPr>
          <w:rFonts w:hint="eastAsia" w:ascii="宋体" w:hAnsi="宋体" w:cs="仿宋"/>
          <w:bCs/>
          <w:color w:val="auto"/>
          <w:sz w:val="24"/>
          <w:szCs w:val="24"/>
          <w:highlight w:val="none"/>
          <w:lang w:val="en-US" w:eastAsia="zh-CN"/>
        </w:rPr>
        <w:t>五</w:t>
      </w:r>
      <w:r>
        <w:rPr>
          <w:rFonts w:hint="eastAsia" w:ascii="宋体" w:hAnsi="宋体" w:cs="仿宋"/>
          <w:bCs/>
          <w:color w:val="auto"/>
          <w:sz w:val="24"/>
          <w:szCs w:val="24"/>
          <w:highlight w:val="none"/>
        </w:rPr>
        <w:t>个工作日内组织验收：</w:t>
      </w:r>
    </w:p>
    <w:p w14:paraId="4C14E7D5">
      <w:pPr>
        <w:spacing w:line="360" w:lineRule="auto"/>
        <w:ind w:firstLine="480"/>
        <w:rPr>
          <w:rFonts w:hint="eastAsia" w:cs="仿宋"/>
          <w:bCs/>
          <w:color w:val="auto"/>
          <w:sz w:val="24"/>
          <w:szCs w:val="24"/>
          <w:highlight w:val="none"/>
          <w:lang w:eastAsia="zh-CN"/>
        </w:rPr>
      </w:pPr>
      <w:r>
        <w:rPr>
          <w:rFonts w:hint="eastAsia" w:ascii="宋体" w:hAnsi="宋体" w:cs="仿宋"/>
          <w:bCs/>
          <w:color w:val="auto"/>
          <w:sz w:val="24"/>
          <w:szCs w:val="24"/>
          <w:highlight w:val="none"/>
        </w:rPr>
        <w:t>所选用的材料必须符合制作要求，如采购人发现中标人所选用的材料不符合要求的，中标人须立即予以更换直至达到要求为止，否则采购人将不予验收、结算项目款项</w:t>
      </w:r>
      <w:r>
        <w:rPr>
          <w:rFonts w:hint="eastAsia" w:cs="仿宋"/>
          <w:bCs/>
          <w:color w:val="auto"/>
          <w:sz w:val="24"/>
          <w:szCs w:val="24"/>
          <w:highlight w:val="none"/>
          <w:lang w:eastAsia="zh-CN"/>
        </w:rPr>
        <w:t>。</w:t>
      </w:r>
      <w:bookmarkEnd w:id="18"/>
    </w:p>
    <w:p w14:paraId="1FCF8B82">
      <w:pPr>
        <w:numPr>
          <w:ilvl w:val="0"/>
          <w:numId w:val="5"/>
        </w:numPr>
        <w:spacing w:line="360" w:lineRule="auto"/>
        <w:ind w:firstLine="480"/>
        <w:rPr>
          <w:rFonts w:hint="eastAsia" w:cs="仿宋"/>
          <w:b/>
          <w:bCs/>
          <w:color w:val="auto"/>
          <w:sz w:val="24"/>
          <w:szCs w:val="24"/>
          <w:highlight w:val="none"/>
          <w:lang w:val="en-US" w:eastAsia="zh-CN"/>
        </w:rPr>
      </w:pPr>
      <w:r>
        <w:rPr>
          <w:rFonts w:hint="eastAsia" w:cs="仿宋"/>
          <w:b/>
          <w:bCs/>
          <w:color w:val="auto"/>
          <w:sz w:val="24"/>
          <w:szCs w:val="24"/>
          <w:highlight w:val="none"/>
          <w:lang w:val="en-US" w:eastAsia="zh-CN"/>
        </w:rPr>
        <w:t>保密要求</w:t>
      </w:r>
    </w:p>
    <w:p w14:paraId="5EB9D51A">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
          <w:bCs w:val="0"/>
          <w:color w:val="auto"/>
          <w:sz w:val="24"/>
          <w:szCs w:val="24"/>
          <w:highlight w:val="none"/>
          <w:lang w:val="en-US" w:eastAsia="zh-CN"/>
        </w:rPr>
      </w:pPr>
      <w:r>
        <w:rPr>
          <w:rFonts w:hint="eastAsia" w:ascii="宋体" w:hAnsi="宋体" w:cs="仿宋"/>
          <w:b/>
          <w:bCs w:val="0"/>
          <w:color w:val="auto"/>
          <w:sz w:val="24"/>
          <w:szCs w:val="24"/>
          <w:highlight w:val="none"/>
          <w:lang w:val="en-US" w:eastAsia="zh-CN"/>
        </w:rPr>
        <w:t>本项目附件文本大纲、图纸属采购人专属保密资料，仅供参与本次项目投标的潜在投标人编制投标文件使用，不得复制、转发、外泄、转借、商用、二次开发，亦不得应用于其他任何项目，违者采购人将追究全部相关责任。</w:t>
      </w:r>
    </w:p>
    <w:p w14:paraId="38A3D40D">
      <w:pPr>
        <w:keepNext w:val="0"/>
        <w:keepLines w:val="0"/>
        <w:pageBreakBefore w:val="0"/>
        <w:widowControl w:val="0"/>
        <w:kinsoku/>
        <w:wordWrap/>
        <w:overflowPunct/>
        <w:topLinePunct w:val="0"/>
        <w:autoSpaceDE/>
        <w:autoSpaceDN/>
        <w:bidi w:val="0"/>
        <w:spacing w:line="360" w:lineRule="auto"/>
        <w:ind w:firstLine="480"/>
        <w:textAlignment w:val="auto"/>
        <w:rPr>
          <w:rFonts w:hint="eastAsia" w:ascii="宋体" w:hAnsi="宋体" w:cs="仿宋"/>
          <w:b/>
          <w:bCs w:val="0"/>
          <w:color w:val="auto"/>
          <w:sz w:val="24"/>
          <w:szCs w:val="24"/>
          <w:highlight w:val="none"/>
          <w:lang w:val="en-US" w:eastAsia="zh-CN"/>
        </w:rPr>
      </w:pPr>
    </w:p>
    <w:p w14:paraId="332F12D1">
      <w:pPr>
        <w:spacing w:line="360" w:lineRule="auto"/>
        <w:ind w:firstLine="480"/>
        <w:jc w:val="center"/>
        <w:rPr>
          <w:rFonts w:ascii="宋体" w:hAnsi="宋体" w:cs="仿宋"/>
          <w:b/>
          <w:bCs/>
          <w:color w:val="auto"/>
          <w:sz w:val="24"/>
          <w:szCs w:val="24"/>
          <w:highlight w:val="none"/>
        </w:rPr>
      </w:pPr>
      <w:r>
        <w:rPr>
          <w:rFonts w:hint="eastAsia"/>
          <w:b/>
          <w:bCs/>
          <w:color w:val="auto"/>
          <w:sz w:val="24"/>
          <w:szCs w:val="24"/>
          <w:highlight w:val="none"/>
          <w:lang w:val="en-US" w:eastAsia="zh-CN"/>
        </w:rPr>
        <w:t>（三）</w:t>
      </w:r>
      <w:r>
        <w:rPr>
          <w:rFonts w:hint="eastAsia" w:ascii="宋体" w:hAnsi="宋体"/>
          <w:b/>
          <w:bCs/>
          <w:color w:val="auto"/>
          <w:sz w:val="24"/>
          <w:szCs w:val="24"/>
          <w:highlight w:val="none"/>
        </w:rPr>
        <w:t>其他</w:t>
      </w:r>
    </w:p>
    <w:p w14:paraId="0A219CC0">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（1）制定人员配备方案</w:t>
      </w:r>
    </w:p>
    <w:p w14:paraId="6D3DBE8B">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应根据招标文件要求及本项目特点，制订人员配备方案。包括人员配备专业能力、工作经验、人员分工等方面。方案应合理、可行，具有针对性。</w:t>
      </w:r>
    </w:p>
    <w:p w14:paraId="00266ED1">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（2）制定</w:t>
      </w:r>
      <w:bookmarkStart w:id="19" w:name="_Hlk20379672"/>
      <w:bookmarkStart w:id="20" w:name="_Hlk45478283"/>
      <w:r>
        <w:rPr>
          <w:rFonts w:hint="eastAsia" w:ascii="宋体" w:hAnsi="宋体" w:cs="仿宋"/>
          <w:bCs/>
          <w:color w:val="auto"/>
          <w:sz w:val="24"/>
          <w:szCs w:val="24"/>
          <w:highlight w:val="none"/>
        </w:rPr>
        <w:t>需求理解与分析方案</w:t>
      </w:r>
    </w:p>
    <w:p w14:paraId="3A8340C2">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应根据招标文件要求及本项目特点，制定需求理解与分析方案，包括项目展示目的、展示主题内容与特点、设计思路</w:t>
      </w:r>
      <w:r>
        <w:rPr>
          <w:rFonts w:hint="eastAsia" w:ascii="宋体" w:hAnsi="宋体" w:cs="仿宋"/>
          <w:bCs/>
          <w:color w:val="auto"/>
          <w:sz w:val="24"/>
          <w:szCs w:val="24"/>
          <w:highlight w:val="none"/>
          <w:lang w:eastAsia="zh-CN"/>
        </w:rPr>
        <w:t>、</w:t>
      </w:r>
      <w:r>
        <w:rPr>
          <w:rFonts w:hint="eastAsia" w:ascii="宋体" w:hAnsi="宋体" w:cs="仿宋"/>
          <w:bCs/>
          <w:color w:val="auto"/>
          <w:sz w:val="24"/>
          <w:szCs w:val="24"/>
          <w:highlight w:val="none"/>
          <w:lang w:val="en-US" w:eastAsia="zh-CN"/>
        </w:rPr>
        <w:t>重点展品及展项分析</w:t>
      </w:r>
      <w:r>
        <w:rPr>
          <w:rFonts w:hint="eastAsia" w:ascii="宋体" w:hAnsi="宋体" w:cs="仿宋"/>
          <w:bCs/>
          <w:color w:val="auto"/>
          <w:sz w:val="24"/>
          <w:szCs w:val="24"/>
          <w:highlight w:val="none"/>
        </w:rPr>
        <w:t>等方面。方案应做到的合理、科学、具有针对性。</w:t>
      </w:r>
    </w:p>
    <w:bookmarkEnd w:id="19"/>
    <w:bookmarkEnd w:id="20"/>
    <w:p w14:paraId="1879277C">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（3）制订项目实施方案</w:t>
      </w:r>
    </w:p>
    <w:p w14:paraId="230D4313">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应根据招标文件要求及本项目特点，制订项目实施方案，</w:t>
      </w:r>
      <w:bookmarkStart w:id="21" w:name="_Hlk47438545"/>
      <w:r>
        <w:rPr>
          <w:rFonts w:hint="eastAsia" w:ascii="宋体" w:hAnsi="宋体" w:cs="仿宋"/>
          <w:bCs/>
          <w:color w:val="auto"/>
          <w:sz w:val="24"/>
          <w:szCs w:val="24"/>
          <w:highlight w:val="none"/>
        </w:rPr>
        <w:t>包括项目管理、设备供应投入、工作进度计划保障等</w:t>
      </w:r>
      <w:bookmarkEnd w:id="21"/>
      <w:r>
        <w:rPr>
          <w:rFonts w:hint="eastAsia" w:ascii="宋体" w:hAnsi="宋体" w:cs="仿宋"/>
          <w:bCs/>
          <w:color w:val="auto"/>
          <w:sz w:val="24"/>
          <w:szCs w:val="24"/>
          <w:highlight w:val="none"/>
        </w:rPr>
        <w:t>。实施方案应做到完整全面、科学可行，并有针对性，服从采购人管理要求，确保在规定的交付时限内完成；</w:t>
      </w:r>
    </w:p>
    <w:p w14:paraId="07549099">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（4）制订深化设计方案</w:t>
      </w:r>
    </w:p>
    <w:p w14:paraId="79BFCD96">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深化设计总体方案和展区空间规划设计方案，深化设计总体方案包括突出深化设计方案主题，形式多样，形式和内容统一，提炼项目内容涉及的历史文化元素方面，创意、构思等。方案应做到主题把握准确，创意新颖、构思严谨，特色鲜明、项目内容涉及的历史文化元素能够全面展现，合理可行；展区空间规划设计方案应体现设计的科学合理及针对性。</w:t>
      </w:r>
    </w:p>
    <w:p w14:paraId="14F14010">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（5）制订展线、平面布局方案</w:t>
      </w:r>
    </w:p>
    <w:p w14:paraId="386227CA">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应根据招标文件要求及本项目特点，制订展线、平面布局方案，要求展线流畅、布局合理、重点展品表现突出，层次结构清晰，创意性等。方案应做到科学、合理可行。</w:t>
      </w:r>
    </w:p>
    <w:p w14:paraId="7609FF82">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（6）制订平面设计部分方案</w:t>
      </w:r>
    </w:p>
    <w:p w14:paraId="1605925F">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应根据招标文件要求及本项目特点，制订平面设计部分方案。包括海报、说明牌、文字版面等）。要求具有设计美观、表现力强、排版内容丰富。</w:t>
      </w:r>
    </w:p>
    <w:p w14:paraId="225B449E">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（7）制订质量保障方案</w:t>
      </w:r>
    </w:p>
    <w:p w14:paraId="6589E01E">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应根据招标文件要求及本项目特点，制订项目质量保障方案</w:t>
      </w:r>
      <w:bookmarkStart w:id="22" w:name="_Hlk47438576"/>
      <w:r>
        <w:rPr>
          <w:rFonts w:hint="eastAsia" w:ascii="宋体" w:hAnsi="宋体" w:cs="仿宋"/>
          <w:bCs/>
          <w:color w:val="auto"/>
          <w:sz w:val="24"/>
          <w:szCs w:val="24"/>
          <w:highlight w:val="none"/>
        </w:rPr>
        <w:t>，建立质量管理标准架构体系。方案要体现项目的全过程质量管控，包括制作、施工、材料、安装、调试等全过程质量保障措施，</w:t>
      </w:r>
      <w:bookmarkEnd w:id="22"/>
      <w:r>
        <w:rPr>
          <w:rFonts w:hint="eastAsia" w:ascii="宋体" w:hAnsi="宋体" w:cs="仿宋"/>
          <w:bCs/>
          <w:color w:val="auto"/>
          <w:sz w:val="24"/>
          <w:szCs w:val="24"/>
          <w:highlight w:val="none"/>
        </w:rPr>
        <w:t>确保本项目质量达到</w:t>
      </w: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的各项响应承诺要求。</w:t>
      </w:r>
    </w:p>
    <w:p w14:paraId="5A368FFF">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（8）制定重点、难点、关键技术分析及解决方案</w:t>
      </w:r>
    </w:p>
    <w:p w14:paraId="54B6DBAE">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w:t>
      </w:r>
      <w:bookmarkStart w:id="23" w:name="_Hlk47438731"/>
      <w:r>
        <w:rPr>
          <w:rFonts w:hint="eastAsia" w:ascii="宋体" w:hAnsi="宋体" w:cs="仿宋"/>
          <w:bCs/>
          <w:color w:val="auto"/>
          <w:sz w:val="24"/>
          <w:szCs w:val="24"/>
          <w:highlight w:val="none"/>
        </w:rPr>
        <w:t>制订重点、难点、关键技术分析及解决方案。</w:t>
      </w:r>
      <w:bookmarkEnd w:id="23"/>
      <w:r>
        <w:rPr>
          <w:rFonts w:hint="eastAsia" w:ascii="宋体" w:hAnsi="宋体" w:cs="仿宋"/>
          <w:bCs/>
          <w:color w:val="auto"/>
          <w:sz w:val="24"/>
          <w:szCs w:val="24"/>
          <w:highlight w:val="none"/>
        </w:rPr>
        <w:t>方案应表述清晰、描述全面、解决措施得力且完全满足项目需求。</w:t>
      </w:r>
    </w:p>
    <w:p w14:paraId="13223ABA">
      <w:pPr>
        <w:spacing w:line="360" w:lineRule="auto"/>
        <w:ind w:firstLine="480"/>
        <w:rPr>
          <w:rFonts w:hint="eastAsia" w:ascii="宋体" w:hAnsi="宋体" w:cs="仿宋"/>
          <w:bCs/>
          <w:color w:val="auto"/>
          <w:sz w:val="24"/>
          <w:szCs w:val="24"/>
          <w:highlight w:val="none"/>
        </w:rPr>
      </w:pPr>
      <w:bookmarkStart w:id="24" w:name="_Hlk65068250"/>
      <w:r>
        <w:rPr>
          <w:rFonts w:hint="eastAsia" w:ascii="宋体" w:hAnsi="宋体" w:cs="仿宋"/>
          <w:bCs/>
          <w:color w:val="auto"/>
          <w:sz w:val="24"/>
          <w:szCs w:val="24"/>
          <w:highlight w:val="none"/>
        </w:rPr>
        <w:t>（9）制订文物安全方案</w:t>
      </w:r>
    </w:p>
    <w:p w14:paraId="1C7376C8">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应根据招标文件要求及本项目特点，制订文物安全方案。建立安全保障制度、技术安全保障措施、重点防护等。方案应合理、科学可行，具有针对性。</w:t>
      </w:r>
    </w:p>
    <w:p w14:paraId="1836A455">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（10）制订应急预案</w:t>
      </w:r>
    </w:p>
    <w:p w14:paraId="6D3615D6">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应根据招标文件要求及本项目特点，制订应急预案。包含应急准备和响应、消防安全预案、群体性事件预案等方面。方案应合理、科学可行，具有针对性。</w:t>
      </w:r>
    </w:p>
    <w:p w14:paraId="79A6C93E">
      <w:pPr>
        <w:spacing w:line="360" w:lineRule="auto"/>
        <w:ind w:firstLine="480"/>
        <w:rPr>
          <w:rFonts w:hint="eastAsia" w:ascii="宋体" w:hAnsi="宋体" w:cs="仿宋"/>
          <w:bCs/>
          <w:color w:val="auto"/>
          <w:sz w:val="24"/>
          <w:szCs w:val="24"/>
          <w:highlight w:val="none"/>
        </w:rPr>
      </w:pPr>
      <w:r>
        <w:rPr>
          <w:rFonts w:hint="eastAsia" w:ascii="宋体" w:hAnsi="宋体" w:cs="仿宋"/>
          <w:bCs/>
          <w:color w:val="auto"/>
          <w:sz w:val="24"/>
          <w:szCs w:val="24"/>
          <w:highlight w:val="none"/>
        </w:rPr>
        <w:t>（11）制订撤展恢复及售后服务方案</w:t>
      </w:r>
    </w:p>
    <w:p w14:paraId="0085ECA6">
      <w:pPr>
        <w:spacing w:line="360" w:lineRule="auto"/>
        <w:ind w:firstLine="480"/>
        <w:rPr>
          <w:rFonts w:hint="eastAsia" w:ascii="宋体" w:hAnsi="宋体" w:cs="仿宋"/>
          <w:bCs/>
          <w:color w:val="auto"/>
          <w:sz w:val="24"/>
          <w:szCs w:val="24"/>
          <w:highlight w:val="none"/>
        </w:rPr>
      </w:pPr>
      <w:r>
        <w:rPr>
          <w:rFonts w:hint="eastAsia" w:cs="仿宋"/>
          <w:bCs/>
          <w:color w:val="auto"/>
          <w:sz w:val="24"/>
          <w:szCs w:val="24"/>
          <w:highlight w:val="none"/>
          <w:lang w:eastAsia="zh-CN"/>
        </w:rPr>
        <w:t>投标人</w:t>
      </w:r>
      <w:r>
        <w:rPr>
          <w:rFonts w:hint="eastAsia" w:ascii="宋体" w:hAnsi="宋体" w:cs="仿宋"/>
          <w:bCs/>
          <w:color w:val="auto"/>
          <w:sz w:val="24"/>
          <w:szCs w:val="24"/>
          <w:highlight w:val="none"/>
        </w:rPr>
        <w:t>应根据招标文件要求及本项目特点，制订撤展恢复及售后服务方案。方案应合理、可行，具有针对性。</w:t>
      </w:r>
    </w:p>
    <w:p w14:paraId="067B8111">
      <w:pPr>
        <w:spacing w:line="360" w:lineRule="auto"/>
        <w:ind w:firstLine="480"/>
        <w:rPr>
          <w:rFonts w:hint="eastAsia" w:ascii="宋体" w:hAnsi="宋体" w:cs="仿宋"/>
          <w:b/>
          <w:bCs/>
          <w:color w:val="auto"/>
          <w:sz w:val="24"/>
          <w:szCs w:val="24"/>
          <w:highlight w:val="none"/>
        </w:rPr>
      </w:pPr>
    </w:p>
    <w:p w14:paraId="4E555566">
      <w:pPr>
        <w:spacing w:line="360" w:lineRule="auto"/>
        <w:ind w:firstLine="480"/>
        <w:rPr>
          <w:rFonts w:hint="eastAsia" w:ascii="宋体" w:hAnsi="宋体" w:cs="仿宋"/>
          <w:bCs/>
          <w:color w:val="auto"/>
          <w:sz w:val="24"/>
          <w:szCs w:val="24"/>
          <w:highlight w:val="none"/>
        </w:rPr>
      </w:pPr>
    </w:p>
    <w:bookmarkEnd w:id="24"/>
    <w:p w14:paraId="03448E67">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3089AF30">
      <w:pPr>
        <w:tabs>
          <w:tab w:val="left" w:pos="1447"/>
        </w:tabs>
        <w:spacing w:line="565" w:lineRule="exact"/>
        <w:ind w:right="116"/>
        <w:jc w:val="center"/>
        <w:outlineLvl w:val="0"/>
        <w:rPr>
          <w:rFonts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第五章  合同条款及格式合同</w:t>
      </w:r>
      <w:bookmarkEnd w:id="16"/>
      <w:bookmarkEnd w:id="17"/>
    </w:p>
    <w:p w14:paraId="5C05DF7F">
      <w:pPr>
        <w:pStyle w:val="20"/>
        <w:ind w:left="0" w:leftChars="0" w:firstLine="0" w:firstLineChars="0"/>
        <w:rPr>
          <w:rFonts w:ascii="仿宋" w:hAnsi="仿宋" w:eastAsia="仿宋" w:cs="仿宋"/>
          <w:color w:val="auto"/>
          <w:highlight w:val="none"/>
        </w:rPr>
      </w:pPr>
    </w:p>
    <w:p w14:paraId="7875E593">
      <w:pPr>
        <w:widowControl/>
        <w:snapToGrid w:val="0"/>
        <w:spacing w:line="360" w:lineRule="auto"/>
        <w:jc w:val="center"/>
        <w:rPr>
          <w:rFonts w:hint="eastAsia" w:ascii="宋体" w:hAnsi="宋体" w:eastAsia="宋体" w:cs="宋体"/>
          <w:b/>
          <w:color w:val="auto"/>
          <w:sz w:val="24"/>
          <w:szCs w:val="24"/>
          <w:highlight w:val="none"/>
          <w:lang w:val="en-US"/>
        </w:rPr>
      </w:pPr>
      <w:r>
        <w:rPr>
          <w:rFonts w:hint="eastAsia" w:ascii="宋体" w:hAnsi="宋体" w:eastAsia="宋体" w:cs="宋体"/>
          <w:b/>
          <w:color w:val="auto"/>
          <w:kern w:val="2"/>
          <w:sz w:val="24"/>
          <w:szCs w:val="24"/>
          <w:highlight w:val="none"/>
          <w:lang w:val="en-US"/>
        </w:rPr>
        <w:t>(说明：拟签订合同的主要条款</w:t>
      </w:r>
      <w:r>
        <w:rPr>
          <w:rFonts w:hint="eastAsia" w:ascii="宋体" w:hAnsi="宋体" w:eastAsia="宋体" w:cs="宋体"/>
          <w:b/>
          <w:color w:val="auto"/>
          <w:kern w:val="2"/>
          <w:sz w:val="24"/>
          <w:szCs w:val="24"/>
          <w:highlight w:val="none"/>
          <w:lang w:val="en-US" w:eastAsia="zh-CN"/>
        </w:rPr>
        <w:t>，以下为中标后签定本项目合同的通用条款，中标人不得提出实质性的修改，关于专用条款将由采购人与中标人结合本项目具体情况协商后签订。</w:t>
      </w:r>
      <w:r>
        <w:rPr>
          <w:rFonts w:hint="eastAsia" w:ascii="宋体" w:hAnsi="宋体" w:eastAsia="宋体" w:cs="宋体"/>
          <w:b/>
          <w:color w:val="auto"/>
          <w:kern w:val="2"/>
          <w:sz w:val="24"/>
          <w:szCs w:val="24"/>
          <w:highlight w:val="none"/>
          <w:lang w:val="en-US"/>
        </w:rPr>
        <w:t>）</w:t>
      </w:r>
    </w:p>
    <w:p w14:paraId="509415BA">
      <w:pPr>
        <w:spacing w:line="360" w:lineRule="auto"/>
        <w:jc w:val="left"/>
        <w:rPr>
          <w:rFonts w:hint="eastAsia" w:ascii="宋体" w:hAnsi="宋体" w:eastAsia="宋体" w:cs="宋体"/>
          <w:color w:val="auto"/>
          <w:sz w:val="24"/>
          <w:szCs w:val="24"/>
          <w:highlight w:val="none"/>
        </w:rPr>
      </w:pPr>
      <w:bookmarkStart w:id="25" w:name="_Toc32290"/>
      <w:bookmarkStart w:id="26" w:name="_Toc12329"/>
    </w:p>
    <w:p w14:paraId="5B4D30B9">
      <w:pPr>
        <w:spacing w:line="360" w:lineRule="auto"/>
        <w:jc w:val="righ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合同编号：</w:t>
      </w:r>
    </w:p>
    <w:p w14:paraId="305DB158">
      <w:pPr>
        <w:widowControl/>
        <w:snapToGrid w:val="0"/>
        <w:spacing w:line="360" w:lineRule="auto"/>
        <w:jc w:val="center"/>
        <w:rPr>
          <w:rFonts w:hint="eastAsia" w:ascii="宋体" w:hAnsi="宋体" w:eastAsia="宋体" w:cs="宋体"/>
          <w:b/>
          <w:bCs/>
          <w:color w:val="auto"/>
          <w:sz w:val="24"/>
          <w:szCs w:val="24"/>
          <w:highlight w:val="none"/>
          <w:u w:val="single"/>
        </w:rPr>
      </w:pPr>
    </w:p>
    <w:p w14:paraId="024E2732">
      <w:pPr>
        <w:widowControl/>
        <w:snapToGrid w:val="0"/>
        <w:spacing w:line="360" w:lineRule="auto"/>
        <w:jc w:val="center"/>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 扬州中国大运河博物馆</w:t>
      </w:r>
      <w:r>
        <w:rPr>
          <w:rFonts w:hint="eastAsia" w:ascii="宋体" w:hAnsi="宋体" w:eastAsia="宋体" w:cs="宋体"/>
          <w:b/>
          <w:bCs w:val="0"/>
          <w:color w:val="auto"/>
          <w:kern w:val="0"/>
          <w:sz w:val="24"/>
          <w:szCs w:val="24"/>
          <w:highlight w:val="none"/>
          <w:u w:val="single"/>
          <w:lang w:val="en-US" w:eastAsia="zh-CN"/>
        </w:rPr>
        <w:t>景迈山古茶林文化遗产</w:t>
      </w:r>
    </w:p>
    <w:p w14:paraId="46DE2554">
      <w:pPr>
        <w:widowControl/>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展览设计制作服务</w:t>
      </w:r>
      <w:r>
        <w:rPr>
          <w:rFonts w:hint="eastAsia" w:ascii="宋体" w:hAnsi="宋体" w:eastAsia="宋体" w:cs="宋体"/>
          <w:b/>
          <w:bCs/>
          <w:color w:val="auto"/>
          <w:sz w:val="24"/>
          <w:szCs w:val="24"/>
          <w:highlight w:val="none"/>
        </w:rPr>
        <w:t>项目</w:t>
      </w:r>
    </w:p>
    <w:p w14:paraId="09BA3EA4">
      <w:pPr>
        <w:widowControl/>
        <w:snapToGrid w:val="0"/>
        <w:spacing w:line="360" w:lineRule="auto"/>
        <w:jc w:val="center"/>
        <w:rPr>
          <w:rFonts w:hint="eastAsia" w:ascii="宋体" w:hAnsi="宋体" w:eastAsia="宋体" w:cs="宋体"/>
          <w:b/>
          <w:bCs/>
          <w:color w:val="auto"/>
          <w:sz w:val="24"/>
          <w:szCs w:val="24"/>
          <w:highlight w:val="none"/>
        </w:rPr>
      </w:pPr>
    </w:p>
    <w:p w14:paraId="0082AF89">
      <w:pPr>
        <w:widowControl/>
        <w:snapToGrid w:val="0"/>
        <w:spacing w:line="360" w:lineRule="auto"/>
        <w:jc w:val="center"/>
        <w:rPr>
          <w:rFonts w:hint="eastAsia" w:ascii="宋体" w:hAnsi="宋体" w:eastAsia="宋体" w:cs="宋体"/>
          <w:b/>
          <w:bCs/>
          <w:color w:val="auto"/>
          <w:sz w:val="24"/>
          <w:szCs w:val="24"/>
          <w:highlight w:val="none"/>
        </w:rPr>
      </w:pPr>
    </w:p>
    <w:p w14:paraId="2CE90ADB">
      <w:pPr>
        <w:widowControl/>
        <w:snapToGrid w:val="0"/>
        <w:spacing w:line="360" w:lineRule="auto"/>
        <w:jc w:val="center"/>
        <w:rPr>
          <w:rFonts w:hint="eastAsia" w:ascii="宋体" w:hAnsi="宋体" w:eastAsia="宋体" w:cs="宋体"/>
          <w:b/>
          <w:bCs/>
          <w:color w:val="auto"/>
          <w:sz w:val="24"/>
          <w:szCs w:val="24"/>
          <w:highlight w:val="none"/>
        </w:rPr>
      </w:pPr>
    </w:p>
    <w:p w14:paraId="7F366939">
      <w:pPr>
        <w:widowControl/>
        <w:snapToGrid w:val="0"/>
        <w:spacing w:line="360" w:lineRule="auto"/>
        <w:jc w:val="both"/>
        <w:rPr>
          <w:rFonts w:hint="eastAsia" w:ascii="宋体" w:hAnsi="宋体" w:eastAsia="宋体" w:cs="宋体"/>
          <w:b/>
          <w:bCs/>
          <w:color w:val="auto"/>
          <w:sz w:val="24"/>
          <w:szCs w:val="24"/>
          <w:highlight w:val="none"/>
        </w:rPr>
      </w:pPr>
    </w:p>
    <w:p w14:paraId="5C501056">
      <w:pPr>
        <w:widowControl/>
        <w:snapToGrid w:val="0"/>
        <w:spacing w:line="360" w:lineRule="auto"/>
        <w:jc w:val="center"/>
        <w:rPr>
          <w:rFonts w:hint="eastAsia" w:ascii="宋体" w:hAnsi="宋体" w:eastAsia="宋体" w:cs="宋体"/>
          <w:b/>
          <w:bCs/>
          <w:color w:val="auto"/>
          <w:sz w:val="24"/>
          <w:szCs w:val="24"/>
          <w:highlight w:val="none"/>
        </w:rPr>
      </w:pPr>
    </w:p>
    <w:p w14:paraId="00BCAA6B">
      <w:pPr>
        <w:widowControl/>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w:t>
      </w:r>
    </w:p>
    <w:p w14:paraId="2B24AD93">
      <w:pPr>
        <w:widowControl/>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同</w:t>
      </w:r>
    </w:p>
    <w:p w14:paraId="00D39E16">
      <w:pPr>
        <w:widowControl/>
        <w:snapToGrid w:val="0"/>
        <w:spacing w:line="360" w:lineRule="auto"/>
        <w:ind w:firstLine="480"/>
        <w:rPr>
          <w:rFonts w:hint="eastAsia" w:ascii="宋体" w:hAnsi="宋体" w:eastAsia="宋体" w:cs="宋体"/>
          <w:color w:val="auto"/>
          <w:sz w:val="24"/>
          <w:szCs w:val="24"/>
          <w:highlight w:val="none"/>
        </w:rPr>
      </w:pPr>
    </w:p>
    <w:p w14:paraId="1A59FB4F">
      <w:pPr>
        <w:widowControl/>
        <w:snapToGrid w:val="0"/>
        <w:spacing w:line="360" w:lineRule="auto"/>
        <w:ind w:firstLine="480"/>
        <w:rPr>
          <w:rFonts w:hint="eastAsia" w:ascii="宋体" w:hAnsi="宋体" w:eastAsia="宋体" w:cs="宋体"/>
          <w:color w:val="auto"/>
          <w:sz w:val="24"/>
          <w:szCs w:val="24"/>
          <w:highlight w:val="none"/>
        </w:rPr>
      </w:pPr>
    </w:p>
    <w:p w14:paraId="2E701225">
      <w:pPr>
        <w:widowControl/>
        <w:snapToGrid w:val="0"/>
        <w:spacing w:line="360" w:lineRule="auto"/>
        <w:ind w:firstLine="480"/>
        <w:rPr>
          <w:rFonts w:hint="eastAsia" w:ascii="宋体" w:hAnsi="宋体" w:eastAsia="宋体" w:cs="宋体"/>
          <w:color w:val="auto"/>
          <w:sz w:val="24"/>
          <w:szCs w:val="24"/>
          <w:highlight w:val="none"/>
        </w:rPr>
      </w:pPr>
    </w:p>
    <w:p w14:paraId="37EF31CE">
      <w:pPr>
        <w:widowControl/>
        <w:snapToGrid w:val="0"/>
        <w:spacing w:line="360" w:lineRule="auto"/>
        <w:ind w:firstLine="480"/>
        <w:rPr>
          <w:rFonts w:hint="eastAsia" w:ascii="宋体" w:hAnsi="宋体" w:eastAsia="宋体" w:cs="宋体"/>
          <w:color w:val="auto"/>
          <w:sz w:val="24"/>
          <w:szCs w:val="24"/>
          <w:highlight w:val="none"/>
        </w:rPr>
      </w:pPr>
    </w:p>
    <w:p w14:paraId="5271846B">
      <w:pPr>
        <w:widowControl/>
        <w:snapToGrid w:val="0"/>
        <w:spacing w:line="360" w:lineRule="auto"/>
        <w:ind w:firstLine="480"/>
        <w:rPr>
          <w:rFonts w:hint="eastAsia" w:ascii="宋体" w:hAnsi="宋体" w:eastAsia="宋体" w:cs="宋体"/>
          <w:color w:val="auto"/>
          <w:sz w:val="24"/>
          <w:szCs w:val="24"/>
          <w:highlight w:val="none"/>
        </w:rPr>
      </w:pPr>
    </w:p>
    <w:p w14:paraId="4A7E1AD0">
      <w:pPr>
        <w:widowControl/>
        <w:snapToGrid w:val="0"/>
        <w:spacing w:line="360" w:lineRule="auto"/>
        <w:ind w:firstLine="480"/>
        <w:rPr>
          <w:rFonts w:hint="eastAsia" w:ascii="宋体" w:hAnsi="宋体" w:eastAsia="宋体" w:cs="宋体"/>
          <w:color w:val="auto"/>
          <w:sz w:val="24"/>
          <w:szCs w:val="24"/>
          <w:highlight w:val="none"/>
        </w:rPr>
      </w:pPr>
    </w:p>
    <w:p w14:paraId="300B9E92">
      <w:pPr>
        <w:spacing w:line="360" w:lineRule="auto"/>
        <w:ind w:left="1957" w:leftChars="342" w:hanging="1205" w:hangingChars="500"/>
        <w:rPr>
          <w:rFonts w:hint="eastAsia" w:ascii="宋体" w:hAnsi="宋体" w:eastAsia="宋体" w:cs="宋体"/>
          <w:bCs/>
          <w:color w:val="auto"/>
          <w:kern w:val="0"/>
          <w:sz w:val="24"/>
          <w:szCs w:val="24"/>
          <w:highlight w:val="none"/>
          <w:u w:val="single"/>
          <w:lang w:val="en-US" w:eastAsia="zh-CN"/>
        </w:rPr>
      </w:pPr>
      <w:r>
        <w:rPr>
          <w:rFonts w:hint="eastAsia" w:ascii="宋体" w:hAnsi="宋体" w:eastAsia="宋体" w:cs="宋体"/>
          <w:b/>
          <w:bCs/>
          <w:color w:val="auto"/>
          <w:sz w:val="24"/>
          <w:szCs w:val="24"/>
          <w:highlight w:val="none"/>
        </w:rPr>
        <w:t>项目名称：</w:t>
      </w:r>
      <w:r>
        <w:rPr>
          <w:rFonts w:hint="eastAsia" w:ascii="宋体" w:hAnsi="宋体" w:eastAsia="宋体" w:cs="宋体"/>
          <w:bCs/>
          <w:color w:val="auto"/>
          <w:sz w:val="24"/>
          <w:szCs w:val="24"/>
          <w:highlight w:val="none"/>
          <w:u w:val="single"/>
        </w:rPr>
        <w:t>扬州中国大运河博物馆</w:t>
      </w:r>
      <w:r>
        <w:rPr>
          <w:rFonts w:hint="eastAsia" w:ascii="宋体" w:hAnsi="宋体" w:eastAsia="宋体" w:cs="宋体"/>
          <w:bCs/>
          <w:color w:val="auto"/>
          <w:kern w:val="0"/>
          <w:sz w:val="24"/>
          <w:szCs w:val="24"/>
          <w:highlight w:val="none"/>
          <w:u w:val="single"/>
          <w:lang w:val="en-US" w:eastAsia="zh-CN"/>
        </w:rPr>
        <w:t>景迈山古茶林文化遗产</w:t>
      </w:r>
    </w:p>
    <w:p w14:paraId="46FE28EB">
      <w:pPr>
        <w:spacing w:line="360" w:lineRule="auto"/>
        <w:ind w:left="2006" w:leftChars="912" w:firstLine="0" w:firstLineChars="0"/>
        <w:rPr>
          <w:rFonts w:hint="eastAsia" w:ascii="宋体" w:hAnsi="宋体" w:eastAsia="宋体" w:cs="宋体"/>
          <w:b/>
          <w:bCs/>
          <w:color w:val="auto"/>
          <w:sz w:val="24"/>
          <w:szCs w:val="24"/>
          <w:highlight w:val="none"/>
        </w:rPr>
      </w:pPr>
      <w:r>
        <w:rPr>
          <w:rFonts w:hint="eastAsia" w:ascii="宋体" w:hAnsi="宋体" w:eastAsia="宋体" w:cs="宋体"/>
          <w:bCs/>
          <w:color w:val="auto"/>
          <w:kern w:val="0"/>
          <w:sz w:val="24"/>
          <w:szCs w:val="24"/>
          <w:highlight w:val="none"/>
          <w:u w:val="single"/>
        </w:rPr>
        <w:t>展览设计制作</w:t>
      </w:r>
      <w:r>
        <w:rPr>
          <w:rFonts w:hint="eastAsia" w:ascii="宋体" w:hAnsi="宋体" w:eastAsia="宋体" w:cs="宋体"/>
          <w:bCs/>
          <w:color w:val="auto"/>
          <w:sz w:val="24"/>
          <w:szCs w:val="24"/>
          <w:highlight w:val="none"/>
          <w:u w:val="single"/>
        </w:rPr>
        <w:t>服务</w:t>
      </w:r>
    </w:p>
    <w:p w14:paraId="1D4F1DBB">
      <w:pPr>
        <w:spacing w:line="360" w:lineRule="auto"/>
        <w:ind w:firstLine="723" w:firstLineChars="300"/>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u w:val="single"/>
        </w:rPr>
        <w:t xml:space="preserve">扬州中国大运河博物馆                    </w:t>
      </w:r>
    </w:p>
    <w:p w14:paraId="2D62CD80">
      <w:pPr>
        <w:spacing w:line="360" w:lineRule="auto"/>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u w:val="single"/>
        </w:rPr>
        <w:t xml:space="preserve">                                        </w:t>
      </w:r>
    </w:p>
    <w:p w14:paraId="1359ABFA">
      <w:pPr>
        <w:spacing w:line="360" w:lineRule="auto"/>
        <w:ind w:firstLine="723" w:firstLineChars="3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签订时间：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年    月    日                     </w:t>
      </w:r>
    </w:p>
    <w:p w14:paraId="7AE35936">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szCs w:val="24"/>
          <w:highlight w:val="none"/>
        </w:rPr>
        <w:t>签订地点：</w:t>
      </w:r>
      <w:r>
        <w:rPr>
          <w:rFonts w:hint="eastAsia" w:ascii="宋体" w:hAnsi="宋体" w:eastAsia="宋体" w:cs="宋体"/>
          <w:color w:val="auto"/>
          <w:sz w:val="24"/>
          <w:szCs w:val="24"/>
          <w:highlight w:val="none"/>
          <w:u w:val="single"/>
        </w:rPr>
        <w:t xml:space="preserve">江苏省扬州市                           </w:t>
      </w:r>
    </w:p>
    <w:p w14:paraId="66C190D5">
      <w:pPr>
        <w:widowControl/>
        <w:spacing w:line="360" w:lineRule="auto"/>
        <w:rPr>
          <w:rFonts w:hint="eastAsia" w:ascii="宋体" w:hAnsi="宋体" w:eastAsia="宋体" w:cs="宋体"/>
          <w:b/>
          <w:color w:val="auto"/>
          <w:sz w:val="24"/>
          <w:szCs w:val="24"/>
          <w:highlight w:val="none"/>
        </w:rPr>
      </w:pPr>
      <w:bookmarkStart w:id="27" w:name="_Toc322794615"/>
      <w:bookmarkStart w:id="28" w:name="_Toc332660387"/>
      <w:bookmarkStart w:id="29" w:name="_Toc332653272"/>
    </w:p>
    <w:p w14:paraId="23C4DF9C">
      <w:pPr>
        <w:widowControl/>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合同书目录</w:t>
      </w:r>
      <w:bookmarkEnd w:id="27"/>
      <w:bookmarkEnd w:id="28"/>
      <w:bookmarkEnd w:id="29"/>
    </w:p>
    <w:p w14:paraId="2CDAEF92">
      <w:pPr>
        <w:spacing w:line="360" w:lineRule="auto"/>
        <w:rPr>
          <w:rFonts w:hint="eastAsia" w:ascii="宋体" w:hAnsi="宋体" w:eastAsia="宋体" w:cs="宋体"/>
          <w:color w:val="auto"/>
          <w:sz w:val="24"/>
          <w:szCs w:val="24"/>
          <w:highlight w:val="none"/>
        </w:rPr>
      </w:pPr>
    </w:p>
    <w:p w14:paraId="5583979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1、总则</w:t>
      </w:r>
    </w:p>
    <w:p w14:paraId="3E5B511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2、甲方责任</w:t>
      </w:r>
    </w:p>
    <w:p w14:paraId="388397F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3、乙方责任</w:t>
      </w:r>
    </w:p>
    <w:p w14:paraId="6FF83B5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4、计量单位</w:t>
      </w:r>
    </w:p>
    <w:p w14:paraId="778A66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5、项目进度</w:t>
      </w:r>
    </w:p>
    <w:p w14:paraId="03A0923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6、项目合同总金额及税费</w:t>
      </w:r>
    </w:p>
    <w:p w14:paraId="460DC12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7、项目合同支付条款</w:t>
      </w:r>
    </w:p>
    <w:p w14:paraId="5E87E55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8、项目合同修改</w:t>
      </w:r>
    </w:p>
    <w:p w14:paraId="303E9F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9、违约责任</w:t>
      </w:r>
    </w:p>
    <w:p w14:paraId="05B9E9F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10、项目合同终止</w:t>
      </w:r>
    </w:p>
    <w:p w14:paraId="2EF4C7A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11、不可抗力</w:t>
      </w:r>
    </w:p>
    <w:p w14:paraId="57E3F1B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12、仲裁</w:t>
      </w:r>
    </w:p>
    <w:p w14:paraId="4878C4C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13、项目合同附件</w:t>
      </w:r>
    </w:p>
    <w:p w14:paraId="50B187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14、项目合同生效及其它</w:t>
      </w:r>
    </w:p>
    <w:p w14:paraId="3694279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15、项目合同签章</w:t>
      </w:r>
    </w:p>
    <w:p w14:paraId="1C1B61B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30" w:name="_Toc322794616"/>
      <w:bookmarkStart w:id="31" w:name="_Toc332653273"/>
      <w:bookmarkStart w:id="32" w:name="_Toc332660388"/>
      <w:r>
        <w:rPr>
          <w:rFonts w:hint="eastAsia" w:ascii="宋体" w:hAnsi="宋体" w:eastAsia="宋体" w:cs="宋体"/>
          <w:color w:val="auto"/>
          <w:sz w:val="24"/>
          <w:szCs w:val="24"/>
          <w:highlight w:val="none"/>
        </w:rPr>
        <w:t>1.总则</w:t>
      </w:r>
      <w:bookmarkEnd w:id="30"/>
      <w:bookmarkEnd w:id="31"/>
      <w:bookmarkEnd w:id="32"/>
    </w:p>
    <w:p w14:paraId="0ED985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1.1本合同由</w:t>
      </w:r>
      <w:r>
        <w:rPr>
          <w:rFonts w:hint="eastAsia" w:ascii="宋体" w:hAnsi="宋体" w:eastAsia="宋体" w:cs="宋体"/>
          <w:color w:val="auto"/>
          <w:sz w:val="24"/>
          <w:szCs w:val="24"/>
          <w:highlight w:val="none"/>
          <w:u w:val="single"/>
        </w:rPr>
        <w:t xml:space="preserve"> 扬州中国大运河博物馆 </w:t>
      </w:r>
      <w:r>
        <w:rPr>
          <w:rFonts w:hint="eastAsia" w:ascii="宋体" w:hAnsi="宋体" w:eastAsia="宋体" w:cs="宋体"/>
          <w:color w:val="auto"/>
          <w:sz w:val="24"/>
          <w:szCs w:val="24"/>
          <w:highlight w:val="none"/>
        </w:rPr>
        <w:t xml:space="preserve">（以下简称“甲方”）为一方和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（以下简称“乙方”）为另一方按下述条款和条件签署。</w:t>
      </w:r>
    </w:p>
    <w:p w14:paraId="56CB8D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1.2甲方为获得</w:t>
      </w:r>
      <w:r>
        <w:rPr>
          <w:rFonts w:hint="eastAsia" w:ascii="宋体" w:hAnsi="宋体" w:eastAsia="宋体" w:cs="宋体"/>
          <w:color w:val="auto"/>
          <w:sz w:val="24"/>
          <w:szCs w:val="24"/>
          <w:highlight w:val="none"/>
          <w:u w:val="single"/>
        </w:rPr>
        <w:t xml:space="preserve"> 招标文件 </w:t>
      </w:r>
      <w:r>
        <w:rPr>
          <w:rFonts w:hint="eastAsia" w:ascii="宋体" w:hAnsi="宋体" w:eastAsia="宋体" w:cs="宋体"/>
          <w:color w:val="auto"/>
          <w:sz w:val="24"/>
          <w:szCs w:val="24"/>
          <w:highlight w:val="none"/>
        </w:rPr>
        <w:t>所描述的</w:t>
      </w:r>
      <w:r>
        <w:rPr>
          <w:rFonts w:hint="eastAsia" w:ascii="宋体" w:hAnsi="宋体" w:eastAsia="宋体" w:cs="宋体"/>
          <w:color w:val="auto"/>
          <w:sz w:val="24"/>
          <w:szCs w:val="24"/>
          <w:highlight w:val="none"/>
          <w:u w:val="single"/>
        </w:rPr>
        <w:t xml:space="preserve"> 扬州中国大运河博物馆</w:t>
      </w:r>
      <w:r>
        <w:rPr>
          <w:rFonts w:hint="eastAsia" w:ascii="宋体" w:hAnsi="宋体" w:eastAsia="宋体" w:cs="宋体"/>
          <w:bCs/>
          <w:color w:val="auto"/>
          <w:kern w:val="0"/>
          <w:sz w:val="24"/>
          <w:szCs w:val="24"/>
          <w:highlight w:val="none"/>
          <w:u w:val="single"/>
          <w:lang w:val="en-US" w:eastAsia="zh-CN"/>
        </w:rPr>
        <w:t>景迈山古茶林文化遗产</w:t>
      </w:r>
      <w:r>
        <w:rPr>
          <w:rFonts w:hint="eastAsia" w:ascii="宋体" w:hAnsi="宋体" w:eastAsia="宋体" w:cs="宋体"/>
          <w:color w:val="auto"/>
          <w:sz w:val="24"/>
          <w:szCs w:val="24"/>
          <w:highlight w:val="none"/>
          <w:u w:val="single"/>
        </w:rPr>
        <w:t xml:space="preserve">展览设计制作服务 </w:t>
      </w:r>
      <w:r>
        <w:rPr>
          <w:rFonts w:hint="eastAsia" w:ascii="宋体" w:hAnsi="宋体" w:eastAsia="宋体" w:cs="宋体"/>
          <w:color w:val="auto"/>
          <w:sz w:val="24"/>
          <w:szCs w:val="24"/>
          <w:highlight w:val="none"/>
        </w:rPr>
        <w:t>（填写项目名称），经过</w:t>
      </w:r>
      <w:r>
        <w:rPr>
          <w:rFonts w:hint="eastAsia" w:ascii="宋体" w:hAnsi="宋体" w:eastAsia="宋体" w:cs="宋体"/>
          <w:color w:val="auto"/>
          <w:sz w:val="24"/>
          <w:szCs w:val="24"/>
          <w:highlight w:val="none"/>
          <w:u w:val="single"/>
        </w:rPr>
        <w:t xml:space="preserve"> 扬州中国大运河博物馆</w:t>
      </w:r>
      <w:r>
        <w:rPr>
          <w:rFonts w:hint="eastAsia" w:ascii="宋体" w:hAnsi="宋体" w:eastAsia="宋体" w:cs="宋体"/>
          <w:bCs/>
          <w:color w:val="auto"/>
          <w:kern w:val="0"/>
          <w:sz w:val="24"/>
          <w:szCs w:val="24"/>
          <w:highlight w:val="none"/>
          <w:u w:val="single"/>
          <w:lang w:val="en-US" w:eastAsia="zh-CN"/>
        </w:rPr>
        <w:t>景迈山古茶林文化遗产</w:t>
      </w:r>
      <w:r>
        <w:rPr>
          <w:rFonts w:hint="eastAsia" w:ascii="宋体" w:hAnsi="宋体" w:eastAsia="宋体" w:cs="宋体"/>
          <w:color w:val="auto"/>
          <w:sz w:val="24"/>
          <w:szCs w:val="24"/>
          <w:highlight w:val="none"/>
          <w:u w:val="single"/>
        </w:rPr>
        <w:t>展览设计制作服务（项目编号：        ）评审小组对</w:t>
      </w:r>
      <w:r>
        <w:rPr>
          <w:rFonts w:hint="eastAsia" w:ascii="宋体" w:hAnsi="宋体" w:eastAsia="宋体" w:cs="宋体"/>
          <w:color w:val="auto"/>
          <w:sz w:val="24"/>
          <w:szCs w:val="24"/>
          <w:highlight w:val="none"/>
          <w:u w:val="single"/>
          <w:lang w:eastAsia="zh-CN"/>
        </w:rPr>
        <w:t>投标人</w:t>
      </w:r>
      <w:r>
        <w:rPr>
          <w:rFonts w:hint="eastAsia" w:ascii="宋体" w:hAnsi="宋体" w:eastAsia="宋体" w:cs="宋体"/>
          <w:color w:val="auto"/>
          <w:sz w:val="24"/>
          <w:szCs w:val="24"/>
          <w:highlight w:val="none"/>
          <w:u w:val="single"/>
        </w:rPr>
        <w:t>的综合评审</w:t>
      </w:r>
      <w:r>
        <w:rPr>
          <w:rFonts w:hint="eastAsia" w:ascii="宋体" w:hAnsi="宋体" w:eastAsia="宋体" w:cs="宋体"/>
          <w:color w:val="auto"/>
          <w:sz w:val="24"/>
          <w:szCs w:val="24"/>
          <w:highlight w:val="none"/>
        </w:rPr>
        <w:t>确定乙方为中标</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p>
    <w:p w14:paraId="4FE8781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1.3为了保证项目顺利实施，经协商，甲方和乙方依据《中华人民共和国民法典》的规定，现就</w:t>
      </w:r>
      <w:r>
        <w:rPr>
          <w:rFonts w:hint="eastAsia" w:ascii="宋体" w:hAnsi="宋体" w:eastAsia="宋体" w:cs="宋体"/>
          <w:color w:val="auto"/>
          <w:sz w:val="24"/>
          <w:szCs w:val="24"/>
          <w:highlight w:val="none"/>
          <w:u w:val="single"/>
        </w:rPr>
        <w:t>扬州中国大运河博物馆</w:t>
      </w:r>
      <w:r>
        <w:rPr>
          <w:rFonts w:hint="eastAsia" w:ascii="宋体" w:hAnsi="宋体" w:eastAsia="宋体" w:cs="宋体"/>
          <w:bCs/>
          <w:color w:val="auto"/>
          <w:kern w:val="0"/>
          <w:sz w:val="24"/>
          <w:szCs w:val="24"/>
          <w:highlight w:val="none"/>
          <w:u w:val="single"/>
          <w:lang w:val="en-US" w:eastAsia="zh-CN"/>
        </w:rPr>
        <w:t>景迈山古茶林文化遗产</w:t>
      </w:r>
      <w:r>
        <w:rPr>
          <w:rFonts w:hint="eastAsia" w:ascii="宋体" w:hAnsi="宋体" w:eastAsia="宋体" w:cs="宋体"/>
          <w:color w:val="auto"/>
          <w:sz w:val="24"/>
          <w:szCs w:val="24"/>
          <w:highlight w:val="none"/>
          <w:u w:val="single"/>
        </w:rPr>
        <w:t>展览设计制作服务项目</w:t>
      </w:r>
      <w:r>
        <w:rPr>
          <w:rFonts w:hint="eastAsia" w:ascii="宋体" w:hAnsi="宋体" w:eastAsia="宋体" w:cs="宋体"/>
          <w:color w:val="auto"/>
          <w:sz w:val="24"/>
          <w:szCs w:val="24"/>
          <w:highlight w:val="none"/>
        </w:rPr>
        <w:t>事宜签订本合同。</w:t>
      </w:r>
    </w:p>
    <w:p w14:paraId="6EF43FC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1.4本合同项下的项目实施地点位于: </w:t>
      </w:r>
      <w:r>
        <w:rPr>
          <w:rFonts w:hint="eastAsia" w:ascii="宋体" w:hAnsi="宋体" w:eastAsia="宋体" w:cs="宋体"/>
          <w:color w:val="auto"/>
          <w:sz w:val="24"/>
          <w:szCs w:val="24"/>
          <w:highlight w:val="none"/>
          <w:u w:val="single"/>
        </w:rPr>
        <w:t xml:space="preserve">扬州中国大运河博物馆 </w:t>
      </w:r>
      <w:r>
        <w:rPr>
          <w:rFonts w:hint="eastAsia" w:ascii="宋体" w:hAnsi="宋体" w:eastAsia="宋体" w:cs="宋体"/>
          <w:color w:val="auto"/>
          <w:sz w:val="24"/>
          <w:szCs w:val="24"/>
          <w:highlight w:val="none"/>
        </w:rPr>
        <w:t>。</w:t>
      </w:r>
    </w:p>
    <w:p w14:paraId="48DA9E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1.5项目实施目标：乙方负责为甲方提供</w:t>
      </w:r>
      <w:r>
        <w:rPr>
          <w:rFonts w:hint="eastAsia" w:ascii="宋体" w:hAnsi="宋体" w:eastAsia="宋体" w:cs="宋体"/>
          <w:color w:val="auto"/>
          <w:sz w:val="24"/>
          <w:szCs w:val="24"/>
          <w:highlight w:val="none"/>
          <w:u w:val="single"/>
        </w:rPr>
        <w:t xml:space="preserve">  扬州中国大运河博物馆</w:t>
      </w:r>
      <w:r>
        <w:rPr>
          <w:rFonts w:hint="eastAsia" w:ascii="宋体" w:hAnsi="宋体" w:eastAsia="宋体" w:cs="宋体"/>
          <w:bCs/>
          <w:color w:val="auto"/>
          <w:kern w:val="0"/>
          <w:sz w:val="24"/>
          <w:szCs w:val="24"/>
          <w:highlight w:val="none"/>
          <w:u w:val="single"/>
          <w:lang w:val="en-US" w:eastAsia="zh-CN"/>
        </w:rPr>
        <w:t>景迈山古茶林文化遗产</w:t>
      </w:r>
      <w:r>
        <w:rPr>
          <w:rFonts w:hint="eastAsia" w:ascii="宋体" w:hAnsi="宋体" w:eastAsia="宋体" w:cs="宋体"/>
          <w:color w:val="auto"/>
          <w:sz w:val="24"/>
          <w:szCs w:val="24"/>
          <w:highlight w:val="none"/>
          <w:u w:val="single"/>
        </w:rPr>
        <w:t xml:space="preserve">展览设计制作服务   </w:t>
      </w:r>
      <w:r>
        <w:rPr>
          <w:rFonts w:hint="eastAsia" w:ascii="宋体" w:hAnsi="宋体" w:eastAsia="宋体" w:cs="宋体"/>
          <w:color w:val="auto"/>
          <w:sz w:val="24"/>
          <w:szCs w:val="24"/>
          <w:highlight w:val="none"/>
        </w:rPr>
        <w:t>。</w:t>
      </w:r>
    </w:p>
    <w:p w14:paraId="33EF08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1.6项目实施内容：扬州中国大运河博物馆</w:t>
      </w:r>
      <w:r>
        <w:rPr>
          <w:rFonts w:hint="eastAsia" w:ascii="宋体" w:hAnsi="宋体" w:eastAsia="宋体" w:cs="宋体"/>
          <w:bCs/>
          <w:color w:val="auto"/>
          <w:kern w:val="0"/>
          <w:sz w:val="24"/>
          <w:szCs w:val="24"/>
          <w:highlight w:val="none"/>
          <w:u w:val="none"/>
          <w:lang w:val="en-US" w:eastAsia="zh-CN"/>
        </w:rPr>
        <w:t>景迈山古茶林文化遗产</w:t>
      </w:r>
      <w:r>
        <w:rPr>
          <w:rFonts w:hint="eastAsia" w:ascii="宋体" w:hAnsi="宋体" w:eastAsia="宋体" w:cs="宋体"/>
          <w:color w:val="auto"/>
          <w:sz w:val="24"/>
          <w:szCs w:val="24"/>
          <w:highlight w:val="none"/>
        </w:rPr>
        <w:t>展览设计制作服务</w:t>
      </w:r>
    </w:p>
    <w:p w14:paraId="4AF71388">
      <w:pPr>
        <w:spacing w:line="360" w:lineRule="auto"/>
        <w:ind w:firstLine="480"/>
        <w:rPr>
          <w:rFonts w:hint="eastAsia" w:ascii="宋体" w:hAnsi="宋体" w:eastAsia="宋体" w:cs="宋体"/>
          <w:color w:val="auto"/>
          <w:sz w:val="24"/>
          <w:szCs w:val="24"/>
          <w:highlight w:val="none"/>
        </w:rPr>
      </w:pPr>
      <w:bookmarkStart w:id="33" w:name="_Toc332653274"/>
      <w:bookmarkStart w:id="34" w:name="_Toc332660389"/>
      <w:bookmarkStart w:id="35" w:name="_Toc322794617"/>
      <w:r>
        <w:rPr>
          <w:rFonts w:hint="eastAsia" w:ascii="宋体" w:hAnsi="宋体" w:eastAsia="宋体" w:cs="宋体"/>
          <w:color w:val="auto"/>
          <w:sz w:val="24"/>
          <w:szCs w:val="24"/>
          <w:highlight w:val="none"/>
        </w:rPr>
        <w:t>2.甲方责任</w:t>
      </w:r>
      <w:bookmarkEnd w:id="33"/>
      <w:bookmarkEnd w:id="34"/>
      <w:bookmarkEnd w:id="35"/>
    </w:p>
    <w:p w14:paraId="6079121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2.1甲方提出</w:t>
      </w:r>
      <w:r>
        <w:rPr>
          <w:rFonts w:hint="eastAsia" w:ascii="宋体" w:hAnsi="宋体" w:eastAsia="宋体" w:cs="宋体"/>
          <w:color w:val="auto"/>
          <w:sz w:val="24"/>
          <w:szCs w:val="24"/>
          <w:highlight w:val="none"/>
          <w:u w:val="single"/>
        </w:rPr>
        <w:t xml:space="preserve"> 扬州中国大运河博物馆</w:t>
      </w:r>
      <w:r>
        <w:rPr>
          <w:rFonts w:hint="eastAsia" w:ascii="宋体" w:hAnsi="宋体" w:eastAsia="宋体" w:cs="宋体"/>
          <w:bCs/>
          <w:color w:val="auto"/>
          <w:kern w:val="0"/>
          <w:sz w:val="24"/>
          <w:szCs w:val="24"/>
          <w:highlight w:val="none"/>
          <w:u w:val="single"/>
          <w:lang w:val="en-US" w:eastAsia="zh-CN"/>
        </w:rPr>
        <w:t>景迈山古茶林文化遗产</w:t>
      </w:r>
      <w:r>
        <w:rPr>
          <w:rFonts w:hint="eastAsia" w:ascii="宋体" w:hAnsi="宋体" w:eastAsia="宋体" w:cs="宋体"/>
          <w:color w:val="auto"/>
          <w:sz w:val="24"/>
          <w:szCs w:val="24"/>
          <w:highlight w:val="none"/>
          <w:u w:val="single"/>
        </w:rPr>
        <w:t>展览设计制作服务</w:t>
      </w:r>
      <w:r>
        <w:rPr>
          <w:rFonts w:hint="eastAsia" w:ascii="宋体" w:hAnsi="宋体" w:eastAsia="宋体" w:cs="宋体"/>
          <w:color w:val="auto"/>
          <w:sz w:val="24"/>
          <w:szCs w:val="24"/>
          <w:highlight w:val="none"/>
        </w:rPr>
        <w:t xml:space="preserve">项目实施任务和需求，负责项目的总体组织工作，并保留根据实际工作需求，提出对项目实施方案进行适当修改的权利。 </w:t>
      </w:r>
    </w:p>
    <w:p w14:paraId="277CAE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2.2甲方应为调研、安装、测试、调试等乙方工作提供必要的工作环境及协助人员。</w:t>
      </w:r>
    </w:p>
    <w:p w14:paraId="16A8AD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2.3甲方负责组织由乙方提供的技术培训工作。</w:t>
      </w:r>
    </w:p>
    <w:p w14:paraId="57ED987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2.4甲方负责协调最终用户和乙方的关系，并提供最终用户的联系方式。</w:t>
      </w:r>
    </w:p>
    <w:p w14:paraId="64B2C61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2.5乙方向甲方提供的内部资料，甲方予以保密，甲方不向任何第三方泄露乙方的商业秘密和技术秘密。</w:t>
      </w:r>
    </w:p>
    <w:p w14:paraId="2B809907">
      <w:pPr>
        <w:spacing w:line="360" w:lineRule="auto"/>
        <w:ind w:firstLine="480"/>
        <w:rPr>
          <w:rFonts w:hint="eastAsia" w:ascii="宋体" w:hAnsi="宋体" w:eastAsia="宋体" w:cs="宋体"/>
          <w:color w:val="auto"/>
          <w:sz w:val="24"/>
          <w:szCs w:val="24"/>
          <w:highlight w:val="none"/>
        </w:rPr>
      </w:pPr>
      <w:bookmarkStart w:id="36" w:name="_Toc322794618"/>
      <w:bookmarkStart w:id="37" w:name="_Toc332660390"/>
      <w:bookmarkStart w:id="38" w:name="_Toc332653275"/>
      <w:r>
        <w:rPr>
          <w:rFonts w:hint="eastAsia" w:ascii="宋体" w:hAnsi="宋体" w:eastAsia="宋体" w:cs="宋体"/>
          <w:color w:val="auto"/>
          <w:sz w:val="24"/>
          <w:szCs w:val="24"/>
          <w:highlight w:val="none"/>
        </w:rPr>
        <w:t>3.乙方责任</w:t>
      </w:r>
      <w:bookmarkEnd w:id="36"/>
      <w:bookmarkEnd w:id="37"/>
      <w:bookmarkEnd w:id="38"/>
    </w:p>
    <w:p w14:paraId="18222D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3.1乙方应根据项目招标文件中的要求完成项目实施、制作，全面完成各项服务任务，保证本项目达到所设定的全部目标，使整个系统稳定可靠运行。</w:t>
      </w:r>
    </w:p>
    <w:p w14:paraId="2EAC00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3.2在本项目建设过程中，乙方应充分考虑甲方建设现状和需求，保证系统的完整性、一致性和扩展性。</w:t>
      </w:r>
    </w:p>
    <w:p w14:paraId="6F09178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3.3乙方应按照扬州中国大运河博物馆</w:t>
      </w:r>
      <w:r>
        <w:rPr>
          <w:rFonts w:hint="eastAsia" w:ascii="宋体" w:hAnsi="宋体" w:eastAsia="宋体" w:cs="宋体"/>
          <w:bCs/>
          <w:color w:val="auto"/>
          <w:kern w:val="0"/>
          <w:sz w:val="24"/>
          <w:szCs w:val="24"/>
          <w:highlight w:val="none"/>
          <w:u w:val="none"/>
          <w:lang w:val="en-US" w:eastAsia="zh-CN"/>
        </w:rPr>
        <w:t>景迈山古茶林文化遗产</w:t>
      </w:r>
      <w:r>
        <w:rPr>
          <w:rFonts w:hint="eastAsia" w:ascii="宋体" w:hAnsi="宋体" w:eastAsia="宋体" w:cs="宋体"/>
          <w:color w:val="auto"/>
          <w:sz w:val="24"/>
          <w:szCs w:val="24"/>
          <w:highlight w:val="none"/>
        </w:rPr>
        <w:t>展览设计制作服务项目资料编制要求分阶段向甲方提供完备的技术资料，以满足系统软、硬件设备安装、管理及运行维护等需要。文档以纸质文件和电子资料（光盘）的形式提供。</w:t>
      </w:r>
    </w:p>
    <w:p w14:paraId="0385F7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3.4在项目运行期间，乙方应至少提供包括全程跟踪、现场指导、技术支持、应急响应、定期巡检、质量保证、维护等服务，及时解决项目运行时出现的问题，保证满足甲方的使用要求。</w:t>
      </w:r>
    </w:p>
    <w:p w14:paraId="63095D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3.5未经甲方书面授权或同意，乙方不得以任何方式将项目转交第三方提供相关服务，且项目成果（包括任何相对独立的部分）不得侵犯他人知识产权或遭到类似指控，否则，乙方承担一切后果。</w:t>
      </w:r>
    </w:p>
    <w:p w14:paraId="79B49A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p>
    <w:p w14:paraId="7B44693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乙方现场负责人姓名：</w:t>
      </w:r>
      <w:r>
        <w:rPr>
          <w:rFonts w:hint="eastAsia" w:ascii="宋体" w:hAnsi="宋体" w:eastAsia="宋体" w:cs="宋体"/>
          <w:color w:val="auto"/>
          <w:sz w:val="24"/>
          <w:szCs w:val="24"/>
          <w:highlight w:val="none"/>
          <w:u w:val="single"/>
        </w:rPr>
        <w:t xml:space="preserve">                                   </w:t>
      </w:r>
    </w:p>
    <w:p w14:paraId="6F37C3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ECB83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3.7乙方应加强项目风险分析及控制，对项目的风险要有详细的分析，并有可靠的控制手段和措施。</w:t>
      </w:r>
    </w:p>
    <w:p w14:paraId="24294C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3.8在提供服务过程中，由于乙方人员的过错、过失造成的设备损坏、损失、人身安全事故，其责任由乙方承担。</w:t>
      </w:r>
    </w:p>
    <w:p w14:paraId="71CEC884">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bCs/>
          <w:color w:val="auto"/>
          <w:sz w:val="24"/>
          <w:szCs w:val="24"/>
          <w:highlight w:val="none"/>
          <w:lang w:val="en-US" w:eastAsia="zh-CN"/>
        </w:rPr>
        <w:t>在本项目服务期间，如发生因乙方自身展陈制作相关原因引发的文物安全相关事故，乙方须承担一切责任（包含连带赔偿责任等）。</w:t>
      </w:r>
    </w:p>
    <w:p w14:paraId="3B1D2595">
      <w:pPr>
        <w:spacing w:line="360" w:lineRule="auto"/>
        <w:ind w:firstLine="480"/>
        <w:rPr>
          <w:rFonts w:hint="eastAsia" w:ascii="宋体" w:hAnsi="宋体" w:eastAsia="宋体" w:cs="宋体"/>
          <w:color w:val="auto"/>
          <w:sz w:val="24"/>
          <w:szCs w:val="24"/>
          <w:highlight w:val="none"/>
        </w:rPr>
      </w:pPr>
      <w:bookmarkStart w:id="39" w:name="_Toc322794619"/>
      <w:bookmarkStart w:id="40" w:name="_Toc332653276"/>
      <w:bookmarkStart w:id="41" w:name="_Toc332660391"/>
      <w:bookmarkStart w:id="42" w:name="_Toc487900372"/>
      <w:r>
        <w:rPr>
          <w:rFonts w:hint="eastAsia" w:ascii="宋体" w:hAnsi="宋体" w:eastAsia="宋体" w:cs="宋体"/>
          <w:color w:val="auto"/>
          <w:sz w:val="24"/>
          <w:szCs w:val="24"/>
          <w:highlight w:val="none"/>
        </w:rPr>
        <w:t>4.计量单位</w:t>
      </w:r>
      <w:bookmarkEnd w:id="39"/>
      <w:bookmarkEnd w:id="40"/>
      <w:bookmarkEnd w:id="41"/>
      <w:bookmarkEnd w:id="42"/>
    </w:p>
    <w:p w14:paraId="146B41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除技术规范中另有规定外,本项目计量单位均使用国家法定计量单位。</w:t>
      </w:r>
    </w:p>
    <w:p w14:paraId="572A9FCE">
      <w:pPr>
        <w:spacing w:line="360" w:lineRule="auto"/>
        <w:ind w:firstLine="480"/>
        <w:rPr>
          <w:rFonts w:hint="eastAsia" w:ascii="宋体" w:hAnsi="宋体" w:eastAsia="宋体" w:cs="宋体"/>
          <w:color w:val="auto"/>
          <w:sz w:val="24"/>
          <w:szCs w:val="24"/>
          <w:highlight w:val="none"/>
        </w:rPr>
      </w:pPr>
      <w:bookmarkStart w:id="43" w:name="_Toc332660392"/>
      <w:bookmarkStart w:id="44" w:name="_Toc332653277"/>
      <w:bookmarkStart w:id="45" w:name="_Toc322794620"/>
      <w:r>
        <w:rPr>
          <w:rFonts w:hint="eastAsia" w:ascii="宋体" w:hAnsi="宋体" w:eastAsia="宋体" w:cs="宋体"/>
          <w:color w:val="auto"/>
          <w:sz w:val="24"/>
          <w:szCs w:val="24"/>
          <w:highlight w:val="none"/>
        </w:rPr>
        <w:t>5.项目进度</w:t>
      </w:r>
      <w:bookmarkEnd w:id="43"/>
      <w:bookmarkEnd w:id="44"/>
      <w:bookmarkEnd w:id="45"/>
    </w:p>
    <w:p w14:paraId="21BC9CDD">
      <w:pPr>
        <w:spacing w:line="360" w:lineRule="auto"/>
        <w:ind w:firstLine="480"/>
        <w:rPr>
          <w:rFonts w:hint="eastAsia" w:ascii="宋体" w:hAnsi="宋体" w:eastAsia="宋体" w:cs="宋体"/>
          <w:color w:val="auto"/>
          <w:sz w:val="24"/>
          <w:szCs w:val="24"/>
          <w:highlight w:val="none"/>
        </w:rPr>
      </w:pPr>
      <w:r>
        <w:rPr>
          <w:rFonts w:hint="eastAsia" w:cs="宋体"/>
          <w:b w:val="0"/>
          <w:bCs/>
          <w:color w:val="auto"/>
          <w:sz w:val="24"/>
          <w:szCs w:val="24"/>
          <w:highlight w:val="none"/>
          <w:lang w:eastAsia="zh-CN"/>
        </w:rPr>
        <w:t>2026年9月16日前设计、供货并制作完成</w:t>
      </w:r>
      <w:r>
        <w:rPr>
          <w:rFonts w:hint="eastAsia" w:ascii="宋体" w:hAnsi="宋体" w:eastAsia="宋体" w:cs="宋体"/>
          <w:color w:val="auto"/>
          <w:sz w:val="24"/>
          <w:szCs w:val="24"/>
          <w:highlight w:val="none"/>
        </w:rPr>
        <w:t>，乙方必须履行其在本合同中所规定的义务，按进度要求按时完成合同所约定的服务工作。</w:t>
      </w:r>
      <w:r>
        <w:rPr>
          <w:rFonts w:hint="eastAsia" w:cs="宋体"/>
          <w:color w:val="auto"/>
          <w:sz w:val="24"/>
          <w:szCs w:val="24"/>
          <w:highlight w:val="none"/>
          <w:lang w:val="en-US" w:eastAsia="zh-CN"/>
        </w:rPr>
        <w:t>甲方</w:t>
      </w:r>
      <w:r>
        <w:rPr>
          <w:rFonts w:hint="eastAsia" w:ascii="宋体" w:hAnsi="宋体" w:eastAsia="宋体" w:cs="宋体"/>
          <w:color w:val="auto"/>
          <w:sz w:val="24"/>
          <w:szCs w:val="24"/>
          <w:highlight w:val="none"/>
        </w:rPr>
        <w:t>将自</w:t>
      </w:r>
      <w:r>
        <w:rPr>
          <w:rFonts w:hint="eastAsia" w:cs="宋体"/>
          <w:color w:val="auto"/>
          <w:sz w:val="24"/>
          <w:szCs w:val="24"/>
          <w:highlight w:val="none"/>
          <w:lang w:val="en-US" w:eastAsia="zh-CN"/>
        </w:rPr>
        <w:t>乙方</w:t>
      </w:r>
      <w:r>
        <w:rPr>
          <w:rFonts w:hint="eastAsia" w:ascii="宋体" w:hAnsi="宋体" w:eastAsia="宋体" w:cs="宋体"/>
          <w:color w:val="auto"/>
          <w:sz w:val="24"/>
          <w:szCs w:val="24"/>
          <w:highlight w:val="none"/>
        </w:rPr>
        <w:t>履行完合同义务并出具结项报告之日起，十五个工作日内组织验收。</w:t>
      </w:r>
    </w:p>
    <w:p w14:paraId="7E2A3A3A">
      <w:pPr>
        <w:spacing w:line="360" w:lineRule="auto"/>
        <w:ind w:firstLine="480"/>
        <w:rPr>
          <w:rFonts w:hint="eastAsia" w:ascii="宋体" w:hAnsi="宋体" w:eastAsia="宋体" w:cs="宋体"/>
          <w:color w:val="auto"/>
          <w:sz w:val="24"/>
          <w:szCs w:val="24"/>
          <w:highlight w:val="none"/>
        </w:rPr>
      </w:pPr>
      <w:bookmarkStart w:id="46" w:name="_Toc322794621"/>
      <w:bookmarkStart w:id="47" w:name="_Toc332653278"/>
      <w:bookmarkStart w:id="48" w:name="_Toc332660393"/>
      <w:r>
        <w:rPr>
          <w:rFonts w:hint="eastAsia" w:ascii="宋体" w:hAnsi="宋体" w:eastAsia="宋体" w:cs="宋体"/>
          <w:color w:val="auto"/>
          <w:sz w:val="24"/>
          <w:szCs w:val="24"/>
          <w:highlight w:val="none"/>
        </w:rPr>
        <w:t>6.项目合同总金额及税费</w:t>
      </w:r>
      <w:bookmarkEnd w:id="46"/>
      <w:bookmarkEnd w:id="47"/>
      <w:bookmarkEnd w:id="48"/>
    </w:p>
    <w:p w14:paraId="5E37450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6.1合同总金额为：￥</w:t>
      </w:r>
      <w:r>
        <w:rPr>
          <w:rFonts w:hint="eastAsia" w:ascii="宋体" w:hAnsi="宋体" w:eastAsia="宋体" w:cs="宋体"/>
          <w:color w:val="auto"/>
          <w:sz w:val="24"/>
          <w:szCs w:val="24"/>
          <w:highlight w:val="none"/>
          <w:u w:val="single"/>
        </w:rPr>
        <w:t xml:space="preserve">        元 </w:t>
      </w:r>
    </w:p>
    <w:p w14:paraId="423A1E2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C61A7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与本合同有关的一切税费均由乙方负担。</w:t>
      </w:r>
    </w:p>
    <w:p w14:paraId="7D30F310">
      <w:pPr>
        <w:spacing w:line="360" w:lineRule="auto"/>
        <w:ind w:firstLine="480"/>
        <w:rPr>
          <w:rFonts w:hint="eastAsia" w:ascii="宋体" w:hAnsi="宋体" w:eastAsia="宋体" w:cs="宋体"/>
          <w:color w:val="auto"/>
          <w:sz w:val="24"/>
          <w:szCs w:val="24"/>
          <w:highlight w:val="none"/>
        </w:rPr>
      </w:pPr>
      <w:bookmarkStart w:id="49" w:name="_Toc332660394"/>
      <w:bookmarkStart w:id="50" w:name="_Toc322794622"/>
      <w:bookmarkStart w:id="51" w:name="_Toc332653279"/>
      <w:r>
        <w:rPr>
          <w:rFonts w:hint="eastAsia" w:ascii="宋体" w:hAnsi="宋体" w:eastAsia="宋体" w:cs="宋体"/>
          <w:color w:val="auto"/>
          <w:sz w:val="24"/>
          <w:szCs w:val="24"/>
          <w:highlight w:val="none"/>
        </w:rPr>
        <w:t>7.项目合同支付条款</w:t>
      </w:r>
      <w:bookmarkEnd w:id="49"/>
      <w:bookmarkEnd w:id="50"/>
      <w:bookmarkEnd w:id="51"/>
    </w:p>
    <w:p w14:paraId="744E48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付款应按下列条件进行：</w:t>
      </w:r>
    </w:p>
    <w:p w14:paraId="05D3FD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7.1具体支付比例如下：</w:t>
      </w:r>
    </w:p>
    <w:p w14:paraId="477A7303">
      <w:pPr>
        <w:adjustRightInd w:val="0"/>
        <w:snapToGrid w:val="0"/>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第一次付款：签订合同</w:t>
      </w:r>
      <w:r>
        <w:rPr>
          <w:rFonts w:hint="eastAsia" w:ascii="宋体" w:hAnsi="宋体" w:eastAsia="宋体" w:cs="宋体"/>
          <w:bCs/>
          <w:color w:val="auto"/>
          <w:sz w:val="24"/>
          <w:szCs w:val="24"/>
          <w:highlight w:val="none"/>
          <w:u w:val="single"/>
          <w:lang w:val="en-US" w:eastAsia="zh-CN"/>
        </w:rPr>
        <w:t>后且</w:t>
      </w:r>
      <w:r>
        <w:rPr>
          <w:rFonts w:hint="eastAsia" w:cs="宋体"/>
          <w:bCs/>
          <w:color w:val="auto"/>
          <w:sz w:val="24"/>
          <w:szCs w:val="24"/>
          <w:highlight w:val="none"/>
          <w:u w:val="single"/>
          <w:lang w:val="en-US" w:eastAsia="zh-CN"/>
        </w:rPr>
        <w:t>收到乙方</w:t>
      </w:r>
      <w:r>
        <w:rPr>
          <w:rFonts w:hint="eastAsia" w:ascii="宋体" w:hAnsi="宋体" w:eastAsia="宋体" w:cs="宋体"/>
          <w:bCs/>
          <w:color w:val="auto"/>
          <w:sz w:val="24"/>
          <w:szCs w:val="24"/>
          <w:highlight w:val="none"/>
          <w:u w:val="single"/>
        </w:rPr>
        <w:t>开具正规发票后</w:t>
      </w:r>
      <w:r>
        <w:rPr>
          <w:rFonts w:hint="eastAsia" w:ascii="宋体" w:hAnsi="宋体" w:eastAsia="宋体" w:cs="宋体"/>
          <w:bCs/>
          <w:color w:val="auto"/>
          <w:sz w:val="24"/>
          <w:szCs w:val="24"/>
          <w:highlight w:val="none"/>
          <w:u w:val="single"/>
          <w:lang w:val="en-US" w:eastAsia="zh-CN"/>
        </w:rPr>
        <w:t>25</w:t>
      </w:r>
      <w:r>
        <w:rPr>
          <w:rFonts w:hint="eastAsia" w:ascii="宋体" w:hAnsi="宋体" w:eastAsia="宋体" w:cs="宋体"/>
          <w:bCs/>
          <w:color w:val="auto"/>
          <w:sz w:val="24"/>
          <w:szCs w:val="24"/>
          <w:highlight w:val="none"/>
          <w:u w:val="single"/>
        </w:rPr>
        <w:t>个工作日内，支付合同金额的40%；</w:t>
      </w:r>
    </w:p>
    <w:p w14:paraId="039D47F5">
      <w:pPr>
        <w:adjustRightInd w:val="0"/>
        <w:snapToGrid w:val="0"/>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第二次付款：布展完成、</w:t>
      </w:r>
      <w:r>
        <w:rPr>
          <w:rFonts w:hint="eastAsia" w:cs="宋体"/>
          <w:bCs/>
          <w:color w:val="auto"/>
          <w:sz w:val="24"/>
          <w:szCs w:val="24"/>
          <w:highlight w:val="none"/>
          <w:u w:val="single"/>
          <w:lang w:val="en-US" w:eastAsia="zh-CN"/>
        </w:rPr>
        <w:t>乙方</w:t>
      </w:r>
      <w:r>
        <w:rPr>
          <w:rFonts w:hint="eastAsia" w:ascii="宋体" w:hAnsi="宋体" w:eastAsia="宋体" w:cs="宋体"/>
          <w:bCs/>
          <w:color w:val="auto"/>
          <w:sz w:val="24"/>
          <w:szCs w:val="24"/>
          <w:highlight w:val="none"/>
          <w:u w:val="single"/>
          <w:lang w:val="en-US" w:eastAsia="zh-CN"/>
        </w:rPr>
        <w:t>完整</w:t>
      </w:r>
      <w:r>
        <w:rPr>
          <w:rFonts w:hint="eastAsia" w:ascii="宋体" w:hAnsi="宋体" w:eastAsia="宋体" w:cs="宋体"/>
          <w:bCs/>
          <w:color w:val="auto"/>
          <w:sz w:val="24"/>
          <w:szCs w:val="24"/>
          <w:highlight w:val="none"/>
          <w:u w:val="single"/>
        </w:rPr>
        <w:t>递交项目资料</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出具结项报告</w:t>
      </w:r>
      <w:r>
        <w:rPr>
          <w:rFonts w:hint="eastAsia" w:ascii="宋体" w:hAnsi="宋体" w:eastAsia="宋体" w:cs="宋体"/>
          <w:bCs/>
          <w:color w:val="auto"/>
          <w:sz w:val="24"/>
          <w:szCs w:val="24"/>
          <w:highlight w:val="none"/>
          <w:u w:val="single"/>
        </w:rPr>
        <w:t>且经</w:t>
      </w:r>
      <w:r>
        <w:rPr>
          <w:rFonts w:hint="eastAsia" w:cs="宋体"/>
          <w:bCs/>
          <w:color w:val="auto"/>
          <w:sz w:val="24"/>
          <w:szCs w:val="24"/>
          <w:highlight w:val="none"/>
          <w:u w:val="single"/>
          <w:lang w:val="en-US" w:eastAsia="zh-CN"/>
        </w:rPr>
        <w:t>甲方</w:t>
      </w:r>
      <w:r>
        <w:rPr>
          <w:rFonts w:hint="eastAsia" w:ascii="宋体" w:hAnsi="宋体" w:eastAsia="宋体" w:cs="宋体"/>
          <w:bCs/>
          <w:color w:val="auto"/>
          <w:sz w:val="24"/>
          <w:szCs w:val="24"/>
          <w:highlight w:val="none"/>
          <w:u w:val="single"/>
        </w:rPr>
        <w:t>验收合格后</w:t>
      </w:r>
      <w:r>
        <w:rPr>
          <w:rFonts w:hint="eastAsia" w:ascii="宋体" w:hAnsi="宋体" w:eastAsia="宋体" w:cs="宋体"/>
          <w:bCs/>
          <w:color w:val="auto"/>
          <w:sz w:val="24"/>
          <w:szCs w:val="24"/>
          <w:highlight w:val="none"/>
          <w:u w:val="single"/>
          <w:lang w:eastAsia="zh-CN"/>
        </w:rPr>
        <w:t>，</w:t>
      </w:r>
      <w:r>
        <w:rPr>
          <w:rFonts w:hint="eastAsia" w:cs="宋体"/>
          <w:bCs/>
          <w:color w:val="auto"/>
          <w:sz w:val="24"/>
          <w:szCs w:val="24"/>
          <w:highlight w:val="none"/>
          <w:u w:val="single"/>
          <w:lang w:val="en-US" w:eastAsia="zh-CN"/>
        </w:rPr>
        <w:t>甲方</w:t>
      </w:r>
      <w:r>
        <w:rPr>
          <w:rFonts w:hint="eastAsia" w:ascii="宋体" w:hAnsi="宋体" w:eastAsia="宋体" w:cs="宋体"/>
          <w:bCs/>
          <w:color w:val="auto"/>
          <w:sz w:val="24"/>
          <w:szCs w:val="24"/>
          <w:highlight w:val="none"/>
          <w:u w:val="single"/>
          <w:lang w:val="en-US" w:eastAsia="zh-CN"/>
        </w:rPr>
        <w:t>通知</w:t>
      </w:r>
      <w:r>
        <w:rPr>
          <w:rFonts w:hint="eastAsia" w:cs="宋体"/>
          <w:bCs/>
          <w:color w:val="auto"/>
          <w:sz w:val="24"/>
          <w:szCs w:val="24"/>
          <w:highlight w:val="none"/>
          <w:u w:val="single"/>
          <w:lang w:val="en-US" w:eastAsia="zh-CN"/>
        </w:rPr>
        <w:t>乙方</w:t>
      </w:r>
      <w:r>
        <w:rPr>
          <w:rFonts w:hint="eastAsia" w:ascii="宋体" w:hAnsi="宋体" w:eastAsia="宋体" w:cs="宋体"/>
          <w:bCs/>
          <w:color w:val="auto"/>
          <w:sz w:val="24"/>
          <w:szCs w:val="24"/>
          <w:highlight w:val="none"/>
          <w:u w:val="single"/>
        </w:rPr>
        <w:t>开具正规发票</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收到发票</w:t>
      </w:r>
      <w:r>
        <w:rPr>
          <w:rFonts w:hint="eastAsia" w:ascii="宋体" w:hAnsi="宋体" w:eastAsia="宋体" w:cs="宋体"/>
          <w:bCs/>
          <w:color w:val="auto"/>
          <w:sz w:val="24"/>
          <w:szCs w:val="24"/>
          <w:highlight w:val="none"/>
          <w:u w:val="single"/>
        </w:rPr>
        <w:t>后</w:t>
      </w:r>
      <w:r>
        <w:rPr>
          <w:rFonts w:hint="eastAsia" w:ascii="宋体" w:hAnsi="宋体" w:eastAsia="宋体" w:cs="宋体"/>
          <w:bCs/>
          <w:color w:val="auto"/>
          <w:sz w:val="24"/>
          <w:szCs w:val="24"/>
          <w:highlight w:val="none"/>
          <w:u w:val="single"/>
          <w:lang w:val="en-US" w:eastAsia="zh-CN"/>
        </w:rPr>
        <w:t>25</w:t>
      </w:r>
      <w:r>
        <w:rPr>
          <w:rFonts w:hint="eastAsia" w:ascii="宋体" w:hAnsi="宋体" w:eastAsia="宋体" w:cs="宋体"/>
          <w:bCs/>
          <w:color w:val="auto"/>
          <w:sz w:val="24"/>
          <w:szCs w:val="24"/>
          <w:highlight w:val="none"/>
          <w:u w:val="single"/>
        </w:rPr>
        <w:t>个工作日内，支付至合同金额的</w:t>
      </w:r>
      <w:r>
        <w:rPr>
          <w:rFonts w:hint="eastAsia" w:ascii="宋体" w:hAnsi="宋体" w:eastAsia="宋体" w:cs="宋体"/>
          <w:bCs/>
          <w:color w:val="auto"/>
          <w:sz w:val="24"/>
          <w:szCs w:val="24"/>
          <w:highlight w:val="none"/>
          <w:u w:val="single"/>
          <w:lang w:val="en-US" w:eastAsia="zh-CN"/>
        </w:rPr>
        <w:t>9</w:t>
      </w:r>
      <w:r>
        <w:rPr>
          <w:rFonts w:hint="eastAsia" w:cs="宋体"/>
          <w:bCs/>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w:t>
      </w:r>
    </w:p>
    <w:p w14:paraId="25D31223">
      <w:pPr>
        <w:widowControl/>
        <w:snapToGrid w:val="0"/>
        <w:spacing w:line="360" w:lineRule="auto"/>
        <w:ind w:firstLine="480"/>
        <w:textAlignment w:val="baseline"/>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第三次付款：展览结束后，按照</w:t>
      </w:r>
      <w:r>
        <w:rPr>
          <w:rFonts w:hint="eastAsia" w:cs="宋体"/>
          <w:bCs/>
          <w:color w:val="auto"/>
          <w:sz w:val="24"/>
          <w:szCs w:val="24"/>
          <w:highlight w:val="none"/>
          <w:u w:val="single"/>
          <w:lang w:val="en-US" w:eastAsia="zh-CN"/>
        </w:rPr>
        <w:t>甲方</w:t>
      </w:r>
      <w:r>
        <w:rPr>
          <w:rFonts w:hint="eastAsia" w:ascii="宋体" w:hAnsi="宋体" w:eastAsia="宋体" w:cs="宋体"/>
          <w:bCs/>
          <w:color w:val="auto"/>
          <w:sz w:val="24"/>
          <w:szCs w:val="24"/>
          <w:highlight w:val="none"/>
          <w:u w:val="single"/>
        </w:rPr>
        <w:t>要求将展厅恢复至进场前状态，收到</w:t>
      </w:r>
      <w:r>
        <w:rPr>
          <w:rFonts w:hint="eastAsia" w:cs="宋体"/>
          <w:bCs/>
          <w:color w:val="auto"/>
          <w:sz w:val="24"/>
          <w:szCs w:val="24"/>
          <w:highlight w:val="none"/>
          <w:u w:val="single"/>
          <w:lang w:val="en-US" w:eastAsia="zh-CN"/>
        </w:rPr>
        <w:t>乙方</w:t>
      </w:r>
      <w:r>
        <w:rPr>
          <w:rFonts w:hint="eastAsia" w:ascii="宋体" w:hAnsi="宋体" w:eastAsia="宋体" w:cs="宋体"/>
          <w:bCs/>
          <w:color w:val="auto"/>
          <w:sz w:val="24"/>
          <w:szCs w:val="24"/>
          <w:highlight w:val="none"/>
          <w:u w:val="single"/>
        </w:rPr>
        <w:t>开具的正规发票后</w:t>
      </w:r>
      <w:r>
        <w:rPr>
          <w:rFonts w:hint="eastAsia" w:ascii="宋体" w:hAnsi="宋体" w:eastAsia="宋体" w:cs="宋体"/>
          <w:bCs/>
          <w:color w:val="auto"/>
          <w:sz w:val="24"/>
          <w:szCs w:val="24"/>
          <w:highlight w:val="none"/>
          <w:u w:val="single"/>
          <w:lang w:val="en-US" w:eastAsia="zh-CN"/>
        </w:rPr>
        <w:t>25</w:t>
      </w:r>
      <w:r>
        <w:rPr>
          <w:rFonts w:hint="eastAsia" w:ascii="宋体" w:hAnsi="宋体" w:eastAsia="宋体" w:cs="宋体"/>
          <w:bCs/>
          <w:color w:val="auto"/>
          <w:sz w:val="24"/>
          <w:szCs w:val="24"/>
          <w:highlight w:val="none"/>
          <w:u w:val="single"/>
        </w:rPr>
        <w:t>个工作日内，支付至合同金额的100%。</w:t>
      </w:r>
    </w:p>
    <w:p w14:paraId="44627E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7.2质量保证期：自验收合格之日起至展览结束（不超过1年）</w:t>
      </w:r>
    </w:p>
    <w:p w14:paraId="3E4725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1)自验收合格之日起至展览结束，</w:t>
      </w:r>
      <w:r>
        <w:rPr>
          <w:rFonts w:hint="default" w:ascii="宋体" w:hAnsi="宋体" w:cs="仿宋"/>
          <w:bCs/>
          <w:color w:val="auto"/>
          <w:sz w:val="24"/>
          <w:szCs w:val="24"/>
          <w:highlight w:val="none"/>
        </w:rPr>
        <w:t>质保期</w:t>
      </w:r>
      <w:r>
        <w:rPr>
          <w:rFonts w:hint="eastAsia" w:ascii="宋体" w:hAnsi="宋体" w:eastAsia="宋体" w:cs="宋体"/>
          <w:color w:val="auto"/>
          <w:sz w:val="24"/>
          <w:szCs w:val="24"/>
          <w:highlight w:val="none"/>
        </w:rPr>
        <w:t>内因制作质量而造成返修，其费用由</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负责，如质保期内因制作质量而造成返修，</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不予维修，则需退回合同总金额的5%。</w:t>
      </w:r>
    </w:p>
    <w:p w14:paraId="602ADD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2）维修响应时间：</w:t>
      </w:r>
      <w:r>
        <w:rPr>
          <w:rFonts w:hint="default" w:ascii="宋体" w:hAnsi="宋体" w:cs="仿宋"/>
          <w:bCs/>
          <w:color w:val="auto"/>
          <w:sz w:val="24"/>
          <w:szCs w:val="24"/>
          <w:highlight w:val="none"/>
        </w:rPr>
        <w:t>质保期</w:t>
      </w:r>
      <w:r>
        <w:rPr>
          <w:rFonts w:hint="eastAsia" w:ascii="宋体" w:hAnsi="宋体" w:eastAsia="宋体" w:cs="宋体"/>
          <w:color w:val="auto"/>
          <w:sz w:val="24"/>
          <w:szCs w:val="24"/>
          <w:highlight w:val="none"/>
        </w:rPr>
        <w:t>内，</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接到</w:t>
      </w:r>
      <w:r>
        <w:rPr>
          <w:rFonts w:hint="eastAsia" w:cs="宋体"/>
          <w:bCs/>
          <w:color w:val="auto"/>
          <w:sz w:val="24"/>
          <w:szCs w:val="24"/>
          <w:highlight w:val="none"/>
          <w:u w:val="none"/>
          <w:lang w:val="en-US" w:eastAsia="zh-CN"/>
        </w:rPr>
        <w:t>甲方</w:t>
      </w:r>
      <w:r>
        <w:rPr>
          <w:rFonts w:hint="eastAsia" w:ascii="宋体" w:hAnsi="宋体" w:eastAsia="宋体" w:cs="宋体"/>
          <w:color w:val="auto"/>
          <w:sz w:val="24"/>
          <w:szCs w:val="24"/>
          <w:highlight w:val="none"/>
        </w:rPr>
        <w:t>通知后2小时内响应，12小时内赶至现场，48小时内现场修复。</w:t>
      </w:r>
    </w:p>
    <w:p w14:paraId="746076C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default" w:ascii="宋体" w:hAnsi="宋体" w:cs="仿宋"/>
          <w:bCs/>
          <w:color w:val="auto"/>
          <w:sz w:val="24"/>
          <w:szCs w:val="24"/>
          <w:highlight w:val="none"/>
        </w:rPr>
        <w:t>质保期</w:t>
      </w:r>
      <w:r>
        <w:rPr>
          <w:rFonts w:hint="eastAsia" w:ascii="宋体" w:hAnsi="宋体" w:eastAsia="宋体" w:cs="宋体"/>
          <w:color w:val="auto"/>
          <w:sz w:val="24"/>
          <w:szCs w:val="24"/>
          <w:highlight w:val="none"/>
        </w:rPr>
        <w:t>内，</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负责对其提供的整个项目进行维修和维护，不再收取任何费用，但非</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责任的人为因素、自然因素（如火灾、雷击等）造成的故障除外。</w:t>
      </w:r>
    </w:p>
    <w:p w14:paraId="70626A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default" w:ascii="宋体" w:hAnsi="宋体" w:cs="仿宋"/>
          <w:bCs/>
          <w:color w:val="auto"/>
          <w:sz w:val="24"/>
          <w:szCs w:val="24"/>
          <w:highlight w:val="none"/>
        </w:rPr>
        <w:t>质保期</w:t>
      </w:r>
      <w:r>
        <w:rPr>
          <w:rFonts w:hint="eastAsia" w:ascii="宋体" w:hAnsi="宋体" w:eastAsia="宋体" w:cs="宋体"/>
          <w:color w:val="auto"/>
          <w:sz w:val="24"/>
          <w:szCs w:val="24"/>
          <w:highlight w:val="none"/>
        </w:rPr>
        <w:t>服务方式均为</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上门维修，即由</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派员</w:t>
      </w:r>
      <w:r>
        <w:rPr>
          <w:rFonts w:hint="eastAsia" w:ascii="宋体" w:hAnsi="宋体" w:eastAsia="宋体" w:cs="宋体"/>
          <w:color w:val="auto"/>
          <w:sz w:val="24"/>
          <w:szCs w:val="24"/>
          <w:highlight w:val="none"/>
          <w:u w:val="none"/>
        </w:rPr>
        <w:t>到</w:t>
      </w:r>
      <w:r>
        <w:rPr>
          <w:rFonts w:hint="eastAsia" w:cs="宋体"/>
          <w:bCs/>
          <w:color w:val="auto"/>
          <w:sz w:val="24"/>
          <w:szCs w:val="24"/>
          <w:highlight w:val="none"/>
          <w:u w:val="none"/>
          <w:lang w:val="en-US" w:eastAsia="zh-CN"/>
        </w:rPr>
        <w:t>甲方</w:t>
      </w:r>
      <w:r>
        <w:rPr>
          <w:rFonts w:hint="eastAsia" w:ascii="宋体" w:hAnsi="宋体" w:eastAsia="宋体" w:cs="宋体"/>
          <w:color w:val="auto"/>
          <w:sz w:val="24"/>
          <w:szCs w:val="24"/>
          <w:highlight w:val="none"/>
        </w:rPr>
        <w:t>现场维修，由此产生的一切费用均由</w:t>
      </w:r>
      <w:r>
        <w:rPr>
          <w:rFonts w:hint="eastAsia" w:cs="宋体"/>
          <w:bCs/>
          <w:color w:val="auto"/>
          <w:sz w:val="24"/>
          <w:szCs w:val="24"/>
          <w:highlight w:val="none"/>
          <w:u w:val="none"/>
          <w:lang w:val="en-US" w:eastAsia="zh-CN"/>
        </w:rPr>
        <w:t>乙方</w:t>
      </w:r>
      <w:r>
        <w:rPr>
          <w:rFonts w:hint="eastAsia" w:ascii="宋体" w:hAnsi="宋体" w:eastAsia="宋体" w:cs="宋体"/>
          <w:color w:val="auto"/>
          <w:sz w:val="24"/>
          <w:szCs w:val="24"/>
          <w:highlight w:val="none"/>
        </w:rPr>
        <w:t>承担。</w:t>
      </w:r>
    </w:p>
    <w:p w14:paraId="2C94E5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财务信息：</w:t>
      </w:r>
    </w:p>
    <w:p w14:paraId="68CD2671">
      <w:pP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乙方开户银行名称、账号：</w:t>
      </w:r>
    </w:p>
    <w:p w14:paraId="071BC90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528A77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84CCE1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AD9D1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r>
        <w:rPr>
          <w:rFonts w:hint="eastAsia" w:ascii="宋体" w:hAnsi="宋体" w:eastAsia="宋体" w:cs="宋体"/>
          <w:color w:val="auto"/>
          <w:sz w:val="24"/>
          <w:szCs w:val="24"/>
          <w:highlight w:val="none"/>
          <w:u w:val="single"/>
        </w:rPr>
        <w:t xml:space="preserve">                       </w:t>
      </w:r>
    </w:p>
    <w:p w14:paraId="06E5CDF4">
      <w:pPr>
        <w:spacing w:line="360" w:lineRule="auto"/>
        <w:ind w:firstLine="480"/>
        <w:rPr>
          <w:rFonts w:hint="eastAsia" w:ascii="宋体" w:hAnsi="宋体" w:eastAsia="宋体" w:cs="宋体"/>
          <w:color w:val="auto"/>
          <w:sz w:val="24"/>
          <w:szCs w:val="24"/>
          <w:highlight w:val="none"/>
        </w:rPr>
      </w:pPr>
      <w:bookmarkStart w:id="52" w:name="_Toc322794623"/>
      <w:bookmarkStart w:id="53" w:name="_Toc332653280"/>
      <w:bookmarkStart w:id="54" w:name="_Toc332660395"/>
      <w:r>
        <w:rPr>
          <w:rFonts w:hint="eastAsia" w:ascii="宋体" w:hAnsi="宋体" w:eastAsia="宋体" w:cs="宋体"/>
          <w:color w:val="auto"/>
          <w:sz w:val="24"/>
          <w:szCs w:val="24"/>
          <w:highlight w:val="none"/>
        </w:rPr>
        <w:t>8.项目合同修改</w:t>
      </w:r>
      <w:bookmarkEnd w:id="52"/>
      <w:bookmarkEnd w:id="53"/>
      <w:bookmarkEnd w:id="54"/>
    </w:p>
    <w:p w14:paraId="1FE6823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8.1除合同条款第10条的规定外，任何对合同的变更、修改和补充,只有在双方授权的代表签署书面文件后有效，并作为附件成为本合同不可分割的组成部分，并具有同等法律效果。</w:t>
      </w:r>
    </w:p>
    <w:p w14:paraId="203EB7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8.2因单方面变更合同，使另一方遭受损失的，应由责任方负责赔偿。</w:t>
      </w:r>
    </w:p>
    <w:p w14:paraId="31714367">
      <w:pPr>
        <w:spacing w:line="360" w:lineRule="auto"/>
        <w:ind w:firstLine="480"/>
        <w:rPr>
          <w:rFonts w:hint="eastAsia" w:ascii="宋体" w:hAnsi="宋体" w:eastAsia="宋体" w:cs="宋体"/>
          <w:color w:val="auto"/>
          <w:sz w:val="24"/>
          <w:szCs w:val="24"/>
          <w:highlight w:val="none"/>
        </w:rPr>
      </w:pPr>
      <w:bookmarkStart w:id="55" w:name="_Toc332653281"/>
      <w:bookmarkStart w:id="56" w:name="_Toc322794624"/>
      <w:bookmarkStart w:id="57" w:name="_Toc332660396"/>
      <w:r>
        <w:rPr>
          <w:rFonts w:hint="eastAsia" w:ascii="宋体" w:hAnsi="宋体" w:eastAsia="宋体" w:cs="宋体"/>
          <w:color w:val="auto"/>
          <w:sz w:val="24"/>
          <w:szCs w:val="24"/>
          <w:highlight w:val="none"/>
        </w:rPr>
        <w:t>9.违约责任</w:t>
      </w:r>
      <w:bookmarkEnd w:id="55"/>
      <w:bookmarkEnd w:id="56"/>
      <w:bookmarkEnd w:id="57"/>
    </w:p>
    <w:p w14:paraId="357E72D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p>
    <w:p w14:paraId="38EE90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p>
    <w:p w14:paraId="463BF5B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9.3如果甲方提出索赔通知后20天内乙方未能予以答复，该索赔应视为已被乙方接受。</w:t>
      </w:r>
    </w:p>
    <w:p w14:paraId="5B9B4077">
      <w:pPr>
        <w:spacing w:line="360" w:lineRule="auto"/>
        <w:ind w:firstLine="480"/>
        <w:rPr>
          <w:rFonts w:hint="eastAsia" w:ascii="宋体" w:hAnsi="宋体" w:eastAsia="宋体" w:cs="宋体"/>
          <w:color w:val="auto"/>
          <w:sz w:val="24"/>
          <w:szCs w:val="24"/>
          <w:highlight w:val="none"/>
        </w:rPr>
      </w:pPr>
      <w:bookmarkStart w:id="58" w:name="_Toc322794625"/>
      <w:bookmarkStart w:id="59" w:name="_Toc332653282"/>
      <w:bookmarkStart w:id="60" w:name="_Toc332660397"/>
      <w:r>
        <w:rPr>
          <w:rFonts w:hint="eastAsia" w:ascii="宋体" w:hAnsi="宋体" w:eastAsia="宋体" w:cs="宋体"/>
          <w:color w:val="auto"/>
          <w:sz w:val="24"/>
          <w:szCs w:val="24"/>
          <w:highlight w:val="none"/>
        </w:rPr>
        <w:t>10.项目合同终止</w:t>
      </w:r>
      <w:bookmarkEnd w:id="58"/>
      <w:bookmarkEnd w:id="59"/>
      <w:bookmarkEnd w:id="60"/>
    </w:p>
    <w:p w14:paraId="08DA302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p>
    <w:p w14:paraId="38AABA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10.1违约终止合同</w:t>
      </w:r>
    </w:p>
    <w:p w14:paraId="17D30C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在甲方对乙方违约而采取的任何补救措施不受影响的情况下，甲方可向乙方发出书面违约通知书，提出终止部分或全部合同：</w:t>
      </w:r>
    </w:p>
    <w:p w14:paraId="22E1A44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（1）如果乙方未能在合同规定的期限或甲方根据合同条款的规定同意延长的限期内提供部分或全部的服务，达到合同所规定的服务；</w:t>
      </w:r>
    </w:p>
    <w:p w14:paraId="59689E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（2）如果乙方未能履行合同规定的其他任何义务。</w:t>
      </w:r>
    </w:p>
    <w:p w14:paraId="256BF38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14:paraId="171EE5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因破产而终止合同</w:t>
      </w:r>
    </w:p>
    <w:p w14:paraId="281D04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p>
    <w:p w14:paraId="4C280B74">
      <w:pPr>
        <w:spacing w:line="360" w:lineRule="auto"/>
        <w:ind w:firstLine="480"/>
        <w:rPr>
          <w:rFonts w:hint="eastAsia" w:ascii="宋体" w:hAnsi="宋体" w:eastAsia="宋体" w:cs="宋体"/>
          <w:color w:val="auto"/>
          <w:sz w:val="24"/>
          <w:szCs w:val="24"/>
          <w:highlight w:val="none"/>
        </w:rPr>
      </w:pPr>
      <w:bookmarkStart w:id="61" w:name="_Toc332660398"/>
      <w:bookmarkStart w:id="62" w:name="_Toc332653283"/>
      <w:bookmarkStart w:id="63" w:name="_Toc322794626"/>
      <w:r>
        <w:rPr>
          <w:rFonts w:hint="eastAsia" w:ascii="宋体" w:hAnsi="宋体" w:eastAsia="宋体" w:cs="宋体"/>
          <w:color w:val="auto"/>
          <w:sz w:val="24"/>
          <w:szCs w:val="24"/>
          <w:highlight w:val="none"/>
        </w:rPr>
        <w:t>11.不可抗力</w:t>
      </w:r>
      <w:bookmarkEnd w:id="61"/>
      <w:bookmarkEnd w:id="62"/>
      <w:bookmarkEnd w:id="63"/>
    </w:p>
    <w:p w14:paraId="5E218E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365D0B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11.2签约双方任一方由于受不可抗力事件的影响而不能执行合同时，履行合同的期限应予以延长，其延长的期限应相当于事件所影响的时间。</w:t>
      </w:r>
    </w:p>
    <w:p w14:paraId="348C73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14:paraId="04A3A5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11.4因合同一方延迟履行合同后发生不可抗力的，不能免除延迟履行方的相应责任。</w:t>
      </w:r>
    </w:p>
    <w:p w14:paraId="537DAADE">
      <w:pPr>
        <w:spacing w:line="360" w:lineRule="auto"/>
        <w:ind w:firstLine="480"/>
        <w:rPr>
          <w:rFonts w:hint="eastAsia" w:ascii="宋体" w:hAnsi="宋体" w:eastAsia="宋体" w:cs="宋体"/>
          <w:color w:val="auto"/>
          <w:sz w:val="24"/>
          <w:szCs w:val="24"/>
          <w:highlight w:val="none"/>
        </w:rPr>
      </w:pPr>
      <w:bookmarkStart w:id="64" w:name="_Toc322794628"/>
      <w:bookmarkStart w:id="65" w:name="_Toc332660400"/>
      <w:bookmarkStart w:id="66" w:name="_Toc332653285"/>
      <w:r>
        <w:rPr>
          <w:rFonts w:hint="eastAsia" w:ascii="宋体" w:hAnsi="宋体" w:eastAsia="宋体" w:cs="宋体"/>
          <w:color w:val="auto"/>
          <w:sz w:val="24"/>
          <w:szCs w:val="24"/>
          <w:highlight w:val="none"/>
        </w:rPr>
        <w:t>12.诉讼</w:t>
      </w:r>
      <w:bookmarkEnd w:id="64"/>
      <w:bookmarkEnd w:id="65"/>
      <w:bookmarkEnd w:id="66"/>
    </w:p>
    <w:p w14:paraId="06FC765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12.1合同的实施或与合同有关的一切争端应通过双方友好协商解决。如果友好协商不能解决，任何一方都可向甲方所在地人民法院提起诉讼。</w:t>
      </w:r>
    </w:p>
    <w:p w14:paraId="7766C3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12.2诉讼费、律师费、保全费等由败诉方负担。</w:t>
      </w:r>
    </w:p>
    <w:p w14:paraId="7D5649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12.3在诉讼期间，除正在进行诉讼争议的部分以外，双方应继续执行合同的其余部分。</w:t>
      </w:r>
    </w:p>
    <w:p w14:paraId="224910B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12.4本合同适用中华人民共和国法律。</w:t>
      </w:r>
    </w:p>
    <w:p w14:paraId="0D1AD767">
      <w:pPr>
        <w:spacing w:line="360" w:lineRule="auto"/>
        <w:ind w:firstLine="480"/>
        <w:rPr>
          <w:rFonts w:hint="eastAsia" w:ascii="宋体" w:hAnsi="宋体" w:eastAsia="宋体" w:cs="宋体"/>
          <w:color w:val="auto"/>
          <w:sz w:val="24"/>
          <w:szCs w:val="24"/>
          <w:highlight w:val="none"/>
        </w:rPr>
      </w:pPr>
      <w:bookmarkStart w:id="67" w:name="_Toc332653286"/>
      <w:bookmarkStart w:id="68" w:name="_Toc332660401"/>
      <w:bookmarkStart w:id="69" w:name="_Toc322794629"/>
      <w:r>
        <w:rPr>
          <w:rFonts w:hint="eastAsia" w:ascii="宋体" w:hAnsi="宋体" w:eastAsia="宋体" w:cs="宋体"/>
          <w:color w:val="auto"/>
          <w:sz w:val="24"/>
          <w:szCs w:val="24"/>
          <w:highlight w:val="none"/>
        </w:rPr>
        <w:t>13.项目合同附件</w:t>
      </w:r>
      <w:bookmarkEnd w:id="67"/>
      <w:bookmarkEnd w:id="68"/>
      <w:bookmarkEnd w:id="69"/>
    </w:p>
    <w:p w14:paraId="643C84D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13.1下列文件属本合同的依据，具有同等的法律效力：</w:t>
      </w:r>
    </w:p>
    <w:p w14:paraId="0C330A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（1）招标文件（招标编号：        ）</w:t>
      </w:r>
    </w:p>
    <w:p w14:paraId="0EDB52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（2）投标文件（招标编号：        ）</w:t>
      </w:r>
    </w:p>
    <w:p w14:paraId="77CCC2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（3）采购过程中有关澄清、承诺文件</w:t>
      </w:r>
    </w:p>
    <w:p w14:paraId="3684B1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上述文件的内容与本合同的内容不一致时，以本合同为准。上述文件的内容相互之间不一致时，以排序在先者为准。</w:t>
      </w:r>
    </w:p>
    <w:p w14:paraId="39D511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13.2与履行本合同有关的下列文件，经双方确认，作为附件，为本合同的组成部分。</w:t>
      </w:r>
    </w:p>
    <w:p w14:paraId="01FB92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附件一：《中标通知书》</w:t>
      </w:r>
    </w:p>
    <w:p w14:paraId="1CC11145">
      <w:pPr>
        <w:spacing w:line="360" w:lineRule="auto"/>
        <w:ind w:firstLine="480"/>
        <w:rPr>
          <w:rFonts w:hint="eastAsia" w:ascii="宋体" w:hAnsi="宋体" w:eastAsia="宋体" w:cs="宋体"/>
          <w:color w:val="auto"/>
          <w:sz w:val="24"/>
          <w:szCs w:val="24"/>
          <w:highlight w:val="none"/>
        </w:rPr>
      </w:pPr>
      <w:bookmarkStart w:id="70" w:name="_Toc332653287"/>
      <w:bookmarkStart w:id="71" w:name="_Toc332660402"/>
      <w:bookmarkStart w:id="72" w:name="_Toc322794630"/>
      <w:r>
        <w:rPr>
          <w:rFonts w:hint="eastAsia" w:ascii="宋体" w:hAnsi="宋体" w:eastAsia="宋体" w:cs="宋体"/>
          <w:color w:val="auto"/>
          <w:sz w:val="24"/>
          <w:szCs w:val="24"/>
          <w:highlight w:val="none"/>
        </w:rPr>
        <w:t>14.项目合同生效及其它</w:t>
      </w:r>
      <w:bookmarkEnd w:id="70"/>
      <w:bookmarkEnd w:id="71"/>
      <w:bookmarkEnd w:id="72"/>
    </w:p>
    <w:p w14:paraId="1900B9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14.1本合同自双方授权代表签字、盖公章之日起生效。</w:t>
      </w:r>
    </w:p>
    <w:p w14:paraId="5A8361F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14.2本合同一式肆份，由甲方执贰份，乙方执贰份。</w:t>
      </w:r>
    </w:p>
    <w:p w14:paraId="4BF2A34A">
      <w:pPr>
        <w:spacing w:line="360" w:lineRule="auto"/>
        <w:ind w:firstLine="480"/>
        <w:rPr>
          <w:rFonts w:hint="eastAsia" w:ascii="宋体" w:hAnsi="宋体" w:eastAsia="宋体" w:cs="宋体"/>
          <w:color w:val="auto"/>
          <w:sz w:val="24"/>
          <w:szCs w:val="24"/>
          <w:highlight w:val="none"/>
        </w:rPr>
      </w:pPr>
      <w:bookmarkStart w:id="73" w:name="_Toc332653288"/>
      <w:bookmarkStart w:id="74" w:name="_Toc332660403"/>
      <w:r>
        <w:rPr>
          <w:rFonts w:hint="eastAsia" w:ascii="宋体" w:hAnsi="宋体" w:eastAsia="宋体" w:cs="宋体"/>
          <w:color w:val="auto"/>
          <w:sz w:val="24"/>
          <w:szCs w:val="24"/>
          <w:highlight w:val="none"/>
        </w:rPr>
        <w:t>15.项目合同签章</w:t>
      </w:r>
      <w:bookmarkEnd w:id="73"/>
      <w:bookmarkEnd w:id="74"/>
    </w:p>
    <w:p w14:paraId="50777A09">
      <w:pPr>
        <w:spacing w:line="360" w:lineRule="auto"/>
        <w:ind w:firstLine="480"/>
        <w:rPr>
          <w:rFonts w:hint="eastAsia" w:ascii="宋体" w:hAnsi="宋体" w:eastAsia="宋体" w:cs="宋体"/>
          <w:color w:val="auto"/>
          <w:sz w:val="24"/>
          <w:szCs w:val="24"/>
          <w:highlight w:val="none"/>
        </w:rPr>
      </w:pPr>
    </w:p>
    <w:tbl>
      <w:tblPr>
        <w:tblStyle w:val="42"/>
        <w:tblW w:w="8528" w:type="dxa"/>
        <w:tblInd w:w="108" w:type="dxa"/>
        <w:tblLayout w:type="fixed"/>
        <w:tblCellMar>
          <w:top w:w="0" w:type="dxa"/>
          <w:left w:w="108" w:type="dxa"/>
          <w:bottom w:w="0" w:type="dxa"/>
          <w:right w:w="108" w:type="dxa"/>
        </w:tblCellMar>
      </w:tblPr>
      <w:tblGrid>
        <w:gridCol w:w="1339"/>
        <w:gridCol w:w="3150"/>
        <w:gridCol w:w="1359"/>
        <w:gridCol w:w="2680"/>
      </w:tblGrid>
      <w:tr w14:paraId="033B3DA4">
        <w:tblPrEx>
          <w:tblCellMar>
            <w:top w:w="0" w:type="dxa"/>
            <w:left w:w="108" w:type="dxa"/>
            <w:bottom w:w="0" w:type="dxa"/>
            <w:right w:w="108" w:type="dxa"/>
          </w:tblCellMar>
        </w:tblPrEx>
        <w:trPr>
          <w:trHeight w:val="494" w:hRule="atLeast"/>
        </w:trPr>
        <w:tc>
          <w:tcPr>
            <w:tcW w:w="1339" w:type="dxa"/>
            <w:noWrap w:val="0"/>
            <w:vAlign w:val="center"/>
          </w:tcPr>
          <w:p w14:paraId="20424AE3">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color w:val="auto"/>
                <w:sz w:val="24"/>
                <w:szCs w:val="24"/>
                <w:highlight w:val="none"/>
              </w:rPr>
              <w:t>：</w:t>
            </w:r>
          </w:p>
        </w:tc>
        <w:tc>
          <w:tcPr>
            <w:tcW w:w="3150" w:type="dxa"/>
            <w:noWrap w:val="0"/>
            <w:vAlign w:val="center"/>
          </w:tcPr>
          <w:p w14:paraId="7FCAB79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扬州中国大运河博物馆</w:t>
            </w:r>
          </w:p>
        </w:tc>
        <w:tc>
          <w:tcPr>
            <w:tcW w:w="1359" w:type="dxa"/>
            <w:noWrap w:val="0"/>
            <w:vAlign w:val="center"/>
          </w:tcPr>
          <w:p w14:paraId="1553BEC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乙方</w:t>
            </w:r>
            <w:r>
              <w:rPr>
                <w:rFonts w:hint="eastAsia" w:ascii="宋体" w:hAnsi="宋体" w:eastAsia="宋体" w:cs="宋体"/>
                <w:color w:val="auto"/>
                <w:sz w:val="24"/>
                <w:szCs w:val="24"/>
                <w:highlight w:val="none"/>
              </w:rPr>
              <w:t>：</w:t>
            </w:r>
          </w:p>
        </w:tc>
        <w:tc>
          <w:tcPr>
            <w:tcW w:w="2680" w:type="dxa"/>
            <w:noWrap w:val="0"/>
            <w:vAlign w:val="center"/>
          </w:tcPr>
          <w:p w14:paraId="7E927DC1">
            <w:pPr>
              <w:keepNext w:val="0"/>
              <w:keepLines w:val="0"/>
              <w:suppressLineNumbers w:val="0"/>
              <w:spacing w:before="0" w:beforeAutospacing="0" w:after="0" w:afterAutospacing="0" w:line="360" w:lineRule="auto"/>
              <w:ind w:left="240" w:right="0" w:hanging="240" w:hangingChars="100"/>
              <w:jc w:val="center"/>
              <w:rPr>
                <w:rFonts w:hint="eastAsia" w:ascii="宋体" w:hAnsi="宋体" w:eastAsia="宋体" w:cs="宋体"/>
                <w:color w:val="auto"/>
                <w:sz w:val="24"/>
                <w:szCs w:val="24"/>
                <w:highlight w:val="none"/>
              </w:rPr>
            </w:pPr>
          </w:p>
        </w:tc>
      </w:tr>
      <w:tr w14:paraId="76702549">
        <w:tblPrEx>
          <w:tblCellMar>
            <w:top w:w="0" w:type="dxa"/>
            <w:left w:w="108" w:type="dxa"/>
            <w:bottom w:w="0" w:type="dxa"/>
            <w:right w:w="108" w:type="dxa"/>
          </w:tblCellMar>
        </w:tblPrEx>
        <w:trPr>
          <w:trHeight w:val="482" w:hRule="atLeast"/>
        </w:trPr>
        <w:tc>
          <w:tcPr>
            <w:tcW w:w="1339" w:type="dxa"/>
            <w:noWrap w:val="0"/>
            <w:vAlign w:val="center"/>
          </w:tcPr>
          <w:p w14:paraId="2D0F882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c>
          <w:tcPr>
            <w:tcW w:w="3150" w:type="dxa"/>
            <w:noWrap w:val="0"/>
            <w:vAlign w:val="center"/>
          </w:tcPr>
          <w:p w14:paraId="7753EC2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59" w:type="dxa"/>
            <w:noWrap w:val="0"/>
            <w:vAlign w:val="center"/>
          </w:tcPr>
          <w:p w14:paraId="65B36C1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c>
          <w:tcPr>
            <w:tcW w:w="2680" w:type="dxa"/>
            <w:noWrap w:val="0"/>
            <w:vAlign w:val="center"/>
          </w:tcPr>
          <w:p w14:paraId="2DD4A5F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447216B0">
        <w:tblPrEx>
          <w:tblCellMar>
            <w:top w:w="0" w:type="dxa"/>
            <w:left w:w="108" w:type="dxa"/>
            <w:bottom w:w="0" w:type="dxa"/>
            <w:right w:w="108" w:type="dxa"/>
          </w:tblCellMar>
        </w:tblPrEx>
        <w:trPr>
          <w:trHeight w:val="461" w:hRule="atLeast"/>
        </w:trPr>
        <w:tc>
          <w:tcPr>
            <w:tcW w:w="1339" w:type="dxa"/>
            <w:noWrap w:val="0"/>
            <w:vAlign w:val="center"/>
          </w:tcPr>
          <w:p w14:paraId="6C6AE2F8">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w:t>
            </w:r>
          </w:p>
        </w:tc>
        <w:tc>
          <w:tcPr>
            <w:tcW w:w="3150" w:type="dxa"/>
            <w:noWrap w:val="0"/>
            <w:vAlign w:val="center"/>
          </w:tcPr>
          <w:p w14:paraId="3C49BB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59" w:type="dxa"/>
            <w:noWrap w:val="0"/>
            <w:vAlign w:val="center"/>
          </w:tcPr>
          <w:p w14:paraId="319FBA3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w:t>
            </w:r>
          </w:p>
        </w:tc>
        <w:tc>
          <w:tcPr>
            <w:tcW w:w="2680" w:type="dxa"/>
            <w:noWrap w:val="0"/>
            <w:vAlign w:val="center"/>
          </w:tcPr>
          <w:p w14:paraId="7A04EB5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FE7FDE7">
        <w:tblPrEx>
          <w:tblCellMar>
            <w:top w:w="0" w:type="dxa"/>
            <w:left w:w="108" w:type="dxa"/>
            <w:bottom w:w="0" w:type="dxa"/>
            <w:right w:w="108" w:type="dxa"/>
          </w:tblCellMar>
        </w:tblPrEx>
        <w:trPr>
          <w:trHeight w:val="467" w:hRule="atLeast"/>
        </w:trPr>
        <w:tc>
          <w:tcPr>
            <w:tcW w:w="1339" w:type="dxa"/>
            <w:noWrap w:val="0"/>
            <w:vAlign w:val="center"/>
          </w:tcPr>
          <w:p w14:paraId="1939814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w:t>
            </w:r>
          </w:p>
        </w:tc>
        <w:tc>
          <w:tcPr>
            <w:tcW w:w="3150" w:type="dxa"/>
            <w:noWrap w:val="0"/>
            <w:vAlign w:val="center"/>
          </w:tcPr>
          <w:p w14:paraId="0D8350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359" w:type="dxa"/>
            <w:noWrap w:val="0"/>
            <w:vAlign w:val="center"/>
          </w:tcPr>
          <w:p w14:paraId="590D9EB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签字日期：</w:t>
            </w:r>
          </w:p>
        </w:tc>
        <w:tc>
          <w:tcPr>
            <w:tcW w:w="2680" w:type="dxa"/>
            <w:noWrap w:val="0"/>
            <w:vAlign w:val="center"/>
          </w:tcPr>
          <w:p w14:paraId="373822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bl>
    <w:p w14:paraId="56C0FD15">
      <w:pPr>
        <w:rPr>
          <w:rFonts w:hint="eastAsia" w:ascii="宋体" w:hAnsi="宋体" w:eastAsia="宋体" w:cs="宋体"/>
          <w:color w:val="auto"/>
          <w:highlight w:val="none"/>
          <w:lang w:val="en-US" w:eastAsia="zh-CN"/>
        </w:rPr>
      </w:pPr>
    </w:p>
    <w:bookmarkEnd w:id="25"/>
    <w:bookmarkEnd w:id="26"/>
    <w:p w14:paraId="3AD32B49">
      <w:pPr>
        <w:pBdr>
          <w:top w:val="none" w:color="000000" w:sz="0" w:space="0"/>
          <w:left w:val="none" w:color="000000" w:sz="0" w:space="0"/>
          <w:bottom w:val="none" w:color="000000" w:sz="0" w:space="0"/>
          <w:right w:val="none" w:color="000000" w:sz="0" w:space="0"/>
        </w:pBdr>
        <w:spacing w:before="8" w:after="0"/>
        <w:ind w:left="0" w:right="0" w:firstLine="0"/>
        <w:rPr>
          <w:color w:val="auto"/>
          <w:highlight w:val="none"/>
        </w:rPr>
      </w:pPr>
    </w:p>
    <w:p w14:paraId="0DF19F1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72"/>
          <w:highlight w:val="none"/>
        </w:rPr>
      </w:pPr>
    </w:p>
    <w:p w14:paraId="6BB9F0D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72"/>
          <w:highlight w:val="none"/>
        </w:rPr>
      </w:pPr>
    </w:p>
    <w:p w14:paraId="5114C18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72"/>
          <w:highlight w:val="none"/>
        </w:rPr>
      </w:pPr>
    </w:p>
    <w:p w14:paraId="2A2D1BE7">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72"/>
          <w:highlight w:val="none"/>
        </w:rPr>
        <w:t>投标文件</w:t>
      </w:r>
    </w:p>
    <w:p w14:paraId="02EB97D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72"/>
          <w:highlight w:val="none"/>
        </w:rPr>
        <w:t> </w:t>
      </w:r>
    </w:p>
    <w:p w14:paraId="25A3B7D5">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72"/>
          <w:highlight w:val="none"/>
        </w:rPr>
        <w:t> </w:t>
      </w:r>
    </w:p>
    <w:p w14:paraId="50933AF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1E9DC9E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67E8003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5EF61AA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73C6082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7CD7626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1A55848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6"/>
          <w:highlight w:val="none"/>
        </w:rPr>
      </w:pPr>
    </w:p>
    <w:p w14:paraId="51D06069">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3846CD4C">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77323574">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color w:val="auto"/>
          <w:highlight w:val="none"/>
        </w:rPr>
      </w:pPr>
      <w:r>
        <w:rPr>
          <w:rFonts w:ascii="宋体" w:hAnsi="宋体" w:eastAsia="宋体" w:cs="宋体"/>
          <w:b/>
          <w:color w:val="auto"/>
          <w:sz w:val="36"/>
          <w:highlight w:val="none"/>
        </w:rPr>
        <w:t>项 目 名 称：</w:t>
      </w:r>
      <w:r>
        <w:rPr>
          <w:rFonts w:ascii="宋体" w:hAnsi="宋体" w:eastAsia="宋体" w:cs="宋体"/>
          <w:b/>
          <w:color w:val="auto"/>
          <w:sz w:val="36"/>
          <w:highlight w:val="none"/>
          <w:u w:val="single"/>
        </w:rPr>
        <w:t>               </w:t>
      </w:r>
    </w:p>
    <w:p w14:paraId="2A2D40DF">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color w:val="auto"/>
          <w:highlight w:val="none"/>
        </w:rPr>
      </w:pPr>
      <w:r>
        <w:rPr>
          <w:rFonts w:ascii="宋体" w:hAnsi="宋体" w:eastAsia="宋体" w:cs="宋体"/>
          <w:b/>
          <w:color w:val="auto"/>
          <w:sz w:val="36"/>
          <w:highlight w:val="none"/>
        </w:rPr>
        <w:t>招 标 编 号：</w:t>
      </w:r>
      <w:r>
        <w:rPr>
          <w:rFonts w:ascii="宋体" w:hAnsi="宋体" w:eastAsia="宋体" w:cs="宋体"/>
          <w:b/>
          <w:color w:val="auto"/>
          <w:sz w:val="36"/>
          <w:highlight w:val="none"/>
          <w:u w:val="single"/>
        </w:rPr>
        <w:t>               </w:t>
      </w:r>
    </w:p>
    <w:p w14:paraId="38E5BD94">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rFonts w:ascii="宋体" w:hAnsi="宋体" w:eastAsia="宋体" w:cs="宋体"/>
          <w:b/>
          <w:color w:val="auto"/>
          <w:sz w:val="36"/>
          <w:highlight w:val="none"/>
        </w:rPr>
      </w:pPr>
      <w:r>
        <w:rPr>
          <w:rFonts w:ascii="宋体" w:hAnsi="宋体" w:eastAsia="宋体" w:cs="宋体"/>
          <w:b/>
          <w:color w:val="auto"/>
          <w:sz w:val="36"/>
          <w:highlight w:val="none"/>
        </w:rPr>
        <w:t>投标人名称 ：（加盖CA电子公章）</w:t>
      </w:r>
    </w:p>
    <w:p w14:paraId="73F1A097">
      <w:pPr>
        <w:pBdr>
          <w:top w:val="none" w:color="000000" w:sz="0" w:space="0"/>
          <w:left w:val="none" w:color="000000" w:sz="0" w:space="0"/>
          <w:bottom w:val="none" w:color="000000" w:sz="0" w:space="0"/>
          <w:right w:val="none" w:color="000000" w:sz="0" w:space="0"/>
        </w:pBdr>
        <w:spacing w:before="0" w:after="0" w:line="360" w:lineRule="auto"/>
        <w:ind w:left="0" w:right="0" w:firstLine="1081"/>
        <w:jc w:val="both"/>
        <w:rPr>
          <w:rFonts w:ascii="宋体" w:hAnsi="宋体" w:eastAsia="宋体" w:cs="宋体"/>
          <w:b/>
          <w:color w:val="auto"/>
          <w:sz w:val="36"/>
          <w:highlight w:val="none"/>
        </w:rPr>
      </w:pPr>
      <w:r>
        <w:rPr>
          <w:rFonts w:ascii="宋体" w:hAnsi="宋体" w:eastAsia="宋体" w:cs="宋体"/>
          <w:b/>
          <w:color w:val="auto"/>
          <w:sz w:val="36"/>
          <w:highlight w:val="none"/>
        </w:rPr>
        <w:t>日   </w:t>
      </w:r>
      <w:r>
        <w:rPr>
          <w:rFonts w:hint="eastAsia" w:ascii="宋体" w:hAnsi="宋体" w:eastAsia="宋体" w:cs="宋体"/>
          <w:b/>
          <w:color w:val="auto"/>
          <w:sz w:val="36"/>
          <w:highlight w:val="none"/>
          <w:lang w:val="en-US" w:eastAsia="zh-CN"/>
        </w:rPr>
        <w:t xml:space="preserve">     </w:t>
      </w:r>
      <w:r>
        <w:rPr>
          <w:rFonts w:ascii="宋体" w:hAnsi="宋体" w:eastAsia="宋体" w:cs="宋体"/>
          <w:b/>
          <w:color w:val="auto"/>
          <w:sz w:val="36"/>
          <w:highlight w:val="none"/>
        </w:rPr>
        <w:t>期 ：</w:t>
      </w:r>
      <w:r>
        <w:rPr>
          <w:rFonts w:ascii="宋体" w:hAnsi="宋体" w:eastAsia="宋体" w:cs="宋体"/>
          <w:b/>
          <w:color w:val="auto"/>
          <w:sz w:val="36"/>
          <w:highlight w:val="none"/>
          <w:u w:val="single"/>
        </w:rPr>
        <w:t>               </w:t>
      </w:r>
      <w:r>
        <w:rPr>
          <w:rFonts w:ascii="宋体" w:hAnsi="宋体" w:eastAsia="宋体" w:cs="宋体"/>
          <w:b/>
          <w:color w:val="auto"/>
          <w:sz w:val="36"/>
          <w:highlight w:val="none"/>
        </w:rPr>
        <w:t>            </w:t>
      </w:r>
    </w:p>
    <w:p w14:paraId="42777950">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color w:val="auto"/>
          <w:highlight w:val="none"/>
        </w:rPr>
        <w:br w:type="page" w:clear="all"/>
      </w:r>
    </w:p>
    <w:p w14:paraId="610C42AF">
      <w:pPr>
        <w:spacing w:line="495" w:lineRule="exact"/>
        <w:ind w:right="136"/>
        <w:jc w:val="center"/>
        <w:rPr>
          <w:rFonts w:asciiTheme="minorEastAsia" w:hAnsiTheme="minorEastAsia" w:eastAsiaTheme="minorEastAsia" w:cstheme="minorEastAsia"/>
          <w:b/>
          <w:color w:val="auto"/>
          <w:sz w:val="30"/>
          <w:highlight w:val="none"/>
        </w:rPr>
      </w:pPr>
      <w:r>
        <w:rPr>
          <w:rFonts w:asciiTheme="minorEastAsia" w:hAnsiTheme="minorEastAsia" w:eastAsiaTheme="minorEastAsia" w:cstheme="minorEastAsia"/>
          <w:color w:val="auto"/>
          <w:highlight w:val="none"/>
          <w:lang w:val="en-US" w:bidi="ar-SA"/>
        </w:rPr>
        <mc:AlternateContent>
          <mc:Choice Requires="wps">
            <w:drawing>
              <wp:anchor distT="0" distB="0" distL="114300" distR="114300" simplePos="0" relativeHeight="251661312" behindDoc="0" locked="0" layoutInCell="1" allowOverlap="1">
                <wp:simplePos x="0" y="0"/>
                <wp:positionH relativeFrom="page">
                  <wp:posOffset>1699895</wp:posOffset>
                </wp:positionH>
                <wp:positionV relativeFrom="paragraph">
                  <wp:posOffset>1254125</wp:posOffset>
                </wp:positionV>
                <wp:extent cx="5020310" cy="4227195"/>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5020310" cy="4227195"/>
                        </a:xfrm>
                        <a:prstGeom prst="rect">
                          <a:avLst/>
                        </a:prstGeom>
                        <a:noFill/>
                        <a:ln>
                          <a:noFill/>
                          <a:miter/>
                        </a:ln>
                      </wps:spPr>
                      <wps:txbx>
                        <w:txbxContent>
                          <w:p w14:paraId="2675685D">
                            <w:pPr>
                              <w:pStyle w:val="17"/>
                            </w:pPr>
                          </w:p>
                        </w:txbxContent>
                      </wps:txbx>
                      <wps:bodyPr wrap="square" lIns="0" tIns="0" rIns="0" bIns="0" upright="1"/>
                    </wps:wsp>
                  </a:graphicData>
                </a:graphic>
              </wp:anchor>
            </w:drawing>
          </mc:Choice>
          <mc:Fallback>
            <w:pict>
              <v:shape id="_x0000_s1026" o:spid="_x0000_s1026" o:spt="202" type="#_x0000_t202" style="position:absolute;left:0pt;margin-left:133.85pt;margin-top:98.75pt;height:332.85pt;width:395.3pt;mso-position-horizontal-relative:page;z-index:251661312;mso-width-relative:page;mso-height-relative:page;" filled="f" stroked="f" coordsize="21600,21600" o:gfxdata="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vCGfbaAAAADAEAAA8AAAAAAAAAAQAg&#10;AAAAIgAAAGRycy9kb3ducmV2LnhtbFBLAQIUABQAAAAIAIdO4kCseNVt0wEAAJkDAAAOAAAAAAAA&#10;AAEAIAAAACkBAABkcnMvZTJvRG9jLnhtbFBLBQYAAAAABgAGAFkBAABuBQAAAAA=&#10;">
                <v:fill on="f" focussize="0,0"/>
                <v:stroke on="f" joinstyle="miter"/>
                <v:imagedata o:title=""/>
                <o:lock v:ext="edit" aspectratio="f"/>
                <v:textbox inset="0mm,0mm,0mm,0mm">
                  <w:txbxContent>
                    <w:p w14:paraId="2675685D">
                      <w:pPr>
                        <w:pStyle w:val="17"/>
                      </w:pPr>
                    </w:p>
                  </w:txbxContent>
                </v:textbox>
              </v:shape>
            </w:pict>
          </mc:Fallback>
        </mc:AlternateContent>
      </w:r>
      <w:r>
        <w:rPr>
          <w:rFonts w:hint="eastAsia" w:asciiTheme="minorEastAsia" w:hAnsiTheme="minorEastAsia" w:eastAsiaTheme="minorEastAsia" w:cstheme="minorEastAsia"/>
          <w:b/>
          <w:color w:val="auto"/>
          <w:sz w:val="30"/>
          <w:highlight w:val="none"/>
        </w:rPr>
        <w:t>评分索引表</w:t>
      </w:r>
    </w:p>
    <w:p w14:paraId="35A8D9EC">
      <w:pPr>
        <w:spacing w:line="495" w:lineRule="exact"/>
        <w:jc w:val="center"/>
        <w:rPr>
          <w:rFonts w:asciiTheme="minorEastAsia" w:hAnsiTheme="minorEastAsia" w:eastAsiaTheme="minorEastAsia" w:cstheme="minorEastAsia"/>
          <w:color w:val="auto"/>
          <w:sz w:val="30"/>
          <w:highlight w:val="none"/>
        </w:rPr>
      </w:pPr>
    </w:p>
    <w:tbl>
      <w:tblPr>
        <w:tblStyle w:val="4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08D2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E3F5F82">
            <w:pPr>
              <w:keepNext w:val="0"/>
              <w:keepLines w:val="0"/>
              <w:suppressLineNumbers w:val="0"/>
              <w:shd w:val="clear" w:color="auto" w:fill="FFFFFF"/>
              <w:spacing w:before="0" w:beforeAutospacing="0" w:after="0" w:afterAutospacing="0" w:line="276" w:lineRule="auto"/>
              <w:ind w:left="420" w:right="0" w:firstLine="442"/>
              <w:jc w:val="center"/>
              <w:rPr>
                <w:b/>
                <w:bCs/>
                <w:color w:val="auto"/>
                <w:szCs w:val="24"/>
                <w:highlight w:val="none"/>
              </w:rPr>
            </w:pPr>
            <w:r>
              <w:rPr>
                <w:rFonts w:hint="eastAsia"/>
                <w:b/>
                <w:color w:val="auto"/>
                <w:szCs w:val="24"/>
                <w:highlight w:val="none"/>
              </w:rPr>
              <w:t>评分项目</w:t>
            </w:r>
          </w:p>
        </w:tc>
        <w:tc>
          <w:tcPr>
            <w:tcW w:w="3570" w:type="dxa"/>
            <w:noWrap w:val="0"/>
            <w:vAlign w:val="center"/>
          </w:tcPr>
          <w:p w14:paraId="0456DD8A">
            <w:pPr>
              <w:keepNext w:val="0"/>
              <w:keepLines w:val="0"/>
              <w:suppressLineNumbers w:val="0"/>
              <w:spacing w:before="0" w:beforeAutospacing="0" w:after="0" w:afterAutospacing="0" w:line="276" w:lineRule="auto"/>
              <w:ind w:left="0" w:right="0"/>
              <w:jc w:val="center"/>
              <w:rPr>
                <w:b/>
                <w:color w:val="auto"/>
                <w:highlight w:val="none"/>
              </w:rPr>
            </w:pPr>
            <w:r>
              <w:rPr>
                <w:rFonts w:hint="eastAsia"/>
                <w:b/>
                <w:color w:val="auto"/>
                <w:highlight w:val="none"/>
                <w:lang w:bidi="en-US"/>
              </w:rPr>
              <w:t>在投标文件中的页码位置</w:t>
            </w:r>
          </w:p>
        </w:tc>
      </w:tr>
      <w:tr w14:paraId="4C03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793D0239">
            <w:pPr>
              <w:keepNext w:val="0"/>
              <w:keepLines w:val="0"/>
              <w:suppressLineNumbers w:val="0"/>
              <w:shd w:val="clear" w:color="auto" w:fill="FFFFFF"/>
              <w:spacing w:before="0" w:beforeAutospacing="0" w:after="0" w:afterAutospacing="0" w:line="276" w:lineRule="auto"/>
              <w:ind w:left="420" w:right="0" w:firstLine="442"/>
              <w:rPr>
                <w:b/>
                <w:color w:val="auto"/>
                <w:szCs w:val="24"/>
                <w:highlight w:val="none"/>
              </w:rPr>
            </w:pPr>
          </w:p>
        </w:tc>
        <w:tc>
          <w:tcPr>
            <w:tcW w:w="3570" w:type="dxa"/>
            <w:noWrap w:val="0"/>
            <w:vAlign w:val="center"/>
          </w:tcPr>
          <w:p w14:paraId="35CA4AAF">
            <w:pPr>
              <w:keepNext w:val="0"/>
              <w:keepLines w:val="0"/>
              <w:suppressLineNumbers w:val="0"/>
              <w:spacing w:before="0" w:beforeAutospacing="0" w:after="0" w:afterAutospacing="0" w:line="276" w:lineRule="auto"/>
              <w:ind w:left="0" w:right="0"/>
              <w:rPr>
                <w:b/>
                <w:color w:val="auto"/>
                <w:highlight w:val="none"/>
                <w:lang w:bidi="en-US"/>
              </w:rPr>
            </w:pPr>
          </w:p>
        </w:tc>
      </w:tr>
      <w:tr w14:paraId="4A91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E23A51C">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3504D5D2">
            <w:pPr>
              <w:keepNext w:val="0"/>
              <w:keepLines w:val="0"/>
              <w:suppressLineNumbers w:val="0"/>
              <w:spacing w:before="0" w:beforeAutospacing="0" w:after="0" w:afterAutospacing="0" w:line="276" w:lineRule="auto"/>
              <w:ind w:left="0" w:right="0"/>
              <w:rPr>
                <w:color w:val="auto"/>
                <w:highlight w:val="none"/>
              </w:rPr>
            </w:pPr>
          </w:p>
        </w:tc>
      </w:tr>
      <w:tr w14:paraId="6B16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6E3764C">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16DEE457">
            <w:pPr>
              <w:keepNext w:val="0"/>
              <w:keepLines w:val="0"/>
              <w:suppressLineNumbers w:val="0"/>
              <w:spacing w:before="0" w:beforeAutospacing="0" w:after="0" w:afterAutospacing="0" w:line="276" w:lineRule="auto"/>
              <w:ind w:left="0" w:right="0"/>
              <w:rPr>
                <w:color w:val="auto"/>
                <w:highlight w:val="none"/>
              </w:rPr>
            </w:pPr>
          </w:p>
        </w:tc>
      </w:tr>
      <w:tr w14:paraId="2CE5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D02747B">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0F1947C1">
            <w:pPr>
              <w:keepNext w:val="0"/>
              <w:keepLines w:val="0"/>
              <w:suppressLineNumbers w:val="0"/>
              <w:spacing w:before="0" w:beforeAutospacing="0" w:after="0" w:afterAutospacing="0" w:line="276" w:lineRule="auto"/>
              <w:ind w:left="0" w:right="0"/>
              <w:rPr>
                <w:color w:val="auto"/>
                <w:highlight w:val="none"/>
              </w:rPr>
            </w:pPr>
          </w:p>
        </w:tc>
      </w:tr>
      <w:tr w14:paraId="4806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A89B98D">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28DB5E81">
            <w:pPr>
              <w:keepNext w:val="0"/>
              <w:keepLines w:val="0"/>
              <w:suppressLineNumbers w:val="0"/>
              <w:spacing w:before="0" w:beforeAutospacing="0" w:after="0" w:afterAutospacing="0" w:line="276" w:lineRule="auto"/>
              <w:ind w:left="0" w:right="0"/>
              <w:rPr>
                <w:color w:val="auto"/>
                <w:highlight w:val="none"/>
              </w:rPr>
            </w:pPr>
          </w:p>
        </w:tc>
      </w:tr>
      <w:tr w14:paraId="7E64F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41C81848">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2B8B8454">
            <w:pPr>
              <w:keepNext w:val="0"/>
              <w:keepLines w:val="0"/>
              <w:suppressLineNumbers w:val="0"/>
              <w:spacing w:before="0" w:beforeAutospacing="0" w:after="0" w:afterAutospacing="0" w:line="276" w:lineRule="auto"/>
              <w:ind w:left="0" w:right="0"/>
              <w:rPr>
                <w:color w:val="auto"/>
                <w:highlight w:val="none"/>
              </w:rPr>
            </w:pPr>
          </w:p>
        </w:tc>
      </w:tr>
      <w:tr w14:paraId="6721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472A932">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01C43318">
            <w:pPr>
              <w:keepNext w:val="0"/>
              <w:keepLines w:val="0"/>
              <w:suppressLineNumbers w:val="0"/>
              <w:spacing w:before="0" w:beforeAutospacing="0" w:after="0" w:afterAutospacing="0" w:line="276" w:lineRule="auto"/>
              <w:ind w:left="0" w:right="0"/>
              <w:rPr>
                <w:color w:val="auto"/>
                <w:highlight w:val="none"/>
              </w:rPr>
            </w:pPr>
          </w:p>
        </w:tc>
      </w:tr>
      <w:tr w14:paraId="00847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1C7A3C71">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42DF8685">
            <w:pPr>
              <w:keepNext w:val="0"/>
              <w:keepLines w:val="0"/>
              <w:suppressLineNumbers w:val="0"/>
              <w:spacing w:before="0" w:beforeAutospacing="0" w:after="0" w:afterAutospacing="0" w:line="276" w:lineRule="auto"/>
              <w:ind w:left="0" w:right="0"/>
              <w:rPr>
                <w:color w:val="auto"/>
                <w:highlight w:val="none"/>
              </w:rPr>
            </w:pPr>
          </w:p>
        </w:tc>
      </w:tr>
      <w:tr w14:paraId="1324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DAE6A8B">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3BF7A21F">
            <w:pPr>
              <w:keepNext w:val="0"/>
              <w:keepLines w:val="0"/>
              <w:suppressLineNumbers w:val="0"/>
              <w:spacing w:before="0" w:beforeAutospacing="0" w:after="0" w:afterAutospacing="0" w:line="276" w:lineRule="auto"/>
              <w:ind w:left="0" w:right="0"/>
              <w:rPr>
                <w:color w:val="auto"/>
                <w:highlight w:val="none"/>
              </w:rPr>
            </w:pPr>
          </w:p>
        </w:tc>
      </w:tr>
      <w:tr w14:paraId="122D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615FB5E">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4A7DFB5E">
            <w:pPr>
              <w:keepNext w:val="0"/>
              <w:keepLines w:val="0"/>
              <w:suppressLineNumbers w:val="0"/>
              <w:spacing w:before="0" w:beforeAutospacing="0" w:after="0" w:afterAutospacing="0" w:line="276" w:lineRule="auto"/>
              <w:ind w:left="0" w:right="0"/>
              <w:rPr>
                <w:color w:val="auto"/>
                <w:highlight w:val="none"/>
              </w:rPr>
            </w:pPr>
          </w:p>
        </w:tc>
      </w:tr>
      <w:tr w14:paraId="44EE7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99E187B">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5E534DC9">
            <w:pPr>
              <w:keepNext w:val="0"/>
              <w:keepLines w:val="0"/>
              <w:suppressLineNumbers w:val="0"/>
              <w:spacing w:before="0" w:beforeAutospacing="0" w:after="0" w:afterAutospacing="0" w:line="276" w:lineRule="auto"/>
              <w:ind w:left="0" w:right="0"/>
              <w:rPr>
                <w:color w:val="auto"/>
                <w:highlight w:val="none"/>
              </w:rPr>
            </w:pPr>
          </w:p>
        </w:tc>
      </w:tr>
      <w:tr w14:paraId="0504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5DCFF7E8">
            <w:pPr>
              <w:keepNext w:val="0"/>
              <w:keepLines w:val="0"/>
              <w:suppressLineNumbers w:val="0"/>
              <w:shd w:val="clear" w:color="auto" w:fill="FFFFFF"/>
              <w:spacing w:before="0" w:beforeAutospacing="0" w:after="0" w:afterAutospacing="0" w:line="276" w:lineRule="auto"/>
              <w:ind w:left="420" w:right="0" w:firstLine="442"/>
              <w:rPr>
                <w:b/>
                <w:bCs/>
                <w:color w:val="auto"/>
                <w:szCs w:val="24"/>
                <w:highlight w:val="none"/>
              </w:rPr>
            </w:pPr>
          </w:p>
        </w:tc>
        <w:tc>
          <w:tcPr>
            <w:tcW w:w="3570" w:type="dxa"/>
            <w:noWrap w:val="0"/>
            <w:vAlign w:val="center"/>
          </w:tcPr>
          <w:p w14:paraId="29AB0F14">
            <w:pPr>
              <w:keepNext w:val="0"/>
              <w:keepLines w:val="0"/>
              <w:suppressLineNumbers w:val="0"/>
              <w:spacing w:before="0" w:beforeAutospacing="0" w:after="0" w:afterAutospacing="0" w:line="276" w:lineRule="auto"/>
              <w:ind w:left="0" w:right="0"/>
              <w:rPr>
                <w:color w:val="auto"/>
                <w:highlight w:val="none"/>
              </w:rPr>
            </w:pPr>
          </w:p>
        </w:tc>
      </w:tr>
      <w:tr w14:paraId="6E8B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6BC8D489">
            <w:pPr>
              <w:keepNext w:val="0"/>
              <w:keepLines w:val="0"/>
              <w:suppressLineNumbers w:val="0"/>
              <w:shd w:val="clear" w:color="auto" w:fill="FFFFFF"/>
              <w:spacing w:before="0" w:beforeAutospacing="0" w:after="0" w:afterAutospacing="0" w:line="276" w:lineRule="auto"/>
              <w:ind w:left="420" w:right="0" w:firstLine="440"/>
              <w:rPr>
                <w:color w:val="auto"/>
                <w:szCs w:val="24"/>
                <w:highlight w:val="none"/>
              </w:rPr>
            </w:pPr>
          </w:p>
        </w:tc>
        <w:tc>
          <w:tcPr>
            <w:tcW w:w="3570" w:type="dxa"/>
            <w:noWrap w:val="0"/>
            <w:vAlign w:val="center"/>
          </w:tcPr>
          <w:p w14:paraId="5C9E94A4">
            <w:pPr>
              <w:keepNext w:val="0"/>
              <w:keepLines w:val="0"/>
              <w:suppressLineNumbers w:val="0"/>
              <w:spacing w:before="0" w:beforeAutospacing="0" w:after="0" w:afterAutospacing="0" w:line="276" w:lineRule="auto"/>
              <w:ind w:left="0" w:right="0"/>
              <w:rPr>
                <w:color w:val="auto"/>
                <w:highlight w:val="none"/>
              </w:rPr>
            </w:pPr>
          </w:p>
        </w:tc>
      </w:tr>
      <w:tr w14:paraId="585E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44F885D">
            <w:pPr>
              <w:keepNext w:val="0"/>
              <w:keepLines w:val="0"/>
              <w:suppressLineNumbers w:val="0"/>
              <w:shd w:val="clear" w:color="auto" w:fill="FFFFFF"/>
              <w:spacing w:before="0" w:beforeAutospacing="0" w:after="0" w:afterAutospacing="0" w:line="276" w:lineRule="auto"/>
              <w:ind w:left="420" w:right="0" w:firstLine="442"/>
              <w:rPr>
                <w:b/>
                <w:bCs/>
                <w:color w:val="auto"/>
                <w:szCs w:val="24"/>
                <w:highlight w:val="none"/>
              </w:rPr>
            </w:pPr>
          </w:p>
        </w:tc>
        <w:tc>
          <w:tcPr>
            <w:tcW w:w="3570" w:type="dxa"/>
            <w:noWrap w:val="0"/>
            <w:vAlign w:val="center"/>
          </w:tcPr>
          <w:p w14:paraId="08DAB15E">
            <w:pPr>
              <w:keepNext w:val="0"/>
              <w:keepLines w:val="0"/>
              <w:suppressLineNumbers w:val="0"/>
              <w:spacing w:before="0" w:beforeAutospacing="0" w:after="0" w:afterAutospacing="0" w:line="276" w:lineRule="auto"/>
              <w:ind w:left="0" w:right="0"/>
              <w:rPr>
                <w:color w:val="auto"/>
                <w:highlight w:val="none"/>
              </w:rPr>
            </w:pPr>
          </w:p>
        </w:tc>
      </w:tr>
      <w:tr w14:paraId="1E47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noWrap w:val="0"/>
            <w:vAlign w:val="center"/>
          </w:tcPr>
          <w:p w14:paraId="2EDC235D">
            <w:pPr>
              <w:keepNext w:val="0"/>
              <w:keepLines w:val="0"/>
              <w:suppressLineNumbers w:val="0"/>
              <w:shd w:val="clear" w:color="auto" w:fill="FFFFFF"/>
              <w:spacing w:before="0" w:beforeAutospacing="0" w:after="0" w:afterAutospacing="0" w:line="276" w:lineRule="auto"/>
              <w:ind w:left="0" w:right="0" w:firstLine="440"/>
              <w:rPr>
                <w:color w:val="auto"/>
                <w:szCs w:val="21"/>
                <w:highlight w:val="none"/>
              </w:rPr>
            </w:pPr>
          </w:p>
        </w:tc>
        <w:tc>
          <w:tcPr>
            <w:tcW w:w="3570" w:type="dxa"/>
            <w:noWrap w:val="0"/>
            <w:vAlign w:val="center"/>
          </w:tcPr>
          <w:p w14:paraId="07B42AE7">
            <w:pPr>
              <w:keepNext w:val="0"/>
              <w:keepLines w:val="0"/>
              <w:suppressLineNumbers w:val="0"/>
              <w:spacing w:before="0" w:beforeAutospacing="0" w:after="0" w:afterAutospacing="0" w:line="276" w:lineRule="auto"/>
              <w:ind w:left="0" w:right="0"/>
              <w:rPr>
                <w:color w:val="auto"/>
                <w:highlight w:val="none"/>
              </w:rPr>
            </w:pPr>
          </w:p>
        </w:tc>
      </w:tr>
      <w:tr w14:paraId="4B6C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670" w:type="dxa"/>
            <w:tcBorders>
              <w:bottom w:val="single" w:color="auto" w:sz="4" w:space="0"/>
            </w:tcBorders>
            <w:noWrap w:val="0"/>
            <w:vAlign w:val="center"/>
          </w:tcPr>
          <w:p w14:paraId="27B823CA">
            <w:pPr>
              <w:keepNext w:val="0"/>
              <w:keepLines w:val="0"/>
              <w:suppressLineNumbers w:val="0"/>
              <w:shd w:val="clear" w:color="auto" w:fill="FFFFFF"/>
              <w:spacing w:before="0" w:beforeAutospacing="0" w:after="0" w:afterAutospacing="0" w:line="276" w:lineRule="auto"/>
              <w:ind w:left="0" w:right="0" w:firstLine="440"/>
              <w:rPr>
                <w:color w:val="auto"/>
                <w:szCs w:val="24"/>
                <w:highlight w:val="none"/>
              </w:rPr>
            </w:pPr>
          </w:p>
        </w:tc>
        <w:tc>
          <w:tcPr>
            <w:tcW w:w="3570" w:type="dxa"/>
            <w:tcBorders>
              <w:bottom w:val="single" w:color="auto" w:sz="4" w:space="0"/>
            </w:tcBorders>
            <w:noWrap w:val="0"/>
            <w:vAlign w:val="center"/>
          </w:tcPr>
          <w:p w14:paraId="65B6F967">
            <w:pPr>
              <w:keepNext w:val="0"/>
              <w:keepLines w:val="0"/>
              <w:suppressLineNumbers w:val="0"/>
              <w:spacing w:before="0" w:beforeAutospacing="0" w:after="0" w:afterAutospacing="0" w:line="276" w:lineRule="auto"/>
              <w:ind w:left="0" w:right="0"/>
              <w:rPr>
                <w:color w:val="auto"/>
                <w:highlight w:val="none"/>
              </w:rPr>
            </w:pPr>
          </w:p>
        </w:tc>
      </w:tr>
    </w:tbl>
    <w:p w14:paraId="13040EBF">
      <w:pPr>
        <w:pStyle w:val="51"/>
        <w:ind w:firstLine="600"/>
        <w:rPr>
          <w:rFonts w:asciiTheme="minorEastAsia" w:hAnsiTheme="minorEastAsia" w:eastAsiaTheme="minorEastAsia" w:cstheme="minorEastAsia"/>
          <w:color w:val="auto"/>
          <w:sz w:val="30"/>
          <w:highlight w:val="none"/>
        </w:rPr>
      </w:pPr>
    </w:p>
    <w:p w14:paraId="52F8ADAF">
      <w:pPr>
        <w:pStyle w:val="51"/>
        <w:ind w:firstLine="600"/>
        <w:rPr>
          <w:rFonts w:asciiTheme="minorEastAsia" w:hAnsiTheme="minorEastAsia" w:eastAsiaTheme="minorEastAsia" w:cstheme="minorEastAsia"/>
          <w:color w:val="auto"/>
          <w:sz w:val="30"/>
          <w:highlight w:val="none"/>
        </w:rPr>
      </w:pPr>
    </w:p>
    <w:p w14:paraId="6A12F10E">
      <w:pPr>
        <w:pStyle w:val="51"/>
        <w:ind w:firstLine="600"/>
        <w:rPr>
          <w:rFonts w:asciiTheme="minorEastAsia" w:hAnsiTheme="minorEastAsia" w:eastAsiaTheme="minorEastAsia" w:cstheme="minorEastAsia"/>
          <w:color w:val="auto"/>
          <w:sz w:val="30"/>
          <w:highlight w:val="none"/>
        </w:rPr>
      </w:pPr>
    </w:p>
    <w:p w14:paraId="4D9937B6">
      <w:pPr>
        <w:pStyle w:val="51"/>
        <w:ind w:firstLine="600"/>
        <w:rPr>
          <w:rFonts w:asciiTheme="minorEastAsia" w:hAnsiTheme="minorEastAsia" w:eastAsiaTheme="minorEastAsia" w:cstheme="minorEastAsia"/>
          <w:color w:val="auto"/>
          <w:sz w:val="30"/>
          <w:highlight w:val="none"/>
        </w:rPr>
      </w:pPr>
    </w:p>
    <w:p w14:paraId="502D6C6F">
      <w:pPr>
        <w:pStyle w:val="51"/>
        <w:ind w:firstLine="600"/>
        <w:rPr>
          <w:rFonts w:asciiTheme="minorEastAsia" w:hAnsiTheme="minorEastAsia" w:eastAsiaTheme="minorEastAsia" w:cstheme="minorEastAsia"/>
          <w:color w:val="auto"/>
          <w:sz w:val="30"/>
          <w:highlight w:val="none"/>
        </w:rPr>
      </w:pPr>
    </w:p>
    <w:p w14:paraId="64E3B6ED">
      <w:pPr>
        <w:rPr>
          <w:rFonts w:asciiTheme="minorEastAsia" w:hAnsiTheme="minorEastAsia" w:eastAsiaTheme="minorEastAsia" w:cstheme="minorEastAsia"/>
          <w:color w:val="auto"/>
          <w:sz w:val="30"/>
          <w:highlight w:val="none"/>
        </w:rPr>
      </w:pPr>
      <w:r>
        <w:rPr>
          <w:rFonts w:asciiTheme="minorEastAsia" w:hAnsiTheme="minorEastAsia" w:eastAsiaTheme="minorEastAsia" w:cstheme="minorEastAsia"/>
          <w:color w:val="auto"/>
          <w:sz w:val="30"/>
          <w:highlight w:val="none"/>
        </w:rPr>
        <w:br w:type="page" w:clear="all"/>
      </w:r>
    </w:p>
    <w:p w14:paraId="284A40F2">
      <w:pPr>
        <w:pStyle w:val="51"/>
        <w:ind w:firstLine="600"/>
        <w:rPr>
          <w:rFonts w:asciiTheme="minorEastAsia" w:hAnsiTheme="minorEastAsia" w:eastAsiaTheme="minorEastAsia" w:cstheme="minorEastAsia"/>
          <w:color w:val="auto"/>
          <w:sz w:val="30"/>
          <w:highlight w:val="none"/>
        </w:rPr>
        <w:sectPr>
          <w:footerReference r:id="rId6" w:type="default"/>
          <w:pgSz w:w="11911" w:h="16840"/>
          <w:pgMar w:top="799" w:right="1321" w:bottom="1321" w:left="1100" w:header="0" w:footer="1123" w:gutter="0"/>
          <w:pgNumType w:fmt="decimal"/>
          <w:cols w:space="0" w:num="1"/>
          <w:docGrid w:linePitch="360" w:charSpace="0"/>
        </w:sectPr>
      </w:pPr>
    </w:p>
    <w:p w14:paraId="0417395F">
      <w:pPr>
        <w:spacing w:line="366" w:lineRule="exact"/>
        <w:outlineLvl w:val="0"/>
        <w:rPr>
          <w:rFonts w:ascii="仿宋" w:hAnsi="仿宋" w:eastAsia="仿宋"/>
          <w:b/>
          <w:color w:val="auto"/>
          <w:sz w:val="32"/>
          <w:highlight w:val="none"/>
        </w:rPr>
      </w:pPr>
      <w:bookmarkStart w:id="75" w:name="_Toc32721"/>
      <w:r>
        <w:rPr>
          <w:rFonts w:ascii="仿宋" w:hAnsi="仿宋" w:eastAsia="仿宋"/>
          <w:b/>
          <w:color w:val="auto"/>
          <w:sz w:val="32"/>
          <w:highlight w:val="none"/>
        </w:rPr>
        <w:t>附件一、投标申请及声明格式</w:t>
      </w:r>
      <w:bookmarkEnd w:id="75"/>
    </w:p>
    <w:p w14:paraId="471FE4A8">
      <w:pPr>
        <w:spacing w:line="200" w:lineRule="exact"/>
        <w:rPr>
          <w:rFonts w:ascii="仿宋" w:hAnsi="仿宋" w:eastAsia="仿宋"/>
          <w:color w:val="auto"/>
          <w:highlight w:val="none"/>
        </w:rPr>
      </w:pPr>
    </w:p>
    <w:p w14:paraId="5A74ABF3">
      <w:pPr>
        <w:spacing w:line="295" w:lineRule="exact"/>
        <w:rPr>
          <w:rFonts w:ascii="仿宋" w:hAnsi="仿宋" w:eastAsia="仿宋"/>
          <w:color w:val="auto"/>
          <w:highlight w:val="none"/>
        </w:rPr>
      </w:pPr>
    </w:p>
    <w:p w14:paraId="5A92DD16">
      <w:pPr>
        <w:spacing w:line="411" w:lineRule="exact"/>
        <w:ind w:right="206"/>
        <w:jc w:val="center"/>
        <w:rPr>
          <w:rFonts w:ascii="仿宋" w:hAnsi="仿宋" w:eastAsia="仿宋"/>
          <w:b/>
          <w:color w:val="auto"/>
          <w:sz w:val="36"/>
          <w:highlight w:val="none"/>
        </w:rPr>
      </w:pPr>
      <w:r>
        <w:rPr>
          <w:rFonts w:ascii="仿宋" w:hAnsi="仿宋" w:eastAsia="仿宋"/>
          <w:b/>
          <w:color w:val="auto"/>
          <w:sz w:val="36"/>
          <w:highlight w:val="none"/>
        </w:rPr>
        <w:t>投标申请及声明</w:t>
      </w:r>
    </w:p>
    <w:p w14:paraId="289E7DE2">
      <w:pPr>
        <w:pStyle w:val="20"/>
        <w:rPr>
          <w:rFonts w:ascii="仿宋" w:hAnsi="仿宋" w:eastAsia="仿宋"/>
          <w:b/>
          <w:color w:val="auto"/>
          <w:sz w:val="36"/>
          <w:highlight w:val="none"/>
        </w:rPr>
      </w:pPr>
    </w:p>
    <w:p w14:paraId="6BF514B4">
      <w:pPr>
        <w:pStyle w:val="17"/>
        <w:spacing w:before="2" w:line="244" w:lineRule="auto"/>
        <w:ind w:right="-713"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pacing w:val="-3"/>
          <w:sz w:val="24"/>
          <w:szCs w:val="24"/>
          <w:highlight w:val="none"/>
          <w:lang w:val="en-US" w:eastAsia="zh-CN"/>
        </w:rPr>
        <w:t>扬州中国大运河博物馆</w:t>
      </w:r>
    </w:p>
    <w:p w14:paraId="21BE54A5">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根据贵方的_________________号招标文件，正式授权下述签字人_______________(姓名)代表我方______________（投标人的名称），全权处理本次项目投标的有关事宜。</w:t>
      </w:r>
    </w:p>
    <w:p w14:paraId="7FE62AF1">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据此函，__________签字人兹宣布同意如下：</w:t>
      </w:r>
    </w:p>
    <w:p w14:paraId="7785C8F3">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1.按招标文件规定的各项要求，向买方提供所需货物与服务。</w:t>
      </w:r>
    </w:p>
    <w:p w14:paraId="382F2D60">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2.我们完全理解贵方不一定将合同授予最低报价的投标人。</w:t>
      </w:r>
    </w:p>
    <w:p w14:paraId="49BB05B6">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3.我们已详细审核全部招标文件及其有效补充文件，我们知道必须放弃提出含糊不清或误解问题的权利。</w:t>
      </w:r>
    </w:p>
    <w:p w14:paraId="7390727B">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4.我们同意从规定的开标日期起遵循本投标文件，并在规定的投标有效期期满之前均具有约束力。</w:t>
      </w:r>
    </w:p>
    <w:p w14:paraId="45EA0FEC">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5.同意向贵方提供贵方可能另外要求的与投标有关的任何证据或资料，并保证我方已提供和将要提供的文件是真实的、准确的。</w:t>
      </w:r>
    </w:p>
    <w:p w14:paraId="0D1966B2">
      <w:pPr>
        <w:pStyle w:val="220"/>
        <w:spacing w:before="0" w:after="0" w:line="420" w:lineRule="exact"/>
        <w:rPr>
          <w:rFonts w:ascii="仿宋" w:hAnsi="仿宋" w:eastAsia="仿宋" w:cs="仿宋"/>
          <w:color w:val="auto"/>
          <w:szCs w:val="21"/>
          <w:highlight w:val="none"/>
        </w:rPr>
      </w:pPr>
      <w:r>
        <w:rPr>
          <w:rFonts w:hint="eastAsia" w:ascii="仿宋" w:hAnsi="仿宋" w:eastAsia="仿宋" w:cs="仿宋"/>
          <w:color w:val="auto"/>
          <w:szCs w:val="21"/>
          <w:highlight w:val="none"/>
        </w:rPr>
        <w:t>6.一旦我方中标,我方将根据招标文件的规定，严格履行合同的责任和义务,并保证在招标文件规定的时间完成项目，交付买方验收、使用。</w:t>
      </w:r>
    </w:p>
    <w:p w14:paraId="0C482AD3">
      <w:pPr>
        <w:pStyle w:val="220"/>
        <w:spacing w:before="0" w:after="0" w:line="420" w:lineRule="exact"/>
        <w:ind w:left="425" w:firstLine="0"/>
        <w:rPr>
          <w:rFonts w:ascii="仿宋" w:hAnsi="仿宋" w:eastAsia="仿宋" w:cs="仿宋"/>
          <w:color w:val="auto"/>
          <w:szCs w:val="21"/>
          <w:highlight w:val="none"/>
        </w:rPr>
      </w:pPr>
      <w:r>
        <w:rPr>
          <w:rFonts w:hint="eastAsia" w:ascii="仿宋" w:hAnsi="仿宋" w:eastAsia="仿宋" w:cs="仿宋"/>
          <w:color w:val="auto"/>
          <w:szCs w:val="21"/>
          <w:highlight w:val="none"/>
        </w:rPr>
        <w:t>7.与本投标有关的正式通讯地址为：</w:t>
      </w:r>
    </w:p>
    <w:p w14:paraId="3CD475B0">
      <w:pPr>
        <w:pStyle w:val="220"/>
        <w:spacing w:before="0" w:after="0"/>
        <w:ind w:left="440"/>
        <w:rPr>
          <w:rFonts w:hint="default" w:ascii="仿宋" w:hAnsi="仿宋" w:eastAsia="仿宋"/>
          <w:color w:val="auto"/>
          <w:szCs w:val="21"/>
          <w:highlight w:val="none"/>
          <w:u w:val="single"/>
          <w:lang w:val="en-US" w:eastAsia="zh-CN"/>
        </w:rPr>
      </w:pPr>
      <w:r>
        <w:rPr>
          <w:rFonts w:hint="eastAsia" w:ascii="仿宋" w:hAnsi="仿宋" w:eastAsia="仿宋"/>
          <w:color w:val="auto"/>
          <w:szCs w:val="21"/>
          <w:highlight w:val="none"/>
        </w:rPr>
        <w:t>地          址：</w:t>
      </w:r>
      <w:r>
        <w:rPr>
          <w:rFonts w:hint="eastAsia" w:ascii="仿宋" w:hAnsi="仿宋" w:eastAsia="仿宋" w:cs="仿宋"/>
          <w:color w:val="auto"/>
          <w:szCs w:val="21"/>
          <w:highlight w:val="none"/>
          <w:u w:val="single"/>
          <w:lang w:val="en-US" w:eastAsia="zh-CN"/>
        </w:rPr>
        <w:t xml:space="preserve">                          </w:t>
      </w:r>
    </w:p>
    <w:p w14:paraId="7936BB98">
      <w:pPr>
        <w:pStyle w:val="220"/>
        <w:spacing w:before="0" w:after="0"/>
        <w:ind w:left="440"/>
        <w:rPr>
          <w:rFonts w:hint="default" w:ascii="仿宋" w:hAnsi="仿宋" w:eastAsia="仿宋"/>
          <w:color w:val="auto"/>
          <w:szCs w:val="21"/>
          <w:highlight w:val="none"/>
          <w:u w:val="single"/>
          <w:lang w:val="en-US" w:eastAsia="zh-CN"/>
        </w:rPr>
      </w:pPr>
      <w:r>
        <w:rPr>
          <w:rFonts w:hint="eastAsia" w:ascii="仿宋" w:hAnsi="仿宋" w:eastAsia="仿宋"/>
          <w:color w:val="auto"/>
          <w:szCs w:val="21"/>
          <w:highlight w:val="none"/>
        </w:rPr>
        <w:t>邮          编：</w:t>
      </w:r>
      <w:r>
        <w:rPr>
          <w:rFonts w:hint="eastAsia" w:ascii="仿宋" w:hAnsi="仿宋" w:eastAsia="仿宋" w:cs="仿宋"/>
          <w:color w:val="auto"/>
          <w:szCs w:val="21"/>
          <w:highlight w:val="none"/>
          <w:u w:val="single"/>
          <w:lang w:val="en-US" w:eastAsia="zh-CN"/>
        </w:rPr>
        <w:t xml:space="preserve">                          </w:t>
      </w:r>
    </w:p>
    <w:p w14:paraId="0D0481B3">
      <w:pPr>
        <w:pStyle w:val="220"/>
        <w:spacing w:before="0" w:after="0"/>
        <w:ind w:left="440"/>
        <w:rPr>
          <w:rFonts w:hint="default" w:ascii="仿宋" w:hAnsi="仿宋" w:eastAsia="仿宋"/>
          <w:color w:val="auto"/>
          <w:szCs w:val="21"/>
          <w:highlight w:val="none"/>
          <w:u w:val="single"/>
          <w:lang w:val="en-US" w:eastAsia="zh-CN"/>
        </w:rPr>
      </w:pPr>
      <w:r>
        <w:rPr>
          <w:rFonts w:hint="eastAsia" w:ascii="仿宋" w:hAnsi="仿宋" w:eastAsia="仿宋"/>
          <w:color w:val="auto"/>
          <w:szCs w:val="21"/>
          <w:highlight w:val="none"/>
        </w:rPr>
        <w:t>电          话：</w:t>
      </w:r>
      <w:r>
        <w:rPr>
          <w:rFonts w:hint="eastAsia" w:ascii="仿宋" w:hAnsi="仿宋" w:eastAsia="仿宋" w:cs="仿宋"/>
          <w:color w:val="auto"/>
          <w:szCs w:val="21"/>
          <w:highlight w:val="none"/>
          <w:u w:val="single"/>
          <w:lang w:val="en-US" w:eastAsia="zh-CN"/>
        </w:rPr>
        <w:t xml:space="preserve">                          </w:t>
      </w:r>
    </w:p>
    <w:p w14:paraId="6A10865F">
      <w:pPr>
        <w:pStyle w:val="220"/>
        <w:spacing w:before="0" w:after="0"/>
        <w:ind w:left="440"/>
        <w:rPr>
          <w:rFonts w:hint="default" w:ascii="仿宋" w:hAnsi="仿宋" w:eastAsia="仿宋"/>
          <w:color w:val="auto"/>
          <w:szCs w:val="21"/>
          <w:highlight w:val="none"/>
          <w:u w:val="single"/>
          <w:lang w:val="en-US" w:eastAsia="zh-CN"/>
        </w:rPr>
      </w:pPr>
      <w:r>
        <w:rPr>
          <w:rFonts w:hint="eastAsia" w:ascii="仿宋" w:hAnsi="仿宋" w:eastAsia="仿宋"/>
          <w:color w:val="auto"/>
          <w:szCs w:val="21"/>
          <w:highlight w:val="none"/>
        </w:rPr>
        <w:t>传          真：</w:t>
      </w:r>
      <w:r>
        <w:rPr>
          <w:rFonts w:hint="eastAsia" w:ascii="仿宋" w:hAnsi="仿宋" w:eastAsia="仿宋" w:cs="仿宋"/>
          <w:color w:val="auto"/>
          <w:szCs w:val="21"/>
          <w:highlight w:val="none"/>
          <w:u w:val="single"/>
          <w:lang w:val="en-US" w:eastAsia="zh-CN"/>
        </w:rPr>
        <w:t xml:space="preserve">                          </w:t>
      </w:r>
    </w:p>
    <w:p w14:paraId="18243AF6">
      <w:pPr>
        <w:pStyle w:val="220"/>
        <w:spacing w:before="0" w:after="0"/>
        <w:ind w:left="440"/>
        <w:rPr>
          <w:rFonts w:hint="default" w:ascii="仿宋" w:hAnsi="仿宋" w:eastAsia="仿宋" w:cs="仿宋"/>
          <w:color w:val="auto"/>
          <w:szCs w:val="21"/>
          <w:highlight w:val="none"/>
          <w:u w:val="single"/>
          <w:lang w:val="en-US" w:eastAsia="zh-CN"/>
        </w:rPr>
      </w:pPr>
      <w:r>
        <w:rPr>
          <w:rFonts w:hint="eastAsia" w:ascii="仿宋" w:hAnsi="仿宋" w:eastAsia="仿宋"/>
          <w:color w:val="auto"/>
          <w:szCs w:val="21"/>
          <w:highlight w:val="none"/>
        </w:rPr>
        <w:t>投标人开户行：</w:t>
      </w:r>
      <w:r>
        <w:rPr>
          <w:rFonts w:hint="eastAsia" w:ascii="仿宋" w:hAnsi="仿宋" w:eastAsia="仿宋" w:cs="仿宋"/>
          <w:color w:val="auto"/>
          <w:szCs w:val="21"/>
          <w:highlight w:val="none"/>
          <w:u w:val="single"/>
          <w:lang w:val="en-US" w:eastAsia="zh-CN"/>
        </w:rPr>
        <w:t xml:space="preserve">                            </w:t>
      </w:r>
    </w:p>
    <w:p w14:paraId="75C4F0FC">
      <w:pPr>
        <w:pStyle w:val="220"/>
        <w:spacing w:before="0" w:after="0"/>
        <w:ind w:left="440"/>
        <w:rPr>
          <w:rFonts w:hint="eastAsia" w:ascii="仿宋" w:hAnsi="仿宋" w:eastAsia="仿宋" w:cs="仿宋"/>
          <w:color w:val="auto"/>
          <w:szCs w:val="21"/>
          <w:highlight w:val="none"/>
          <w:u w:val="single"/>
          <w:lang w:val="en-US" w:eastAsia="zh-CN"/>
        </w:rPr>
      </w:pPr>
      <w:r>
        <w:rPr>
          <w:rFonts w:hint="eastAsia" w:ascii="仿宋" w:hAnsi="仿宋" w:eastAsia="仿宋"/>
          <w:color w:val="auto"/>
          <w:szCs w:val="21"/>
          <w:highlight w:val="none"/>
        </w:rPr>
        <w:t>账          户：</w:t>
      </w:r>
      <w:r>
        <w:rPr>
          <w:rFonts w:hint="eastAsia" w:ascii="仿宋" w:hAnsi="仿宋" w:eastAsia="仿宋" w:cs="仿宋"/>
          <w:color w:val="auto"/>
          <w:szCs w:val="21"/>
          <w:highlight w:val="none"/>
          <w:u w:val="single"/>
          <w:lang w:val="en-US" w:eastAsia="zh-CN"/>
        </w:rPr>
        <w:t xml:space="preserve">                          </w:t>
      </w:r>
    </w:p>
    <w:p w14:paraId="55006FBE">
      <w:pPr>
        <w:pStyle w:val="220"/>
        <w:spacing w:before="0" w:after="0"/>
        <w:ind w:left="440"/>
        <w:rPr>
          <w:rFonts w:hint="default" w:ascii="仿宋" w:hAnsi="仿宋" w:eastAsia="仿宋" w:cs="仿宋"/>
          <w:color w:val="auto"/>
          <w:szCs w:val="21"/>
          <w:highlight w:val="none"/>
          <w:u w:val="single"/>
          <w:lang w:val="en-US" w:eastAsia="zh-CN"/>
        </w:rPr>
      </w:pPr>
      <w:r>
        <w:rPr>
          <w:rFonts w:hint="default" w:ascii="仿宋" w:hAnsi="仿宋" w:eastAsia="仿宋" w:cs="仿宋"/>
          <w:color w:val="auto"/>
          <w:szCs w:val="21"/>
          <w:highlight w:val="none"/>
          <w:u w:val="none"/>
          <w:lang w:val="en-US" w:eastAsia="zh-CN"/>
        </w:rPr>
        <w:t>投 标 人 名 称：</w:t>
      </w:r>
      <w:r>
        <w:rPr>
          <w:rFonts w:hint="default" w:ascii="仿宋" w:hAnsi="仿宋" w:eastAsia="仿宋" w:cs="仿宋"/>
          <w:color w:val="auto"/>
          <w:szCs w:val="21"/>
          <w:highlight w:val="none"/>
          <w:u w:val="single"/>
          <w:lang w:val="en-US" w:eastAsia="zh-CN"/>
        </w:rPr>
        <w:t>（加盖电子公章）          </w:t>
      </w:r>
      <w:r>
        <w:rPr>
          <w:rFonts w:hint="eastAsia" w:ascii="仿宋" w:hAnsi="仿宋" w:eastAsia="仿宋" w:cs="仿宋"/>
          <w:color w:val="auto"/>
          <w:szCs w:val="21"/>
          <w:highlight w:val="none"/>
          <w:u w:val="single"/>
          <w:lang w:val="en-US" w:eastAsia="zh-CN"/>
        </w:rPr>
        <w:t xml:space="preserve"> </w:t>
      </w:r>
    </w:p>
    <w:p w14:paraId="7B6A3EDF">
      <w:pPr>
        <w:pStyle w:val="220"/>
        <w:spacing w:before="0" w:after="0"/>
        <w:ind w:left="440"/>
        <w:rPr>
          <w:rFonts w:ascii="仿宋" w:hAnsi="仿宋" w:eastAsia="仿宋"/>
          <w:color w:val="auto"/>
          <w:szCs w:val="21"/>
          <w:highlight w:val="none"/>
        </w:rPr>
      </w:pPr>
      <w:r>
        <w:rPr>
          <w:rFonts w:hint="eastAsia" w:ascii="仿宋" w:hAnsi="仿宋" w:eastAsia="仿宋"/>
          <w:color w:val="auto"/>
          <w:szCs w:val="21"/>
          <w:highlight w:val="none"/>
        </w:rPr>
        <w:t>日          期：________年____月____日</w:t>
      </w:r>
    </w:p>
    <w:p w14:paraId="73BAD334">
      <w:pPr>
        <w:spacing w:line="234" w:lineRule="exact"/>
        <w:rPr>
          <w:rFonts w:ascii="仿宋" w:hAnsi="仿宋" w:eastAsia="仿宋" w:cs="仿宋"/>
          <w:color w:val="auto"/>
          <w:highlight w:val="none"/>
        </w:rPr>
      </w:pPr>
    </w:p>
    <w:p w14:paraId="75D19D3A">
      <w:pPr>
        <w:spacing w:line="366" w:lineRule="exact"/>
        <w:ind w:left="160"/>
        <w:rPr>
          <w:rFonts w:ascii="仿宋" w:hAnsi="仿宋" w:eastAsia="仿宋"/>
          <w:b/>
          <w:color w:val="auto"/>
          <w:sz w:val="32"/>
          <w:highlight w:val="none"/>
        </w:rPr>
      </w:pPr>
    </w:p>
    <w:p w14:paraId="26CC4182">
      <w:pPr>
        <w:spacing w:line="366" w:lineRule="exact"/>
        <w:ind w:left="160"/>
        <w:rPr>
          <w:rFonts w:ascii="仿宋" w:hAnsi="仿宋" w:eastAsia="仿宋"/>
          <w:b/>
          <w:color w:val="auto"/>
          <w:sz w:val="32"/>
          <w:highlight w:val="none"/>
        </w:rPr>
      </w:pPr>
    </w:p>
    <w:p w14:paraId="1A979738">
      <w:pPr>
        <w:spacing w:line="366" w:lineRule="exact"/>
        <w:ind w:left="160"/>
        <w:rPr>
          <w:rFonts w:ascii="仿宋" w:hAnsi="仿宋" w:eastAsia="仿宋"/>
          <w:b/>
          <w:color w:val="auto"/>
          <w:sz w:val="32"/>
          <w:highlight w:val="none"/>
        </w:rPr>
      </w:pPr>
    </w:p>
    <w:p w14:paraId="6E231502">
      <w:pPr>
        <w:rPr>
          <w:rFonts w:ascii="仿宋" w:hAnsi="仿宋" w:eastAsia="仿宋"/>
          <w:b/>
          <w:color w:val="auto"/>
          <w:sz w:val="32"/>
          <w:highlight w:val="none"/>
        </w:rPr>
      </w:pPr>
      <w:r>
        <w:rPr>
          <w:rFonts w:ascii="仿宋" w:hAnsi="仿宋" w:eastAsia="仿宋"/>
          <w:b/>
          <w:color w:val="auto"/>
          <w:sz w:val="32"/>
          <w:highlight w:val="none"/>
        </w:rPr>
        <w:br w:type="page" w:clear="all"/>
      </w:r>
    </w:p>
    <w:p w14:paraId="09D8CB96">
      <w:pPr>
        <w:spacing w:line="366" w:lineRule="exact"/>
        <w:ind w:left="160"/>
        <w:outlineLvl w:val="0"/>
        <w:rPr>
          <w:rFonts w:ascii="仿宋" w:hAnsi="仿宋" w:eastAsia="仿宋"/>
          <w:b/>
          <w:color w:val="auto"/>
          <w:sz w:val="32"/>
          <w:highlight w:val="none"/>
        </w:rPr>
      </w:pPr>
      <w:bookmarkStart w:id="76" w:name="_Toc31385"/>
      <w:r>
        <w:rPr>
          <w:rFonts w:ascii="仿宋" w:hAnsi="仿宋" w:eastAsia="仿宋"/>
          <w:b/>
          <w:color w:val="auto"/>
          <w:sz w:val="32"/>
          <w:highlight w:val="none"/>
        </w:rPr>
        <w:t>附件二、</w:t>
      </w:r>
      <w:r>
        <w:rPr>
          <w:rFonts w:hint="eastAsia" w:ascii="仿宋" w:hAnsi="仿宋" w:eastAsia="仿宋"/>
          <w:b/>
          <w:color w:val="auto"/>
          <w:sz w:val="32"/>
          <w:highlight w:val="none"/>
        </w:rPr>
        <w:t>法定代表人身份证明和</w:t>
      </w:r>
      <w:r>
        <w:rPr>
          <w:rFonts w:ascii="仿宋" w:hAnsi="仿宋" w:eastAsia="仿宋"/>
          <w:b/>
          <w:color w:val="auto"/>
          <w:sz w:val="32"/>
          <w:highlight w:val="none"/>
        </w:rPr>
        <w:t>法定代表人授权委托书格式</w:t>
      </w:r>
      <w:bookmarkEnd w:id="76"/>
    </w:p>
    <w:p w14:paraId="2D5E490C">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bookmarkStart w:id="77" w:name="_Toc1477"/>
      <w:r>
        <w:rPr>
          <w:rFonts w:ascii="仿宋" w:hAnsi="仿宋" w:eastAsia="仿宋" w:cs="仿宋"/>
          <w:color w:val="auto"/>
          <w:sz w:val="22"/>
          <w:highlight w:val="none"/>
        </w:rPr>
        <w:t> </w:t>
      </w:r>
    </w:p>
    <w:p w14:paraId="18866CD6">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235DD67D">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1C0932FD">
      <w:pPr>
        <w:pBdr>
          <w:top w:val="none" w:color="000000" w:sz="0" w:space="0"/>
          <w:left w:val="none" w:color="000000" w:sz="0" w:space="0"/>
          <w:bottom w:val="none" w:color="000000" w:sz="0" w:space="0"/>
          <w:right w:val="none" w:color="000000" w:sz="0" w:space="0"/>
        </w:pBdr>
        <w:spacing w:before="0" w:after="0" w:line="318" w:lineRule="atLeast"/>
        <w:ind w:left="0" w:right="0" w:firstLine="0"/>
        <w:rPr>
          <w:color w:val="auto"/>
          <w:highlight w:val="none"/>
        </w:rPr>
      </w:pPr>
      <w:r>
        <w:rPr>
          <w:rFonts w:ascii="仿宋" w:hAnsi="仿宋" w:eastAsia="仿宋" w:cs="仿宋"/>
          <w:color w:val="auto"/>
          <w:sz w:val="22"/>
          <w:highlight w:val="none"/>
        </w:rPr>
        <w:t> </w:t>
      </w:r>
    </w:p>
    <w:p w14:paraId="61EC47AC">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32"/>
          <w:highlight w:val="none"/>
        </w:rPr>
        <w:t>法定代表人身份证明</w:t>
      </w:r>
    </w:p>
    <w:p w14:paraId="10EE36FD">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Times New Roman" w:hAnsi="Times New Roman" w:eastAsia="Times New Roman" w:cs="Times New Roman"/>
          <w:color w:val="auto"/>
          <w:sz w:val="21"/>
          <w:highlight w:val="none"/>
        </w:rPr>
        <w:t> </w:t>
      </w:r>
    </w:p>
    <w:p w14:paraId="509D24B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投 标 人：</w:t>
      </w:r>
    </w:p>
    <w:p w14:paraId="320CA98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单位性质：</w:t>
      </w:r>
    </w:p>
    <w:p w14:paraId="1A4FF951">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地址：</w:t>
      </w:r>
    </w:p>
    <w:p w14:paraId="5582706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成立时间：年月日</w:t>
      </w:r>
    </w:p>
    <w:p w14:paraId="64AD11B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经营期限：</w:t>
      </w:r>
    </w:p>
    <w:p w14:paraId="40DF27C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姓名：</w:t>
      </w:r>
    </w:p>
    <w:p w14:paraId="5C113FF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性别：</w:t>
      </w:r>
    </w:p>
    <w:p w14:paraId="5522802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年龄：</w:t>
      </w:r>
    </w:p>
    <w:p w14:paraId="771C7035">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职务：</w:t>
      </w:r>
    </w:p>
    <w:p w14:paraId="07684738">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系（投标人名称）的法定代表人。</w:t>
      </w:r>
    </w:p>
    <w:p w14:paraId="55E495A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特此证明。</w:t>
      </w:r>
    </w:p>
    <w:p w14:paraId="67FE87A9">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color w:val="auto"/>
          <w:highlight w:val="none"/>
        </w:rPr>
      </w:pPr>
      <w:r>
        <w:rPr>
          <w:rFonts w:ascii="仿宋" w:hAnsi="仿宋" w:eastAsia="仿宋" w:cs="仿宋"/>
          <w:color w:val="auto"/>
          <w:sz w:val="22"/>
          <w:highlight w:val="none"/>
        </w:rPr>
        <w:t>投标人：（加盖电子公章）</w:t>
      </w:r>
    </w:p>
    <w:p w14:paraId="77571941">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color w:val="auto"/>
          <w:highlight w:val="none"/>
        </w:rPr>
      </w:pPr>
      <w:r>
        <w:rPr>
          <w:rFonts w:ascii="仿宋" w:hAnsi="仿宋" w:eastAsia="仿宋" w:cs="仿宋"/>
          <w:color w:val="auto"/>
          <w:sz w:val="22"/>
          <w:highlight w:val="none"/>
        </w:rPr>
        <w:t>年月日</w:t>
      </w:r>
    </w:p>
    <w:p w14:paraId="2CEE9659">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b/>
          <w:color w:val="auto"/>
          <w:sz w:val="22"/>
          <w:highlight w:val="none"/>
        </w:rPr>
        <w:t>注：此处粘贴法定代表人身份证复印件。</w:t>
      </w:r>
    </w:p>
    <w:p w14:paraId="001C0E3D">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b/>
          <w:color w:val="auto"/>
          <w:sz w:val="22"/>
          <w:highlight w:val="none"/>
        </w:rPr>
        <w:t> </w:t>
      </w:r>
    </w:p>
    <w:p w14:paraId="2102870F">
      <w:pPr>
        <w:pBdr>
          <w:top w:val="none" w:color="000000" w:sz="0" w:space="0"/>
          <w:left w:val="none" w:color="000000" w:sz="0" w:space="0"/>
          <w:bottom w:val="none" w:color="000000" w:sz="0" w:space="0"/>
          <w:right w:val="none" w:color="000000" w:sz="0" w:space="0"/>
        </w:pBdr>
        <w:spacing w:before="220" w:after="220"/>
        <w:ind w:left="1260" w:right="0" w:firstLine="0"/>
        <w:rPr>
          <w:color w:val="auto"/>
          <w:highlight w:val="none"/>
        </w:rPr>
      </w:pPr>
      <w:r>
        <w:rPr>
          <w:rFonts w:ascii="宋体" w:hAnsi="宋体" w:eastAsia="宋体" w:cs="宋体"/>
          <w:color w:val="auto"/>
          <w:sz w:val="22"/>
          <w:highlight w:val="none"/>
        </w:rPr>
        <w:t> </w:t>
      </w:r>
    </w:p>
    <w:p w14:paraId="01CA3B2A">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color w:val="auto"/>
          <w:highlight w:val="none"/>
        </w:rPr>
      </w:pPr>
      <w:r>
        <w:rPr>
          <w:rFonts w:ascii="仿宋" w:hAnsi="仿宋" w:eastAsia="仿宋" w:cs="仿宋"/>
          <w:color w:val="auto"/>
          <w:sz w:val="22"/>
          <w:highlight w:val="none"/>
        </w:rPr>
        <w:t> </w:t>
      </w:r>
    </w:p>
    <w:p w14:paraId="49F96FBB">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color w:val="auto"/>
          <w:highlight w:val="none"/>
        </w:rPr>
        <w:br w:type="page" w:clear="all"/>
      </w:r>
    </w:p>
    <w:p w14:paraId="3818CC4E">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color w:val="auto"/>
          <w:highlight w:val="none"/>
        </w:rPr>
      </w:pPr>
      <w:r>
        <w:rPr>
          <w:rFonts w:ascii="仿宋" w:hAnsi="仿宋" w:eastAsia="仿宋" w:cs="仿宋"/>
          <w:b/>
          <w:color w:val="auto"/>
          <w:sz w:val="32"/>
          <w:highlight w:val="none"/>
        </w:rPr>
        <w:t> </w:t>
      </w:r>
    </w:p>
    <w:p w14:paraId="594CC3F1">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color w:val="auto"/>
          <w:highlight w:val="none"/>
        </w:rPr>
      </w:pPr>
      <w:r>
        <w:rPr>
          <w:rFonts w:ascii="仿宋" w:hAnsi="仿宋" w:eastAsia="仿宋" w:cs="仿宋"/>
          <w:b/>
          <w:color w:val="auto"/>
          <w:sz w:val="32"/>
          <w:highlight w:val="none"/>
        </w:rPr>
        <w:t>法定代表人授权委托书</w:t>
      </w:r>
    </w:p>
    <w:p w14:paraId="359A7B72">
      <w:pPr>
        <w:pBdr>
          <w:top w:val="none" w:color="000000" w:sz="0" w:space="0"/>
          <w:left w:val="none" w:color="000000" w:sz="0" w:space="0"/>
          <w:bottom w:val="none" w:color="000000" w:sz="0" w:space="0"/>
          <w:right w:val="none" w:color="000000" w:sz="0" w:space="0"/>
        </w:pBdr>
        <w:spacing w:before="240" w:after="240"/>
        <w:ind w:left="0" w:right="0" w:firstLine="0"/>
        <w:rPr>
          <w:color w:val="auto"/>
          <w:highlight w:val="none"/>
        </w:rPr>
      </w:pPr>
      <w:r>
        <w:rPr>
          <w:rFonts w:ascii="仿宋" w:hAnsi="仿宋" w:eastAsia="仿宋" w:cs="仿宋"/>
          <w:color w:val="auto"/>
          <w:sz w:val="21"/>
          <w:highlight w:val="none"/>
        </w:rPr>
        <w:t> </w:t>
      </w:r>
    </w:p>
    <w:p w14:paraId="54E0DF7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eastAsia="仿宋"/>
          <w:color w:val="auto"/>
          <w:highlight w:val="none"/>
          <w:lang w:eastAsia="zh-CN"/>
        </w:rPr>
      </w:pPr>
      <w:r>
        <w:rPr>
          <w:rFonts w:ascii="仿宋" w:hAnsi="仿宋" w:eastAsia="仿宋" w:cs="仿宋"/>
          <w:b/>
          <w:color w:val="auto"/>
          <w:sz w:val="22"/>
          <w:highlight w:val="none"/>
        </w:rPr>
        <w:t>致：</w:t>
      </w:r>
      <w:r>
        <w:rPr>
          <w:rFonts w:hint="eastAsia" w:ascii="仿宋" w:hAnsi="仿宋" w:eastAsia="仿宋" w:cs="仿宋"/>
          <w:b/>
          <w:color w:val="auto"/>
          <w:sz w:val="22"/>
          <w:highlight w:val="none"/>
          <w:lang w:val="en-US" w:eastAsia="zh-CN"/>
        </w:rPr>
        <w:t>扬州中国大运河博物馆</w:t>
      </w:r>
    </w:p>
    <w:p w14:paraId="16F1CA0C">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仿宋" w:hAnsi="仿宋" w:eastAsia="仿宋" w:cs="仿宋"/>
          <w:color w:val="auto"/>
          <w:sz w:val="22"/>
          <w:highlight w:val="none"/>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14:paraId="7CE7E3C6">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    本授权书于 年 月 日签字生效，特此声明。</w:t>
      </w:r>
    </w:p>
    <w:p w14:paraId="22E48E1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    法定代表人签字或签章：</w:t>
      </w:r>
    </w:p>
    <w:p w14:paraId="4C5ADAB2">
      <w:pPr>
        <w:pBdr>
          <w:top w:val="none" w:color="000000" w:sz="0" w:space="0"/>
          <w:left w:val="none" w:color="000000" w:sz="0" w:space="0"/>
          <w:bottom w:val="none" w:color="000000" w:sz="0" w:space="0"/>
          <w:right w:val="none" w:color="000000" w:sz="0" w:space="0"/>
        </w:pBdr>
        <w:spacing w:before="0" w:after="0" w:line="85" w:lineRule="atLeast"/>
        <w:ind w:left="0" w:right="0" w:firstLine="440"/>
        <w:rPr>
          <w:color w:val="auto"/>
          <w:highlight w:val="none"/>
        </w:rPr>
      </w:pPr>
      <w:r>
        <w:rPr>
          <w:rFonts w:ascii="仿宋" w:hAnsi="仿宋" w:eastAsia="仿宋" w:cs="仿宋"/>
          <w:color w:val="auto"/>
          <w:sz w:val="22"/>
          <w:highlight w:val="none"/>
        </w:rPr>
        <w:t>授权委托人签字：</w:t>
      </w:r>
    </w:p>
    <w:p w14:paraId="31B08021">
      <w:pPr>
        <w:pBdr>
          <w:top w:val="none" w:color="000000" w:sz="0" w:space="0"/>
          <w:left w:val="none" w:color="000000" w:sz="0" w:space="0"/>
          <w:bottom w:val="none" w:color="000000" w:sz="0" w:space="0"/>
          <w:right w:val="none" w:color="000000" w:sz="0" w:space="0"/>
        </w:pBdr>
        <w:spacing w:before="0" w:after="0" w:line="85" w:lineRule="atLeast"/>
        <w:ind w:left="0" w:right="0" w:firstLine="440"/>
        <w:rPr>
          <w:color w:val="auto"/>
          <w:highlight w:val="none"/>
        </w:rPr>
      </w:pPr>
      <w:r>
        <w:rPr>
          <w:rFonts w:ascii="仿宋" w:hAnsi="仿宋" w:eastAsia="仿宋" w:cs="仿宋"/>
          <w:color w:val="auto"/>
          <w:sz w:val="22"/>
          <w:highlight w:val="none"/>
        </w:rPr>
        <w:t>投标人：（加盖电子公章）</w:t>
      </w:r>
    </w:p>
    <w:p w14:paraId="65FC765D">
      <w:pPr>
        <w:pBdr>
          <w:top w:val="none" w:color="000000" w:sz="0" w:space="0"/>
          <w:left w:val="none" w:color="000000" w:sz="0" w:space="0"/>
          <w:bottom w:val="none" w:color="000000" w:sz="0" w:space="0"/>
          <w:right w:val="none" w:color="000000" w:sz="0" w:space="0"/>
        </w:pBdr>
        <w:tabs>
          <w:tab w:val="left" w:pos="1440"/>
        </w:tabs>
        <w:spacing w:before="0" w:after="0" w:line="85" w:lineRule="atLeast"/>
        <w:ind w:left="0" w:right="0" w:firstLine="420"/>
        <w:rPr>
          <w:color w:val="auto"/>
          <w:highlight w:val="none"/>
        </w:rPr>
      </w:pPr>
      <w:r>
        <w:rPr>
          <w:rFonts w:ascii="仿宋" w:hAnsi="仿宋" w:eastAsia="仿宋" w:cs="仿宋"/>
          <w:color w:val="auto"/>
          <w:sz w:val="22"/>
          <w:highlight w:val="none"/>
        </w:rPr>
        <w:t>日期：年月日</w:t>
      </w:r>
    </w:p>
    <w:p w14:paraId="28690A8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b/>
          <w:color w:val="auto"/>
          <w:sz w:val="22"/>
          <w:highlight w:val="none"/>
        </w:rPr>
        <w:t> </w:t>
      </w:r>
    </w:p>
    <w:p w14:paraId="2EB4639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b/>
          <w:color w:val="auto"/>
          <w:sz w:val="22"/>
          <w:highlight w:val="none"/>
        </w:rPr>
        <w:t>注：此处粘贴授权委托人身份证复印件。</w:t>
      </w:r>
    </w:p>
    <w:p w14:paraId="57BA0B2E">
      <w:pPr>
        <w:pBdr>
          <w:top w:val="none" w:color="000000" w:sz="0" w:space="0"/>
          <w:left w:val="none" w:color="000000" w:sz="0" w:space="0"/>
          <w:bottom w:val="none" w:color="000000" w:sz="0" w:space="0"/>
          <w:right w:val="none" w:color="000000" w:sz="0" w:space="0"/>
        </w:pBdr>
        <w:spacing w:before="0" w:after="0" w:line="85" w:lineRule="atLeast"/>
        <w:ind w:left="0" w:right="420" w:firstLine="0"/>
        <w:rPr>
          <w:color w:val="auto"/>
          <w:highlight w:val="none"/>
        </w:rPr>
      </w:pPr>
      <w:r>
        <w:rPr>
          <w:rFonts w:ascii="仿宋" w:hAnsi="仿宋" w:eastAsia="仿宋" w:cs="仿宋"/>
          <w:b/>
          <w:color w:val="auto"/>
          <w:sz w:val="22"/>
          <w:highlight w:val="none"/>
        </w:rPr>
        <w:t> </w:t>
      </w:r>
    </w:p>
    <w:p w14:paraId="65101E79">
      <w:pPr>
        <w:pBdr>
          <w:top w:val="none" w:color="000000" w:sz="0" w:space="0"/>
          <w:left w:val="none" w:color="000000" w:sz="0" w:space="0"/>
          <w:bottom w:val="none" w:color="000000" w:sz="0" w:space="0"/>
          <w:right w:val="none" w:color="000000" w:sz="0" w:space="0"/>
        </w:pBdr>
        <w:spacing w:before="0" w:after="0" w:line="85" w:lineRule="atLeast"/>
        <w:ind w:left="0" w:right="420" w:firstLine="0"/>
        <w:rPr>
          <w:color w:val="auto"/>
          <w:highlight w:val="none"/>
        </w:rPr>
      </w:pPr>
      <w:r>
        <w:rPr>
          <w:rFonts w:ascii="仿宋" w:hAnsi="仿宋" w:eastAsia="仿宋" w:cs="仿宋"/>
          <w:b/>
          <w:color w:val="auto"/>
          <w:sz w:val="22"/>
          <w:highlight w:val="none"/>
        </w:rPr>
        <w:t>说明：</w:t>
      </w:r>
    </w:p>
    <w:p w14:paraId="0DC7F624">
      <w:pPr>
        <w:pBdr>
          <w:top w:val="none" w:color="000000" w:sz="0" w:space="0"/>
          <w:left w:val="none" w:color="000000" w:sz="0" w:space="0"/>
          <w:bottom w:val="none" w:color="000000" w:sz="0" w:space="0"/>
          <w:right w:val="none" w:color="000000" w:sz="0" w:space="0"/>
        </w:pBdr>
        <w:spacing w:before="0" w:after="0" w:line="85" w:lineRule="atLeast"/>
        <w:ind w:left="0" w:right="420" w:firstLine="0"/>
        <w:rPr>
          <w:color w:val="auto"/>
          <w:highlight w:val="none"/>
        </w:rPr>
      </w:pPr>
      <w:r>
        <w:rPr>
          <w:rFonts w:ascii="仿宋" w:hAnsi="仿宋" w:eastAsia="仿宋" w:cs="仿宋"/>
          <w:color w:val="auto"/>
          <w:sz w:val="21"/>
          <w:highlight w:val="none"/>
        </w:rPr>
        <w:t>1、如投标人由法定代表人亲自签署投标文件并参与相关活动，则不需要办理授权。如有被授权的代理人签署上述文件，则必须按本格式规定填报并提交授权书，否则被授权的代理人将不被认可。</w:t>
      </w:r>
    </w:p>
    <w:p w14:paraId="51681D4E">
      <w:pPr>
        <w:pBdr>
          <w:top w:val="none" w:color="000000" w:sz="0" w:space="0"/>
          <w:left w:val="none" w:color="000000" w:sz="0" w:space="0"/>
          <w:bottom w:val="none" w:color="000000" w:sz="0" w:space="0"/>
          <w:right w:val="none" w:color="000000" w:sz="0" w:space="0"/>
        </w:pBdr>
        <w:spacing w:before="0" w:after="0" w:line="85" w:lineRule="atLeast"/>
        <w:ind w:left="0" w:right="420" w:firstLine="0"/>
        <w:rPr>
          <w:color w:val="auto"/>
          <w:highlight w:val="none"/>
        </w:rPr>
      </w:pPr>
      <w:r>
        <w:rPr>
          <w:rFonts w:ascii="仿宋" w:hAnsi="仿宋" w:eastAsia="仿宋" w:cs="仿宋"/>
          <w:color w:val="auto"/>
          <w:sz w:val="21"/>
          <w:highlight w:val="none"/>
        </w:rPr>
        <w:t>2、本授权委托书配合法定代表人身份证明书使用方可生效。</w:t>
      </w:r>
    </w:p>
    <w:p w14:paraId="19FA411A">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color w:val="auto"/>
          <w:highlight w:val="none"/>
        </w:rPr>
        <w:br w:type="page" w:clear="all"/>
      </w:r>
    </w:p>
    <w:p w14:paraId="043C005E">
      <w:pPr>
        <w:pBdr>
          <w:top w:val="none" w:color="000000" w:sz="0" w:space="0"/>
          <w:left w:val="none" w:color="000000" w:sz="0" w:space="0"/>
          <w:bottom w:val="none" w:color="000000" w:sz="0" w:space="0"/>
          <w:right w:val="none" w:color="000000" w:sz="0" w:space="0"/>
        </w:pBdr>
        <w:spacing w:before="0" w:after="0" w:line="366" w:lineRule="atLeast"/>
        <w:ind w:left="160" w:right="0" w:firstLine="0"/>
        <w:rPr>
          <w:color w:val="auto"/>
          <w:highlight w:val="none"/>
        </w:rPr>
      </w:pPr>
      <w:r>
        <w:rPr>
          <w:rFonts w:ascii="仿宋" w:hAnsi="仿宋" w:eastAsia="仿宋" w:cs="仿宋"/>
          <w:b/>
          <w:color w:val="auto"/>
          <w:sz w:val="32"/>
          <w:highlight w:val="none"/>
        </w:rPr>
        <w:t>附件三、开标一览表</w:t>
      </w:r>
    </w:p>
    <w:p w14:paraId="6EFA8C22">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667CAFB0">
      <w:pPr>
        <w:pBdr>
          <w:top w:val="none" w:color="000000" w:sz="0" w:space="0"/>
          <w:left w:val="none" w:color="000000" w:sz="0" w:space="0"/>
          <w:bottom w:val="none" w:color="000000" w:sz="0" w:space="0"/>
          <w:right w:val="none" w:color="000000" w:sz="0" w:space="0"/>
        </w:pBdr>
        <w:spacing w:before="0" w:after="0" w:line="295" w:lineRule="atLeast"/>
        <w:ind w:left="0" w:right="0" w:firstLine="0"/>
        <w:rPr>
          <w:color w:val="auto"/>
          <w:highlight w:val="none"/>
        </w:rPr>
      </w:pPr>
      <w:r>
        <w:rPr>
          <w:rFonts w:ascii="仿宋" w:hAnsi="仿宋" w:eastAsia="仿宋" w:cs="仿宋"/>
          <w:color w:val="auto"/>
          <w:sz w:val="22"/>
          <w:highlight w:val="none"/>
        </w:rPr>
        <w:t> </w:t>
      </w:r>
    </w:p>
    <w:p w14:paraId="6B093F8F">
      <w:pPr>
        <w:pBdr>
          <w:top w:val="none" w:color="000000" w:sz="0" w:space="0"/>
          <w:left w:val="none" w:color="000000" w:sz="0" w:space="0"/>
          <w:bottom w:val="none" w:color="000000" w:sz="0" w:space="0"/>
          <w:right w:val="none" w:color="000000" w:sz="0" w:space="0"/>
        </w:pBdr>
        <w:spacing w:before="260" w:after="260" w:line="98" w:lineRule="atLeast"/>
        <w:ind w:left="0" w:right="0" w:firstLine="3390"/>
        <w:rPr>
          <w:color w:val="auto"/>
          <w:highlight w:val="none"/>
        </w:rPr>
      </w:pPr>
      <w:r>
        <w:rPr>
          <w:rFonts w:ascii="仿宋" w:hAnsi="仿宋" w:eastAsia="仿宋" w:cs="仿宋"/>
          <w:b/>
          <w:color w:val="auto"/>
          <w:sz w:val="32"/>
          <w:highlight w:val="none"/>
        </w:rPr>
        <w:t>开标一览表</w:t>
      </w:r>
    </w:p>
    <w:p w14:paraId="10968434">
      <w:pPr>
        <w:pBdr>
          <w:top w:val="none" w:color="000000" w:sz="0" w:space="0"/>
          <w:left w:val="none" w:color="000000" w:sz="0" w:space="0"/>
          <w:bottom w:val="none" w:color="000000" w:sz="0" w:space="0"/>
          <w:right w:val="none" w:color="000000" w:sz="0" w:space="0"/>
        </w:pBdr>
        <w:spacing w:before="0" w:after="0"/>
        <w:ind w:left="0" w:right="0" w:firstLine="480"/>
        <w:rPr>
          <w:color w:val="auto"/>
          <w:highlight w:val="none"/>
        </w:rPr>
      </w:pPr>
      <w:r>
        <w:rPr>
          <w:rFonts w:ascii="仿宋" w:hAnsi="仿宋" w:eastAsia="仿宋" w:cs="仿宋"/>
          <w:color w:val="auto"/>
          <w:sz w:val="24"/>
          <w:highlight w:val="none"/>
        </w:rPr>
        <w:t>投标人全称（加盖CA电子签章）：</w:t>
      </w:r>
    </w:p>
    <w:p w14:paraId="39F7704A">
      <w:pPr>
        <w:pBdr>
          <w:top w:val="none" w:color="000000" w:sz="0" w:space="0"/>
          <w:left w:val="none" w:color="000000" w:sz="0" w:space="0"/>
          <w:bottom w:val="none" w:color="000000" w:sz="0" w:space="0"/>
          <w:right w:val="none" w:color="000000" w:sz="0" w:space="0"/>
        </w:pBdr>
        <w:spacing w:before="0" w:after="0"/>
        <w:ind w:left="0" w:right="0" w:firstLine="480"/>
        <w:rPr>
          <w:color w:val="auto"/>
          <w:highlight w:val="none"/>
        </w:rPr>
      </w:pPr>
      <w:r>
        <w:rPr>
          <w:rFonts w:ascii="仿宋" w:hAnsi="仿宋" w:eastAsia="仿宋" w:cs="仿宋"/>
          <w:color w:val="auto"/>
          <w:sz w:val="24"/>
          <w:highlight w:val="none"/>
        </w:rPr>
        <w:t>项目名称：</w:t>
      </w:r>
    </w:p>
    <w:p w14:paraId="438444C9">
      <w:pPr>
        <w:pBdr>
          <w:top w:val="none" w:color="000000" w:sz="0" w:space="0"/>
          <w:left w:val="none" w:color="000000" w:sz="0" w:space="0"/>
          <w:bottom w:val="none" w:color="000000" w:sz="0" w:space="0"/>
          <w:right w:val="none" w:color="000000" w:sz="0" w:space="0"/>
        </w:pBdr>
        <w:spacing w:before="0" w:after="0"/>
        <w:ind w:left="0" w:right="0" w:firstLine="480"/>
        <w:rPr>
          <w:color w:val="auto"/>
          <w:highlight w:val="none"/>
        </w:rPr>
      </w:pPr>
      <w:r>
        <w:rPr>
          <w:rFonts w:ascii="仿宋" w:hAnsi="仿宋" w:eastAsia="仿宋" w:cs="仿宋"/>
          <w:color w:val="auto"/>
          <w:sz w:val="24"/>
          <w:highlight w:val="none"/>
        </w:rPr>
        <w:t>招标编号：分包号：</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66"/>
      </w:tblGrid>
      <w:tr w14:paraId="05EDD1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134" w:hRule="atLeast"/>
        </w:trPr>
        <w:tc>
          <w:tcPr>
            <w:tcW w:w="906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E6C07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center"/>
              <w:rPr>
                <w:color w:val="auto"/>
                <w:highlight w:val="none"/>
              </w:rPr>
            </w:pPr>
            <w:r>
              <w:rPr>
                <w:rFonts w:ascii="仿宋" w:hAnsi="仿宋" w:eastAsia="仿宋" w:cs="仿宋"/>
                <w:color w:val="auto"/>
                <w:sz w:val="24"/>
                <w:highlight w:val="none"/>
              </w:rPr>
              <w:t>投标总报价</w:t>
            </w:r>
          </w:p>
        </w:tc>
      </w:tr>
      <w:tr w14:paraId="19B99C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4" w:hRule="atLeast"/>
        </w:trPr>
        <w:tc>
          <w:tcPr>
            <w:tcW w:w="90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87AE5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小写：                             （人民币：元）</w:t>
            </w:r>
          </w:p>
        </w:tc>
      </w:tr>
    </w:tbl>
    <w:p w14:paraId="40EF1875">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4"/>
          <w:highlight w:val="none"/>
        </w:rPr>
        <w:t> </w:t>
      </w:r>
    </w:p>
    <w:p w14:paraId="5A9AA39D">
      <w:pPr>
        <w:pBdr>
          <w:top w:val="none" w:color="000000" w:sz="0" w:space="0"/>
          <w:left w:val="none" w:color="000000" w:sz="0" w:space="0"/>
          <w:bottom w:val="none" w:color="000000" w:sz="0" w:space="0"/>
          <w:right w:val="none" w:color="000000" w:sz="0" w:space="0"/>
        </w:pBdr>
        <w:spacing w:before="0" w:after="0"/>
        <w:ind w:left="0" w:right="0" w:firstLine="480"/>
        <w:rPr>
          <w:color w:val="auto"/>
          <w:highlight w:val="none"/>
        </w:rPr>
      </w:pPr>
      <w:r>
        <w:rPr>
          <w:rFonts w:ascii="仿宋" w:hAnsi="仿宋" w:eastAsia="仿宋" w:cs="仿宋"/>
          <w:color w:val="auto"/>
          <w:sz w:val="24"/>
          <w:highlight w:val="none"/>
        </w:rPr>
        <w:t>                                        </w:t>
      </w:r>
    </w:p>
    <w:p w14:paraId="6884A065">
      <w:pPr>
        <w:pBdr>
          <w:top w:val="none" w:color="000000" w:sz="0" w:space="0"/>
          <w:left w:val="none" w:color="000000" w:sz="0" w:space="0"/>
          <w:bottom w:val="none" w:color="000000" w:sz="0" w:space="0"/>
          <w:right w:val="none" w:color="000000" w:sz="0" w:space="0"/>
        </w:pBdr>
        <w:spacing w:before="0" w:after="0"/>
        <w:ind w:left="0" w:right="0" w:firstLine="5760"/>
        <w:rPr>
          <w:color w:val="auto"/>
          <w:highlight w:val="none"/>
        </w:rPr>
      </w:pPr>
      <w:r>
        <w:rPr>
          <w:rFonts w:ascii="仿宋" w:hAnsi="仿宋" w:eastAsia="仿宋" w:cs="仿宋"/>
          <w:color w:val="auto"/>
          <w:sz w:val="24"/>
          <w:highlight w:val="none"/>
        </w:rPr>
        <w:t>日期：</w:t>
      </w:r>
      <w:r>
        <w:rPr>
          <w:rFonts w:ascii="仿宋" w:hAnsi="仿宋" w:eastAsia="仿宋" w:cs="仿宋"/>
          <w:color w:val="auto"/>
          <w:sz w:val="24"/>
          <w:highlight w:val="none"/>
          <w:u w:val="single"/>
        </w:rPr>
        <w:t>     </w:t>
      </w:r>
      <w:r>
        <w:rPr>
          <w:rFonts w:ascii="仿宋" w:hAnsi="仿宋" w:eastAsia="仿宋" w:cs="仿宋"/>
          <w:color w:val="auto"/>
          <w:sz w:val="24"/>
          <w:highlight w:val="none"/>
        </w:rPr>
        <w:t>年</w:t>
      </w:r>
      <w:r>
        <w:rPr>
          <w:rFonts w:ascii="仿宋" w:hAnsi="仿宋" w:eastAsia="仿宋" w:cs="仿宋"/>
          <w:color w:val="auto"/>
          <w:sz w:val="24"/>
          <w:highlight w:val="none"/>
          <w:u w:val="single"/>
        </w:rPr>
        <w:t>   </w:t>
      </w:r>
      <w:r>
        <w:rPr>
          <w:rFonts w:ascii="仿宋" w:hAnsi="仿宋" w:eastAsia="仿宋" w:cs="仿宋"/>
          <w:color w:val="auto"/>
          <w:sz w:val="24"/>
          <w:highlight w:val="none"/>
        </w:rPr>
        <w:t>月</w:t>
      </w:r>
      <w:r>
        <w:rPr>
          <w:rFonts w:ascii="仿宋" w:hAnsi="仿宋" w:eastAsia="仿宋" w:cs="仿宋"/>
          <w:color w:val="auto"/>
          <w:sz w:val="24"/>
          <w:highlight w:val="none"/>
          <w:u w:val="single"/>
        </w:rPr>
        <w:t>   </w:t>
      </w:r>
      <w:r>
        <w:rPr>
          <w:rFonts w:ascii="仿宋" w:hAnsi="仿宋" w:eastAsia="仿宋" w:cs="仿宋"/>
          <w:color w:val="auto"/>
          <w:sz w:val="24"/>
          <w:highlight w:val="none"/>
        </w:rPr>
        <w:t>日</w:t>
      </w:r>
    </w:p>
    <w:p w14:paraId="7DC50791">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1EAD70CC">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201B5D8C">
      <w:pPr>
        <w:pBdr>
          <w:top w:val="none" w:color="000000" w:sz="0" w:space="0"/>
          <w:left w:val="none" w:color="000000" w:sz="0" w:space="0"/>
          <w:bottom w:val="none" w:color="000000" w:sz="0" w:space="0"/>
          <w:right w:val="none" w:color="000000" w:sz="0" w:space="0"/>
        </w:pBdr>
        <w:tabs>
          <w:tab w:val="left" w:pos="780"/>
        </w:tabs>
        <w:spacing w:before="220" w:after="220"/>
        <w:ind w:left="780" w:right="0" w:hanging="360"/>
        <w:rPr>
          <w:color w:val="auto"/>
          <w:highlight w:val="none"/>
        </w:rPr>
      </w:pPr>
      <w:r>
        <w:rPr>
          <w:rFonts w:ascii="仿宋" w:hAnsi="仿宋" w:eastAsia="仿宋" w:cs="仿宋"/>
          <w:color w:val="auto"/>
          <w:sz w:val="22"/>
          <w:highlight w:val="none"/>
        </w:rPr>
        <w:t> </w:t>
      </w:r>
    </w:p>
    <w:p w14:paraId="5DC0A7CE">
      <w:pPr>
        <w:rPr>
          <w:rFonts w:ascii="仿宋" w:hAnsi="仿宋" w:eastAsia="仿宋"/>
          <w:b/>
          <w:color w:val="auto"/>
          <w:sz w:val="32"/>
          <w:highlight w:val="none"/>
        </w:rPr>
      </w:pPr>
      <w:r>
        <w:rPr>
          <w:rFonts w:ascii="仿宋" w:hAnsi="仿宋" w:eastAsia="仿宋"/>
          <w:b/>
          <w:color w:val="auto"/>
          <w:sz w:val="32"/>
          <w:highlight w:val="none"/>
        </w:rPr>
        <w:br w:type="page"/>
      </w:r>
    </w:p>
    <w:p w14:paraId="3AB0B7F4">
      <w:pPr>
        <w:pBdr>
          <w:top w:val="none" w:color="000000" w:sz="0" w:space="0"/>
          <w:left w:val="none" w:color="000000" w:sz="0" w:space="0"/>
          <w:bottom w:val="none" w:color="000000" w:sz="0" w:space="0"/>
          <w:right w:val="none" w:color="000000" w:sz="0" w:space="0"/>
        </w:pBdr>
        <w:spacing w:before="0" w:after="0" w:line="366" w:lineRule="atLeast"/>
        <w:ind w:left="160" w:right="0" w:firstLine="0"/>
        <w:rPr>
          <w:rFonts w:hint="eastAsia" w:eastAsia="仿宋"/>
          <w:color w:val="auto"/>
          <w:highlight w:val="none"/>
          <w:lang w:eastAsia="zh-CN"/>
        </w:rPr>
      </w:pPr>
      <w:r>
        <w:rPr>
          <w:rFonts w:ascii="仿宋" w:hAnsi="仿宋" w:eastAsia="仿宋"/>
          <w:b/>
          <w:color w:val="auto"/>
          <w:sz w:val="32"/>
          <w:highlight w:val="none"/>
        </w:rPr>
        <w:t>附件四、</w:t>
      </w:r>
      <w:bookmarkEnd w:id="77"/>
      <w:r>
        <w:rPr>
          <w:rFonts w:ascii="仿宋" w:hAnsi="仿宋" w:eastAsia="仿宋" w:cs="仿宋"/>
          <w:b/>
          <w:color w:val="auto"/>
          <w:sz w:val="32"/>
          <w:highlight w:val="none"/>
        </w:rPr>
        <w:t>分项报价表</w:t>
      </w:r>
      <w:r>
        <w:rPr>
          <w:rFonts w:hint="eastAsia" w:ascii="仿宋" w:hAnsi="仿宋" w:eastAsia="仿宋" w:cs="仿宋"/>
          <w:b/>
          <w:color w:val="auto"/>
          <w:sz w:val="32"/>
          <w:highlight w:val="none"/>
          <w:lang w:eastAsia="zh-CN"/>
        </w:rPr>
        <w:t>（</w:t>
      </w:r>
      <w:r>
        <w:rPr>
          <w:rFonts w:hint="eastAsia" w:ascii="仿宋" w:hAnsi="仿宋" w:eastAsia="仿宋" w:cs="仿宋"/>
          <w:b/>
          <w:color w:val="auto"/>
          <w:sz w:val="32"/>
          <w:highlight w:val="none"/>
          <w:lang w:val="en-US" w:eastAsia="zh-CN"/>
        </w:rPr>
        <w:t>如需，格式自拟</w:t>
      </w:r>
      <w:r>
        <w:rPr>
          <w:rFonts w:hint="eastAsia" w:ascii="仿宋" w:hAnsi="仿宋" w:eastAsia="仿宋" w:cs="仿宋"/>
          <w:b/>
          <w:color w:val="auto"/>
          <w:sz w:val="32"/>
          <w:highlight w:val="none"/>
          <w:lang w:eastAsia="zh-CN"/>
        </w:rPr>
        <w:t>）</w:t>
      </w:r>
    </w:p>
    <w:p w14:paraId="255D12BC">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144EB0B2">
      <w:pPr>
        <w:widowControl/>
        <w:shd w:val="clear" w:color="auto" w:fill="FFFFFF"/>
        <w:spacing w:line="360" w:lineRule="auto"/>
        <w:ind w:left="420"/>
        <w:jc w:val="both"/>
        <w:rPr>
          <w:rFonts w:ascii="仿宋" w:hAnsi="仿宋" w:eastAsia="仿宋"/>
          <w:b/>
          <w:color w:val="auto"/>
          <w:sz w:val="32"/>
          <w:highlight w:val="none"/>
        </w:rPr>
      </w:pPr>
    </w:p>
    <w:p w14:paraId="6F1261CB">
      <w:pPr>
        <w:rPr>
          <w:rFonts w:ascii="仿宋" w:hAnsi="仿宋" w:eastAsia="仿宋"/>
          <w:b/>
          <w:color w:val="auto"/>
          <w:sz w:val="32"/>
          <w:highlight w:val="none"/>
        </w:rPr>
      </w:pPr>
      <w:r>
        <w:rPr>
          <w:rFonts w:ascii="仿宋" w:hAnsi="仿宋" w:eastAsia="仿宋"/>
          <w:b/>
          <w:color w:val="auto"/>
          <w:sz w:val="32"/>
          <w:highlight w:val="none"/>
        </w:rPr>
        <w:br w:type="page"/>
      </w:r>
    </w:p>
    <w:p w14:paraId="0E277C07">
      <w:pPr>
        <w:pBdr>
          <w:top w:val="none" w:color="000000" w:sz="0" w:space="0"/>
          <w:left w:val="none" w:color="000000" w:sz="0" w:space="0"/>
          <w:bottom w:val="none" w:color="000000" w:sz="0" w:space="0"/>
          <w:right w:val="none" w:color="000000" w:sz="0" w:space="0"/>
        </w:pBdr>
        <w:spacing w:before="0" w:after="0" w:line="366" w:lineRule="atLeast"/>
        <w:ind w:left="160" w:right="0" w:firstLine="0"/>
        <w:rPr>
          <w:color w:val="auto"/>
          <w:highlight w:val="none"/>
        </w:rPr>
      </w:pPr>
      <w:r>
        <w:rPr>
          <w:rFonts w:ascii="仿宋" w:hAnsi="仿宋" w:eastAsia="仿宋" w:cs="仿宋"/>
          <w:b/>
          <w:color w:val="auto"/>
          <w:sz w:val="32"/>
          <w:highlight w:val="none"/>
        </w:rPr>
        <w:t>附件</w:t>
      </w:r>
      <w:r>
        <w:rPr>
          <w:rFonts w:hint="eastAsia" w:ascii="仿宋" w:hAnsi="仿宋" w:eastAsia="仿宋" w:cs="仿宋"/>
          <w:b/>
          <w:color w:val="auto"/>
          <w:sz w:val="32"/>
          <w:highlight w:val="none"/>
          <w:lang w:val="en-US" w:eastAsia="zh-CN"/>
        </w:rPr>
        <w:t>五</w:t>
      </w:r>
      <w:r>
        <w:rPr>
          <w:rFonts w:ascii="仿宋" w:hAnsi="仿宋" w:eastAsia="仿宋" w:cs="仿宋"/>
          <w:b/>
          <w:color w:val="auto"/>
          <w:sz w:val="32"/>
          <w:highlight w:val="none"/>
        </w:rPr>
        <w:t>、技术规格偏离表格式</w:t>
      </w:r>
    </w:p>
    <w:p w14:paraId="11FC4EF4">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5AD77886">
      <w:pPr>
        <w:pBdr>
          <w:top w:val="none" w:color="000000" w:sz="0" w:space="0"/>
          <w:left w:val="none" w:color="000000" w:sz="0" w:space="0"/>
          <w:bottom w:val="none" w:color="000000" w:sz="0" w:space="0"/>
          <w:right w:val="none" w:color="000000" w:sz="0" w:space="0"/>
        </w:pBdr>
        <w:spacing w:before="0" w:after="0" w:line="411" w:lineRule="atLeast"/>
        <w:ind w:left="0" w:right="-213" w:firstLine="0"/>
        <w:jc w:val="center"/>
        <w:rPr>
          <w:color w:val="auto"/>
          <w:highlight w:val="none"/>
        </w:rPr>
      </w:pPr>
      <w:r>
        <w:rPr>
          <w:rFonts w:ascii="仿宋" w:hAnsi="仿宋" w:eastAsia="仿宋" w:cs="仿宋"/>
          <w:b/>
          <w:color w:val="auto"/>
          <w:sz w:val="36"/>
          <w:highlight w:val="none"/>
        </w:rPr>
        <w:t>技术条款偏离表</w:t>
      </w:r>
    </w:p>
    <w:p w14:paraId="4F641343">
      <w:pPr>
        <w:pBdr>
          <w:top w:val="none" w:color="000000" w:sz="0" w:space="0"/>
          <w:left w:val="none" w:color="000000" w:sz="0" w:space="0"/>
          <w:bottom w:val="none" w:color="000000" w:sz="0" w:space="0"/>
          <w:right w:val="none" w:color="000000" w:sz="0" w:space="0"/>
        </w:pBdr>
        <w:spacing w:before="0" w:after="0" w:line="298" w:lineRule="atLeast"/>
        <w:ind w:left="0" w:right="0" w:firstLine="0"/>
        <w:rPr>
          <w:color w:val="auto"/>
          <w:highlight w:val="none"/>
        </w:rPr>
      </w:pPr>
      <w:r>
        <w:rPr>
          <w:rFonts w:ascii="仿宋" w:hAnsi="仿宋" w:eastAsia="仿宋" w:cs="仿宋"/>
          <w:color w:val="auto"/>
          <w:sz w:val="22"/>
          <w:highlight w:val="none"/>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60"/>
        <w:gridCol w:w="1680"/>
        <w:gridCol w:w="1920"/>
        <w:gridCol w:w="3020"/>
        <w:gridCol w:w="1240"/>
      </w:tblGrid>
      <w:tr w14:paraId="656A75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0" w:hRule="atLeast"/>
        </w:trPr>
        <w:tc>
          <w:tcPr>
            <w:tcW w:w="2340" w:type="dxa"/>
            <w:gridSpan w:val="2"/>
            <w:tcBorders>
              <w:top w:val="nil"/>
              <w:left w:val="nil"/>
              <w:bottom w:val="nil"/>
              <w:right w:val="nil"/>
            </w:tcBorders>
            <w:noWrap w:val="0"/>
            <w:tcMar>
              <w:top w:w="0" w:type="dxa"/>
              <w:left w:w="0" w:type="dxa"/>
              <w:bottom w:w="0" w:type="dxa"/>
              <w:right w:w="0" w:type="dxa"/>
            </w:tcMar>
            <w:vAlign w:val="bottom"/>
          </w:tcPr>
          <w:p w14:paraId="4575CDC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color w:val="auto"/>
                <w:highlight w:val="none"/>
              </w:rPr>
            </w:pPr>
            <w:r>
              <w:rPr>
                <w:rFonts w:ascii="仿宋" w:hAnsi="仿宋" w:eastAsia="仿宋" w:cs="仿宋"/>
                <w:color w:val="auto"/>
                <w:sz w:val="21"/>
                <w:highlight w:val="none"/>
              </w:rPr>
              <w:t>项目名称：</w:t>
            </w:r>
          </w:p>
        </w:tc>
        <w:tc>
          <w:tcPr>
            <w:tcW w:w="1920" w:type="dxa"/>
            <w:tcBorders>
              <w:top w:val="nil"/>
              <w:left w:val="nil"/>
              <w:bottom w:val="nil"/>
              <w:right w:val="nil"/>
            </w:tcBorders>
            <w:noWrap w:val="0"/>
            <w:tcMar>
              <w:top w:w="0" w:type="dxa"/>
              <w:left w:w="0" w:type="dxa"/>
              <w:bottom w:w="0" w:type="dxa"/>
              <w:right w:w="0" w:type="dxa"/>
            </w:tcMar>
            <w:vAlign w:val="bottom"/>
          </w:tcPr>
          <w:p w14:paraId="5275028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2"/>
                <w:highlight w:val="none"/>
              </w:rPr>
              <w:t> </w:t>
            </w:r>
          </w:p>
        </w:tc>
        <w:tc>
          <w:tcPr>
            <w:tcW w:w="3020" w:type="dxa"/>
            <w:tcBorders>
              <w:top w:val="nil"/>
              <w:left w:val="nil"/>
              <w:bottom w:val="nil"/>
              <w:right w:val="nil"/>
            </w:tcBorders>
            <w:noWrap w:val="0"/>
            <w:tcMar>
              <w:top w:w="0" w:type="dxa"/>
              <w:left w:w="0" w:type="dxa"/>
              <w:bottom w:w="0" w:type="dxa"/>
              <w:right w:w="0" w:type="dxa"/>
            </w:tcMar>
            <w:vAlign w:val="bottom"/>
          </w:tcPr>
          <w:p w14:paraId="04E1C46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1140" w:right="0" w:firstLine="0"/>
              <w:jc w:val="both"/>
              <w:rPr>
                <w:color w:val="auto"/>
                <w:highlight w:val="none"/>
              </w:rPr>
            </w:pPr>
            <w:r>
              <w:rPr>
                <w:rFonts w:ascii="仿宋" w:hAnsi="仿宋" w:eastAsia="仿宋" w:cs="仿宋"/>
                <w:color w:val="auto"/>
                <w:sz w:val="21"/>
                <w:highlight w:val="none"/>
              </w:rPr>
              <w:t>项目编号：</w:t>
            </w:r>
          </w:p>
        </w:tc>
        <w:tc>
          <w:tcPr>
            <w:tcW w:w="1240" w:type="dxa"/>
            <w:tcBorders>
              <w:top w:val="nil"/>
              <w:left w:val="nil"/>
              <w:bottom w:val="nil"/>
              <w:right w:val="nil"/>
            </w:tcBorders>
            <w:noWrap w:val="0"/>
            <w:tcMar>
              <w:top w:w="0" w:type="dxa"/>
              <w:left w:w="0" w:type="dxa"/>
              <w:bottom w:w="0" w:type="dxa"/>
              <w:right w:w="0" w:type="dxa"/>
            </w:tcMar>
            <w:vAlign w:val="bottom"/>
          </w:tcPr>
          <w:p w14:paraId="7F7DACF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2"/>
                <w:highlight w:val="none"/>
              </w:rPr>
              <w:t> </w:t>
            </w:r>
          </w:p>
        </w:tc>
      </w:tr>
      <w:tr w14:paraId="4ADC90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660" w:type="dxa"/>
            <w:tcBorders>
              <w:top w:val="nil"/>
              <w:left w:val="nil"/>
              <w:bottom w:val="single" w:color="000000" w:sz="8" w:space="0"/>
              <w:right w:val="nil"/>
            </w:tcBorders>
            <w:noWrap w:val="0"/>
            <w:tcMar>
              <w:top w:w="0" w:type="dxa"/>
              <w:left w:w="0" w:type="dxa"/>
              <w:bottom w:w="0" w:type="dxa"/>
              <w:right w:w="0" w:type="dxa"/>
            </w:tcMar>
            <w:vAlign w:val="bottom"/>
          </w:tcPr>
          <w:p w14:paraId="0701889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680" w:type="dxa"/>
            <w:tcBorders>
              <w:top w:val="nil"/>
              <w:left w:val="nil"/>
              <w:bottom w:val="single" w:color="000000" w:sz="8" w:space="0"/>
              <w:right w:val="nil"/>
            </w:tcBorders>
            <w:noWrap w:val="0"/>
            <w:tcMar>
              <w:top w:w="0" w:type="dxa"/>
              <w:left w:w="0" w:type="dxa"/>
              <w:bottom w:w="0" w:type="dxa"/>
              <w:right w:w="0" w:type="dxa"/>
            </w:tcMar>
            <w:vAlign w:val="bottom"/>
          </w:tcPr>
          <w:p w14:paraId="6459502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920" w:type="dxa"/>
            <w:tcBorders>
              <w:top w:val="nil"/>
              <w:left w:val="nil"/>
              <w:bottom w:val="single" w:color="000000" w:sz="8" w:space="0"/>
              <w:right w:val="nil"/>
            </w:tcBorders>
            <w:noWrap w:val="0"/>
            <w:tcMar>
              <w:top w:w="0" w:type="dxa"/>
              <w:left w:w="0" w:type="dxa"/>
              <w:bottom w:w="0" w:type="dxa"/>
              <w:right w:w="0" w:type="dxa"/>
            </w:tcMar>
            <w:vAlign w:val="bottom"/>
          </w:tcPr>
          <w:p w14:paraId="6801F2C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3020" w:type="dxa"/>
            <w:tcBorders>
              <w:top w:val="nil"/>
              <w:left w:val="nil"/>
              <w:bottom w:val="single" w:color="000000" w:sz="8" w:space="0"/>
              <w:right w:val="nil"/>
            </w:tcBorders>
            <w:noWrap w:val="0"/>
            <w:tcMar>
              <w:top w:w="0" w:type="dxa"/>
              <w:left w:w="0" w:type="dxa"/>
              <w:bottom w:w="0" w:type="dxa"/>
              <w:right w:w="0" w:type="dxa"/>
            </w:tcMar>
            <w:vAlign w:val="bottom"/>
          </w:tcPr>
          <w:p w14:paraId="08287C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240" w:type="dxa"/>
            <w:tcBorders>
              <w:top w:val="nil"/>
              <w:left w:val="nil"/>
              <w:bottom w:val="single" w:color="000000" w:sz="8" w:space="0"/>
              <w:right w:val="nil"/>
            </w:tcBorders>
            <w:noWrap w:val="0"/>
            <w:tcMar>
              <w:top w:w="0" w:type="dxa"/>
              <w:left w:w="0" w:type="dxa"/>
              <w:bottom w:w="0" w:type="dxa"/>
              <w:right w:w="0" w:type="dxa"/>
            </w:tcMar>
            <w:vAlign w:val="bottom"/>
          </w:tcPr>
          <w:p w14:paraId="7FFF66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r>
      <w:tr w14:paraId="565F84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60" w:type="dxa"/>
            <w:tcBorders>
              <w:top w:val="nil"/>
              <w:left w:val="single" w:color="000000" w:sz="8" w:space="0"/>
              <w:bottom w:val="nil"/>
              <w:right w:val="single" w:color="000000" w:sz="8" w:space="0"/>
            </w:tcBorders>
            <w:noWrap w:val="0"/>
            <w:tcMar>
              <w:top w:w="0" w:type="dxa"/>
              <w:left w:w="0" w:type="dxa"/>
              <w:bottom w:w="0" w:type="dxa"/>
              <w:right w:w="0" w:type="dxa"/>
            </w:tcMar>
            <w:vAlign w:val="bottom"/>
          </w:tcPr>
          <w:p w14:paraId="4552B14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100" w:right="0" w:firstLine="0"/>
              <w:jc w:val="both"/>
              <w:rPr>
                <w:color w:val="auto"/>
                <w:highlight w:val="none"/>
              </w:rPr>
            </w:pPr>
            <w:r>
              <w:rPr>
                <w:rFonts w:ascii="仿宋" w:hAnsi="仿宋" w:eastAsia="仿宋" w:cs="仿宋"/>
                <w:b/>
                <w:color w:val="auto"/>
                <w:sz w:val="21"/>
                <w:highlight w:val="none"/>
              </w:rPr>
              <w:t>序号</w:t>
            </w:r>
          </w:p>
        </w:tc>
        <w:tc>
          <w:tcPr>
            <w:tcW w:w="1680" w:type="dxa"/>
            <w:tcBorders>
              <w:top w:val="nil"/>
              <w:left w:val="nil"/>
              <w:bottom w:val="nil"/>
              <w:right w:val="single" w:color="000000" w:sz="8" w:space="0"/>
            </w:tcBorders>
            <w:noWrap w:val="0"/>
            <w:tcMar>
              <w:top w:w="0" w:type="dxa"/>
              <w:left w:w="0" w:type="dxa"/>
              <w:bottom w:w="0" w:type="dxa"/>
              <w:right w:w="0" w:type="dxa"/>
            </w:tcMar>
            <w:vAlign w:val="bottom"/>
          </w:tcPr>
          <w:p w14:paraId="41C52C2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color w:val="auto"/>
                <w:highlight w:val="none"/>
              </w:rPr>
            </w:pPr>
            <w:r>
              <w:rPr>
                <w:rFonts w:ascii="仿宋" w:hAnsi="仿宋" w:eastAsia="仿宋" w:cs="仿宋"/>
                <w:b/>
                <w:color w:val="auto"/>
                <w:sz w:val="21"/>
                <w:highlight w:val="none"/>
              </w:rPr>
              <w:t>招标文件要求</w:t>
            </w:r>
          </w:p>
        </w:tc>
        <w:tc>
          <w:tcPr>
            <w:tcW w:w="1920" w:type="dxa"/>
            <w:tcBorders>
              <w:top w:val="nil"/>
              <w:left w:val="nil"/>
              <w:bottom w:val="nil"/>
              <w:right w:val="single" w:color="000000" w:sz="8" w:space="0"/>
            </w:tcBorders>
            <w:noWrap w:val="0"/>
            <w:tcMar>
              <w:top w:w="0" w:type="dxa"/>
              <w:left w:w="0" w:type="dxa"/>
              <w:bottom w:w="0" w:type="dxa"/>
              <w:right w:w="0" w:type="dxa"/>
            </w:tcMar>
            <w:vAlign w:val="bottom"/>
          </w:tcPr>
          <w:p w14:paraId="44DA9BD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320" w:right="0" w:firstLine="0"/>
              <w:jc w:val="both"/>
              <w:rPr>
                <w:color w:val="auto"/>
                <w:highlight w:val="none"/>
              </w:rPr>
            </w:pPr>
            <w:r>
              <w:rPr>
                <w:rFonts w:ascii="仿宋" w:hAnsi="仿宋" w:eastAsia="仿宋" w:cs="仿宋"/>
                <w:b/>
                <w:color w:val="auto"/>
                <w:sz w:val="21"/>
                <w:highlight w:val="none"/>
              </w:rPr>
              <w:t>招标要求规格</w:t>
            </w:r>
          </w:p>
        </w:tc>
        <w:tc>
          <w:tcPr>
            <w:tcW w:w="3020" w:type="dxa"/>
            <w:tcBorders>
              <w:top w:val="nil"/>
              <w:left w:val="nil"/>
              <w:bottom w:val="nil"/>
              <w:right w:val="single" w:color="000000" w:sz="8" w:space="0"/>
            </w:tcBorders>
            <w:noWrap w:val="0"/>
            <w:tcMar>
              <w:top w:w="0" w:type="dxa"/>
              <w:left w:w="0" w:type="dxa"/>
              <w:bottom w:w="0" w:type="dxa"/>
              <w:right w:w="0" w:type="dxa"/>
            </w:tcMar>
            <w:vAlign w:val="bottom"/>
          </w:tcPr>
          <w:p w14:paraId="380D4C4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1080" w:right="0" w:firstLine="0"/>
              <w:jc w:val="both"/>
              <w:rPr>
                <w:color w:val="auto"/>
                <w:highlight w:val="none"/>
              </w:rPr>
            </w:pPr>
            <w:r>
              <w:rPr>
                <w:rFonts w:ascii="仿宋" w:hAnsi="仿宋" w:eastAsia="仿宋" w:cs="仿宋"/>
                <w:b/>
                <w:color w:val="auto"/>
                <w:sz w:val="21"/>
                <w:highlight w:val="none"/>
              </w:rPr>
              <w:t>投标响应</w:t>
            </w:r>
          </w:p>
        </w:tc>
        <w:tc>
          <w:tcPr>
            <w:tcW w:w="1240" w:type="dxa"/>
            <w:tcBorders>
              <w:top w:val="nil"/>
              <w:left w:val="nil"/>
              <w:bottom w:val="nil"/>
              <w:right w:val="single" w:color="000000" w:sz="8" w:space="0"/>
            </w:tcBorders>
            <w:noWrap w:val="0"/>
            <w:tcMar>
              <w:top w:w="0" w:type="dxa"/>
              <w:left w:w="0" w:type="dxa"/>
              <w:bottom w:w="0" w:type="dxa"/>
              <w:right w:w="0" w:type="dxa"/>
            </w:tcMar>
            <w:vAlign w:val="bottom"/>
          </w:tcPr>
          <w:p w14:paraId="0B5D51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400" w:right="0" w:firstLine="0"/>
              <w:jc w:val="both"/>
              <w:rPr>
                <w:color w:val="auto"/>
                <w:highlight w:val="none"/>
              </w:rPr>
            </w:pPr>
            <w:r>
              <w:rPr>
                <w:rFonts w:ascii="仿宋" w:hAnsi="仿宋" w:eastAsia="仿宋" w:cs="仿宋"/>
                <w:b/>
                <w:color w:val="auto"/>
                <w:sz w:val="21"/>
                <w:highlight w:val="none"/>
              </w:rPr>
              <w:t>偏离</w:t>
            </w:r>
          </w:p>
        </w:tc>
      </w:tr>
      <w:tr w14:paraId="58BF96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152B6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7CE0ADE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6A7A5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AF55D6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2CF94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r>
      <w:tr w14:paraId="3FBD4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0ACA4D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1B16E4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F20201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101B08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7888298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6A89F2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01BAA75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48F1BC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091DF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87AB41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10BD2D8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430428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66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5F1857C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3EB9576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9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0FF72A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302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74F110D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4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BDD91B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bl>
    <w:p w14:paraId="2B16F785">
      <w:pPr>
        <w:pBdr>
          <w:top w:val="none" w:color="000000" w:sz="0" w:space="0"/>
          <w:left w:val="none" w:color="000000" w:sz="0" w:space="0"/>
          <w:bottom w:val="none" w:color="000000" w:sz="0" w:space="0"/>
          <w:right w:val="none" w:color="000000" w:sz="0" w:space="0"/>
        </w:pBdr>
        <w:spacing w:before="0" w:after="0" w:line="98" w:lineRule="atLeast"/>
        <w:ind w:left="0" w:right="0" w:firstLine="0"/>
        <w:rPr>
          <w:rFonts w:hint="default" w:ascii="仿宋" w:hAnsi="仿宋" w:eastAsia="仿宋" w:cs="仿宋"/>
          <w:color w:val="auto"/>
          <w:sz w:val="22"/>
          <w:highlight w:val="none"/>
          <w:lang w:val="en-US"/>
        </w:rPr>
      </w:pPr>
      <w:r>
        <w:rPr>
          <w:rFonts w:ascii="仿宋" w:hAnsi="仿宋" w:eastAsia="仿宋" w:cs="仿宋"/>
          <w:color w:val="auto"/>
          <w:sz w:val="22"/>
          <w:highlight w:val="none"/>
        </w:rPr>
        <w:t> </w:t>
      </w:r>
      <w:r>
        <w:rPr>
          <w:rFonts w:hint="default" w:ascii="仿宋" w:hAnsi="仿宋" w:eastAsia="仿宋" w:cs="仿宋"/>
          <w:color w:val="auto"/>
          <w:sz w:val="22"/>
          <w:highlight w:val="none"/>
          <w:lang w:val="en-US"/>
        </w:rPr>
        <w:t xml:space="preserve">  </w:t>
      </w:r>
    </w:p>
    <w:p w14:paraId="6D1EAF30">
      <w:pPr>
        <w:pBdr>
          <w:top w:val="none" w:color="000000" w:sz="0" w:space="0"/>
          <w:left w:val="none" w:color="000000" w:sz="0" w:space="0"/>
          <w:bottom w:val="none" w:color="000000" w:sz="0" w:space="0"/>
          <w:right w:val="none" w:color="000000" w:sz="0" w:space="0"/>
        </w:pBdr>
        <w:spacing w:before="0" w:after="0" w:line="98" w:lineRule="atLeast"/>
        <w:ind w:left="0" w:right="0" w:firstLine="440"/>
        <w:rPr>
          <w:rFonts w:ascii="仿宋" w:hAnsi="仿宋" w:eastAsia="仿宋" w:cs="仿宋"/>
          <w:color w:val="auto"/>
          <w:sz w:val="22"/>
          <w:highlight w:val="none"/>
        </w:rPr>
      </w:pPr>
      <w:r>
        <w:rPr>
          <w:rFonts w:ascii="仿宋" w:hAnsi="仿宋" w:eastAsia="仿宋" w:cs="仿宋"/>
          <w:color w:val="auto"/>
          <w:sz w:val="22"/>
          <w:highlight w:val="none"/>
        </w:rPr>
        <w:t>说明：</w:t>
      </w:r>
    </w:p>
    <w:p w14:paraId="6E2C374E">
      <w:pPr>
        <w:pBdr>
          <w:top w:val="none" w:color="000000" w:sz="0" w:space="0"/>
          <w:left w:val="none" w:color="000000" w:sz="0" w:space="0"/>
          <w:bottom w:val="none" w:color="000000" w:sz="0" w:space="0"/>
          <w:right w:val="none" w:color="000000" w:sz="0" w:space="0"/>
        </w:pBdr>
        <w:spacing w:before="0" w:after="0" w:line="239" w:lineRule="atLeast"/>
        <w:ind w:left="0" w:right="0" w:firstLine="440"/>
        <w:rPr>
          <w:rFonts w:hint="eastAsia" w:ascii="仿宋" w:hAnsi="仿宋" w:eastAsia="仿宋" w:cs="仿宋"/>
          <w:color w:val="auto"/>
          <w:sz w:val="22"/>
          <w:highlight w:val="none"/>
        </w:rPr>
      </w:pPr>
      <w:r>
        <w:rPr>
          <w:rFonts w:hint="eastAsia" w:ascii="仿宋" w:hAnsi="仿宋" w:eastAsia="仿宋" w:cs="仿宋"/>
          <w:color w:val="auto"/>
          <w:sz w:val="22"/>
          <w:highlight w:val="none"/>
        </w:rPr>
        <w:t>1</w:t>
      </w:r>
      <w:r>
        <w:rPr>
          <w:rFonts w:hint="default" w:ascii="仿宋" w:hAnsi="仿宋" w:eastAsia="仿宋" w:cs="仿宋"/>
          <w:color w:val="auto"/>
          <w:sz w:val="22"/>
          <w:highlight w:val="none"/>
          <w:lang w:val="en-US"/>
        </w:rPr>
        <w:t>.</w:t>
      </w:r>
      <w:r>
        <w:rPr>
          <w:rFonts w:hint="eastAsia" w:ascii="仿宋" w:hAnsi="仿宋" w:eastAsia="仿宋" w:cs="仿宋"/>
          <w:color w:val="auto"/>
          <w:sz w:val="22"/>
          <w:highlight w:val="none"/>
        </w:rPr>
        <w:t>如果行数不够，请自行增加。</w:t>
      </w:r>
    </w:p>
    <w:p w14:paraId="06ECCF3C">
      <w:pPr>
        <w:pBdr>
          <w:top w:val="none" w:color="000000" w:sz="0" w:space="0"/>
          <w:left w:val="none" w:color="000000" w:sz="0" w:space="0"/>
          <w:bottom w:val="none" w:color="000000" w:sz="0" w:space="0"/>
          <w:right w:val="none" w:color="000000" w:sz="0" w:space="0"/>
        </w:pBdr>
        <w:spacing w:before="0" w:after="0" w:line="239" w:lineRule="atLeast"/>
        <w:ind w:left="0" w:right="0" w:firstLine="440"/>
        <w:rPr>
          <w:rFonts w:hint="eastAsia" w:ascii="仿宋" w:hAnsi="仿宋" w:eastAsia="仿宋" w:cs="仿宋"/>
          <w:color w:val="auto"/>
          <w:sz w:val="22"/>
          <w:highlight w:val="none"/>
        </w:rPr>
      </w:pPr>
      <w:r>
        <w:rPr>
          <w:rFonts w:hint="eastAsia" w:ascii="仿宋" w:hAnsi="仿宋" w:eastAsia="仿宋" w:cs="仿宋"/>
          <w:color w:val="auto"/>
          <w:sz w:val="22"/>
          <w:highlight w:val="none"/>
        </w:rPr>
        <w:t>2</w:t>
      </w:r>
      <w:r>
        <w:rPr>
          <w:rFonts w:hint="default" w:ascii="仿宋" w:hAnsi="仿宋" w:eastAsia="仿宋" w:cs="仿宋"/>
          <w:color w:val="auto"/>
          <w:sz w:val="22"/>
          <w:highlight w:val="none"/>
          <w:lang w:val="en-US"/>
        </w:rPr>
        <w:t>.</w:t>
      </w:r>
      <w:r>
        <w:rPr>
          <w:rFonts w:hint="eastAsia" w:ascii="仿宋" w:hAnsi="仿宋" w:eastAsia="仿宋" w:cs="仿宋"/>
          <w:color w:val="auto"/>
          <w:sz w:val="22"/>
          <w:highlight w:val="none"/>
        </w:rPr>
        <w:t>投标人应逐一说明投标产品和服务响应，直接拷贝招标文件技术要求的按照无效投标处理；</w:t>
      </w:r>
    </w:p>
    <w:p w14:paraId="53DA8C2D">
      <w:pPr>
        <w:pBdr>
          <w:top w:val="none" w:color="000000" w:sz="0" w:space="0"/>
          <w:left w:val="none" w:color="000000" w:sz="0" w:space="0"/>
          <w:bottom w:val="none" w:color="000000" w:sz="0" w:space="0"/>
          <w:right w:val="none" w:color="000000" w:sz="0" w:space="0"/>
        </w:pBdr>
        <w:spacing w:before="0" w:after="0" w:line="239" w:lineRule="atLeast"/>
        <w:ind w:left="0" w:right="0" w:firstLine="440"/>
        <w:rPr>
          <w:color w:val="auto"/>
          <w:highlight w:val="none"/>
        </w:rPr>
      </w:pPr>
      <w:r>
        <w:rPr>
          <w:rFonts w:hint="eastAsia" w:ascii="仿宋" w:hAnsi="仿宋" w:eastAsia="仿宋" w:cs="仿宋"/>
          <w:color w:val="auto"/>
          <w:sz w:val="22"/>
          <w:highlight w:val="none"/>
        </w:rPr>
        <w:t>3</w:t>
      </w:r>
      <w:r>
        <w:rPr>
          <w:rFonts w:hint="default" w:ascii="仿宋" w:hAnsi="仿宋" w:eastAsia="仿宋" w:cs="仿宋"/>
          <w:color w:val="auto"/>
          <w:sz w:val="22"/>
          <w:highlight w:val="none"/>
          <w:lang w:val="en-US"/>
        </w:rPr>
        <w:t>.</w:t>
      </w:r>
      <w:r>
        <w:rPr>
          <w:rFonts w:hint="eastAsia" w:ascii="仿宋" w:hAnsi="仿宋" w:eastAsia="仿宋" w:cs="仿宋"/>
          <w:color w:val="auto"/>
          <w:sz w:val="22"/>
          <w:highlight w:val="none"/>
        </w:rPr>
        <w:t>招标要求规格必须严格按招标文件内容填写、不得更改，否则评标委员会有权拒绝其投标。</w:t>
      </w:r>
    </w:p>
    <w:p w14:paraId="66EC2038">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60BE822A">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7903D693">
      <w:pPr>
        <w:pBdr>
          <w:top w:val="none" w:color="000000" w:sz="0" w:space="0"/>
          <w:left w:val="none" w:color="000000" w:sz="0" w:space="0"/>
          <w:bottom w:val="none" w:color="000000" w:sz="0" w:space="0"/>
          <w:right w:val="none" w:color="000000" w:sz="0" w:space="0"/>
        </w:pBdr>
        <w:spacing w:before="0" w:after="0" w:line="239" w:lineRule="atLeast"/>
        <w:ind w:left="160" w:right="0" w:firstLine="0"/>
        <w:rPr>
          <w:color w:val="auto"/>
          <w:highlight w:val="none"/>
        </w:rPr>
      </w:pPr>
      <w:r>
        <w:rPr>
          <w:rFonts w:ascii="仿宋" w:hAnsi="仿宋" w:eastAsia="仿宋" w:cs="仿宋"/>
          <w:color w:val="auto"/>
          <w:sz w:val="22"/>
          <w:highlight w:val="none"/>
        </w:rPr>
        <w:t>投标单位（盖电子公章）：</w:t>
      </w:r>
    </w:p>
    <w:p w14:paraId="4D20F2AB">
      <w:pPr>
        <w:pBdr>
          <w:top w:val="none" w:color="000000" w:sz="0" w:space="0"/>
          <w:left w:val="none" w:color="000000" w:sz="0" w:space="0"/>
          <w:bottom w:val="none" w:color="000000" w:sz="0" w:space="0"/>
          <w:right w:val="none" w:color="000000" w:sz="0" w:space="0"/>
        </w:pBdr>
        <w:tabs>
          <w:tab w:val="left" w:pos="780"/>
        </w:tabs>
        <w:spacing w:before="240" w:after="240"/>
        <w:ind w:left="0" w:right="0" w:firstLine="0"/>
        <w:rPr>
          <w:rFonts w:ascii="宋体" w:hAnsi="宋体" w:eastAsia="宋体" w:cs="宋体"/>
          <w:color w:val="auto"/>
          <w:sz w:val="22"/>
          <w:highlight w:val="none"/>
        </w:rPr>
      </w:pPr>
      <w:r>
        <w:rPr>
          <w:rFonts w:ascii="宋体" w:hAnsi="宋体" w:eastAsia="宋体" w:cs="宋体"/>
          <w:color w:val="auto"/>
          <w:sz w:val="22"/>
          <w:highlight w:val="none"/>
        </w:rPr>
        <w:t> </w:t>
      </w:r>
    </w:p>
    <w:p w14:paraId="3E216354">
      <w:pPr>
        <w:rPr>
          <w:color w:val="auto"/>
          <w:highlight w:val="none"/>
        </w:rPr>
      </w:pPr>
      <w:r>
        <w:rPr>
          <w:rFonts w:ascii="宋体" w:hAnsi="宋体" w:eastAsia="宋体" w:cs="宋体"/>
          <w:color w:val="auto"/>
          <w:sz w:val="22"/>
          <w:highlight w:val="none"/>
        </w:rPr>
        <w:br w:type="page"/>
      </w:r>
    </w:p>
    <w:p w14:paraId="4C8C46E7">
      <w:pPr>
        <w:pBdr>
          <w:top w:val="none" w:color="000000" w:sz="0" w:space="0"/>
          <w:left w:val="none" w:color="000000" w:sz="0" w:space="0"/>
          <w:bottom w:val="none" w:color="000000" w:sz="0" w:space="0"/>
          <w:right w:val="none" w:color="000000" w:sz="0" w:space="0"/>
        </w:pBdr>
        <w:spacing w:before="0" w:after="0" w:line="366" w:lineRule="atLeast"/>
        <w:ind w:left="220" w:right="0" w:firstLine="0"/>
        <w:rPr>
          <w:color w:val="auto"/>
          <w:highlight w:val="none"/>
        </w:rPr>
      </w:pPr>
      <w:r>
        <w:rPr>
          <w:rFonts w:ascii="仿宋" w:hAnsi="仿宋" w:eastAsia="仿宋" w:cs="仿宋"/>
          <w:b/>
          <w:color w:val="auto"/>
          <w:sz w:val="32"/>
          <w:highlight w:val="none"/>
        </w:rPr>
        <w:t>附件</w:t>
      </w:r>
      <w:r>
        <w:rPr>
          <w:rFonts w:hint="eastAsia" w:ascii="仿宋" w:hAnsi="仿宋" w:eastAsia="仿宋" w:cs="仿宋"/>
          <w:b/>
          <w:color w:val="auto"/>
          <w:sz w:val="32"/>
          <w:highlight w:val="none"/>
          <w:lang w:val="en-US" w:eastAsia="zh-CN"/>
        </w:rPr>
        <w:t>六</w:t>
      </w:r>
      <w:r>
        <w:rPr>
          <w:rFonts w:ascii="仿宋" w:hAnsi="仿宋" w:eastAsia="仿宋" w:cs="仿宋"/>
          <w:b/>
          <w:color w:val="auto"/>
          <w:sz w:val="32"/>
          <w:highlight w:val="none"/>
        </w:rPr>
        <w:t>、商务条款偏离表格式</w:t>
      </w:r>
    </w:p>
    <w:p w14:paraId="43A5E965">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p>
    <w:p w14:paraId="3CECC1A3">
      <w:pPr>
        <w:pBdr>
          <w:top w:val="none" w:color="000000" w:sz="0" w:space="0"/>
          <w:left w:val="none" w:color="000000" w:sz="0" w:space="0"/>
          <w:bottom w:val="none" w:color="000000" w:sz="0" w:space="0"/>
          <w:right w:val="none" w:color="000000" w:sz="0" w:space="0"/>
        </w:pBdr>
        <w:spacing w:before="0" w:after="0" w:line="362" w:lineRule="atLeast"/>
        <w:ind w:left="0" w:right="0" w:firstLine="0"/>
        <w:rPr>
          <w:color w:val="auto"/>
          <w:highlight w:val="none"/>
        </w:rPr>
      </w:pPr>
      <w:r>
        <w:rPr>
          <w:rFonts w:ascii="仿宋" w:hAnsi="仿宋" w:eastAsia="仿宋" w:cs="仿宋"/>
          <w:color w:val="auto"/>
          <w:sz w:val="22"/>
          <w:highlight w:val="none"/>
        </w:rPr>
        <w:t> </w:t>
      </w:r>
    </w:p>
    <w:p w14:paraId="14EA63EA">
      <w:pPr>
        <w:pBdr>
          <w:top w:val="none" w:color="000000" w:sz="0" w:space="0"/>
          <w:left w:val="none" w:color="000000" w:sz="0" w:space="0"/>
          <w:bottom w:val="none" w:color="000000" w:sz="0" w:space="0"/>
          <w:right w:val="none" w:color="000000" w:sz="0" w:space="0"/>
        </w:pBdr>
        <w:spacing w:before="0" w:after="0" w:line="411" w:lineRule="atLeast"/>
        <w:ind w:left="0" w:right="-273" w:firstLine="0"/>
        <w:jc w:val="center"/>
        <w:rPr>
          <w:color w:val="auto"/>
          <w:highlight w:val="none"/>
        </w:rPr>
      </w:pPr>
      <w:r>
        <w:rPr>
          <w:rFonts w:ascii="仿宋" w:hAnsi="仿宋" w:eastAsia="仿宋" w:cs="仿宋"/>
          <w:b/>
          <w:color w:val="auto"/>
          <w:sz w:val="36"/>
          <w:highlight w:val="none"/>
        </w:rPr>
        <w:t>商务条款偏离表</w:t>
      </w:r>
    </w:p>
    <w:p w14:paraId="3332D4B9">
      <w:pPr>
        <w:pBdr>
          <w:top w:val="none" w:color="000000" w:sz="0" w:space="0"/>
          <w:left w:val="none" w:color="000000" w:sz="0" w:space="0"/>
          <w:bottom w:val="none" w:color="000000" w:sz="0" w:space="0"/>
          <w:right w:val="none" w:color="000000" w:sz="0" w:space="0"/>
        </w:pBdr>
        <w:spacing w:before="0" w:after="0" w:line="298" w:lineRule="atLeast"/>
        <w:ind w:left="0" w:right="0" w:firstLine="0"/>
        <w:rPr>
          <w:color w:val="auto"/>
          <w:highlight w:val="none"/>
        </w:rPr>
      </w:pPr>
      <w:r>
        <w:rPr>
          <w:rFonts w:ascii="仿宋" w:hAnsi="仿宋" w:eastAsia="仿宋" w:cs="仿宋"/>
          <w:color w:val="auto"/>
          <w:sz w:val="22"/>
          <w:highlight w:val="none"/>
        </w:rPr>
        <w:t> </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80"/>
        <w:gridCol w:w="1680"/>
        <w:gridCol w:w="2500"/>
        <w:gridCol w:w="3000"/>
        <w:gridCol w:w="1200"/>
      </w:tblGrid>
      <w:tr w14:paraId="16A7A8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0" w:hRule="atLeast"/>
        </w:trPr>
        <w:tc>
          <w:tcPr>
            <w:tcW w:w="4760" w:type="dxa"/>
            <w:gridSpan w:val="3"/>
            <w:tcBorders>
              <w:top w:val="nil"/>
              <w:left w:val="nil"/>
              <w:bottom w:val="nil"/>
              <w:right w:val="nil"/>
            </w:tcBorders>
            <w:noWrap w:val="0"/>
            <w:tcMar>
              <w:top w:w="0" w:type="dxa"/>
              <w:left w:w="0" w:type="dxa"/>
              <w:bottom w:w="0" w:type="dxa"/>
              <w:right w:w="0" w:type="dxa"/>
            </w:tcMar>
            <w:vAlign w:val="bottom"/>
          </w:tcPr>
          <w:p w14:paraId="04351B5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320" w:right="0" w:firstLine="0"/>
              <w:jc w:val="both"/>
              <w:rPr>
                <w:color w:val="auto"/>
                <w:highlight w:val="none"/>
              </w:rPr>
            </w:pPr>
            <w:r>
              <w:rPr>
                <w:rFonts w:ascii="仿宋" w:hAnsi="仿宋" w:eastAsia="仿宋" w:cs="仿宋"/>
                <w:color w:val="auto"/>
                <w:sz w:val="21"/>
                <w:highlight w:val="none"/>
              </w:rPr>
              <w:t>项目名称：</w:t>
            </w:r>
          </w:p>
        </w:tc>
        <w:tc>
          <w:tcPr>
            <w:tcW w:w="3000" w:type="dxa"/>
            <w:tcBorders>
              <w:top w:val="nil"/>
              <w:left w:val="nil"/>
              <w:bottom w:val="nil"/>
              <w:right w:val="nil"/>
            </w:tcBorders>
            <w:noWrap w:val="0"/>
            <w:tcMar>
              <w:top w:w="0" w:type="dxa"/>
              <w:left w:w="0" w:type="dxa"/>
              <w:bottom w:w="0" w:type="dxa"/>
              <w:right w:w="0" w:type="dxa"/>
            </w:tcMar>
            <w:vAlign w:val="bottom"/>
          </w:tcPr>
          <w:p w14:paraId="562F6AE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0" w:right="1014" w:firstLine="0"/>
              <w:jc w:val="right"/>
              <w:rPr>
                <w:color w:val="auto"/>
                <w:highlight w:val="none"/>
              </w:rPr>
            </w:pPr>
            <w:r>
              <w:rPr>
                <w:rFonts w:ascii="仿宋" w:hAnsi="仿宋" w:eastAsia="仿宋" w:cs="仿宋"/>
                <w:color w:val="auto"/>
                <w:sz w:val="21"/>
                <w:highlight w:val="none"/>
              </w:rPr>
              <w:t>项目编号：</w:t>
            </w:r>
          </w:p>
        </w:tc>
        <w:tc>
          <w:tcPr>
            <w:tcW w:w="1200" w:type="dxa"/>
            <w:tcBorders>
              <w:top w:val="nil"/>
              <w:left w:val="nil"/>
              <w:bottom w:val="nil"/>
              <w:right w:val="nil"/>
            </w:tcBorders>
            <w:noWrap w:val="0"/>
            <w:tcMar>
              <w:top w:w="0" w:type="dxa"/>
              <w:left w:w="0" w:type="dxa"/>
              <w:bottom w:w="0" w:type="dxa"/>
              <w:right w:w="0" w:type="dxa"/>
            </w:tcMar>
            <w:vAlign w:val="bottom"/>
          </w:tcPr>
          <w:p w14:paraId="49A9074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2"/>
                <w:highlight w:val="none"/>
              </w:rPr>
              <w:t> </w:t>
            </w:r>
          </w:p>
        </w:tc>
      </w:tr>
      <w:tr w14:paraId="7F4951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580" w:type="dxa"/>
            <w:tcBorders>
              <w:top w:val="nil"/>
              <w:left w:val="nil"/>
              <w:bottom w:val="single" w:color="000000" w:sz="8" w:space="0"/>
              <w:right w:val="nil"/>
            </w:tcBorders>
            <w:noWrap w:val="0"/>
            <w:tcMar>
              <w:top w:w="0" w:type="dxa"/>
              <w:left w:w="0" w:type="dxa"/>
              <w:bottom w:w="0" w:type="dxa"/>
              <w:right w:w="0" w:type="dxa"/>
            </w:tcMar>
            <w:vAlign w:val="bottom"/>
          </w:tcPr>
          <w:p w14:paraId="130E59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680" w:type="dxa"/>
            <w:tcBorders>
              <w:top w:val="nil"/>
              <w:left w:val="nil"/>
              <w:bottom w:val="single" w:color="000000" w:sz="8" w:space="0"/>
              <w:right w:val="nil"/>
            </w:tcBorders>
            <w:noWrap w:val="0"/>
            <w:tcMar>
              <w:top w:w="0" w:type="dxa"/>
              <w:left w:w="0" w:type="dxa"/>
              <w:bottom w:w="0" w:type="dxa"/>
              <w:right w:w="0" w:type="dxa"/>
            </w:tcMar>
            <w:vAlign w:val="bottom"/>
          </w:tcPr>
          <w:p w14:paraId="55FB543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2500" w:type="dxa"/>
            <w:tcBorders>
              <w:top w:val="nil"/>
              <w:left w:val="nil"/>
              <w:bottom w:val="single" w:color="000000" w:sz="8" w:space="0"/>
              <w:right w:val="nil"/>
            </w:tcBorders>
            <w:noWrap w:val="0"/>
            <w:tcMar>
              <w:top w:w="0" w:type="dxa"/>
              <w:left w:w="0" w:type="dxa"/>
              <w:bottom w:w="0" w:type="dxa"/>
              <w:right w:w="0" w:type="dxa"/>
            </w:tcMar>
            <w:vAlign w:val="bottom"/>
          </w:tcPr>
          <w:p w14:paraId="3853DDF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3000" w:type="dxa"/>
            <w:tcBorders>
              <w:top w:val="nil"/>
              <w:left w:val="nil"/>
              <w:bottom w:val="single" w:color="000000" w:sz="8" w:space="0"/>
              <w:right w:val="nil"/>
            </w:tcBorders>
            <w:noWrap w:val="0"/>
            <w:tcMar>
              <w:top w:w="0" w:type="dxa"/>
              <w:left w:w="0" w:type="dxa"/>
              <w:bottom w:w="0" w:type="dxa"/>
              <w:right w:w="0" w:type="dxa"/>
            </w:tcMar>
            <w:vAlign w:val="bottom"/>
          </w:tcPr>
          <w:p w14:paraId="2927FFF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200" w:type="dxa"/>
            <w:tcBorders>
              <w:top w:val="nil"/>
              <w:left w:val="nil"/>
              <w:bottom w:val="single" w:color="000000" w:sz="8" w:space="0"/>
              <w:right w:val="nil"/>
            </w:tcBorders>
            <w:noWrap w:val="0"/>
            <w:tcMar>
              <w:top w:w="0" w:type="dxa"/>
              <w:left w:w="0" w:type="dxa"/>
              <w:bottom w:w="0" w:type="dxa"/>
              <w:right w:w="0" w:type="dxa"/>
            </w:tcMar>
            <w:vAlign w:val="bottom"/>
          </w:tcPr>
          <w:p w14:paraId="437E34E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r>
      <w:tr w14:paraId="28AC08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7" w:hRule="atLeast"/>
        </w:trPr>
        <w:tc>
          <w:tcPr>
            <w:tcW w:w="580" w:type="dxa"/>
            <w:tcBorders>
              <w:top w:val="nil"/>
              <w:left w:val="single" w:color="000000" w:sz="8" w:space="0"/>
              <w:bottom w:val="nil"/>
              <w:right w:val="single" w:color="000000" w:sz="8" w:space="0"/>
            </w:tcBorders>
            <w:noWrap w:val="0"/>
            <w:tcMar>
              <w:top w:w="0" w:type="dxa"/>
              <w:left w:w="0" w:type="dxa"/>
              <w:bottom w:w="0" w:type="dxa"/>
              <w:right w:w="0" w:type="dxa"/>
            </w:tcMar>
            <w:vAlign w:val="bottom"/>
          </w:tcPr>
          <w:p w14:paraId="081F112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color w:val="auto"/>
                <w:highlight w:val="none"/>
              </w:rPr>
            </w:pPr>
            <w:r>
              <w:rPr>
                <w:rFonts w:ascii="仿宋" w:hAnsi="仿宋" w:eastAsia="仿宋" w:cs="仿宋"/>
                <w:b/>
                <w:color w:val="auto"/>
                <w:sz w:val="21"/>
                <w:highlight w:val="none"/>
              </w:rPr>
              <w:t>序号</w:t>
            </w:r>
          </w:p>
        </w:tc>
        <w:tc>
          <w:tcPr>
            <w:tcW w:w="1680" w:type="dxa"/>
            <w:tcBorders>
              <w:top w:val="nil"/>
              <w:left w:val="nil"/>
              <w:bottom w:val="nil"/>
              <w:right w:val="single" w:color="000000" w:sz="8" w:space="0"/>
            </w:tcBorders>
            <w:noWrap w:val="0"/>
            <w:tcMar>
              <w:top w:w="0" w:type="dxa"/>
              <w:left w:w="0" w:type="dxa"/>
              <w:bottom w:w="0" w:type="dxa"/>
              <w:right w:w="0" w:type="dxa"/>
            </w:tcMar>
            <w:vAlign w:val="bottom"/>
          </w:tcPr>
          <w:p w14:paraId="63B2765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color w:val="auto"/>
                <w:highlight w:val="none"/>
              </w:rPr>
            </w:pPr>
            <w:r>
              <w:rPr>
                <w:rFonts w:ascii="仿宋" w:hAnsi="仿宋" w:eastAsia="仿宋" w:cs="仿宋"/>
                <w:b/>
                <w:color w:val="auto"/>
                <w:sz w:val="21"/>
                <w:highlight w:val="none"/>
              </w:rPr>
              <w:t>招标文件条目号</w:t>
            </w:r>
          </w:p>
        </w:tc>
        <w:tc>
          <w:tcPr>
            <w:tcW w:w="2500" w:type="dxa"/>
            <w:tcBorders>
              <w:top w:val="nil"/>
              <w:left w:val="nil"/>
              <w:bottom w:val="nil"/>
              <w:right w:val="single" w:color="000000" w:sz="8" w:space="0"/>
            </w:tcBorders>
            <w:noWrap w:val="0"/>
            <w:tcMar>
              <w:top w:w="0" w:type="dxa"/>
              <w:left w:w="0" w:type="dxa"/>
              <w:bottom w:w="0" w:type="dxa"/>
              <w:right w:w="0" w:type="dxa"/>
            </w:tcMar>
            <w:vAlign w:val="bottom"/>
          </w:tcPr>
          <w:p w14:paraId="3936702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80" w:right="0" w:firstLine="0"/>
              <w:jc w:val="both"/>
              <w:rPr>
                <w:color w:val="auto"/>
                <w:highlight w:val="none"/>
              </w:rPr>
            </w:pPr>
            <w:r>
              <w:rPr>
                <w:rFonts w:ascii="仿宋" w:hAnsi="仿宋" w:eastAsia="仿宋" w:cs="仿宋"/>
                <w:b/>
                <w:color w:val="auto"/>
                <w:sz w:val="21"/>
                <w:highlight w:val="none"/>
              </w:rPr>
              <w:t>招标文件要求的商务条款</w:t>
            </w:r>
          </w:p>
        </w:tc>
        <w:tc>
          <w:tcPr>
            <w:tcW w:w="3000" w:type="dxa"/>
            <w:tcBorders>
              <w:top w:val="nil"/>
              <w:left w:val="nil"/>
              <w:bottom w:val="nil"/>
              <w:right w:val="single" w:color="000000" w:sz="8" w:space="0"/>
            </w:tcBorders>
            <w:noWrap w:val="0"/>
            <w:tcMar>
              <w:top w:w="0" w:type="dxa"/>
              <w:left w:w="0" w:type="dxa"/>
              <w:bottom w:w="0" w:type="dxa"/>
              <w:right w:w="0" w:type="dxa"/>
            </w:tcMar>
            <w:vAlign w:val="bottom"/>
          </w:tcPr>
          <w:p w14:paraId="29438BB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0" w:right="994" w:firstLine="0"/>
              <w:jc w:val="right"/>
              <w:rPr>
                <w:color w:val="auto"/>
                <w:highlight w:val="none"/>
              </w:rPr>
            </w:pPr>
            <w:r>
              <w:rPr>
                <w:rFonts w:ascii="仿宋" w:hAnsi="仿宋" w:eastAsia="仿宋" w:cs="仿宋"/>
                <w:b/>
                <w:color w:val="auto"/>
                <w:sz w:val="21"/>
                <w:highlight w:val="none"/>
              </w:rPr>
              <w:t>投标响应</w:t>
            </w:r>
          </w:p>
        </w:tc>
        <w:tc>
          <w:tcPr>
            <w:tcW w:w="1200" w:type="dxa"/>
            <w:tcBorders>
              <w:top w:val="nil"/>
              <w:left w:val="nil"/>
              <w:bottom w:val="nil"/>
              <w:right w:val="single" w:color="000000" w:sz="8" w:space="0"/>
            </w:tcBorders>
            <w:noWrap w:val="0"/>
            <w:tcMar>
              <w:top w:w="0" w:type="dxa"/>
              <w:left w:w="0" w:type="dxa"/>
              <w:bottom w:w="0" w:type="dxa"/>
              <w:right w:w="0" w:type="dxa"/>
            </w:tcMar>
            <w:vAlign w:val="bottom"/>
          </w:tcPr>
          <w:p w14:paraId="2BBCCC1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239" w:lineRule="atLeast"/>
              <w:ind w:left="360" w:right="0" w:firstLine="0"/>
              <w:jc w:val="both"/>
              <w:rPr>
                <w:color w:val="auto"/>
                <w:highlight w:val="none"/>
              </w:rPr>
            </w:pPr>
            <w:r>
              <w:rPr>
                <w:rFonts w:ascii="仿宋" w:hAnsi="仿宋" w:eastAsia="仿宋" w:cs="仿宋"/>
                <w:b/>
                <w:color w:val="auto"/>
                <w:sz w:val="21"/>
                <w:highlight w:val="none"/>
              </w:rPr>
              <w:t>偏离</w:t>
            </w:r>
          </w:p>
        </w:tc>
      </w:tr>
      <w:tr w14:paraId="221D2D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0"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17F08A1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158677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B781BE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210CE30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E43E55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11"/>
                <w:highlight w:val="none"/>
              </w:rPr>
              <w:t> </w:t>
            </w:r>
          </w:p>
        </w:tc>
      </w:tr>
      <w:tr w14:paraId="09A0EE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712A61D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CE094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3C79142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485198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09E9B5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21772C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61C0231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339BAB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4849DE6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3649EF8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18C13E6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33BB08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8" w:hRule="atLeast"/>
        </w:trPr>
        <w:tc>
          <w:tcPr>
            <w:tcW w:w="5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bottom"/>
          </w:tcPr>
          <w:p w14:paraId="24D9641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68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04D7C27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25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7FD53B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30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62B37B9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00" w:type="dxa"/>
            <w:tcBorders>
              <w:top w:val="nil"/>
              <w:left w:val="nil"/>
              <w:bottom w:val="single" w:color="000000" w:sz="8" w:space="0"/>
              <w:right w:val="single" w:color="000000" w:sz="8" w:space="0"/>
            </w:tcBorders>
            <w:noWrap w:val="0"/>
            <w:tcMar>
              <w:top w:w="0" w:type="dxa"/>
              <w:left w:w="0" w:type="dxa"/>
              <w:bottom w:w="0" w:type="dxa"/>
              <w:right w:w="0" w:type="dxa"/>
            </w:tcMar>
            <w:vAlign w:val="bottom"/>
          </w:tcPr>
          <w:p w14:paraId="5024EF8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bl>
    <w:p w14:paraId="0F8F1C53">
      <w:pPr>
        <w:pBdr>
          <w:top w:val="none" w:color="000000" w:sz="0" w:space="0"/>
          <w:left w:val="none" w:color="000000" w:sz="0" w:space="0"/>
          <w:bottom w:val="none" w:color="000000" w:sz="0" w:space="0"/>
          <w:right w:val="none" w:color="000000" w:sz="0" w:space="0"/>
        </w:pBdr>
        <w:spacing w:before="0" w:after="0" w:line="239" w:lineRule="atLeast"/>
        <w:ind w:left="220" w:right="0" w:firstLine="0"/>
        <w:rPr>
          <w:color w:val="auto"/>
          <w:highlight w:val="none"/>
        </w:rPr>
      </w:pPr>
      <w:r>
        <w:rPr>
          <w:rFonts w:ascii="仿宋" w:hAnsi="仿宋" w:eastAsia="仿宋" w:cs="仿宋"/>
          <w:color w:val="auto"/>
          <w:sz w:val="22"/>
          <w:highlight w:val="none"/>
        </w:rPr>
        <w:t>说明：如果行数不够，请自行增加。</w:t>
      </w:r>
    </w:p>
    <w:p w14:paraId="65499707">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16F5E506">
      <w:pPr>
        <w:pBdr>
          <w:top w:val="none" w:color="000000" w:sz="0" w:space="0"/>
          <w:left w:val="none" w:color="000000" w:sz="0" w:space="0"/>
          <w:bottom w:val="none" w:color="000000" w:sz="0" w:space="0"/>
          <w:right w:val="none" w:color="000000" w:sz="0" w:space="0"/>
        </w:pBdr>
        <w:spacing w:before="0" w:after="0" w:line="233" w:lineRule="atLeast"/>
        <w:ind w:left="0" w:right="0" w:firstLine="0"/>
        <w:rPr>
          <w:color w:val="auto"/>
          <w:highlight w:val="none"/>
        </w:rPr>
      </w:pPr>
      <w:r>
        <w:rPr>
          <w:rFonts w:ascii="仿宋" w:hAnsi="仿宋" w:eastAsia="仿宋" w:cs="仿宋"/>
          <w:color w:val="auto"/>
          <w:sz w:val="22"/>
          <w:highlight w:val="none"/>
        </w:rPr>
        <w:t> </w:t>
      </w:r>
    </w:p>
    <w:p w14:paraId="5E7AE7E8">
      <w:pPr>
        <w:pBdr>
          <w:top w:val="none" w:color="000000" w:sz="0" w:space="0"/>
          <w:left w:val="none" w:color="000000" w:sz="0" w:space="0"/>
          <w:bottom w:val="none" w:color="000000" w:sz="0" w:space="0"/>
          <w:right w:val="none" w:color="000000" w:sz="0" w:space="0"/>
        </w:pBdr>
        <w:spacing w:before="0" w:after="0" w:line="239" w:lineRule="atLeast"/>
        <w:ind w:left="220" w:right="0" w:firstLine="0"/>
        <w:rPr>
          <w:color w:val="auto"/>
          <w:highlight w:val="none"/>
        </w:rPr>
      </w:pPr>
      <w:r>
        <w:rPr>
          <w:rFonts w:ascii="仿宋" w:hAnsi="仿宋" w:eastAsia="仿宋" w:cs="仿宋"/>
          <w:color w:val="auto"/>
          <w:sz w:val="22"/>
          <w:highlight w:val="none"/>
        </w:rPr>
        <w:t>投标单位（盖电子公章）：</w:t>
      </w:r>
    </w:p>
    <w:p w14:paraId="4A889155">
      <w:pPr>
        <w:pBdr>
          <w:top w:val="none" w:color="000000" w:sz="0" w:space="0"/>
          <w:left w:val="none" w:color="000000" w:sz="0" w:space="0"/>
          <w:bottom w:val="none" w:color="000000" w:sz="0" w:space="0"/>
          <w:right w:val="none" w:color="000000" w:sz="0" w:space="0"/>
        </w:pBdr>
        <w:spacing w:before="0" w:after="0" w:line="20" w:lineRule="atLeast"/>
        <w:ind w:left="0" w:right="0" w:firstLine="0"/>
        <w:rPr>
          <w:color w:val="auto"/>
          <w:highlight w:val="none"/>
        </w:rPr>
      </w:pPr>
      <w:r>
        <w:rPr>
          <w:rFonts w:ascii="仿宋" w:hAnsi="仿宋" w:eastAsia="仿宋" w:cs="仿宋"/>
          <w:color w:val="auto"/>
          <w:sz w:val="22"/>
          <w:highlight w:val="none"/>
        </w:rPr>
        <w:t> </w:t>
      </w:r>
    </w:p>
    <w:p w14:paraId="49A20D0D">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4E823A33">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color w:val="auto"/>
          <w:highlight w:val="none"/>
        </w:rPr>
        <w:br w:type="page" w:clear="all"/>
      </w:r>
    </w:p>
    <w:p w14:paraId="3100BDF1">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u w:val="single"/>
        </w:rPr>
        <w:t> </w:t>
      </w:r>
    </w:p>
    <w:p w14:paraId="3CE9CE50">
      <w:pPr>
        <w:pBdr>
          <w:top w:val="none" w:color="000000" w:sz="0" w:space="0"/>
          <w:left w:val="none" w:color="000000" w:sz="0" w:space="0"/>
          <w:bottom w:val="none" w:color="000000" w:sz="0" w:space="0"/>
          <w:right w:val="none" w:color="000000" w:sz="0" w:space="0"/>
        </w:pBdr>
        <w:spacing w:before="0" w:after="0" w:line="366" w:lineRule="atLeast"/>
        <w:ind w:left="220" w:right="0" w:firstLine="0"/>
        <w:rPr>
          <w:color w:val="auto"/>
          <w:highlight w:val="none"/>
        </w:rPr>
      </w:pPr>
      <w:r>
        <w:rPr>
          <w:rFonts w:ascii="仿宋" w:hAnsi="仿宋" w:eastAsia="仿宋" w:cs="仿宋"/>
          <w:b/>
          <w:color w:val="auto"/>
          <w:sz w:val="32"/>
          <w:highlight w:val="none"/>
        </w:rPr>
        <w:t>附件</w:t>
      </w:r>
      <w:r>
        <w:rPr>
          <w:rFonts w:hint="eastAsia" w:ascii="仿宋" w:hAnsi="仿宋" w:eastAsia="仿宋" w:cs="仿宋"/>
          <w:b/>
          <w:color w:val="auto"/>
          <w:sz w:val="32"/>
          <w:highlight w:val="none"/>
          <w:lang w:val="en-US" w:eastAsia="zh-CN"/>
        </w:rPr>
        <w:t>七</w:t>
      </w:r>
      <w:r>
        <w:rPr>
          <w:rFonts w:ascii="仿宋" w:hAnsi="仿宋" w:eastAsia="仿宋" w:cs="仿宋"/>
          <w:b/>
          <w:color w:val="auto"/>
          <w:sz w:val="32"/>
          <w:highlight w:val="none"/>
        </w:rPr>
        <w:t>、类似业绩情况表</w:t>
      </w:r>
    </w:p>
    <w:p w14:paraId="596CC791">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 </w:t>
      </w:r>
    </w:p>
    <w:p w14:paraId="520EF543">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32"/>
          <w:highlight w:val="none"/>
        </w:rPr>
        <w:t>类似业绩情况表</w:t>
      </w:r>
    </w:p>
    <w:p w14:paraId="351A618B">
      <w:pPr>
        <w:pBdr>
          <w:top w:val="none" w:color="000000" w:sz="0" w:space="0"/>
          <w:left w:val="none" w:color="000000" w:sz="0" w:space="0"/>
          <w:bottom w:val="none" w:color="000000" w:sz="0" w:space="0"/>
          <w:right w:val="none" w:color="000000" w:sz="0" w:space="0"/>
        </w:pBdr>
        <w:spacing w:before="210" w:after="120"/>
        <w:ind w:left="420" w:right="0" w:firstLine="480"/>
        <w:rPr>
          <w:color w:val="auto"/>
          <w:highlight w:val="none"/>
        </w:rPr>
      </w:pPr>
      <w:r>
        <w:rPr>
          <w:rFonts w:ascii="仿宋" w:hAnsi="仿宋" w:eastAsia="仿宋" w:cs="仿宋"/>
          <w:color w:val="auto"/>
          <w:sz w:val="24"/>
          <w:highlight w:val="none"/>
        </w:rPr>
        <w:t>项目名称：项目编号：</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5"/>
        <w:gridCol w:w="1717"/>
        <w:gridCol w:w="1381"/>
        <w:gridCol w:w="1296"/>
        <w:gridCol w:w="1706"/>
        <w:gridCol w:w="1539"/>
        <w:gridCol w:w="981"/>
      </w:tblGrid>
      <w:tr w14:paraId="62F9F2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7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A37B2F">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序号</w:t>
            </w:r>
          </w:p>
        </w:tc>
        <w:tc>
          <w:tcPr>
            <w:tcW w:w="17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C5AD24">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项目名称</w:t>
            </w:r>
          </w:p>
        </w:tc>
        <w:tc>
          <w:tcPr>
            <w:tcW w:w="13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C02489">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业主单位</w:t>
            </w:r>
          </w:p>
        </w:tc>
        <w:tc>
          <w:tcPr>
            <w:tcW w:w="12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90EB9E">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项目规模</w:t>
            </w:r>
          </w:p>
        </w:tc>
        <w:tc>
          <w:tcPr>
            <w:tcW w:w="17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0DA5AC">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签约及服务时间</w:t>
            </w:r>
          </w:p>
        </w:tc>
        <w:tc>
          <w:tcPr>
            <w:tcW w:w="1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826525">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联系人及电话</w:t>
            </w:r>
          </w:p>
        </w:tc>
        <w:tc>
          <w:tcPr>
            <w:tcW w:w="9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A08283">
            <w:pPr>
              <w:keepNext w:val="0"/>
              <w:keepLines w:val="0"/>
              <w:suppressLineNumbers w:val="0"/>
              <w:pBdr>
                <w:top w:val="none" w:color="000000" w:sz="0" w:space="0"/>
                <w:left w:val="none" w:color="000000" w:sz="0" w:space="0"/>
                <w:bottom w:val="none" w:color="000000" w:sz="0" w:space="0"/>
                <w:right w:val="none" w:color="000000" w:sz="0" w:space="0"/>
              </w:pBdr>
              <w:spacing w:before="210" w:beforeAutospacing="0" w:after="0" w:afterAutospacing="0"/>
              <w:ind w:left="0" w:right="0" w:firstLine="0"/>
              <w:jc w:val="center"/>
              <w:rPr>
                <w:color w:val="auto"/>
                <w:highlight w:val="none"/>
              </w:rPr>
            </w:pPr>
            <w:r>
              <w:rPr>
                <w:rFonts w:ascii="仿宋" w:hAnsi="仿宋" w:eastAsia="仿宋" w:cs="仿宋"/>
                <w:b/>
                <w:color w:val="auto"/>
                <w:sz w:val="21"/>
                <w:highlight w:val="none"/>
              </w:rPr>
              <w:t>备注</w:t>
            </w:r>
          </w:p>
        </w:tc>
      </w:tr>
      <w:tr w14:paraId="458CE0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7BA2E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94CE4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A0D8D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03062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F0476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C6D41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892C8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29D735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3F93E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41DF6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09C84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562CC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3E697C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5B097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F694A9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2691F6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313E5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3F29B2">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B42ADF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28E16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11F9AF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F1131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FD071B">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7BEFAA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9B173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E549788">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10C214">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4BB5D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424485">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48CD0F">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D9945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651AE5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AACA9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3CCD5A">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AE25C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2ADA3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D1BDB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1EABE6">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E06E07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r w14:paraId="715888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E6A1910">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67F93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3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944611">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085E09">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7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BC891D">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15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16ABBFE">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c>
          <w:tcPr>
            <w:tcW w:w="9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D3C063">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highlight w:val="none"/>
              </w:rPr>
            </w:pPr>
            <w:r>
              <w:rPr>
                <w:rFonts w:ascii="仿宋" w:hAnsi="仿宋" w:eastAsia="仿宋" w:cs="仿宋"/>
                <w:color w:val="auto"/>
                <w:sz w:val="24"/>
                <w:highlight w:val="none"/>
              </w:rPr>
              <w:t> </w:t>
            </w:r>
          </w:p>
        </w:tc>
      </w:tr>
    </w:tbl>
    <w:p w14:paraId="7BC1B30E">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投标单位：</w:t>
      </w:r>
      <w:r>
        <w:rPr>
          <w:rFonts w:ascii="宋体" w:hAnsi="宋体" w:eastAsia="宋体" w:cs="宋体"/>
          <w:color w:val="auto"/>
          <w:sz w:val="22"/>
          <w:highlight w:val="none"/>
          <w:u w:val="single"/>
        </w:rPr>
        <w:t>           </w:t>
      </w:r>
      <w:r>
        <w:rPr>
          <w:rFonts w:ascii="仿宋" w:hAnsi="仿宋" w:eastAsia="仿宋" w:cs="仿宋"/>
          <w:color w:val="auto"/>
          <w:sz w:val="22"/>
          <w:highlight w:val="none"/>
        </w:rPr>
        <w:t>（盖电子公章）</w:t>
      </w:r>
    </w:p>
    <w:p w14:paraId="652BDDB6">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说明：</w:t>
      </w:r>
    </w:p>
    <w:p w14:paraId="4D50D244">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1、如果行数不够，请自行增加。</w:t>
      </w:r>
    </w:p>
    <w:p w14:paraId="791C056B">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2、所有业绩均需要提供有效的证明材料复印件（扫描件）。</w:t>
      </w:r>
    </w:p>
    <w:p w14:paraId="13841DC1">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 </w:t>
      </w:r>
    </w:p>
    <w:p w14:paraId="137D0553">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color w:val="auto"/>
          <w:highlight w:val="none"/>
        </w:rPr>
        <w:br w:type="page" w:clear="all"/>
      </w:r>
    </w:p>
    <w:p w14:paraId="4DACA9D5">
      <w:pPr>
        <w:pStyle w:val="17"/>
        <w:spacing w:before="71"/>
        <w:ind w:left="320"/>
        <w:outlineLvl w:val="0"/>
        <w:rPr>
          <w:rFonts w:ascii="仿宋" w:hAnsi="仿宋" w:eastAsia="仿宋"/>
          <w:b/>
          <w:color w:val="auto"/>
          <w:sz w:val="32"/>
          <w:szCs w:val="22"/>
          <w:highlight w:val="none"/>
        </w:rPr>
      </w:pPr>
    </w:p>
    <w:p w14:paraId="0620F0A9">
      <w:pPr>
        <w:spacing w:line="200" w:lineRule="exact"/>
        <w:rPr>
          <w:rFonts w:ascii="仿宋" w:hAnsi="仿宋" w:eastAsia="仿宋"/>
          <w:color w:val="auto"/>
          <w:highlight w:val="none"/>
        </w:rPr>
      </w:pPr>
    </w:p>
    <w:p w14:paraId="169B8E4A">
      <w:pPr>
        <w:spacing w:line="200" w:lineRule="exact"/>
        <w:rPr>
          <w:rFonts w:ascii="仿宋" w:hAnsi="仿宋" w:eastAsia="仿宋"/>
          <w:color w:val="auto"/>
          <w:highlight w:val="none"/>
        </w:rPr>
      </w:pPr>
    </w:p>
    <w:p w14:paraId="0CDEAB89">
      <w:pPr>
        <w:pBdr>
          <w:top w:val="none" w:color="000000" w:sz="0" w:space="0"/>
          <w:left w:val="none" w:color="000000" w:sz="0" w:space="0"/>
          <w:bottom w:val="none" w:color="000000" w:sz="0" w:space="0"/>
          <w:right w:val="none" w:color="000000" w:sz="0" w:space="0"/>
        </w:pBdr>
        <w:spacing w:before="0" w:after="0" w:line="366" w:lineRule="atLeast"/>
        <w:ind w:left="220" w:right="0" w:firstLine="0"/>
        <w:rPr>
          <w:color w:val="auto"/>
          <w:highlight w:val="none"/>
        </w:rPr>
      </w:pPr>
      <w:r>
        <w:rPr>
          <w:rFonts w:ascii="仿宋" w:hAnsi="仿宋" w:eastAsia="仿宋" w:cs="仿宋"/>
          <w:b/>
          <w:color w:val="auto"/>
          <w:sz w:val="32"/>
          <w:highlight w:val="none"/>
        </w:rPr>
        <w:t>附件</w:t>
      </w:r>
      <w:r>
        <w:rPr>
          <w:rFonts w:hint="eastAsia" w:ascii="仿宋" w:hAnsi="仿宋" w:eastAsia="仿宋" w:cs="仿宋"/>
          <w:b/>
          <w:color w:val="auto"/>
          <w:sz w:val="32"/>
          <w:highlight w:val="none"/>
          <w:lang w:val="en-US" w:eastAsia="zh-CN"/>
        </w:rPr>
        <w:t>八</w:t>
      </w:r>
      <w:r>
        <w:rPr>
          <w:rFonts w:ascii="仿宋" w:hAnsi="仿宋" w:eastAsia="仿宋" w:cs="仿宋"/>
          <w:b/>
          <w:color w:val="auto"/>
          <w:sz w:val="32"/>
          <w:highlight w:val="none"/>
        </w:rPr>
        <w:t>、实施方案</w:t>
      </w:r>
    </w:p>
    <w:p w14:paraId="73AF48C7">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07A989D8">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28"/>
          <w:highlight w:val="none"/>
        </w:rPr>
        <w:t>（项目名称）实施方案</w:t>
      </w:r>
    </w:p>
    <w:p w14:paraId="18D948CA">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28"/>
          <w:highlight w:val="none"/>
        </w:rPr>
        <w:t>（请投标人根据招标文件中相关要求自行编制）</w:t>
      </w:r>
    </w:p>
    <w:p w14:paraId="4DBFA503">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012EBED1">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18B7D5B2">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657B8481">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50240CA7">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78CFF45C">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2FEDE3D8">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2"/>
          <w:highlight w:val="none"/>
        </w:rPr>
        <w:t> </w:t>
      </w:r>
    </w:p>
    <w:p w14:paraId="591181FC">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color w:val="auto"/>
          <w:sz w:val="21"/>
          <w:highlight w:val="none"/>
        </w:rPr>
        <w:t> </w:t>
      </w:r>
    </w:p>
    <w:p w14:paraId="54EFE8AD">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2E736E3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Times New Roman" w:hAnsi="Times New Roman"/>
          <w:color w:val="auto"/>
          <w:highlight w:val="none"/>
        </w:rPr>
      </w:pPr>
      <w:r>
        <w:rPr>
          <w:rFonts w:ascii="仿宋" w:hAnsi="仿宋" w:eastAsia="仿宋" w:cs="仿宋"/>
          <w:b/>
          <w:color w:val="auto"/>
          <w:sz w:val="32"/>
          <w:highlight w:val="none"/>
        </w:rPr>
        <w:t>附件</w:t>
      </w:r>
      <w:r>
        <w:rPr>
          <w:rFonts w:hint="eastAsia" w:ascii="仿宋" w:hAnsi="仿宋" w:eastAsia="仿宋" w:cs="仿宋"/>
          <w:b/>
          <w:color w:val="auto"/>
          <w:sz w:val="32"/>
          <w:highlight w:val="none"/>
          <w:lang w:val="en-US" w:eastAsia="zh-CN"/>
        </w:rPr>
        <w:t>九</w:t>
      </w:r>
      <w:r>
        <w:rPr>
          <w:rFonts w:ascii="仿宋" w:hAnsi="仿宋" w:eastAsia="仿宋" w:cs="仿宋"/>
          <w:b/>
          <w:color w:val="auto"/>
          <w:sz w:val="32"/>
          <w:highlight w:val="none"/>
        </w:rPr>
        <w:t>、</w:t>
      </w:r>
      <w:r>
        <w:rPr>
          <w:rFonts w:hint="eastAsia" w:ascii="仿宋" w:hAnsi="仿宋" w:eastAsia="仿宋" w:cs="仿宋"/>
          <w:b/>
          <w:color w:val="auto"/>
          <w:sz w:val="32"/>
          <w:highlight w:val="none"/>
        </w:rPr>
        <w:t>资格</w:t>
      </w:r>
      <w:r>
        <w:rPr>
          <w:rFonts w:hint="eastAsia" w:ascii="仿宋" w:hAnsi="仿宋" w:eastAsia="仿宋" w:cs="仿宋"/>
          <w:b/>
          <w:color w:val="auto"/>
          <w:sz w:val="32"/>
          <w:highlight w:val="none"/>
          <w:lang w:val="en-US" w:eastAsia="zh-CN"/>
        </w:rPr>
        <w:t>证明文件（格式自拟）</w:t>
      </w:r>
    </w:p>
    <w:p w14:paraId="01264F30">
      <w:pPr>
        <w:pBdr>
          <w:top w:val="none" w:color="000000" w:sz="0" w:space="0"/>
          <w:left w:val="none" w:color="000000" w:sz="0" w:space="0"/>
          <w:bottom w:val="none" w:color="000000" w:sz="0" w:space="0"/>
          <w:right w:val="none" w:color="000000" w:sz="0" w:space="0"/>
        </w:pBdr>
        <w:spacing w:before="0" w:after="0"/>
        <w:ind w:left="0" w:right="0" w:firstLine="0"/>
        <w:jc w:val="right"/>
        <w:rPr>
          <w:rFonts w:ascii="Times New Roman" w:hAnsi="Times New Roman"/>
          <w:color w:val="auto"/>
          <w:highlight w:val="none"/>
        </w:rPr>
      </w:pPr>
      <w:r>
        <w:rPr>
          <w:rFonts w:ascii="Times New Roman" w:hAnsi="Times New Roman" w:eastAsia="仿宋" w:cs="仿宋"/>
          <w:color w:val="auto"/>
          <w:sz w:val="24"/>
          <w:highlight w:val="none"/>
        </w:rPr>
        <w:t> </w:t>
      </w:r>
    </w:p>
    <w:p w14:paraId="45153483">
      <w:pPr>
        <w:pBdr>
          <w:top w:val="none" w:color="000000" w:sz="0" w:space="0"/>
          <w:left w:val="none" w:color="000000" w:sz="0" w:space="0"/>
          <w:bottom w:val="none" w:color="000000" w:sz="0" w:space="0"/>
          <w:right w:val="none" w:color="000000" w:sz="0" w:space="0"/>
        </w:pBdr>
        <w:spacing w:before="0" w:after="0"/>
        <w:ind w:left="0" w:right="0" w:firstLine="0"/>
        <w:jc w:val="right"/>
        <w:rPr>
          <w:rFonts w:ascii="Times New Roman" w:hAnsi="Times New Roman"/>
          <w:color w:val="auto"/>
          <w:highlight w:val="none"/>
        </w:rPr>
      </w:pPr>
      <w:r>
        <w:rPr>
          <w:rFonts w:ascii="Times New Roman" w:hAnsi="Times New Roman" w:eastAsia="仿宋" w:cs="仿宋"/>
          <w:color w:val="auto"/>
          <w:sz w:val="24"/>
          <w:highlight w:val="none"/>
        </w:rPr>
        <w:t> </w:t>
      </w:r>
    </w:p>
    <w:p w14:paraId="4618F55E">
      <w:pPr>
        <w:rPr>
          <w:rFonts w:ascii="仿宋" w:hAnsi="仿宋" w:eastAsia="仿宋" w:cs="仿宋"/>
          <w:color w:val="auto"/>
          <w:sz w:val="22"/>
          <w:highlight w:val="none"/>
        </w:rPr>
      </w:pPr>
      <w:r>
        <w:rPr>
          <w:rFonts w:ascii="仿宋" w:hAnsi="仿宋" w:eastAsia="仿宋" w:cs="仿宋"/>
          <w:color w:val="auto"/>
          <w:sz w:val="22"/>
          <w:highlight w:val="none"/>
        </w:rPr>
        <w:br w:type="page"/>
      </w:r>
    </w:p>
    <w:p w14:paraId="0845B8D9">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 </w:t>
      </w:r>
    </w:p>
    <w:p w14:paraId="329FD0ED">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b/>
          <w:color w:val="auto"/>
          <w:sz w:val="32"/>
          <w:highlight w:val="none"/>
        </w:rPr>
        <w:t>附件十、企业声明函格式</w:t>
      </w:r>
    </w:p>
    <w:p w14:paraId="1863A815">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5B3B3625">
      <w:pPr>
        <w:spacing w:line="360" w:lineRule="auto"/>
        <w:jc w:val="center"/>
        <w:rPr>
          <w:rFonts w:hint="eastAsia" w:ascii="仿宋" w:hAnsi="仿宋" w:eastAsia="仿宋" w:cs="仿宋"/>
          <w:b/>
          <w:bCs/>
          <w:color w:val="auto"/>
          <w:sz w:val="22"/>
          <w:szCs w:val="22"/>
          <w:highlight w:val="none"/>
        </w:rPr>
      </w:pPr>
      <w:bookmarkStart w:id="78" w:name="bookmark34"/>
      <w:bookmarkStart w:id="79" w:name="bookmark32"/>
      <w:bookmarkStart w:id="80" w:name="bookmark33"/>
    </w:p>
    <w:p w14:paraId="33171CEB">
      <w:pPr>
        <w:spacing w:line="360" w:lineRule="auto"/>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中小企业声明函（服务）</w:t>
      </w:r>
      <w:bookmarkEnd w:id="78"/>
      <w:bookmarkEnd w:id="79"/>
      <w:bookmarkEnd w:id="80"/>
    </w:p>
    <w:p w14:paraId="77B836F9">
      <w:pPr>
        <w:spacing w:line="382" w:lineRule="exact"/>
        <w:ind w:left="160" w:right="466" w:firstLine="420"/>
        <w:rPr>
          <w:rFonts w:ascii="仿宋" w:hAnsi="仿宋" w:eastAsia="仿宋"/>
          <w:color w:val="auto"/>
          <w:sz w:val="22"/>
          <w:szCs w:val="22"/>
          <w:highlight w:val="none"/>
        </w:rPr>
      </w:pPr>
      <w:r>
        <w:rPr>
          <w:rFonts w:hint="eastAsia" w:ascii="仿宋" w:hAnsi="仿宋" w:eastAsia="仿宋"/>
          <w:color w:val="auto"/>
          <w:sz w:val="22"/>
          <w:szCs w:val="22"/>
          <w:highlight w:val="none"/>
        </w:rPr>
        <w:t>本公司（联合体）郑重声明，根据《政府采购促进中小企业发展管理办法》（财库﹝</w:t>
      </w:r>
      <w:r>
        <w:rPr>
          <w:rFonts w:ascii="仿宋" w:hAnsi="仿宋" w:eastAsia="仿宋"/>
          <w:color w:val="auto"/>
          <w:sz w:val="22"/>
          <w:szCs w:val="22"/>
          <w:highlight w:val="none"/>
        </w:rPr>
        <w:t>2020</w:t>
      </w:r>
      <w:r>
        <w:rPr>
          <w:rFonts w:hint="eastAsia" w:ascii="仿宋" w:hAnsi="仿宋" w:eastAsia="仿宋"/>
          <w:color w:val="auto"/>
          <w:sz w:val="22"/>
          <w:szCs w:val="22"/>
          <w:highlight w:val="none"/>
        </w:rPr>
        <w:t>﹞</w:t>
      </w:r>
      <w:r>
        <w:rPr>
          <w:rFonts w:ascii="仿宋" w:hAnsi="仿宋" w:eastAsia="仿宋"/>
          <w:color w:val="auto"/>
          <w:sz w:val="22"/>
          <w:szCs w:val="22"/>
          <w:highlight w:val="none"/>
        </w:rPr>
        <w:t xml:space="preserve">46 </w:t>
      </w:r>
      <w:r>
        <w:rPr>
          <w:rFonts w:hint="eastAsia" w:ascii="仿宋" w:hAnsi="仿宋" w:eastAsia="仿宋"/>
          <w:color w:val="auto"/>
          <w:sz w:val="22"/>
          <w:szCs w:val="22"/>
          <w:highlight w:val="none"/>
        </w:rPr>
        <w:t>号）的规定，本公司（联合体）参加</w:t>
      </w:r>
      <w:r>
        <w:rPr>
          <w:rFonts w:hint="eastAsia" w:ascii="仿宋" w:hAnsi="仿宋" w:eastAsia="仿宋"/>
          <w:color w:val="auto"/>
          <w:sz w:val="22"/>
          <w:szCs w:val="22"/>
          <w:highlight w:val="none"/>
          <w:u w:val="single"/>
        </w:rPr>
        <w:t>（单位名称）</w:t>
      </w:r>
      <w:r>
        <w:rPr>
          <w:rFonts w:hint="eastAsia" w:ascii="仿宋" w:hAnsi="仿宋" w:eastAsia="仿宋"/>
          <w:color w:val="auto"/>
          <w:sz w:val="22"/>
          <w:szCs w:val="22"/>
          <w:highlight w:val="none"/>
        </w:rPr>
        <w:t>的</w:t>
      </w:r>
      <w:r>
        <w:rPr>
          <w:rFonts w:hint="eastAsia" w:ascii="仿宋" w:hAnsi="仿宋" w:eastAsia="仿宋"/>
          <w:color w:val="auto"/>
          <w:sz w:val="22"/>
          <w:szCs w:val="22"/>
          <w:highlight w:val="none"/>
          <w:u w:val="single"/>
        </w:rPr>
        <w:t>（项目名称）</w:t>
      </w:r>
      <w:r>
        <w:rPr>
          <w:rFonts w:hint="eastAsia" w:ascii="仿宋" w:hAnsi="仿宋" w:eastAsia="仿宋"/>
          <w:color w:val="auto"/>
          <w:sz w:val="22"/>
          <w:szCs w:val="22"/>
          <w:highlight w:val="none"/>
        </w:rPr>
        <w:t>采购活动，服务全部由符合政策要求的中小企业承接。相关企业（含联合体中的中小企业、签订分包意向协议的中小企业）的具体情况如下：</w:t>
      </w:r>
    </w:p>
    <w:p w14:paraId="3AE3D87A">
      <w:pPr>
        <w:spacing w:line="382" w:lineRule="exact"/>
        <w:ind w:left="160" w:right="466" w:firstLine="420"/>
        <w:rPr>
          <w:rFonts w:ascii="仿宋" w:hAnsi="仿宋" w:eastAsia="仿宋"/>
          <w:color w:val="auto"/>
          <w:sz w:val="22"/>
          <w:szCs w:val="22"/>
          <w:highlight w:val="none"/>
        </w:rPr>
      </w:pPr>
      <w:r>
        <w:rPr>
          <w:rFonts w:ascii="仿宋" w:hAnsi="仿宋" w:eastAsia="仿宋"/>
          <w:color w:val="auto"/>
          <w:sz w:val="22"/>
          <w:szCs w:val="22"/>
          <w:highlight w:val="none"/>
        </w:rPr>
        <w:t xml:space="preserve">1. </w:t>
      </w:r>
      <w:r>
        <w:rPr>
          <w:rFonts w:hint="eastAsia" w:ascii="仿宋" w:hAnsi="仿宋" w:eastAsia="仿宋"/>
          <w:color w:val="auto"/>
          <w:sz w:val="22"/>
          <w:szCs w:val="22"/>
          <w:highlight w:val="none"/>
          <w:u w:val="single"/>
        </w:rPr>
        <w:t>（标的名称）</w:t>
      </w:r>
      <w:r>
        <w:rPr>
          <w:rFonts w:hint="eastAsia" w:ascii="仿宋" w:hAnsi="仿宋" w:eastAsia="仿宋"/>
          <w:color w:val="auto"/>
          <w:sz w:val="22"/>
          <w:szCs w:val="22"/>
          <w:highlight w:val="none"/>
        </w:rPr>
        <w:t>，属于</w:t>
      </w:r>
      <w:r>
        <w:rPr>
          <w:rFonts w:hint="eastAsia" w:ascii="仿宋" w:hAnsi="仿宋" w:eastAsia="仿宋"/>
          <w:color w:val="auto"/>
          <w:sz w:val="22"/>
          <w:szCs w:val="22"/>
          <w:highlight w:val="none"/>
          <w:u w:val="single"/>
        </w:rPr>
        <w:t>（采购文件中明确的所属行业）</w:t>
      </w:r>
      <w:r>
        <w:rPr>
          <w:rFonts w:hint="eastAsia" w:ascii="仿宋" w:hAnsi="仿宋" w:eastAsia="仿宋"/>
          <w:color w:val="auto"/>
          <w:sz w:val="22"/>
          <w:szCs w:val="22"/>
          <w:highlight w:val="none"/>
        </w:rPr>
        <w:t>；</w:t>
      </w:r>
      <w:r>
        <w:rPr>
          <w:rFonts w:ascii="仿宋" w:hAnsi="仿宋" w:eastAsia="仿宋"/>
          <w:color w:val="auto"/>
          <w:sz w:val="22"/>
          <w:szCs w:val="22"/>
          <w:highlight w:val="none"/>
        </w:rPr>
        <w:t xml:space="preserve"> </w:t>
      </w:r>
      <w:r>
        <w:rPr>
          <w:rFonts w:hint="eastAsia" w:ascii="仿宋" w:hAnsi="仿宋" w:eastAsia="仿宋"/>
          <w:color w:val="auto"/>
          <w:sz w:val="22"/>
          <w:szCs w:val="22"/>
          <w:highlight w:val="none"/>
        </w:rPr>
        <w:t>承建（承接）企业为</w:t>
      </w:r>
      <w:r>
        <w:rPr>
          <w:rFonts w:hint="eastAsia" w:ascii="仿宋" w:hAnsi="仿宋" w:eastAsia="仿宋"/>
          <w:color w:val="auto"/>
          <w:sz w:val="22"/>
          <w:szCs w:val="22"/>
          <w:highlight w:val="none"/>
          <w:u w:val="single"/>
        </w:rPr>
        <w:t>（企业名称）</w:t>
      </w:r>
      <w:r>
        <w:rPr>
          <w:rFonts w:hint="eastAsia" w:ascii="仿宋" w:hAnsi="仿宋" w:eastAsia="仿宋"/>
          <w:color w:val="auto"/>
          <w:sz w:val="22"/>
          <w:szCs w:val="22"/>
          <w:highlight w:val="none"/>
        </w:rPr>
        <w:t>，从业人员</w:t>
      </w:r>
      <w:r>
        <w:rPr>
          <w:rFonts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rPr>
        <w:t>人，营业收入为</w:t>
      </w:r>
      <w:r>
        <w:rPr>
          <w:rFonts w:hint="eastAsia"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rPr>
        <w:t>万元，资产总额为</w:t>
      </w:r>
      <w:r>
        <w:rPr>
          <w:rFonts w:hint="eastAsia"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rPr>
        <w:t>万元【1】，属于</w:t>
      </w:r>
      <w:r>
        <w:rPr>
          <w:rFonts w:hint="eastAsia" w:ascii="仿宋" w:hAnsi="仿宋" w:eastAsia="仿宋"/>
          <w:color w:val="auto"/>
          <w:sz w:val="22"/>
          <w:szCs w:val="22"/>
          <w:highlight w:val="none"/>
          <w:u w:val="single"/>
        </w:rPr>
        <w:t>（中型企业、</w:t>
      </w:r>
      <w:r>
        <w:rPr>
          <w:rFonts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u w:val="single"/>
        </w:rPr>
        <w:t>小型企业、微型企业）；</w:t>
      </w:r>
    </w:p>
    <w:p w14:paraId="09D27BA9">
      <w:pPr>
        <w:spacing w:line="382" w:lineRule="exact"/>
        <w:ind w:left="160" w:right="466" w:firstLine="420"/>
        <w:rPr>
          <w:rFonts w:ascii="仿宋" w:hAnsi="仿宋" w:eastAsia="仿宋"/>
          <w:color w:val="auto"/>
          <w:sz w:val="22"/>
          <w:szCs w:val="22"/>
          <w:highlight w:val="none"/>
        </w:rPr>
      </w:pPr>
      <w:r>
        <w:rPr>
          <w:rFonts w:ascii="仿宋" w:hAnsi="仿宋" w:eastAsia="仿宋"/>
          <w:color w:val="auto"/>
          <w:sz w:val="22"/>
          <w:szCs w:val="22"/>
          <w:highlight w:val="none"/>
        </w:rPr>
        <w:t xml:space="preserve">2. </w:t>
      </w:r>
      <w:r>
        <w:rPr>
          <w:rFonts w:hint="eastAsia" w:ascii="仿宋" w:hAnsi="仿宋" w:eastAsia="仿宋"/>
          <w:color w:val="auto"/>
          <w:sz w:val="22"/>
          <w:szCs w:val="22"/>
          <w:highlight w:val="none"/>
          <w:u w:val="single"/>
        </w:rPr>
        <w:t>（标的名称）</w:t>
      </w:r>
      <w:r>
        <w:rPr>
          <w:rFonts w:hint="eastAsia" w:ascii="仿宋" w:hAnsi="仿宋" w:eastAsia="仿宋"/>
          <w:color w:val="auto"/>
          <w:sz w:val="22"/>
          <w:szCs w:val="22"/>
          <w:highlight w:val="none"/>
        </w:rPr>
        <w:t>，属于</w:t>
      </w:r>
      <w:r>
        <w:rPr>
          <w:rFonts w:hint="eastAsia" w:ascii="仿宋" w:hAnsi="仿宋" w:eastAsia="仿宋"/>
          <w:color w:val="auto"/>
          <w:sz w:val="22"/>
          <w:szCs w:val="22"/>
          <w:highlight w:val="none"/>
          <w:u w:val="single"/>
        </w:rPr>
        <w:t>（采购文件中明确的所属行业）</w:t>
      </w:r>
      <w:r>
        <w:rPr>
          <w:rFonts w:hint="eastAsia" w:ascii="仿宋" w:hAnsi="仿宋" w:eastAsia="仿宋"/>
          <w:color w:val="auto"/>
          <w:sz w:val="22"/>
          <w:szCs w:val="22"/>
          <w:highlight w:val="none"/>
        </w:rPr>
        <w:t>；</w:t>
      </w:r>
      <w:r>
        <w:rPr>
          <w:rFonts w:ascii="仿宋" w:hAnsi="仿宋" w:eastAsia="仿宋"/>
          <w:color w:val="auto"/>
          <w:sz w:val="22"/>
          <w:szCs w:val="22"/>
          <w:highlight w:val="none"/>
        </w:rPr>
        <w:t xml:space="preserve"> </w:t>
      </w:r>
      <w:r>
        <w:rPr>
          <w:rFonts w:hint="eastAsia" w:ascii="仿宋" w:hAnsi="仿宋" w:eastAsia="仿宋"/>
          <w:color w:val="auto"/>
          <w:sz w:val="22"/>
          <w:szCs w:val="22"/>
          <w:highlight w:val="none"/>
        </w:rPr>
        <w:t>承建（承接）企业为</w:t>
      </w:r>
      <w:r>
        <w:rPr>
          <w:rFonts w:hint="eastAsia" w:ascii="仿宋" w:hAnsi="仿宋" w:eastAsia="仿宋"/>
          <w:color w:val="auto"/>
          <w:sz w:val="22"/>
          <w:szCs w:val="22"/>
          <w:highlight w:val="none"/>
          <w:u w:val="single"/>
        </w:rPr>
        <w:t>（企业名称）</w:t>
      </w:r>
      <w:r>
        <w:rPr>
          <w:rFonts w:hint="eastAsia" w:ascii="仿宋" w:hAnsi="仿宋" w:eastAsia="仿宋"/>
          <w:color w:val="auto"/>
          <w:sz w:val="22"/>
          <w:szCs w:val="22"/>
          <w:highlight w:val="none"/>
        </w:rPr>
        <w:t>，从业人员</w:t>
      </w:r>
      <w:r>
        <w:rPr>
          <w:rFonts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rPr>
        <w:t>人，营业收入为</w:t>
      </w:r>
      <w:r>
        <w:rPr>
          <w:rFonts w:hint="eastAsia" w:ascii="仿宋" w:hAnsi="仿宋" w:eastAsia="仿宋"/>
          <w:color w:val="auto"/>
          <w:sz w:val="22"/>
          <w:szCs w:val="22"/>
          <w:highlight w:val="none"/>
          <w:u w:val="single"/>
        </w:rPr>
        <w:t xml:space="preserve">        </w:t>
      </w:r>
      <w:r>
        <w:rPr>
          <w:rFonts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rPr>
        <w:t>万元，资产总额为</w:t>
      </w:r>
      <w:r>
        <w:rPr>
          <w:rFonts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rPr>
        <w:t>万元，属于</w:t>
      </w:r>
      <w:r>
        <w:rPr>
          <w:rFonts w:hint="eastAsia" w:ascii="仿宋" w:hAnsi="仿宋" w:eastAsia="仿宋"/>
          <w:color w:val="auto"/>
          <w:sz w:val="22"/>
          <w:szCs w:val="22"/>
          <w:highlight w:val="none"/>
          <w:u w:val="single"/>
        </w:rPr>
        <w:t>（中型企业、</w:t>
      </w:r>
      <w:r>
        <w:rPr>
          <w:rFonts w:ascii="仿宋" w:hAnsi="仿宋" w:eastAsia="仿宋"/>
          <w:color w:val="auto"/>
          <w:sz w:val="22"/>
          <w:szCs w:val="22"/>
          <w:highlight w:val="none"/>
          <w:u w:val="single"/>
        </w:rPr>
        <w:t xml:space="preserve"> </w:t>
      </w:r>
      <w:r>
        <w:rPr>
          <w:rFonts w:hint="eastAsia" w:ascii="仿宋" w:hAnsi="仿宋" w:eastAsia="仿宋"/>
          <w:color w:val="auto"/>
          <w:sz w:val="22"/>
          <w:szCs w:val="22"/>
          <w:highlight w:val="none"/>
          <w:u w:val="single"/>
        </w:rPr>
        <w:t>小型企业、微型企业）；</w:t>
      </w:r>
    </w:p>
    <w:p w14:paraId="688D2F89">
      <w:pPr>
        <w:spacing w:line="382" w:lineRule="exact"/>
        <w:ind w:left="160" w:right="466" w:firstLine="420"/>
        <w:rPr>
          <w:rFonts w:ascii="仿宋" w:hAnsi="仿宋" w:eastAsia="仿宋"/>
          <w:color w:val="auto"/>
          <w:sz w:val="22"/>
          <w:szCs w:val="22"/>
          <w:highlight w:val="none"/>
        </w:rPr>
      </w:pPr>
      <w:r>
        <w:rPr>
          <w:rFonts w:hint="eastAsia" w:ascii="仿宋" w:hAnsi="仿宋" w:eastAsia="仿宋"/>
          <w:color w:val="auto"/>
          <w:sz w:val="22"/>
          <w:szCs w:val="22"/>
          <w:highlight w:val="none"/>
        </w:rPr>
        <w:t>……</w:t>
      </w:r>
    </w:p>
    <w:p w14:paraId="33E4C479">
      <w:pPr>
        <w:spacing w:line="382" w:lineRule="exact"/>
        <w:ind w:left="160" w:right="466" w:firstLine="420"/>
        <w:rPr>
          <w:rFonts w:ascii="仿宋" w:hAnsi="仿宋" w:eastAsia="仿宋"/>
          <w:color w:val="auto"/>
          <w:sz w:val="22"/>
          <w:szCs w:val="22"/>
          <w:highlight w:val="none"/>
        </w:rPr>
      </w:pPr>
      <w:r>
        <w:rPr>
          <w:rFonts w:hint="eastAsia" w:ascii="仿宋" w:hAnsi="仿宋" w:eastAsia="仿宋"/>
          <w:color w:val="auto"/>
          <w:sz w:val="22"/>
          <w:szCs w:val="22"/>
          <w:highlight w:val="none"/>
        </w:rPr>
        <w:t>以上企业，不属于大企业的分支机构，不存在控股股东为大企业的情形，也不存在与大企业的负责人为同一人的情形。</w:t>
      </w:r>
    </w:p>
    <w:p w14:paraId="56376842">
      <w:pPr>
        <w:spacing w:line="382" w:lineRule="exact"/>
        <w:ind w:left="160" w:right="466" w:firstLine="420"/>
        <w:rPr>
          <w:rFonts w:ascii="仿宋" w:hAnsi="仿宋" w:eastAsia="仿宋"/>
          <w:color w:val="auto"/>
          <w:sz w:val="22"/>
          <w:szCs w:val="22"/>
          <w:highlight w:val="none"/>
        </w:rPr>
      </w:pPr>
      <w:r>
        <w:rPr>
          <w:rFonts w:hint="eastAsia" w:ascii="仿宋" w:hAnsi="仿宋" w:eastAsia="仿宋"/>
          <w:color w:val="auto"/>
          <w:sz w:val="22"/>
          <w:szCs w:val="22"/>
          <w:highlight w:val="none"/>
        </w:rPr>
        <w:t>本企业对上述声明内容的真实性负责。如有虚假，将依法承担相应责任。</w:t>
      </w:r>
    </w:p>
    <w:p w14:paraId="678FA3EA">
      <w:pPr>
        <w:widowControl/>
        <w:spacing w:line="360" w:lineRule="auto"/>
        <w:ind w:firstLine="440" w:firstLineChars="200"/>
        <w:jc w:val="left"/>
        <w:rPr>
          <w:rFonts w:hint="eastAsia" w:ascii="仿宋" w:hAnsi="仿宋" w:eastAsia="仿宋" w:cs="仿宋"/>
          <w:snapToGrid w:val="0"/>
          <w:color w:val="auto"/>
          <w:kern w:val="0"/>
          <w:sz w:val="22"/>
          <w:szCs w:val="22"/>
          <w:highlight w:val="none"/>
        </w:rPr>
      </w:pPr>
    </w:p>
    <w:p w14:paraId="46FFD285">
      <w:pPr>
        <w:pBdr>
          <w:top w:val="none" w:color="000000" w:sz="0" w:space="0"/>
          <w:left w:val="none" w:color="000000" w:sz="0" w:space="0"/>
          <w:bottom w:val="none" w:color="000000" w:sz="0" w:space="0"/>
          <w:right w:val="none" w:color="000000" w:sz="0" w:space="0"/>
        </w:pBdr>
        <w:spacing w:before="0" w:after="0"/>
        <w:ind w:left="0" w:right="0" w:firstLine="0"/>
        <w:jc w:val="right"/>
        <w:rPr>
          <w:color w:val="auto"/>
          <w:highlight w:val="none"/>
        </w:rPr>
      </w:pPr>
      <w:r>
        <w:rPr>
          <w:rFonts w:ascii="仿宋" w:hAnsi="仿宋" w:eastAsia="仿宋" w:cs="仿宋"/>
          <w:color w:val="auto"/>
          <w:sz w:val="22"/>
          <w:highlight w:val="none"/>
        </w:rPr>
        <w:t>投标单位：</w:t>
      </w:r>
      <w:r>
        <w:rPr>
          <w:rFonts w:ascii="宋体" w:hAnsi="宋体" w:eastAsia="宋体" w:cs="宋体"/>
          <w:color w:val="auto"/>
          <w:sz w:val="22"/>
          <w:highlight w:val="none"/>
          <w:u w:val="single"/>
        </w:rPr>
        <w:t>           </w:t>
      </w:r>
      <w:r>
        <w:rPr>
          <w:rFonts w:ascii="仿宋" w:hAnsi="仿宋" w:eastAsia="仿宋" w:cs="仿宋"/>
          <w:color w:val="auto"/>
          <w:sz w:val="22"/>
          <w:highlight w:val="none"/>
        </w:rPr>
        <w:t>（盖电子公章）</w:t>
      </w:r>
    </w:p>
    <w:p w14:paraId="377920BF">
      <w:pPr>
        <w:widowControl/>
        <w:spacing w:line="360" w:lineRule="auto"/>
        <w:ind w:firstLine="440" w:firstLineChars="200"/>
        <w:jc w:val="right"/>
        <w:rPr>
          <w:rFonts w:hint="eastAsia" w:ascii="仿宋" w:hAnsi="仿宋" w:eastAsia="仿宋" w:cs="仿宋"/>
          <w:snapToGrid w:val="0"/>
          <w:color w:val="auto"/>
          <w:kern w:val="0"/>
          <w:sz w:val="22"/>
          <w:szCs w:val="22"/>
          <w:highlight w:val="none"/>
        </w:rPr>
      </w:pPr>
    </w:p>
    <w:p w14:paraId="2B9E4186">
      <w:pPr>
        <w:widowControl/>
        <w:wordWrap w:val="0"/>
        <w:spacing w:line="360" w:lineRule="auto"/>
        <w:ind w:firstLine="440" w:firstLineChars="200"/>
        <w:jc w:val="right"/>
        <w:rPr>
          <w:rFonts w:hint="default" w:ascii="仿宋" w:hAnsi="仿宋" w:eastAsia="仿宋" w:cs="仿宋"/>
          <w:snapToGrid w:val="0"/>
          <w:color w:val="auto"/>
          <w:kern w:val="0"/>
          <w:sz w:val="22"/>
          <w:szCs w:val="22"/>
          <w:highlight w:val="none"/>
          <w:lang w:val="en-US" w:eastAsia="zh-CN"/>
        </w:rPr>
      </w:pPr>
      <w:r>
        <w:rPr>
          <w:rFonts w:hint="eastAsia" w:ascii="仿宋" w:hAnsi="仿宋" w:eastAsia="仿宋" w:cs="仿宋"/>
          <w:snapToGrid w:val="0"/>
          <w:color w:val="auto"/>
          <w:kern w:val="0"/>
          <w:sz w:val="22"/>
          <w:szCs w:val="22"/>
          <w:highlight w:val="none"/>
        </w:rPr>
        <w:t>日期：</w:t>
      </w:r>
      <w:r>
        <w:rPr>
          <w:rFonts w:hint="eastAsia" w:ascii="仿宋" w:hAnsi="仿宋" w:eastAsia="仿宋" w:cs="仿宋"/>
          <w:snapToGrid w:val="0"/>
          <w:color w:val="auto"/>
          <w:kern w:val="0"/>
          <w:sz w:val="22"/>
          <w:szCs w:val="22"/>
          <w:highlight w:val="none"/>
          <w:lang w:val="en-US" w:eastAsia="zh-CN"/>
        </w:rPr>
        <w:t xml:space="preserve">                    </w:t>
      </w:r>
    </w:p>
    <w:p w14:paraId="1671BCA3">
      <w:pPr>
        <w:pStyle w:val="222"/>
        <w:spacing w:line="360" w:lineRule="auto"/>
        <w:ind w:firstLine="562"/>
        <w:rPr>
          <w:rFonts w:hint="eastAsia" w:ascii="仿宋" w:hAnsi="仿宋" w:eastAsia="仿宋" w:cs="仿宋"/>
          <w:b/>
          <w:bCs/>
          <w:color w:val="auto"/>
          <w:sz w:val="22"/>
          <w:szCs w:val="22"/>
          <w:highlight w:val="none"/>
        </w:rPr>
      </w:pPr>
    </w:p>
    <w:p w14:paraId="09BAB280">
      <w:pPr>
        <w:widowControl/>
        <w:spacing w:line="360" w:lineRule="auto"/>
        <w:ind w:firstLine="442" w:firstLineChars="200"/>
        <w:jc w:val="left"/>
        <w:rPr>
          <w:rFonts w:hint="eastAsia" w:ascii="仿宋" w:hAnsi="仿宋" w:eastAsia="仿宋" w:cs="仿宋"/>
          <w:b/>
          <w:snapToGrid w:val="0"/>
          <w:color w:val="auto"/>
          <w:kern w:val="0"/>
          <w:sz w:val="22"/>
          <w:szCs w:val="22"/>
          <w:highlight w:val="none"/>
        </w:rPr>
      </w:pPr>
      <w:r>
        <w:rPr>
          <w:rFonts w:hint="eastAsia" w:ascii="仿宋" w:hAnsi="仿宋" w:eastAsia="仿宋" w:cs="仿宋"/>
          <w:b/>
          <w:snapToGrid w:val="0"/>
          <w:color w:val="auto"/>
          <w:kern w:val="0"/>
          <w:sz w:val="22"/>
          <w:szCs w:val="22"/>
          <w:highlight w:val="none"/>
        </w:rPr>
        <w:t>注：</w:t>
      </w:r>
      <w:r>
        <w:rPr>
          <w:rFonts w:hint="eastAsia" w:ascii="仿宋" w:hAnsi="仿宋" w:eastAsia="仿宋"/>
          <w:color w:val="auto"/>
          <w:sz w:val="22"/>
          <w:szCs w:val="22"/>
          <w:highlight w:val="none"/>
        </w:rPr>
        <w:t>【1】</w:t>
      </w:r>
      <w:r>
        <w:rPr>
          <w:rFonts w:hint="eastAsia" w:ascii="仿宋" w:hAnsi="仿宋" w:eastAsia="仿宋" w:cs="仿宋"/>
          <w:b/>
          <w:snapToGrid w:val="0"/>
          <w:color w:val="auto"/>
          <w:kern w:val="0"/>
          <w:sz w:val="22"/>
          <w:szCs w:val="22"/>
          <w:highlight w:val="none"/>
        </w:rPr>
        <w:t>从业人员、营业收入、资产总额填报上一年度数据，无上一年度数据的新成立企业可不填报。</w:t>
      </w:r>
    </w:p>
    <w:p w14:paraId="0ED0EE12">
      <w:pPr>
        <w:spacing w:line="320" w:lineRule="exact"/>
        <w:ind w:right="206"/>
        <w:jc w:val="center"/>
        <w:rPr>
          <w:rFonts w:ascii="仿宋" w:hAnsi="仿宋" w:eastAsia="仿宋"/>
          <w:b/>
          <w:color w:val="auto"/>
          <w:sz w:val="28"/>
          <w:highlight w:val="none"/>
        </w:rPr>
      </w:pPr>
    </w:p>
    <w:p w14:paraId="776674E5">
      <w:pPr>
        <w:rPr>
          <w:color w:val="auto"/>
          <w:highlight w:val="none"/>
        </w:rPr>
      </w:pPr>
      <w:r>
        <w:rPr>
          <w:rFonts w:ascii="宋体" w:hAnsi="宋体" w:eastAsia="宋体" w:cs="宋体"/>
          <w:color w:val="auto"/>
          <w:sz w:val="22"/>
          <w:highlight w:val="none"/>
        </w:rPr>
        <w:t> </w:t>
      </w:r>
    </w:p>
    <w:p w14:paraId="72DE92B7">
      <w:pPr>
        <w:pBdr>
          <w:top w:val="none" w:color="000000" w:sz="0" w:space="0"/>
          <w:left w:val="none" w:color="000000" w:sz="0" w:space="0"/>
          <w:bottom w:val="none" w:color="000000" w:sz="0" w:space="0"/>
          <w:right w:val="none" w:color="000000" w:sz="0" w:space="0"/>
        </w:pBdr>
        <w:spacing w:before="0" w:after="0" w:line="320" w:lineRule="atLeast"/>
        <w:ind w:left="0" w:right="206" w:firstLine="0"/>
        <w:jc w:val="center"/>
        <w:rPr>
          <w:color w:val="auto"/>
          <w:highlight w:val="none"/>
        </w:rPr>
      </w:pPr>
      <w:r>
        <w:rPr>
          <w:rFonts w:ascii="仿宋" w:hAnsi="仿宋" w:eastAsia="仿宋" w:cs="仿宋"/>
          <w:b/>
          <w:color w:val="auto"/>
          <w:sz w:val="28"/>
          <w:highlight w:val="none"/>
        </w:rPr>
        <w:t> </w:t>
      </w:r>
    </w:p>
    <w:p w14:paraId="26BE82A3">
      <w:pPr>
        <w:pBdr>
          <w:top w:val="none" w:color="000000" w:sz="0" w:space="0"/>
          <w:left w:val="none" w:color="000000" w:sz="0" w:space="0"/>
          <w:bottom w:val="none" w:color="000000" w:sz="0" w:space="0"/>
          <w:right w:val="none" w:color="000000" w:sz="0" w:space="0"/>
        </w:pBdr>
        <w:spacing w:before="240" w:after="240"/>
        <w:ind w:left="0" w:right="0" w:firstLine="562"/>
        <w:rPr>
          <w:color w:val="auto"/>
          <w:highlight w:val="none"/>
        </w:rPr>
      </w:pPr>
      <w:r>
        <w:rPr>
          <w:rFonts w:ascii="仿宋" w:hAnsi="仿宋" w:eastAsia="仿宋" w:cs="仿宋"/>
          <w:b/>
          <w:color w:val="auto"/>
          <w:sz w:val="28"/>
          <w:highlight w:val="none"/>
        </w:rPr>
        <w:t> </w:t>
      </w:r>
    </w:p>
    <w:p w14:paraId="43965F59">
      <w:pPr>
        <w:rPr>
          <w:color w:val="auto"/>
          <w:highlight w:val="none"/>
        </w:rPr>
      </w:pPr>
      <w:r>
        <w:rPr>
          <w:rFonts w:ascii="仿宋" w:hAnsi="仿宋" w:eastAsia="仿宋" w:cs="仿宋"/>
          <w:b/>
          <w:color w:val="auto"/>
          <w:sz w:val="28"/>
          <w:highlight w:val="none"/>
        </w:rPr>
        <w:t> </w:t>
      </w:r>
      <w:r>
        <w:rPr>
          <w:color w:val="auto"/>
          <w:highlight w:val="none"/>
        </w:rPr>
        <w:br w:type="page" w:clear="all"/>
      </w:r>
    </w:p>
    <w:p w14:paraId="02EE2D01">
      <w:pPr>
        <w:pBdr>
          <w:top w:val="none" w:color="000000" w:sz="0" w:space="0"/>
          <w:left w:val="none" w:color="000000" w:sz="0" w:space="0"/>
          <w:bottom w:val="none" w:color="000000" w:sz="0" w:space="0"/>
          <w:right w:val="none" w:color="000000" w:sz="0" w:space="0"/>
        </w:pBdr>
        <w:spacing w:before="240" w:after="240"/>
        <w:ind w:left="0" w:right="0" w:firstLine="723"/>
        <w:jc w:val="center"/>
        <w:rPr>
          <w:color w:val="auto"/>
          <w:highlight w:val="none"/>
        </w:rPr>
      </w:pPr>
      <w:r>
        <w:rPr>
          <w:rFonts w:ascii="宋体" w:hAnsi="宋体" w:eastAsia="宋体" w:cs="宋体"/>
          <w:b/>
          <w:color w:val="auto"/>
          <w:sz w:val="36"/>
          <w:highlight w:val="none"/>
        </w:rPr>
        <w:t>残疾人福利性单位声明函</w:t>
      </w:r>
    </w:p>
    <w:p w14:paraId="6422DC3D">
      <w:pPr>
        <w:pBdr>
          <w:top w:val="none" w:color="000000" w:sz="0" w:space="0"/>
          <w:left w:val="none" w:color="000000" w:sz="0" w:space="0"/>
          <w:bottom w:val="none" w:color="000000" w:sz="0" w:space="0"/>
          <w:right w:val="none" w:color="000000" w:sz="0" w:space="0"/>
        </w:pBdr>
        <w:spacing w:before="0" w:after="0" w:line="400" w:lineRule="atLeast"/>
        <w:ind w:left="0" w:right="0" w:firstLine="440"/>
        <w:rPr>
          <w:color w:val="auto"/>
          <w:highlight w:val="none"/>
        </w:rPr>
      </w:pPr>
      <w:r>
        <w:rPr>
          <w:rFonts w:ascii="仿宋" w:hAnsi="仿宋" w:eastAsia="仿宋" w:cs="仿宋"/>
          <w:color w:val="auto"/>
          <w:sz w:val="22"/>
          <w:highlight w:val="none"/>
        </w:rPr>
        <w:t>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Times New Roman" w:cs="Times New Roman"/>
          <w:color w:val="auto"/>
          <w:sz w:val="22"/>
          <w:highlight w:val="none"/>
          <w:u w:val="single"/>
        </w:rPr>
        <w:t>     </w:t>
      </w:r>
      <w:r>
        <w:rPr>
          <w:rFonts w:ascii="仿宋" w:hAnsi="仿宋" w:eastAsia="仿宋" w:cs="仿宋"/>
          <w:color w:val="auto"/>
          <w:sz w:val="22"/>
          <w:highlight w:val="none"/>
        </w:rPr>
        <w:t>单位的</w:t>
      </w:r>
      <w:r>
        <w:rPr>
          <w:rFonts w:ascii="Times New Roman" w:hAnsi="Times New Roman" w:eastAsia="Times New Roman" w:cs="Times New Roman"/>
          <w:color w:val="auto"/>
          <w:sz w:val="22"/>
          <w:highlight w:val="none"/>
          <w:u w:val="single"/>
        </w:rPr>
        <w:t>     </w:t>
      </w:r>
      <w:r>
        <w:rPr>
          <w:rFonts w:ascii="仿宋" w:hAnsi="仿宋" w:eastAsia="仿宋" w:cs="仿宋"/>
          <w:color w:val="auto"/>
          <w:sz w:val="22"/>
          <w:highlight w:val="none"/>
        </w:rPr>
        <w:t>项目采购活动提供本单位制造的货物（由本单位承担工程/提供服务），或者提供其他残疾人福利性单位制造的货物（不包括使用非残疾人福利性单位注册商标的货物）。</w:t>
      </w:r>
    </w:p>
    <w:p w14:paraId="149EE2C5">
      <w:pPr>
        <w:pBdr>
          <w:top w:val="none" w:color="000000" w:sz="0" w:space="0"/>
          <w:left w:val="none" w:color="000000" w:sz="0" w:space="0"/>
          <w:bottom w:val="none" w:color="000000" w:sz="0" w:space="0"/>
          <w:right w:val="none" w:color="000000" w:sz="0" w:space="0"/>
        </w:pBdr>
        <w:spacing w:before="0" w:after="0" w:line="400" w:lineRule="atLeast"/>
        <w:ind w:left="0" w:right="0" w:firstLine="440"/>
        <w:rPr>
          <w:color w:val="auto"/>
          <w:highlight w:val="none"/>
        </w:rPr>
      </w:pPr>
      <w:r>
        <w:rPr>
          <w:rFonts w:ascii="仿宋" w:hAnsi="仿宋" w:eastAsia="仿宋" w:cs="仿宋"/>
          <w:color w:val="auto"/>
          <w:sz w:val="22"/>
          <w:highlight w:val="none"/>
        </w:rPr>
        <w:t>本单位对上述声明的真实性负责。如有虚假，将依法承担相应责任。</w:t>
      </w:r>
    </w:p>
    <w:p w14:paraId="0FDCFC7A">
      <w:pPr>
        <w:pBdr>
          <w:top w:val="none" w:color="000000" w:sz="0" w:space="0"/>
          <w:left w:val="none" w:color="000000" w:sz="0" w:space="0"/>
          <w:bottom w:val="none" w:color="000000" w:sz="0" w:space="0"/>
          <w:right w:val="none" w:color="000000" w:sz="0" w:space="0"/>
        </w:pBdr>
        <w:spacing w:before="0" w:after="0" w:line="439" w:lineRule="atLeast"/>
        <w:ind w:left="0" w:right="0" w:firstLine="5280"/>
        <w:rPr>
          <w:color w:val="auto"/>
          <w:highlight w:val="none"/>
        </w:rPr>
      </w:pPr>
      <w:r>
        <w:rPr>
          <w:rFonts w:ascii="Times New Roman" w:hAnsi="Times New Roman" w:eastAsia="Times New Roman" w:cs="Times New Roman"/>
          <w:color w:val="auto"/>
          <w:sz w:val="22"/>
          <w:highlight w:val="none"/>
        </w:rPr>
        <w:t> </w:t>
      </w:r>
    </w:p>
    <w:p w14:paraId="7AFD2921">
      <w:pPr>
        <w:pBdr>
          <w:top w:val="none" w:color="000000" w:sz="0" w:space="0"/>
          <w:left w:val="none" w:color="000000" w:sz="0" w:space="0"/>
          <w:bottom w:val="none" w:color="000000" w:sz="0" w:space="0"/>
          <w:right w:val="none" w:color="000000" w:sz="0" w:space="0"/>
        </w:pBdr>
        <w:spacing w:before="0" w:after="0" w:line="439" w:lineRule="atLeast"/>
        <w:ind w:left="0" w:right="0" w:firstLine="5280"/>
        <w:rPr>
          <w:color w:val="auto"/>
          <w:highlight w:val="none"/>
        </w:rPr>
      </w:pPr>
      <w:r>
        <w:rPr>
          <w:rFonts w:ascii="Times New Roman" w:hAnsi="Times New Roman" w:eastAsia="Times New Roman" w:cs="Times New Roman"/>
          <w:color w:val="auto"/>
          <w:sz w:val="22"/>
          <w:highlight w:val="none"/>
        </w:rPr>
        <w:t> </w:t>
      </w:r>
    </w:p>
    <w:p w14:paraId="2504F7DA">
      <w:pPr>
        <w:pBdr>
          <w:top w:val="none" w:color="000000" w:sz="0" w:space="0"/>
          <w:left w:val="none" w:color="000000" w:sz="0" w:space="0"/>
          <w:bottom w:val="none" w:color="000000" w:sz="0" w:space="0"/>
          <w:right w:val="none" w:color="000000" w:sz="0" w:space="0"/>
        </w:pBdr>
        <w:spacing w:before="0" w:after="0" w:line="439" w:lineRule="atLeast"/>
        <w:ind w:left="0" w:right="0" w:firstLine="5280"/>
        <w:rPr>
          <w:color w:val="auto"/>
          <w:highlight w:val="none"/>
        </w:rPr>
      </w:pPr>
      <w:r>
        <w:rPr>
          <w:rFonts w:ascii="Times New Roman" w:hAnsi="Times New Roman" w:eastAsia="Times New Roman" w:cs="Times New Roman"/>
          <w:color w:val="auto"/>
          <w:sz w:val="22"/>
          <w:highlight w:val="none"/>
        </w:rPr>
        <w:t> </w:t>
      </w:r>
    </w:p>
    <w:p w14:paraId="10C1A43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180"/>
        <w:rPr>
          <w:color w:val="auto"/>
          <w:highlight w:val="none"/>
        </w:rPr>
      </w:pPr>
      <w:r>
        <w:rPr>
          <w:rFonts w:ascii="仿宋" w:hAnsi="仿宋" w:eastAsia="仿宋" w:cs="仿宋"/>
          <w:color w:val="auto"/>
          <w:sz w:val="22"/>
          <w:highlight w:val="none"/>
        </w:rPr>
        <w:t>供应商（盖电子公章）：</w:t>
      </w:r>
      <w:r>
        <w:rPr>
          <w:rFonts w:ascii="Times New Roman" w:hAnsi="Times New Roman" w:eastAsia="Times New Roman" w:cs="Times New Roman"/>
          <w:color w:val="auto"/>
          <w:sz w:val="22"/>
          <w:highlight w:val="none"/>
          <w:u w:val="single"/>
        </w:rPr>
        <w:t>           </w:t>
      </w:r>
    </w:p>
    <w:p w14:paraId="1C09463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180"/>
        <w:rPr>
          <w:color w:val="auto"/>
          <w:highlight w:val="none"/>
        </w:rPr>
      </w:pPr>
      <w:r>
        <w:rPr>
          <w:rFonts w:ascii="仿宋" w:hAnsi="仿宋" w:eastAsia="仿宋" w:cs="仿宋"/>
          <w:color w:val="auto"/>
          <w:sz w:val="22"/>
          <w:highlight w:val="none"/>
        </w:rPr>
        <w:t>日期：年月日</w:t>
      </w:r>
    </w:p>
    <w:p w14:paraId="334AFF5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color w:val="auto"/>
          <w:highlight w:val="none"/>
        </w:rPr>
      </w:pPr>
      <w:r>
        <w:rPr>
          <w:rFonts w:ascii="宋体" w:hAnsi="宋体" w:eastAsia="宋体" w:cs="宋体"/>
          <w:b/>
          <w:color w:val="auto"/>
          <w:sz w:val="36"/>
          <w:highlight w:val="none"/>
        </w:rPr>
        <w:t>属于监狱企业的证明文件</w:t>
      </w:r>
    </w:p>
    <w:p w14:paraId="366B218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（提供由省级以上监狱管理局、戒毒管理局(含新疆生产建设兵团)出具的属于监狱企业的证明文件）</w:t>
      </w:r>
    </w:p>
    <w:p w14:paraId="0B560BE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0C8A96F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3B42FF5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068DAF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r>
        <w:rPr>
          <w:rFonts w:ascii="宋体" w:hAnsi="宋体" w:eastAsia="宋体" w:cs="宋体"/>
          <w:b/>
          <w:color w:val="auto"/>
          <w:sz w:val="36"/>
          <w:highlight w:val="none"/>
        </w:rPr>
        <w:t>节能产品认证证书</w:t>
      </w:r>
    </w:p>
    <w:p w14:paraId="499FF09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（提供国家确定的认证机构出具的、处于有效期之内的产品认证证书）</w:t>
      </w:r>
    </w:p>
    <w:p w14:paraId="6F2B0D57">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7520C12B">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7E3EB7A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39702FE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r>
        <w:rPr>
          <w:rFonts w:ascii="宋体" w:hAnsi="宋体" w:eastAsia="宋体" w:cs="宋体"/>
          <w:b/>
          <w:color w:val="auto"/>
          <w:sz w:val="36"/>
          <w:highlight w:val="none"/>
        </w:rPr>
        <w:t>环境标志产品认证证书</w:t>
      </w:r>
    </w:p>
    <w:p w14:paraId="6A3F074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color w:val="auto"/>
          <w:sz w:val="22"/>
          <w:highlight w:val="none"/>
        </w:rPr>
        <w:t>（提供国家确定的认证机构出具的、处于有效期之内的产品认证证书）</w:t>
      </w:r>
    </w:p>
    <w:p w14:paraId="7EFCF85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Times New Roman" w:hAnsi="Times New Roman" w:eastAsia="Times New Roman" w:cs="Times New Roman"/>
          <w:b/>
          <w:color w:val="auto"/>
          <w:sz w:val="22"/>
          <w:highlight w:val="none"/>
        </w:rPr>
        <w:t> </w:t>
      </w:r>
    </w:p>
    <w:p w14:paraId="03CD459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Times New Roman" w:hAnsi="Times New Roman" w:eastAsia="Times New Roman" w:cs="Times New Roman"/>
          <w:b/>
          <w:color w:val="auto"/>
          <w:sz w:val="22"/>
          <w:highlight w:val="none"/>
        </w:rPr>
      </w:pPr>
      <w:r>
        <w:rPr>
          <w:rFonts w:ascii="Times New Roman" w:hAnsi="Times New Roman" w:eastAsia="Times New Roman" w:cs="Times New Roman"/>
          <w:b/>
          <w:color w:val="auto"/>
          <w:sz w:val="22"/>
          <w:highlight w:val="none"/>
        </w:rPr>
        <w:t> </w:t>
      </w:r>
    </w:p>
    <w:p w14:paraId="09614AAB">
      <w:pPr>
        <w:rPr>
          <w:rFonts w:ascii="Times New Roman" w:hAnsi="Times New Roman" w:eastAsia="Times New Roman" w:cs="Times New Roman"/>
          <w:b/>
          <w:color w:val="auto"/>
          <w:sz w:val="22"/>
          <w:highlight w:val="none"/>
        </w:rPr>
      </w:pPr>
      <w:r>
        <w:rPr>
          <w:rFonts w:ascii="Times New Roman" w:hAnsi="Times New Roman" w:eastAsia="Times New Roman" w:cs="Times New Roman"/>
          <w:b/>
          <w:color w:val="auto"/>
          <w:sz w:val="22"/>
          <w:highlight w:val="none"/>
        </w:rPr>
        <w:br w:type="page"/>
      </w:r>
    </w:p>
    <w:p w14:paraId="483C03B9">
      <w:pPr>
        <w:pBdr>
          <w:top w:val="none" w:color="000000" w:sz="0" w:space="0"/>
          <w:left w:val="none" w:color="000000" w:sz="0" w:space="0"/>
          <w:bottom w:val="none" w:color="000000" w:sz="0" w:space="0"/>
          <w:right w:val="none" w:color="000000" w:sz="0" w:space="0"/>
        </w:pBdr>
        <w:spacing w:before="0" w:after="0" w:line="366" w:lineRule="atLeast"/>
        <w:ind w:left="220" w:right="0" w:firstLine="0"/>
        <w:rPr>
          <w:rFonts w:ascii="仿宋" w:hAnsi="仿宋" w:eastAsia="仿宋" w:cs="仿宋"/>
          <w:b/>
          <w:color w:val="auto"/>
          <w:sz w:val="32"/>
          <w:highlight w:val="none"/>
        </w:rPr>
      </w:pPr>
      <w:r>
        <w:rPr>
          <w:rFonts w:ascii="仿宋" w:hAnsi="仿宋" w:eastAsia="仿宋" w:cs="仿宋"/>
          <w:b/>
          <w:color w:val="auto"/>
          <w:sz w:val="32"/>
          <w:highlight w:val="none"/>
        </w:rPr>
        <w:t>附件</w:t>
      </w:r>
      <w:r>
        <w:rPr>
          <w:rFonts w:hint="eastAsia" w:ascii="仿宋" w:hAnsi="仿宋" w:eastAsia="仿宋" w:cs="仿宋"/>
          <w:b/>
          <w:color w:val="auto"/>
          <w:sz w:val="32"/>
          <w:highlight w:val="none"/>
          <w:lang w:val="en-US" w:eastAsia="zh-CN"/>
        </w:rPr>
        <w:t>十一</w:t>
      </w:r>
      <w:r>
        <w:rPr>
          <w:rFonts w:ascii="仿宋" w:hAnsi="仿宋" w:eastAsia="仿宋" w:cs="仿宋"/>
          <w:b/>
          <w:color w:val="auto"/>
          <w:sz w:val="32"/>
          <w:highlight w:val="none"/>
        </w:rPr>
        <w:t>、</w:t>
      </w:r>
      <w:r>
        <w:rPr>
          <w:rFonts w:hint="eastAsia" w:ascii="仿宋" w:hAnsi="仿宋" w:eastAsia="仿宋" w:cs="仿宋"/>
          <w:b/>
          <w:color w:val="auto"/>
          <w:sz w:val="32"/>
          <w:highlight w:val="none"/>
          <w:lang w:val="en-US" w:eastAsia="zh-CN"/>
        </w:rPr>
        <w:t>关于符合本国产品标准的声明函格式</w:t>
      </w:r>
    </w:p>
    <w:p w14:paraId="5A49DE16">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仿宋" w:hAnsi="仿宋" w:eastAsia="仿宋" w:cs="仿宋"/>
          <w:color w:val="auto"/>
          <w:sz w:val="22"/>
          <w:highlight w:val="none"/>
        </w:rPr>
        <w:t> </w:t>
      </w:r>
    </w:p>
    <w:p w14:paraId="4D288C0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仿宋" w:hAnsi="仿宋" w:eastAsia="仿宋" w:cs="仿宋"/>
          <w:b/>
          <w:color w:val="auto"/>
          <w:sz w:val="24"/>
          <w:highlight w:val="none"/>
        </w:rPr>
        <w:t> </w:t>
      </w:r>
    </w:p>
    <w:p w14:paraId="3ACBEA13">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color w:val="auto"/>
          <w:sz w:val="22"/>
          <w:szCs w:val="22"/>
          <w:highlight w:val="none"/>
        </w:rPr>
        <w:t> </w:t>
      </w:r>
      <w:r>
        <w:rPr>
          <w:rStyle w:val="45"/>
          <w:rFonts w:hint="eastAsia" w:ascii="仿宋" w:hAnsi="仿宋" w:eastAsia="仿宋" w:cs="仿宋"/>
          <w:i w:val="0"/>
          <w:iCs w:val="0"/>
          <w:caps w:val="0"/>
          <w:color w:val="auto"/>
          <w:spacing w:val="0"/>
          <w:sz w:val="22"/>
          <w:szCs w:val="22"/>
          <w:highlight w:val="none"/>
          <w:shd w:val="clear" w:color="auto" w:fill="FFFFFF"/>
        </w:rPr>
        <w:t>关于符合本国产品标准的声明函</w:t>
      </w:r>
    </w:p>
    <w:p w14:paraId="775BFA60">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auto"/>
          <w:spacing w:val="0"/>
          <w:sz w:val="22"/>
          <w:szCs w:val="22"/>
          <w:highlight w:val="none"/>
        </w:rPr>
      </w:pPr>
    </w:p>
    <w:p w14:paraId="4C00C6DD">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435CF42">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1.</w:t>
      </w:r>
      <w:r>
        <w:rPr>
          <w:rStyle w:val="47"/>
          <w:rFonts w:hint="eastAsia" w:ascii="仿宋" w:hAnsi="仿宋" w:eastAsia="仿宋" w:cs="仿宋"/>
          <w:i w:val="0"/>
          <w:iCs w:val="0"/>
          <w:caps w:val="0"/>
          <w:color w:val="auto"/>
          <w:spacing w:val="0"/>
          <w:sz w:val="22"/>
          <w:szCs w:val="22"/>
          <w:highlight w:val="none"/>
          <w:shd w:val="clear" w:color="auto" w:fill="FFFFFF"/>
        </w:rPr>
        <w:t>（产品名称1）</w:t>
      </w:r>
      <w:r>
        <w:rPr>
          <w:rStyle w:val="47"/>
          <w:rFonts w:hint="eastAsia" w:ascii="仿宋" w:hAnsi="仿宋" w:eastAsia="仿宋" w:cs="仿宋"/>
          <w:i w:val="0"/>
          <w:iCs w:val="0"/>
          <w:caps w:val="0"/>
          <w:color w:val="auto"/>
          <w:spacing w:val="0"/>
          <w:sz w:val="22"/>
          <w:szCs w:val="22"/>
          <w:highlight w:val="none"/>
          <w:shd w:val="clear" w:color="auto" w:fill="FFFFFF"/>
          <w:vertAlign w:val="superscript"/>
        </w:rPr>
        <w:t>1</w:t>
      </w:r>
      <w:r>
        <w:rPr>
          <w:rFonts w:hint="eastAsia" w:ascii="仿宋" w:hAnsi="仿宋" w:eastAsia="仿宋" w:cs="仿宋"/>
          <w:i w:val="0"/>
          <w:iCs w:val="0"/>
          <w:caps w:val="0"/>
          <w:color w:val="auto"/>
          <w:spacing w:val="0"/>
          <w:sz w:val="22"/>
          <w:szCs w:val="22"/>
          <w:highlight w:val="none"/>
          <w:shd w:val="clear" w:color="auto" w:fill="FFFFFF"/>
        </w:rPr>
        <w:t>，生产厂为</w:t>
      </w:r>
      <w:r>
        <w:rPr>
          <w:rStyle w:val="47"/>
          <w:rFonts w:hint="eastAsia" w:ascii="仿宋" w:hAnsi="仿宋" w:eastAsia="仿宋" w:cs="仿宋"/>
          <w:i w:val="0"/>
          <w:iCs w:val="0"/>
          <w:caps w:val="0"/>
          <w:color w:val="auto"/>
          <w:spacing w:val="0"/>
          <w:sz w:val="22"/>
          <w:szCs w:val="22"/>
          <w:highlight w:val="none"/>
          <w:shd w:val="clear" w:color="auto" w:fill="FFFFFF"/>
        </w:rPr>
        <w:t>（厂名）</w:t>
      </w:r>
      <w:r>
        <w:rPr>
          <w:rStyle w:val="47"/>
          <w:rFonts w:hint="eastAsia" w:ascii="仿宋" w:hAnsi="仿宋" w:eastAsia="仿宋" w:cs="仿宋"/>
          <w:i w:val="0"/>
          <w:iCs w:val="0"/>
          <w:caps w:val="0"/>
          <w:color w:val="auto"/>
          <w:spacing w:val="0"/>
          <w:sz w:val="22"/>
          <w:szCs w:val="22"/>
          <w:highlight w:val="none"/>
          <w:shd w:val="clear" w:color="auto" w:fill="FFFFFF"/>
          <w:vertAlign w:val="superscript"/>
        </w:rPr>
        <w:t>2</w:t>
      </w:r>
      <w:r>
        <w:rPr>
          <w:rFonts w:hint="eastAsia" w:ascii="仿宋" w:hAnsi="仿宋" w:eastAsia="仿宋" w:cs="仿宋"/>
          <w:i w:val="0"/>
          <w:iCs w:val="0"/>
          <w:caps w:val="0"/>
          <w:color w:val="auto"/>
          <w:spacing w:val="0"/>
          <w:sz w:val="22"/>
          <w:szCs w:val="22"/>
          <w:highlight w:val="none"/>
          <w:shd w:val="clear" w:color="auto" w:fill="FFFFFF"/>
        </w:rPr>
        <w:t>，厂址为</w:t>
      </w:r>
      <w:r>
        <w:rPr>
          <w:rStyle w:val="47"/>
          <w:rFonts w:hint="eastAsia" w:ascii="仿宋" w:hAnsi="仿宋" w:eastAsia="仿宋" w:cs="仿宋"/>
          <w:i w:val="0"/>
          <w:iCs w:val="0"/>
          <w:caps w:val="0"/>
          <w:color w:val="auto"/>
          <w:spacing w:val="0"/>
          <w:sz w:val="22"/>
          <w:szCs w:val="22"/>
          <w:highlight w:val="none"/>
          <w:shd w:val="clear" w:color="auto" w:fill="FFFFFF"/>
        </w:rPr>
        <w:t>（生产厂址）</w:t>
      </w:r>
      <w:r>
        <w:rPr>
          <w:rFonts w:hint="eastAsia" w:ascii="仿宋" w:hAnsi="仿宋" w:eastAsia="仿宋" w:cs="仿宋"/>
          <w:i w:val="0"/>
          <w:iCs w:val="0"/>
          <w:caps w:val="0"/>
          <w:color w:val="auto"/>
          <w:spacing w:val="0"/>
          <w:sz w:val="22"/>
          <w:szCs w:val="22"/>
          <w:highlight w:val="none"/>
          <w:shd w:val="clear" w:color="auto" w:fill="FFFFFF"/>
        </w:rPr>
        <w:t>。</w:t>
      </w:r>
      <w:r>
        <w:rPr>
          <w:rStyle w:val="47"/>
          <w:rFonts w:hint="eastAsia" w:ascii="仿宋" w:hAnsi="仿宋" w:eastAsia="仿宋" w:cs="仿宋"/>
          <w:i w:val="0"/>
          <w:iCs w:val="0"/>
          <w:caps w:val="0"/>
          <w:color w:val="auto"/>
          <w:spacing w:val="0"/>
          <w:sz w:val="22"/>
          <w:szCs w:val="22"/>
          <w:highlight w:val="none"/>
          <w:shd w:val="clear" w:color="auto" w:fill="FFFFFF"/>
        </w:rPr>
        <w:t>（产品名称1）</w:t>
      </w:r>
      <w:r>
        <w:rPr>
          <w:rFonts w:hint="eastAsia" w:ascii="仿宋" w:hAnsi="仿宋" w:eastAsia="仿宋" w:cs="仿宋"/>
          <w:i w:val="0"/>
          <w:iCs w:val="0"/>
          <w:caps w:val="0"/>
          <w:color w:val="auto"/>
          <w:spacing w:val="0"/>
          <w:sz w:val="22"/>
          <w:szCs w:val="22"/>
          <w:highlight w:val="none"/>
          <w:shd w:val="clear" w:color="auto" w:fill="FFFFFF"/>
        </w:rPr>
        <w:t>的中国境内生产的组件成本占比≥</w:t>
      </w:r>
      <w:r>
        <w:rPr>
          <w:rStyle w:val="47"/>
          <w:rFonts w:hint="eastAsia" w:ascii="仿宋" w:hAnsi="仿宋" w:eastAsia="仿宋" w:cs="仿宋"/>
          <w:i w:val="0"/>
          <w:iCs w:val="0"/>
          <w:caps w:val="0"/>
          <w:color w:val="auto"/>
          <w:spacing w:val="0"/>
          <w:sz w:val="22"/>
          <w:szCs w:val="22"/>
          <w:highlight w:val="none"/>
          <w:shd w:val="clear" w:color="auto" w:fill="FFFFFF"/>
        </w:rPr>
        <w:t>（规定比例）</w:t>
      </w:r>
      <w:r>
        <w:rPr>
          <w:rStyle w:val="47"/>
          <w:rFonts w:hint="eastAsia" w:ascii="仿宋" w:hAnsi="仿宋" w:eastAsia="仿宋" w:cs="仿宋"/>
          <w:i w:val="0"/>
          <w:iCs w:val="0"/>
          <w:caps w:val="0"/>
          <w:color w:val="auto"/>
          <w:spacing w:val="0"/>
          <w:sz w:val="22"/>
          <w:szCs w:val="22"/>
          <w:highlight w:val="none"/>
          <w:shd w:val="clear" w:color="auto" w:fill="FFFFFF"/>
          <w:vertAlign w:val="superscript"/>
        </w:rPr>
        <w:t>3</w:t>
      </w:r>
      <w:r>
        <w:rPr>
          <w:rFonts w:hint="eastAsia" w:ascii="仿宋" w:hAnsi="仿宋" w:eastAsia="仿宋" w:cs="仿宋"/>
          <w:i w:val="0"/>
          <w:iCs w:val="0"/>
          <w:caps w:val="0"/>
          <w:color w:val="auto"/>
          <w:spacing w:val="0"/>
          <w:sz w:val="22"/>
          <w:szCs w:val="22"/>
          <w:highlight w:val="none"/>
          <w:shd w:val="clear" w:color="auto" w:fill="FFFFFF"/>
        </w:rPr>
        <w:t>。</w:t>
      </w:r>
      <w:r>
        <w:rPr>
          <w:rStyle w:val="47"/>
          <w:rFonts w:hint="eastAsia" w:ascii="仿宋" w:hAnsi="仿宋" w:eastAsia="仿宋" w:cs="仿宋"/>
          <w:i w:val="0"/>
          <w:iCs w:val="0"/>
          <w:caps w:val="0"/>
          <w:color w:val="auto"/>
          <w:spacing w:val="0"/>
          <w:sz w:val="22"/>
          <w:szCs w:val="22"/>
          <w:highlight w:val="none"/>
          <w:shd w:val="clear" w:color="auto" w:fill="FFFFFF"/>
        </w:rPr>
        <w:t>（产品名称1）</w:t>
      </w:r>
      <w:r>
        <w:rPr>
          <w:rFonts w:hint="eastAsia" w:ascii="仿宋" w:hAnsi="仿宋" w:eastAsia="仿宋" w:cs="仿宋"/>
          <w:i w:val="0"/>
          <w:iCs w:val="0"/>
          <w:caps w:val="0"/>
          <w:color w:val="auto"/>
          <w:spacing w:val="0"/>
          <w:sz w:val="22"/>
          <w:szCs w:val="22"/>
          <w:highlight w:val="none"/>
          <w:shd w:val="clear" w:color="auto" w:fill="FFFFFF"/>
        </w:rPr>
        <w:t>的</w:t>
      </w:r>
      <w:r>
        <w:rPr>
          <w:rStyle w:val="47"/>
          <w:rFonts w:hint="eastAsia" w:ascii="仿宋" w:hAnsi="仿宋" w:eastAsia="仿宋" w:cs="仿宋"/>
          <w:i w:val="0"/>
          <w:iCs w:val="0"/>
          <w:caps w:val="0"/>
          <w:color w:val="auto"/>
          <w:spacing w:val="0"/>
          <w:sz w:val="22"/>
          <w:szCs w:val="22"/>
          <w:highlight w:val="none"/>
          <w:shd w:val="clear" w:color="auto" w:fill="FFFFFF"/>
        </w:rPr>
        <w:t>（关键组件）</w:t>
      </w:r>
      <w:r>
        <w:rPr>
          <w:rStyle w:val="47"/>
          <w:rFonts w:hint="eastAsia" w:ascii="仿宋" w:hAnsi="仿宋" w:eastAsia="仿宋" w:cs="仿宋"/>
          <w:i w:val="0"/>
          <w:iCs w:val="0"/>
          <w:caps w:val="0"/>
          <w:color w:val="auto"/>
          <w:spacing w:val="0"/>
          <w:sz w:val="22"/>
          <w:szCs w:val="22"/>
          <w:highlight w:val="none"/>
          <w:shd w:val="clear" w:color="auto" w:fill="FFFFFF"/>
          <w:vertAlign w:val="superscript"/>
        </w:rPr>
        <w:t>4</w:t>
      </w:r>
      <w:r>
        <w:rPr>
          <w:rFonts w:hint="eastAsia" w:ascii="仿宋" w:hAnsi="仿宋" w:eastAsia="仿宋" w:cs="仿宋"/>
          <w:i w:val="0"/>
          <w:iCs w:val="0"/>
          <w:caps w:val="0"/>
          <w:color w:val="auto"/>
          <w:spacing w:val="0"/>
          <w:sz w:val="22"/>
          <w:szCs w:val="22"/>
          <w:highlight w:val="none"/>
          <w:shd w:val="clear" w:color="auto" w:fill="FFFFFF"/>
        </w:rPr>
        <w:t>在中国境内生产。</w:t>
      </w:r>
      <w:r>
        <w:rPr>
          <w:rStyle w:val="47"/>
          <w:rFonts w:hint="eastAsia" w:ascii="仿宋" w:hAnsi="仿宋" w:eastAsia="仿宋" w:cs="仿宋"/>
          <w:i w:val="0"/>
          <w:iCs w:val="0"/>
          <w:caps w:val="0"/>
          <w:color w:val="auto"/>
          <w:spacing w:val="0"/>
          <w:sz w:val="22"/>
          <w:szCs w:val="22"/>
          <w:highlight w:val="none"/>
          <w:shd w:val="clear" w:color="auto" w:fill="FFFFFF"/>
        </w:rPr>
        <w:t>（产品名称1）</w:t>
      </w:r>
      <w:r>
        <w:rPr>
          <w:rFonts w:hint="eastAsia" w:ascii="仿宋" w:hAnsi="仿宋" w:eastAsia="仿宋" w:cs="仿宋"/>
          <w:i w:val="0"/>
          <w:iCs w:val="0"/>
          <w:caps w:val="0"/>
          <w:color w:val="auto"/>
          <w:spacing w:val="0"/>
          <w:sz w:val="22"/>
          <w:szCs w:val="22"/>
          <w:highlight w:val="none"/>
          <w:shd w:val="clear" w:color="auto" w:fill="FFFFFF"/>
        </w:rPr>
        <w:t>的</w:t>
      </w:r>
      <w:r>
        <w:rPr>
          <w:rStyle w:val="47"/>
          <w:rFonts w:hint="eastAsia" w:ascii="仿宋" w:hAnsi="仿宋" w:eastAsia="仿宋" w:cs="仿宋"/>
          <w:i w:val="0"/>
          <w:iCs w:val="0"/>
          <w:caps w:val="0"/>
          <w:color w:val="auto"/>
          <w:spacing w:val="0"/>
          <w:sz w:val="22"/>
          <w:szCs w:val="22"/>
          <w:highlight w:val="none"/>
          <w:shd w:val="clear" w:color="auto" w:fill="FFFFFF"/>
        </w:rPr>
        <w:t>（关键工序）</w:t>
      </w:r>
      <w:r>
        <w:rPr>
          <w:rStyle w:val="47"/>
          <w:rFonts w:hint="eastAsia" w:ascii="仿宋" w:hAnsi="仿宋" w:eastAsia="仿宋" w:cs="仿宋"/>
          <w:i w:val="0"/>
          <w:iCs w:val="0"/>
          <w:caps w:val="0"/>
          <w:color w:val="auto"/>
          <w:spacing w:val="0"/>
          <w:sz w:val="22"/>
          <w:szCs w:val="22"/>
          <w:highlight w:val="none"/>
          <w:shd w:val="clear" w:color="auto" w:fill="FFFFFF"/>
          <w:vertAlign w:val="superscript"/>
        </w:rPr>
        <w:t>5</w:t>
      </w:r>
      <w:r>
        <w:rPr>
          <w:rFonts w:hint="eastAsia" w:ascii="仿宋" w:hAnsi="仿宋" w:eastAsia="仿宋" w:cs="仿宋"/>
          <w:i w:val="0"/>
          <w:iCs w:val="0"/>
          <w:caps w:val="0"/>
          <w:color w:val="auto"/>
          <w:spacing w:val="0"/>
          <w:sz w:val="22"/>
          <w:szCs w:val="22"/>
          <w:highlight w:val="none"/>
          <w:shd w:val="clear" w:color="auto" w:fill="FFFFFF"/>
        </w:rPr>
        <w:t>在中国境内完成。</w:t>
      </w:r>
    </w:p>
    <w:p w14:paraId="753EFCA8">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2.</w:t>
      </w:r>
      <w:r>
        <w:rPr>
          <w:rStyle w:val="47"/>
          <w:rFonts w:hint="eastAsia" w:ascii="仿宋" w:hAnsi="仿宋" w:eastAsia="仿宋" w:cs="仿宋"/>
          <w:i w:val="0"/>
          <w:iCs w:val="0"/>
          <w:caps w:val="0"/>
          <w:color w:val="auto"/>
          <w:spacing w:val="0"/>
          <w:sz w:val="22"/>
          <w:szCs w:val="22"/>
          <w:highlight w:val="none"/>
          <w:shd w:val="clear" w:color="auto" w:fill="FFFFFF"/>
        </w:rPr>
        <w:t>（产品名称2）</w:t>
      </w:r>
      <w:r>
        <w:rPr>
          <w:rFonts w:hint="eastAsia" w:ascii="仿宋" w:hAnsi="仿宋" w:eastAsia="仿宋" w:cs="仿宋"/>
          <w:i w:val="0"/>
          <w:iCs w:val="0"/>
          <w:caps w:val="0"/>
          <w:color w:val="auto"/>
          <w:spacing w:val="0"/>
          <w:sz w:val="22"/>
          <w:szCs w:val="22"/>
          <w:highlight w:val="none"/>
          <w:shd w:val="clear" w:color="auto" w:fill="FFFFFF"/>
        </w:rPr>
        <w:t>，生产厂为</w:t>
      </w:r>
      <w:r>
        <w:rPr>
          <w:rStyle w:val="47"/>
          <w:rFonts w:hint="eastAsia" w:ascii="仿宋" w:hAnsi="仿宋" w:eastAsia="仿宋" w:cs="仿宋"/>
          <w:i w:val="0"/>
          <w:iCs w:val="0"/>
          <w:caps w:val="0"/>
          <w:color w:val="auto"/>
          <w:spacing w:val="0"/>
          <w:sz w:val="22"/>
          <w:szCs w:val="22"/>
          <w:highlight w:val="none"/>
          <w:shd w:val="clear" w:color="auto" w:fill="FFFFFF"/>
        </w:rPr>
        <w:t>（厂名）</w:t>
      </w:r>
      <w:r>
        <w:rPr>
          <w:rFonts w:hint="eastAsia" w:ascii="仿宋" w:hAnsi="仿宋" w:eastAsia="仿宋" w:cs="仿宋"/>
          <w:i w:val="0"/>
          <w:iCs w:val="0"/>
          <w:caps w:val="0"/>
          <w:color w:val="auto"/>
          <w:spacing w:val="0"/>
          <w:sz w:val="22"/>
          <w:szCs w:val="22"/>
          <w:highlight w:val="none"/>
          <w:shd w:val="clear" w:color="auto" w:fill="FFFFFF"/>
        </w:rPr>
        <w:t>，厂址为</w:t>
      </w:r>
      <w:r>
        <w:rPr>
          <w:rStyle w:val="47"/>
          <w:rFonts w:hint="eastAsia" w:ascii="仿宋" w:hAnsi="仿宋" w:eastAsia="仿宋" w:cs="仿宋"/>
          <w:i w:val="0"/>
          <w:iCs w:val="0"/>
          <w:caps w:val="0"/>
          <w:color w:val="auto"/>
          <w:spacing w:val="0"/>
          <w:sz w:val="22"/>
          <w:szCs w:val="22"/>
          <w:highlight w:val="none"/>
          <w:shd w:val="clear" w:color="auto" w:fill="FFFFFF"/>
        </w:rPr>
        <w:t>（生产厂址）</w:t>
      </w:r>
      <w:r>
        <w:rPr>
          <w:rFonts w:hint="eastAsia" w:ascii="仿宋" w:hAnsi="仿宋" w:eastAsia="仿宋" w:cs="仿宋"/>
          <w:i w:val="0"/>
          <w:iCs w:val="0"/>
          <w:caps w:val="0"/>
          <w:color w:val="auto"/>
          <w:spacing w:val="0"/>
          <w:sz w:val="22"/>
          <w:szCs w:val="22"/>
          <w:highlight w:val="none"/>
          <w:shd w:val="clear" w:color="auto" w:fill="FFFFFF"/>
        </w:rPr>
        <w:t>。</w:t>
      </w:r>
      <w:r>
        <w:rPr>
          <w:rStyle w:val="47"/>
          <w:rFonts w:hint="eastAsia" w:ascii="仿宋" w:hAnsi="仿宋" w:eastAsia="仿宋" w:cs="仿宋"/>
          <w:i w:val="0"/>
          <w:iCs w:val="0"/>
          <w:caps w:val="0"/>
          <w:color w:val="auto"/>
          <w:spacing w:val="0"/>
          <w:sz w:val="22"/>
          <w:szCs w:val="22"/>
          <w:highlight w:val="none"/>
          <w:shd w:val="clear" w:color="auto" w:fill="FFFFFF"/>
        </w:rPr>
        <w:t>（产品名称2）</w:t>
      </w:r>
      <w:r>
        <w:rPr>
          <w:rFonts w:hint="eastAsia" w:ascii="仿宋" w:hAnsi="仿宋" w:eastAsia="仿宋" w:cs="仿宋"/>
          <w:i w:val="0"/>
          <w:iCs w:val="0"/>
          <w:caps w:val="0"/>
          <w:color w:val="auto"/>
          <w:spacing w:val="0"/>
          <w:sz w:val="22"/>
          <w:szCs w:val="22"/>
          <w:highlight w:val="none"/>
          <w:shd w:val="clear" w:color="auto" w:fill="FFFFFF"/>
        </w:rPr>
        <w:t>的中国境内生产的组件成本占比≥</w:t>
      </w:r>
      <w:r>
        <w:rPr>
          <w:rStyle w:val="47"/>
          <w:rFonts w:hint="eastAsia" w:ascii="仿宋" w:hAnsi="仿宋" w:eastAsia="仿宋" w:cs="仿宋"/>
          <w:i w:val="0"/>
          <w:iCs w:val="0"/>
          <w:caps w:val="0"/>
          <w:color w:val="auto"/>
          <w:spacing w:val="0"/>
          <w:sz w:val="22"/>
          <w:szCs w:val="22"/>
          <w:highlight w:val="none"/>
          <w:shd w:val="clear" w:color="auto" w:fill="FFFFFF"/>
        </w:rPr>
        <w:t>（规定比例）</w:t>
      </w:r>
      <w:r>
        <w:rPr>
          <w:rFonts w:hint="eastAsia" w:ascii="仿宋" w:hAnsi="仿宋" w:eastAsia="仿宋" w:cs="仿宋"/>
          <w:i w:val="0"/>
          <w:iCs w:val="0"/>
          <w:caps w:val="0"/>
          <w:color w:val="auto"/>
          <w:spacing w:val="0"/>
          <w:sz w:val="22"/>
          <w:szCs w:val="22"/>
          <w:highlight w:val="none"/>
          <w:shd w:val="clear" w:color="auto" w:fill="FFFFFF"/>
        </w:rPr>
        <w:t>。</w:t>
      </w:r>
      <w:r>
        <w:rPr>
          <w:rStyle w:val="47"/>
          <w:rFonts w:hint="eastAsia" w:ascii="仿宋" w:hAnsi="仿宋" w:eastAsia="仿宋" w:cs="仿宋"/>
          <w:i w:val="0"/>
          <w:iCs w:val="0"/>
          <w:caps w:val="0"/>
          <w:color w:val="auto"/>
          <w:spacing w:val="0"/>
          <w:sz w:val="22"/>
          <w:szCs w:val="22"/>
          <w:highlight w:val="none"/>
          <w:shd w:val="clear" w:color="auto" w:fill="FFFFFF"/>
        </w:rPr>
        <w:t>（产品名称2）</w:t>
      </w:r>
      <w:r>
        <w:rPr>
          <w:rFonts w:hint="eastAsia" w:ascii="仿宋" w:hAnsi="仿宋" w:eastAsia="仿宋" w:cs="仿宋"/>
          <w:i w:val="0"/>
          <w:iCs w:val="0"/>
          <w:caps w:val="0"/>
          <w:color w:val="auto"/>
          <w:spacing w:val="0"/>
          <w:sz w:val="22"/>
          <w:szCs w:val="22"/>
          <w:highlight w:val="none"/>
          <w:shd w:val="clear" w:color="auto" w:fill="FFFFFF"/>
        </w:rPr>
        <w:t>的</w:t>
      </w:r>
      <w:r>
        <w:rPr>
          <w:rStyle w:val="47"/>
          <w:rFonts w:hint="eastAsia" w:ascii="仿宋" w:hAnsi="仿宋" w:eastAsia="仿宋" w:cs="仿宋"/>
          <w:i w:val="0"/>
          <w:iCs w:val="0"/>
          <w:caps w:val="0"/>
          <w:color w:val="auto"/>
          <w:spacing w:val="0"/>
          <w:sz w:val="22"/>
          <w:szCs w:val="22"/>
          <w:highlight w:val="none"/>
          <w:shd w:val="clear" w:color="auto" w:fill="FFFFFF"/>
        </w:rPr>
        <w:t>（关键组件）</w:t>
      </w:r>
      <w:r>
        <w:rPr>
          <w:rFonts w:hint="eastAsia" w:ascii="仿宋" w:hAnsi="仿宋" w:eastAsia="仿宋" w:cs="仿宋"/>
          <w:i w:val="0"/>
          <w:iCs w:val="0"/>
          <w:caps w:val="0"/>
          <w:color w:val="auto"/>
          <w:spacing w:val="0"/>
          <w:sz w:val="22"/>
          <w:szCs w:val="22"/>
          <w:highlight w:val="none"/>
          <w:shd w:val="clear" w:color="auto" w:fill="FFFFFF"/>
        </w:rPr>
        <w:t>在中国境内生产。</w:t>
      </w:r>
      <w:r>
        <w:rPr>
          <w:rStyle w:val="47"/>
          <w:rFonts w:hint="eastAsia" w:ascii="仿宋" w:hAnsi="仿宋" w:eastAsia="仿宋" w:cs="仿宋"/>
          <w:i w:val="0"/>
          <w:iCs w:val="0"/>
          <w:caps w:val="0"/>
          <w:color w:val="auto"/>
          <w:spacing w:val="0"/>
          <w:sz w:val="22"/>
          <w:szCs w:val="22"/>
          <w:highlight w:val="none"/>
          <w:shd w:val="clear" w:color="auto" w:fill="FFFFFF"/>
        </w:rPr>
        <w:t>（产品名称2）</w:t>
      </w:r>
      <w:r>
        <w:rPr>
          <w:rFonts w:hint="eastAsia" w:ascii="仿宋" w:hAnsi="仿宋" w:eastAsia="仿宋" w:cs="仿宋"/>
          <w:i w:val="0"/>
          <w:iCs w:val="0"/>
          <w:caps w:val="0"/>
          <w:color w:val="auto"/>
          <w:spacing w:val="0"/>
          <w:sz w:val="22"/>
          <w:szCs w:val="22"/>
          <w:highlight w:val="none"/>
          <w:shd w:val="clear" w:color="auto" w:fill="FFFFFF"/>
        </w:rPr>
        <w:t>的</w:t>
      </w:r>
      <w:r>
        <w:rPr>
          <w:rStyle w:val="47"/>
          <w:rFonts w:hint="eastAsia" w:ascii="仿宋" w:hAnsi="仿宋" w:eastAsia="仿宋" w:cs="仿宋"/>
          <w:i w:val="0"/>
          <w:iCs w:val="0"/>
          <w:caps w:val="0"/>
          <w:color w:val="auto"/>
          <w:spacing w:val="0"/>
          <w:sz w:val="22"/>
          <w:szCs w:val="22"/>
          <w:highlight w:val="none"/>
          <w:shd w:val="clear" w:color="auto" w:fill="FFFFFF"/>
        </w:rPr>
        <w:t>（关键工序）</w:t>
      </w:r>
      <w:r>
        <w:rPr>
          <w:rFonts w:hint="eastAsia" w:ascii="仿宋" w:hAnsi="仿宋" w:eastAsia="仿宋" w:cs="仿宋"/>
          <w:i w:val="0"/>
          <w:iCs w:val="0"/>
          <w:caps w:val="0"/>
          <w:color w:val="auto"/>
          <w:spacing w:val="0"/>
          <w:sz w:val="22"/>
          <w:szCs w:val="22"/>
          <w:highlight w:val="none"/>
          <w:shd w:val="clear" w:color="auto" w:fill="FFFFFF"/>
        </w:rPr>
        <w:t>在中国境内完成。</w:t>
      </w:r>
    </w:p>
    <w:p w14:paraId="5C9047DC">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w:t>
      </w:r>
    </w:p>
    <w:p w14:paraId="4575A63B">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本公司（单位）对上述声明内容的真实性负责。如有虚假，愿承担相应法律责任。</w:t>
      </w:r>
    </w:p>
    <w:p w14:paraId="0CCD897D">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公司（单位）名称（盖章）：      </w:t>
      </w:r>
    </w:p>
    <w:p w14:paraId="4F9CBD95">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仿宋" w:hAnsi="仿宋" w:eastAsia="仿宋" w:cs="仿宋"/>
          <w:i w:val="0"/>
          <w:iCs w:val="0"/>
          <w:caps w:val="0"/>
          <w:color w:val="auto"/>
          <w:spacing w:val="0"/>
          <w:sz w:val="22"/>
          <w:szCs w:val="22"/>
          <w:highlight w:val="none"/>
        </w:rPr>
      </w:pPr>
      <w:r>
        <w:rPr>
          <w:rFonts w:hint="eastAsia" w:ascii="仿宋" w:hAnsi="仿宋" w:eastAsia="仿宋" w:cs="仿宋"/>
          <w:i w:val="0"/>
          <w:iCs w:val="0"/>
          <w:caps w:val="0"/>
          <w:color w:val="auto"/>
          <w:spacing w:val="0"/>
          <w:sz w:val="22"/>
          <w:szCs w:val="22"/>
          <w:highlight w:val="none"/>
          <w:shd w:val="clear" w:color="auto" w:fill="FFFFFF"/>
        </w:rPr>
        <w:t>日期：　　　　　年　　月　日    </w:t>
      </w:r>
    </w:p>
    <w:p w14:paraId="59C22C31">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268981D8">
      <w:pPr>
        <w:pStyle w:val="3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64E38CF0">
      <w:pPr>
        <w:pStyle w:val="222"/>
        <w:spacing w:line="360" w:lineRule="auto"/>
        <w:ind w:firstLine="56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_____________________________</w:t>
      </w:r>
    </w:p>
    <w:p w14:paraId="00BF0AEE">
      <w:pPr>
        <w:pStyle w:val="222"/>
        <w:spacing w:line="360" w:lineRule="auto"/>
        <w:ind w:firstLine="56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1.产品如有型号，请在“产品名称”栏一并填写。</w:t>
      </w:r>
    </w:p>
    <w:p w14:paraId="627B49FC">
      <w:pPr>
        <w:pStyle w:val="222"/>
        <w:spacing w:line="360" w:lineRule="auto"/>
        <w:ind w:firstLine="56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2.生产厂名与厂址应与生产厂营业执照载明的相关信息保持一致。</w:t>
      </w:r>
    </w:p>
    <w:p w14:paraId="7F408080">
      <w:pPr>
        <w:pStyle w:val="222"/>
        <w:spacing w:line="360" w:lineRule="auto"/>
        <w:ind w:firstLine="56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3.该产品的中国境内生产的组件成本占比相关要求实施前，“规定比例”栏可不填，下同。</w:t>
      </w:r>
    </w:p>
    <w:p w14:paraId="4DB677E0">
      <w:pPr>
        <w:pStyle w:val="222"/>
        <w:spacing w:line="360" w:lineRule="auto"/>
        <w:ind w:firstLine="56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4.该产品的关键组件要求实施前，“关键组件”栏可不填，下同。</w:t>
      </w:r>
    </w:p>
    <w:p w14:paraId="3E656E3D">
      <w:pPr>
        <w:pStyle w:val="222"/>
        <w:spacing w:line="360" w:lineRule="auto"/>
        <w:ind w:firstLine="56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5.该产品的关键工序要求实施前，“关键工序”栏可不填，下同。</w:t>
      </w:r>
    </w:p>
    <w:p w14:paraId="5D24D53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Times New Roman" w:hAnsi="Times New Roman" w:eastAsia="Times New Roman" w:cs="Times New Roman"/>
          <w:b/>
          <w:color w:val="auto"/>
          <w:sz w:val="22"/>
          <w:highlight w:val="none"/>
        </w:rPr>
      </w:pPr>
    </w:p>
    <w:p w14:paraId="4A082A6F">
      <w:pPr>
        <w:rPr>
          <w:color w:val="auto"/>
          <w:highlight w:val="none"/>
        </w:rPr>
      </w:pPr>
      <w:r>
        <w:rPr>
          <w:color w:val="auto"/>
          <w:highlight w:val="none"/>
        </w:rPr>
        <w:br w:type="page" w:clear="all"/>
      </w:r>
    </w:p>
    <w:p w14:paraId="0AA02DB8">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p>
    <w:p w14:paraId="1D6C0452">
      <w:pPr>
        <w:pBdr>
          <w:top w:val="none" w:color="000000" w:sz="0" w:space="0"/>
          <w:left w:val="none" w:color="000000" w:sz="0" w:space="0"/>
          <w:bottom w:val="none" w:color="000000" w:sz="0" w:space="0"/>
          <w:right w:val="none" w:color="000000" w:sz="0" w:space="0"/>
        </w:pBdr>
        <w:spacing w:before="0" w:after="0" w:line="366" w:lineRule="atLeast"/>
        <w:ind w:left="160" w:right="0" w:firstLine="0"/>
        <w:rPr>
          <w:color w:val="auto"/>
          <w:highlight w:val="none"/>
        </w:rPr>
      </w:pPr>
      <w:r>
        <w:rPr>
          <w:rFonts w:ascii="仿宋" w:hAnsi="仿宋" w:eastAsia="仿宋" w:cs="仿宋"/>
          <w:b/>
          <w:color w:val="auto"/>
          <w:sz w:val="32"/>
          <w:highlight w:val="none"/>
        </w:rPr>
        <w:t>附件十</w:t>
      </w:r>
      <w:r>
        <w:rPr>
          <w:rFonts w:hint="eastAsia" w:ascii="仿宋" w:hAnsi="仿宋" w:eastAsia="仿宋" w:cs="仿宋"/>
          <w:b/>
          <w:color w:val="auto"/>
          <w:sz w:val="32"/>
          <w:highlight w:val="none"/>
          <w:lang w:val="en-US" w:eastAsia="zh-CN"/>
        </w:rPr>
        <w:t>二</w:t>
      </w:r>
      <w:r>
        <w:rPr>
          <w:rFonts w:ascii="仿宋" w:hAnsi="仿宋" w:eastAsia="仿宋" w:cs="仿宋"/>
          <w:b/>
          <w:color w:val="auto"/>
          <w:sz w:val="32"/>
          <w:highlight w:val="none"/>
        </w:rPr>
        <w:t>、招标文件要求及投标人认为需要提供的证明文件及材料等（格式自拟）</w:t>
      </w:r>
    </w:p>
    <w:p w14:paraId="1D797219">
      <w:pPr>
        <w:pBdr>
          <w:top w:val="none" w:color="000000" w:sz="0" w:space="0"/>
          <w:left w:val="none" w:color="000000" w:sz="0" w:space="0"/>
          <w:bottom w:val="none" w:color="000000" w:sz="0" w:space="0"/>
          <w:right w:val="none" w:color="000000" w:sz="0" w:space="0"/>
        </w:pBdr>
        <w:spacing w:before="71" w:after="0"/>
        <w:ind w:left="320" w:right="0" w:firstLine="0"/>
        <w:rPr>
          <w:color w:val="auto"/>
          <w:highlight w:val="none"/>
        </w:rPr>
      </w:pPr>
      <w:r>
        <w:rPr>
          <w:rFonts w:ascii="仿宋" w:hAnsi="仿宋" w:eastAsia="仿宋" w:cs="仿宋"/>
          <w:b/>
          <w:color w:val="auto"/>
          <w:sz w:val="32"/>
          <w:highlight w:val="none"/>
        </w:rPr>
        <w:t> </w:t>
      </w:r>
    </w:p>
    <w:p w14:paraId="3E9D03BE">
      <w:pPr>
        <w:pBdr>
          <w:top w:val="none" w:color="000000" w:sz="0" w:space="0"/>
          <w:left w:val="none" w:color="000000" w:sz="0" w:space="0"/>
          <w:bottom w:val="none" w:color="000000" w:sz="0" w:space="0"/>
          <w:right w:val="none" w:color="000000" w:sz="0" w:space="0"/>
        </w:pBdr>
        <w:spacing w:before="0" w:after="0" w:line="200" w:lineRule="atLeast"/>
        <w:ind w:left="0" w:right="0" w:firstLine="0"/>
        <w:rPr>
          <w:color w:val="auto"/>
          <w:highlight w:val="none"/>
        </w:rPr>
      </w:pPr>
      <w:r>
        <w:rPr>
          <w:rFonts w:ascii="仿宋" w:hAnsi="仿宋" w:eastAsia="仿宋" w:cs="仿宋"/>
          <w:color w:val="auto"/>
          <w:sz w:val="22"/>
          <w:highlight w:val="none"/>
        </w:rPr>
        <w:t> </w:t>
      </w:r>
    </w:p>
    <w:p w14:paraId="521DFAE4">
      <w:pPr>
        <w:pBdr>
          <w:top w:val="none" w:color="000000" w:sz="0" w:space="0"/>
          <w:left w:val="none" w:color="000000" w:sz="0" w:space="0"/>
          <w:bottom w:val="none" w:color="000000" w:sz="0" w:space="0"/>
          <w:right w:val="none" w:color="000000" w:sz="0" w:space="0"/>
        </w:pBdr>
        <w:spacing w:before="0" w:after="0" w:line="200" w:lineRule="atLeast"/>
        <w:ind w:left="0" w:right="0" w:firstLine="0"/>
        <w:rPr>
          <w:rFonts w:ascii="仿宋" w:hAnsi="仿宋" w:eastAsia="仿宋" w:cs="仿宋"/>
          <w:color w:val="auto"/>
          <w:sz w:val="22"/>
          <w:highlight w:val="none"/>
        </w:rPr>
      </w:pPr>
      <w:r>
        <w:rPr>
          <w:rFonts w:ascii="仿宋" w:hAnsi="仿宋" w:eastAsia="仿宋" w:cs="仿宋"/>
          <w:color w:val="auto"/>
          <w:sz w:val="22"/>
          <w:highlight w:val="none"/>
        </w:rPr>
        <w:t> </w:t>
      </w:r>
    </w:p>
    <w:p w14:paraId="13FAF71B">
      <w:pPr>
        <w:rPr>
          <w:color w:val="auto"/>
          <w:highlight w:val="none"/>
        </w:rPr>
      </w:pPr>
    </w:p>
    <w:bookmarkEnd w:id="81"/>
    <w:sectPr>
      <w:footerReference r:id="rId7" w:type="default"/>
      <w:type w:val="continuous"/>
      <w:pgSz w:w="11911" w:h="16840"/>
      <w:pgMar w:top="799" w:right="1321" w:bottom="1321" w:left="1100" w:header="0" w:footer="1123"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1BCF1">
    <w:pPr>
      <w:pStyle w:val="17"/>
      <w:spacing w:line="14" w:lineRule="auto"/>
      <w:rPr>
        <w:sz w:val="19"/>
      </w:rPr>
    </w:pPr>
    <w:r>
      <w:rPr>
        <w:lang w:val="en-US" w:bidi="ar-SA"/>
      </w:rPr>
      <mc:AlternateContent>
        <mc:Choice Requires="wps">
          <w:drawing>
            <wp:anchor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2AFD6D84">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314.75pt;margin-top:770.85pt;height:12pt;width:13.15pt;mso-position-horizontal-relative:page;mso-position-vertical-relative:page;z-index:-251656192;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nCyU3aAAAADQEAAA8AAAAAAAAAAQAgAAAA&#10;IgAAAGRycy9kb3ducmV2LnhtbFBLAQIUABQAAAAIAIdO4kCFvRr90AEAAJcDAAAOAAAAAAAAAAEA&#10;IAAAACkBAABkcnMvZTJvRG9jLnhtbFBLBQYAAAAABgAGAFkBAABrBQAAAAA=&#10;">
              <v:fill on="f" focussize="0,0"/>
              <v:stroke on="f" joinstyle="miter"/>
              <v:imagedata o:title=""/>
              <o:lock v:ext="edit" aspectratio="f"/>
              <v:textbox inset="0mm,0mm,0mm,0mm">
                <w:txbxContent>
                  <w:p w14:paraId="2AFD6D84">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FE69A">
    <w:pPr>
      <w:pStyle w:val="17"/>
      <w:spacing w:line="14" w:lineRule="auto"/>
      <w:rPr>
        <w:sz w:val="19"/>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6A8BE01E">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314.75pt;margin-top:770.85pt;height:12pt;width:13.15pt;mso-position-horizontal-relative:page;mso-position-vertical-relative:page;z-index:-251657216;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5wslN2gAAAA0BAAAPAAAAAAAAAAEAIAAA&#10;ACIAAABkcnMvZG93bnJldi54bWxQSwECFAAUAAAACACHTuJAvqTyEdEBAACXAwAADgAAAAAAAAAB&#10;ACAAAAApAQAAZHJzL2Uyb0RvYy54bWxQSwUGAAAAAAYABgBZAQAAbAUAAAAA&#10;">
              <v:fill on="f" focussize="0,0"/>
              <v:stroke on="f" joinstyle="miter"/>
              <v:imagedata o:title=""/>
              <o:lock v:ext="edit" aspectratio="f"/>
              <v:textbox inset="0mm,0mm,0mm,0mm">
                <w:txbxContent>
                  <w:p w14:paraId="6A8BE01E">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2436E">
    <w:pPr>
      <w:pStyle w:val="17"/>
      <w:spacing w:line="14" w:lineRule="auto"/>
      <w:rPr>
        <w:sz w:val="19"/>
      </w:rPr>
    </w:pPr>
    <w:r>
      <w:rPr>
        <w:lang w:val="en-US" w:bidi="ar-SA"/>
      </w:rPr>
      <mc:AlternateContent>
        <mc:Choice Requires="wps">
          <w:drawing>
            <wp:anchor distT="0" distB="0" distL="114300" distR="114300" simplePos="0" relativeHeight="251663360"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5CA742EF">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20</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314.75pt;margin-top:770.85pt;height:12pt;width:13.15pt;mso-position-horizontal-relative:page;mso-position-vertical-relative:page;z-index:-251653120;mso-width-relative:page;mso-height-relative:page;" filled="f" stroked="f" coordsize="21600,21600" o:gfxdata="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ecLJTdoAAAANAQAADwAAAAAAAAABACAA&#10;AAAiAAAAZHJzL2Rvd25yZXYueG1sUEsBAhQAFAAAAAgAh07iQGiuhfzSAQAAlwMAAA4AAAAAAAAA&#10;AQAgAAAAKQEAAGRycy9lMm9Eb2MueG1sUEsFBgAAAAAGAAYAWQEAAG0FAAAAAA==&#10;">
              <v:fill on="f" focussize="0,0"/>
              <v:stroke on="f" joinstyle="miter"/>
              <v:imagedata o:title=""/>
              <o:lock v:ext="edit" aspectratio="f"/>
              <v:textbox inset="0mm,0mm,0mm,0mm">
                <w:txbxContent>
                  <w:p w14:paraId="5CA742EF">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FBBC7">
    <w:pPr>
      <w:pStyle w:val="17"/>
      <w:spacing w:line="14" w:lineRule="auto"/>
      <w:rPr>
        <w:sz w:val="12"/>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miter/>
                      </a:ln>
                    </wps:spPr>
                    <wps:txbx>
                      <w:txbxContent>
                        <w:p w14:paraId="375DF375">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91.2pt;margin-top:781.15pt;height:12pt;width:13.15pt;mso-position-horizontal-relative:page;mso-position-vertical-relative:page;z-index:-251657216;mso-width-relative:page;mso-height-relative:page;" filled="f" stroked="f" coordsize="21600,21600" o:gfxdata="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0rADM9sAAAANAQAADwAAAAAAAAABACAA&#10;AAAiAAAAZHJzL2Rvd25yZXYueG1sUEsBAhQAFAAAAAgAh07iQGSDzBLRAQAAlwMAAA4AAAAAAAAA&#10;AQAgAAAAKgEAAGRycy9lMm9Eb2MueG1sUEsFBgAAAAAGAAYAWQEAAG0FAAAAAA==&#10;">
              <v:fill on="f" focussize="0,0"/>
              <v:stroke on="f" joinstyle="miter"/>
              <v:imagedata o:title=""/>
              <o:lock v:ext="edit" aspectratio="f"/>
              <v:textbox inset="0mm,0mm,0mm,0mm">
                <w:txbxContent>
                  <w:p w14:paraId="375DF375">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BE4CA">
    <w:pPr>
      <w:pStyle w:val="28"/>
      <w:jc w:val="center"/>
    </w:pPr>
    <w:r>
      <w:rPr>
        <w:lang w:val="en-US" w:bidi="ar-SA"/>
      </w:rPr>
      <mc:AlternateContent>
        <mc:Choice Requires="wps">
          <w:drawing>
            <wp:anchor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57D3380">
                          <w:pPr>
                            <w:pStyle w:val="28"/>
                            <w:jc w:val="center"/>
                          </w:pPr>
                          <w:r>
                            <w:fldChar w:fldCharType="begin"/>
                          </w:r>
                          <w:r>
                            <w:instrText xml:space="preserve"> PAGE   \* MERGEFORMAT </w:instrText>
                          </w:r>
                          <w:r>
                            <w:fldChar w:fldCharType="separate"/>
                          </w:r>
                          <w:r>
                            <w:t>58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314.75pt;margin-top:770.85pt;height:144pt;width:144pt;mso-position-horizontal-relative:page;mso-position-vertical-relative:page;mso-wrap-style:none;z-index:251662336;mso-width-relative:page;mso-height-relative:page;" filled="f" stroked="f" coordsize="21600,21600" o:gfxdata="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iX/YS2AAAAA0BAAAPAAAAAAAAAAEA&#10;IAAAACIAAABkcnMvZG93bnJldi54bWxQSwECFAAUAAAACACHTuJArkoXj9YBAACxAwAADgAAAAAA&#10;AAABACAAAAAnAQAAZHJzL2Uyb0RvYy54bWxQSwUGAAAAAAYABgBZAQAAbwUAAAAA&#10;">
              <v:fill on="f" focussize="0,0"/>
              <v:stroke on="f" joinstyle="miter"/>
              <v:imagedata o:title=""/>
              <o:lock v:ext="edit" aspectratio="f"/>
              <v:textbox inset="0mm,0mm,0mm,0mm" style="mso-fit-shape-to-text:t;">
                <w:txbxContent>
                  <w:p w14:paraId="257D3380">
                    <w:pPr>
                      <w:pStyle w:val="28"/>
                      <w:jc w:val="center"/>
                    </w:pPr>
                    <w:r>
                      <w:fldChar w:fldCharType="begin"/>
                    </w:r>
                    <w:r>
                      <w:instrText xml:space="preserve"> PAGE   \* MERGEFORMAT </w:instrText>
                    </w:r>
                    <w:r>
                      <w:fldChar w:fldCharType="separate"/>
                    </w:r>
                    <w:r>
                      <w:t>58</w:t>
                    </w:r>
                    <w:r>
                      <w:fldChar w:fldCharType="end"/>
                    </w:r>
                  </w:p>
                </w:txbxContent>
              </v:textbox>
            </v:shape>
          </w:pict>
        </mc:Fallback>
      </mc:AlternateContent>
    </w:r>
  </w:p>
  <w:p w14:paraId="1E85FC32">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647B9"/>
    <w:multiLevelType w:val="singleLevel"/>
    <w:tmpl w:val="A7E647B9"/>
    <w:lvl w:ilvl="0" w:tentative="0">
      <w:start w:val="6"/>
      <w:numFmt w:val="decimal"/>
      <w:suff w:val="nothing"/>
      <w:lvlText w:val="%1、"/>
      <w:lvlJc w:val="left"/>
    </w:lvl>
  </w:abstractNum>
  <w:abstractNum w:abstractNumId="1">
    <w:nsid w:val="BF599861"/>
    <w:multiLevelType w:val="singleLevel"/>
    <w:tmpl w:val="BF599861"/>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pStyle w:val="20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19"/>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xMDhkNjY2M2IzOTU1Y2I4MDA5YzU0ZTg4OWQxNmEifQ=="/>
  </w:docVars>
  <w:rsids>
    <w:rsidRoot w:val="00000000"/>
    <w:rsid w:val="020277D8"/>
    <w:rsid w:val="0254064A"/>
    <w:rsid w:val="034C1641"/>
    <w:rsid w:val="038A7BB5"/>
    <w:rsid w:val="03A64F1C"/>
    <w:rsid w:val="03DF93AC"/>
    <w:rsid w:val="04C55AEE"/>
    <w:rsid w:val="06FFFF41"/>
    <w:rsid w:val="079C66E9"/>
    <w:rsid w:val="07E58964"/>
    <w:rsid w:val="07F79CC0"/>
    <w:rsid w:val="07FAA4EE"/>
    <w:rsid w:val="08161C67"/>
    <w:rsid w:val="0929074D"/>
    <w:rsid w:val="0A6C6E3A"/>
    <w:rsid w:val="0AFC01FB"/>
    <w:rsid w:val="0B03748D"/>
    <w:rsid w:val="0B285D77"/>
    <w:rsid w:val="0D4C7ED9"/>
    <w:rsid w:val="0E7F9C76"/>
    <w:rsid w:val="0EAB5D11"/>
    <w:rsid w:val="0F48482E"/>
    <w:rsid w:val="0F7D8461"/>
    <w:rsid w:val="0FD3269D"/>
    <w:rsid w:val="0FDEC29A"/>
    <w:rsid w:val="0FFE9E46"/>
    <w:rsid w:val="115803F4"/>
    <w:rsid w:val="12C3563F"/>
    <w:rsid w:val="1336140F"/>
    <w:rsid w:val="1367E409"/>
    <w:rsid w:val="14490FB4"/>
    <w:rsid w:val="15BA0B48"/>
    <w:rsid w:val="15DFF2FA"/>
    <w:rsid w:val="173E4E10"/>
    <w:rsid w:val="177CD667"/>
    <w:rsid w:val="177F0F91"/>
    <w:rsid w:val="17BD24AF"/>
    <w:rsid w:val="18FEC690"/>
    <w:rsid w:val="1A79F987"/>
    <w:rsid w:val="1AECBF11"/>
    <w:rsid w:val="1AEFAF55"/>
    <w:rsid w:val="1B1B139E"/>
    <w:rsid w:val="1B77BEFE"/>
    <w:rsid w:val="1B7E70EE"/>
    <w:rsid w:val="1B7F1C4D"/>
    <w:rsid w:val="1BAEC4E7"/>
    <w:rsid w:val="1BBF6459"/>
    <w:rsid w:val="1BD50639"/>
    <w:rsid w:val="1BDF91E4"/>
    <w:rsid w:val="1C254FC6"/>
    <w:rsid w:val="1C30337E"/>
    <w:rsid w:val="1C47D77C"/>
    <w:rsid w:val="1D7E8272"/>
    <w:rsid w:val="1DF5E767"/>
    <w:rsid w:val="1DFF8D0C"/>
    <w:rsid w:val="1E053855"/>
    <w:rsid w:val="1E2F13F8"/>
    <w:rsid w:val="1E5B07EC"/>
    <w:rsid w:val="1E77EEA7"/>
    <w:rsid w:val="1EF9E816"/>
    <w:rsid w:val="1EFD336C"/>
    <w:rsid w:val="1EFF1127"/>
    <w:rsid w:val="1F7BBB08"/>
    <w:rsid w:val="1F7CE604"/>
    <w:rsid w:val="1F7FC15E"/>
    <w:rsid w:val="1FAF80F4"/>
    <w:rsid w:val="1FBBB330"/>
    <w:rsid w:val="1FBF1FFD"/>
    <w:rsid w:val="1FCFBB4E"/>
    <w:rsid w:val="1FDA5110"/>
    <w:rsid w:val="1FEFF809"/>
    <w:rsid w:val="1FF9C6DA"/>
    <w:rsid w:val="1FFF6436"/>
    <w:rsid w:val="21DD6783"/>
    <w:rsid w:val="22BFAA8D"/>
    <w:rsid w:val="22EFE434"/>
    <w:rsid w:val="237F01C8"/>
    <w:rsid w:val="239FD262"/>
    <w:rsid w:val="23BFE434"/>
    <w:rsid w:val="25CF5587"/>
    <w:rsid w:val="25F6B81B"/>
    <w:rsid w:val="25FF0081"/>
    <w:rsid w:val="25FF81F1"/>
    <w:rsid w:val="25FFFFF8"/>
    <w:rsid w:val="278F781E"/>
    <w:rsid w:val="27EDE58F"/>
    <w:rsid w:val="27EEAF07"/>
    <w:rsid w:val="27F73064"/>
    <w:rsid w:val="27FF26B0"/>
    <w:rsid w:val="295B7AFB"/>
    <w:rsid w:val="29DF7A34"/>
    <w:rsid w:val="2A5E001B"/>
    <w:rsid w:val="2AFF1E1F"/>
    <w:rsid w:val="2BBB1A6A"/>
    <w:rsid w:val="2BBFD1A3"/>
    <w:rsid w:val="2BFDD589"/>
    <w:rsid w:val="2CBB45DE"/>
    <w:rsid w:val="2CBD4902"/>
    <w:rsid w:val="2D77C061"/>
    <w:rsid w:val="2DAD5D50"/>
    <w:rsid w:val="2DB00298"/>
    <w:rsid w:val="2DFF88A9"/>
    <w:rsid w:val="2E7F15E7"/>
    <w:rsid w:val="2EDA3E87"/>
    <w:rsid w:val="2F2CA244"/>
    <w:rsid w:val="2F2F2EBB"/>
    <w:rsid w:val="2F6E6FA7"/>
    <w:rsid w:val="2F82A133"/>
    <w:rsid w:val="2F92733E"/>
    <w:rsid w:val="2F96510D"/>
    <w:rsid w:val="2FC7DB2C"/>
    <w:rsid w:val="2FD3B0AD"/>
    <w:rsid w:val="2FDFCD38"/>
    <w:rsid w:val="2FFF5D4C"/>
    <w:rsid w:val="2FFF9EE6"/>
    <w:rsid w:val="2FFFB41E"/>
    <w:rsid w:val="2FFFD135"/>
    <w:rsid w:val="317AFC29"/>
    <w:rsid w:val="31A57A34"/>
    <w:rsid w:val="31F76866"/>
    <w:rsid w:val="320A0D65"/>
    <w:rsid w:val="3259262F"/>
    <w:rsid w:val="32610B0E"/>
    <w:rsid w:val="32F86D52"/>
    <w:rsid w:val="337F4DC6"/>
    <w:rsid w:val="33A04957"/>
    <w:rsid w:val="33F3D982"/>
    <w:rsid w:val="33F75308"/>
    <w:rsid w:val="33FA8F8C"/>
    <w:rsid w:val="33FB759F"/>
    <w:rsid w:val="33FE06F6"/>
    <w:rsid w:val="33FED301"/>
    <w:rsid w:val="34B4F528"/>
    <w:rsid w:val="34C9D04C"/>
    <w:rsid w:val="35995B6E"/>
    <w:rsid w:val="35CF741D"/>
    <w:rsid w:val="35DF0A68"/>
    <w:rsid w:val="35F976EA"/>
    <w:rsid w:val="35FE13EC"/>
    <w:rsid w:val="35FF29E7"/>
    <w:rsid w:val="35FF5C14"/>
    <w:rsid w:val="362211A7"/>
    <w:rsid w:val="363B1180"/>
    <w:rsid w:val="36739832"/>
    <w:rsid w:val="36DFE44F"/>
    <w:rsid w:val="36FC9ECE"/>
    <w:rsid w:val="3725D1AB"/>
    <w:rsid w:val="37368566"/>
    <w:rsid w:val="377B27EC"/>
    <w:rsid w:val="37AFEF81"/>
    <w:rsid w:val="37D2C9F2"/>
    <w:rsid w:val="37DF347D"/>
    <w:rsid w:val="37DFE467"/>
    <w:rsid w:val="37EA795A"/>
    <w:rsid w:val="37EFD742"/>
    <w:rsid w:val="37F6827E"/>
    <w:rsid w:val="37F7B24E"/>
    <w:rsid w:val="37FD0EF5"/>
    <w:rsid w:val="37FD82EF"/>
    <w:rsid w:val="384229DF"/>
    <w:rsid w:val="38B6449B"/>
    <w:rsid w:val="38F49D77"/>
    <w:rsid w:val="399F48B0"/>
    <w:rsid w:val="39D6429C"/>
    <w:rsid w:val="39D7E6C3"/>
    <w:rsid w:val="39DBE7A9"/>
    <w:rsid w:val="39F53CDA"/>
    <w:rsid w:val="3A7ACAB5"/>
    <w:rsid w:val="3A7D0010"/>
    <w:rsid w:val="3ADE933F"/>
    <w:rsid w:val="3AFF96DF"/>
    <w:rsid w:val="3B5E620C"/>
    <w:rsid w:val="3B76A110"/>
    <w:rsid w:val="3BBDD95C"/>
    <w:rsid w:val="3BBF412A"/>
    <w:rsid w:val="3BD1D93C"/>
    <w:rsid w:val="3BDF3FEE"/>
    <w:rsid w:val="3BE79389"/>
    <w:rsid w:val="3BE797FC"/>
    <w:rsid w:val="3BEFF253"/>
    <w:rsid w:val="3BFB9559"/>
    <w:rsid w:val="3BFF0492"/>
    <w:rsid w:val="3BFFD1FD"/>
    <w:rsid w:val="3C1638F5"/>
    <w:rsid w:val="3C79531E"/>
    <w:rsid w:val="3CC30280"/>
    <w:rsid w:val="3CFB1A91"/>
    <w:rsid w:val="3CFECB50"/>
    <w:rsid w:val="3D62BFC5"/>
    <w:rsid w:val="3D7EEAC1"/>
    <w:rsid w:val="3DB8124F"/>
    <w:rsid w:val="3DD79ECB"/>
    <w:rsid w:val="3DDE89ED"/>
    <w:rsid w:val="3DDFBE14"/>
    <w:rsid w:val="3DF50989"/>
    <w:rsid w:val="3DF702DD"/>
    <w:rsid w:val="3DF7E65A"/>
    <w:rsid w:val="3DFB41CE"/>
    <w:rsid w:val="3DFF382D"/>
    <w:rsid w:val="3DFFAE3C"/>
    <w:rsid w:val="3E2BC14B"/>
    <w:rsid w:val="3E3F50DE"/>
    <w:rsid w:val="3E6673BD"/>
    <w:rsid w:val="3E67A87B"/>
    <w:rsid w:val="3E6D0E23"/>
    <w:rsid w:val="3E6D150D"/>
    <w:rsid w:val="3E6F3D6E"/>
    <w:rsid w:val="3E77A026"/>
    <w:rsid w:val="3E7D1EAA"/>
    <w:rsid w:val="3E7F9D7B"/>
    <w:rsid w:val="3E96D71F"/>
    <w:rsid w:val="3E9E5B78"/>
    <w:rsid w:val="3E9EC9B3"/>
    <w:rsid w:val="3EB63C1D"/>
    <w:rsid w:val="3EBB2C5B"/>
    <w:rsid w:val="3EDFF36B"/>
    <w:rsid w:val="3EE66ADE"/>
    <w:rsid w:val="3EF39579"/>
    <w:rsid w:val="3EFB2473"/>
    <w:rsid w:val="3EFBB5FA"/>
    <w:rsid w:val="3EFDABCD"/>
    <w:rsid w:val="3EFF1799"/>
    <w:rsid w:val="3EFF66AA"/>
    <w:rsid w:val="3F375DC7"/>
    <w:rsid w:val="3F43AF0B"/>
    <w:rsid w:val="3F51B04B"/>
    <w:rsid w:val="3F57540D"/>
    <w:rsid w:val="3F5DF2D3"/>
    <w:rsid w:val="3F6FEBDE"/>
    <w:rsid w:val="3F7F9BEA"/>
    <w:rsid w:val="3F7FA166"/>
    <w:rsid w:val="3F9F3E31"/>
    <w:rsid w:val="3FAFF992"/>
    <w:rsid w:val="3FB7BA65"/>
    <w:rsid w:val="3FBA631D"/>
    <w:rsid w:val="3FBB1332"/>
    <w:rsid w:val="3FBF0C82"/>
    <w:rsid w:val="3FD75F98"/>
    <w:rsid w:val="3FD788CC"/>
    <w:rsid w:val="3FDEEF95"/>
    <w:rsid w:val="3FDF184F"/>
    <w:rsid w:val="3FDF5166"/>
    <w:rsid w:val="3FDFC457"/>
    <w:rsid w:val="3FE26AEA"/>
    <w:rsid w:val="3FE8CD1C"/>
    <w:rsid w:val="3FEB9F40"/>
    <w:rsid w:val="3FEEB1C2"/>
    <w:rsid w:val="3FF6045C"/>
    <w:rsid w:val="3FF7771D"/>
    <w:rsid w:val="3FF99B36"/>
    <w:rsid w:val="3FFB0E13"/>
    <w:rsid w:val="3FFB5B31"/>
    <w:rsid w:val="3FFD3674"/>
    <w:rsid w:val="3FFEEE84"/>
    <w:rsid w:val="3FFF0FCC"/>
    <w:rsid w:val="3FFF611F"/>
    <w:rsid w:val="3FFFA74B"/>
    <w:rsid w:val="3FFFE526"/>
    <w:rsid w:val="3FFFEDBD"/>
    <w:rsid w:val="3FFFF520"/>
    <w:rsid w:val="42BF0428"/>
    <w:rsid w:val="433D3398"/>
    <w:rsid w:val="437BE71D"/>
    <w:rsid w:val="45F7A6D1"/>
    <w:rsid w:val="45FC3543"/>
    <w:rsid w:val="45FFA184"/>
    <w:rsid w:val="46BB1D0D"/>
    <w:rsid w:val="46D672ED"/>
    <w:rsid w:val="473C453F"/>
    <w:rsid w:val="47CB79E2"/>
    <w:rsid w:val="47DF7921"/>
    <w:rsid w:val="47EF0330"/>
    <w:rsid w:val="4AF861F6"/>
    <w:rsid w:val="4B9F0BBE"/>
    <w:rsid w:val="4BAFF7E5"/>
    <w:rsid w:val="4BEB408E"/>
    <w:rsid w:val="4BEE54CC"/>
    <w:rsid w:val="4BEF10CE"/>
    <w:rsid w:val="4BEFEA9D"/>
    <w:rsid w:val="4BFB49C5"/>
    <w:rsid w:val="4CFFA794"/>
    <w:rsid w:val="4D6A0A74"/>
    <w:rsid w:val="4D6FC2AD"/>
    <w:rsid w:val="4DAD3AA0"/>
    <w:rsid w:val="4DBF9D9A"/>
    <w:rsid w:val="4DBFE54D"/>
    <w:rsid w:val="4DED37E6"/>
    <w:rsid w:val="4DFEBFC5"/>
    <w:rsid w:val="4E2D38EB"/>
    <w:rsid w:val="4E7FA9C3"/>
    <w:rsid w:val="4E9D4B4A"/>
    <w:rsid w:val="4E9F9D61"/>
    <w:rsid w:val="4EA62FF4"/>
    <w:rsid w:val="4EBCDCC2"/>
    <w:rsid w:val="4ED82367"/>
    <w:rsid w:val="4EF28A88"/>
    <w:rsid w:val="4EFC5ECE"/>
    <w:rsid w:val="4EFFABD0"/>
    <w:rsid w:val="4F5EC2D1"/>
    <w:rsid w:val="4F65DB8A"/>
    <w:rsid w:val="4F79094E"/>
    <w:rsid w:val="4F7AA46A"/>
    <w:rsid w:val="4F872AD6"/>
    <w:rsid w:val="4F95D4AF"/>
    <w:rsid w:val="4FBB049D"/>
    <w:rsid w:val="4FD79CE8"/>
    <w:rsid w:val="4FDF4CD0"/>
    <w:rsid w:val="4FE6305D"/>
    <w:rsid w:val="4FEBE207"/>
    <w:rsid w:val="4FEE539F"/>
    <w:rsid w:val="4FEF68B9"/>
    <w:rsid w:val="4FFFD1ED"/>
    <w:rsid w:val="50FD0FFB"/>
    <w:rsid w:val="51BF171C"/>
    <w:rsid w:val="51E47B38"/>
    <w:rsid w:val="51FF14AC"/>
    <w:rsid w:val="537E8BE4"/>
    <w:rsid w:val="53FEE324"/>
    <w:rsid w:val="555DB467"/>
    <w:rsid w:val="55AA23A8"/>
    <w:rsid w:val="55BDE2DD"/>
    <w:rsid w:val="55CFC832"/>
    <w:rsid w:val="55FFCC89"/>
    <w:rsid w:val="568B9164"/>
    <w:rsid w:val="56DD4FAE"/>
    <w:rsid w:val="573BB149"/>
    <w:rsid w:val="576321CA"/>
    <w:rsid w:val="576F3CCF"/>
    <w:rsid w:val="579F1512"/>
    <w:rsid w:val="57ABBF31"/>
    <w:rsid w:val="57D92C15"/>
    <w:rsid w:val="57E767C7"/>
    <w:rsid w:val="57F067B6"/>
    <w:rsid w:val="57F2006E"/>
    <w:rsid w:val="57F6A87E"/>
    <w:rsid w:val="57FDAD4A"/>
    <w:rsid w:val="57FE22E9"/>
    <w:rsid w:val="57FE6471"/>
    <w:rsid w:val="57FEEEE6"/>
    <w:rsid w:val="57FF0B04"/>
    <w:rsid w:val="57FFC1E7"/>
    <w:rsid w:val="586DCB8B"/>
    <w:rsid w:val="587F8F2B"/>
    <w:rsid w:val="58ABAC87"/>
    <w:rsid w:val="58EBDDC2"/>
    <w:rsid w:val="593EFEA6"/>
    <w:rsid w:val="597F52FF"/>
    <w:rsid w:val="599E08D3"/>
    <w:rsid w:val="59FB8326"/>
    <w:rsid w:val="59FD3D14"/>
    <w:rsid w:val="59FD8E06"/>
    <w:rsid w:val="59FF67F2"/>
    <w:rsid w:val="5AB74B85"/>
    <w:rsid w:val="5AF7B1A7"/>
    <w:rsid w:val="5AFBF031"/>
    <w:rsid w:val="5AFE2E90"/>
    <w:rsid w:val="5B37D804"/>
    <w:rsid w:val="5B7A6BF0"/>
    <w:rsid w:val="5BA7B4B7"/>
    <w:rsid w:val="5BDEEA12"/>
    <w:rsid w:val="5BEBC481"/>
    <w:rsid w:val="5BFEF08A"/>
    <w:rsid w:val="5BFF6164"/>
    <w:rsid w:val="5CDEE758"/>
    <w:rsid w:val="5D37BB0D"/>
    <w:rsid w:val="5D6C6A2D"/>
    <w:rsid w:val="5D773838"/>
    <w:rsid w:val="5D7F4D3E"/>
    <w:rsid w:val="5D9E5E39"/>
    <w:rsid w:val="5DAF678B"/>
    <w:rsid w:val="5DBEBB7A"/>
    <w:rsid w:val="5DBFE288"/>
    <w:rsid w:val="5DCFDCFC"/>
    <w:rsid w:val="5DD55BAA"/>
    <w:rsid w:val="5DDDF843"/>
    <w:rsid w:val="5DDFE4E0"/>
    <w:rsid w:val="5DE717DE"/>
    <w:rsid w:val="5DE71F69"/>
    <w:rsid w:val="5DE73A7D"/>
    <w:rsid w:val="5DE77347"/>
    <w:rsid w:val="5DF72C0E"/>
    <w:rsid w:val="5DFB89C5"/>
    <w:rsid w:val="5DFE075F"/>
    <w:rsid w:val="5DFF9AE9"/>
    <w:rsid w:val="5E1F9168"/>
    <w:rsid w:val="5E6E2A1B"/>
    <w:rsid w:val="5E6F87DF"/>
    <w:rsid w:val="5E75BE09"/>
    <w:rsid w:val="5E8D6DC6"/>
    <w:rsid w:val="5EBBFD61"/>
    <w:rsid w:val="5EBF5ABD"/>
    <w:rsid w:val="5ED26F61"/>
    <w:rsid w:val="5ED54EA5"/>
    <w:rsid w:val="5EDF6C67"/>
    <w:rsid w:val="5EEAF1F6"/>
    <w:rsid w:val="5EEF68D8"/>
    <w:rsid w:val="5EEFD7B3"/>
    <w:rsid w:val="5EF1592C"/>
    <w:rsid w:val="5EF711DF"/>
    <w:rsid w:val="5EF7AD5A"/>
    <w:rsid w:val="5EFDF99F"/>
    <w:rsid w:val="5EFF65E7"/>
    <w:rsid w:val="5EFFC5CD"/>
    <w:rsid w:val="5F1A580A"/>
    <w:rsid w:val="5F39EECE"/>
    <w:rsid w:val="5F45E813"/>
    <w:rsid w:val="5F5EF635"/>
    <w:rsid w:val="5F7FC27F"/>
    <w:rsid w:val="5F7FDB6E"/>
    <w:rsid w:val="5F7FF498"/>
    <w:rsid w:val="5F9555DD"/>
    <w:rsid w:val="5F9D954E"/>
    <w:rsid w:val="5FA5CC3B"/>
    <w:rsid w:val="5FB1358B"/>
    <w:rsid w:val="5FBC5BE8"/>
    <w:rsid w:val="5FBD4A3E"/>
    <w:rsid w:val="5FBDB348"/>
    <w:rsid w:val="5FBEAAD8"/>
    <w:rsid w:val="5FBFBE42"/>
    <w:rsid w:val="5FBFC962"/>
    <w:rsid w:val="5FCA1805"/>
    <w:rsid w:val="5FDD5B1F"/>
    <w:rsid w:val="5FDDA73B"/>
    <w:rsid w:val="5FE77217"/>
    <w:rsid w:val="5FED6944"/>
    <w:rsid w:val="5FF7C5A6"/>
    <w:rsid w:val="5FF926CF"/>
    <w:rsid w:val="5FFB7AAA"/>
    <w:rsid w:val="5FFB8DBB"/>
    <w:rsid w:val="5FFBC4A8"/>
    <w:rsid w:val="5FFBEFD0"/>
    <w:rsid w:val="5FFD559A"/>
    <w:rsid w:val="5FFE37F2"/>
    <w:rsid w:val="5FFF19DD"/>
    <w:rsid w:val="5FFF9B6D"/>
    <w:rsid w:val="5FFFFC2A"/>
    <w:rsid w:val="60DE47CB"/>
    <w:rsid w:val="6179FAC8"/>
    <w:rsid w:val="62BB4B14"/>
    <w:rsid w:val="633CE48B"/>
    <w:rsid w:val="6396D834"/>
    <w:rsid w:val="63B5563F"/>
    <w:rsid w:val="63EEE6E2"/>
    <w:rsid w:val="640D6E14"/>
    <w:rsid w:val="64A92394"/>
    <w:rsid w:val="64FB0FAA"/>
    <w:rsid w:val="6547D6BE"/>
    <w:rsid w:val="656FD603"/>
    <w:rsid w:val="65AF6F83"/>
    <w:rsid w:val="65F35199"/>
    <w:rsid w:val="65F75415"/>
    <w:rsid w:val="666ABD81"/>
    <w:rsid w:val="667A9CA1"/>
    <w:rsid w:val="66DF2265"/>
    <w:rsid w:val="66EFE836"/>
    <w:rsid w:val="66F77FA9"/>
    <w:rsid w:val="66FB8418"/>
    <w:rsid w:val="66FF7DEB"/>
    <w:rsid w:val="672F0676"/>
    <w:rsid w:val="676980F1"/>
    <w:rsid w:val="677B0590"/>
    <w:rsid w:val="678FAB44"/>
    <w:rsid w:val="67B7B1F9"/>
    <w:rsid w:val="67DBADD0"/>
    <w:rsid w:val="67E5FB16"/>
    <w:rsid w:val="67EA7D41"/>
    <w:rsid w:val="67FAE081"/>
    <w:rsid w:val="67FE6BEB"/>
    <w:rsid w:val="67FF279B"/>
    <w:rsid w:val="68EA3161"/>
    <w:rsid w:val="697E801A"/>
    <w:rsid w:val="69F789F1"/>
    <w:rsid w:val="6A127C98"/>
    <w:rsid w:val="6A7C279E"/>
    <w:rsid w:val="6A8B66CB"/>
    <w:rsid w:val="6AA645BE"/>
    <w:rsid w:val="6AEDEAFC"/>
    <w:rsid w:val="6AF95EB2"/>
    <w:rsid w:val="6AFDBC2C"/>
    <w:rsid w:val="6AFE105D"/>
    <w:rsid w:val="6B3DC051"/>
    <w:rsid w:val="6B546E6F"/>
    <w:rsid w:val="6B7B6456"/>
    <w:rsid w:val="6B7F9A74"/>
    <w:rsid w:val="6BDAC6F2"/>
    <w:rsid w:val="6BDB3E26"/>
    <w:rsid w:val="6BDFD75E"/>
    <w:rsid w:val="6BDFD974"/>
    <w:rsid w:val="6BF03BC9"/>
    <w:rsid w:val="6BF926EE"/>
    <w:rsid w:val="6BFE4543"/>
    <w:rsid w:val="6BFF2DF4"/>
    <w:rsid w:val="6BFF3A73"/>
    <w:rsid w:val="6C405C21"/>
    <w:rsid w:val="6C7F26A4"/>
    <w:rsid w:val="6CDF05EC"/>
    <w:rsid w:val="6CF06F9B"/>
    <w:rsid w:val="6CFB84FA"/>
    <w:rsid w:val="6CFBC718"/>
    <w:rsid w:val="6CFD0F0A"/>
    <w:rsid w:val="6D57FC32"/>
    <w:rsid w:val="6D7D0C5F"/>
    <w:rsid w:val="6DBF1535"/>
    <w:rsid w:val="6DD6B557"/>
    <w:rsid w:val="6DDF8C0C"/>
    <w:rsid w:val="6DDFB429"/>
    <w:rsid w:val="6DE5AB41"/>
    <w:rsid w:val="6DE704F4"/>
    <w:rsid w:val="6DE7B746"/>
    <w:rsid w:val="6DF76ACB"/>
    <w:rsid w:val="6DFA48A4"/>
    <w:rsid w:val="6DFAB648"/>
    <w:rsid w:val="6DFB2089"/>
    <w:rsid w:val="6DFE62A5"/>
    <w:rsid w:val="6DFF8A43"/>
    <w:rsid w:val="6DFF9DC1"/>
    <w:rsid w:val="6E77C6EB"/>
    <w:rsid w:val="6E7B3B0A"/>
    <w:rsid w:val="6E7DDC8C"/>
    <w:rsid w:val="6EADCA31"/>
    <w:rsid w:val="6EBDA9BB"/>
    <w:rsid w:val="6EBDD616"/>
    <w:rsid w:val="6EBE1AB9"/>
    <w:rsid w:val="6EBFF755"/>
    <w:rsid w:val="6ECE7A16"/>
    <w:rsid w:val="6EDEEB3E"/>
    <w:rsid w:val="6EDF3B9A"/>
    <w:rsid w:val="6EEBC008"/>
    <w:rsid w:val="6EFBD367"/>
    <w:rsid w:val="6EFC0726"/>
    <w:rsid w:val="6EFF3215"/>
    <w:rsid w:val="6F2DEB90"/>
    <w:rsid w:val="6F55805B"/>
    <w:rsid w:val="6F6F9F9A"/>
    <w:rsid w:val="6F7FFCA3"/>
    <w:rsid w:val="6F956096"/>
    <w:rsid w:val="6F9BEE70"/>
    <w:rsid w:val="6F9E9D02"/>
    <w:rsid w:val="6F9EA64A"/>
    <w:rsid w:val="6FAE6423"/>
    <w:rsid w:val="6FB37E51"/>
    <w:rsid w:val="6FB72A39"/>
    <w:rsid w:val="6FBF0E6C"/>
    <w:rsid w:val="6FBF1F93"/>
    <w:rsid w:val="6FCF518A"/>
    <w:rsid w:val="6FCFE0CF"/>
    <w:rsid w:val="6FD7C45F"/>
    <w:rsid w:val="6FEFB396"/>
    <w:rsid w:val="6FF4D8F3"/>
    <w:rsid w:val="6FF622A8"/>
    <w:rsid w:val="6FF93E63"/>
    <w:rsid w:val="6FFACA7E"/>
    <w:rsid w:val="6FFCFEFC"/>
    <w:rsid w:val="6FFE7C08"/>
    <w:rsid w:val="6FFEF12B"/>
    <w:rsid w:val="6FFF0EBF"/>
    <w:rsid w:val="6FFF2252"/>
    <w:rsid w:val="6FFF3786"/>
    <w:rsid w:val="6FFFCCC6"/>
    <w:rsid w:val="704F5918"/>
    <w:rsid w:val="707C1807"/>
    <w:rsid w:val="70BECBAB"/>
    <w:rsid w:val="70EF8CCD"/>
    <w:rsid w:val="716CA721"/>
    <w:rsid w:val="71AF88CB"/>
    <w:rsid w:val="71FEE0A0"/>
    <w:rsid w:val="71FFF594"/>
    <w:rsid w:val="729DFD4B"/>
    <w:rsid w:val="72FEA9DB"/>
    <w:rsid w:val="7352B28C"/>
    <w:rsid w:val="7377AEB3"/>
    <w:rsid w:val="739F2A44"/>
    <w:rsid w:val="73A6E9D2"/>
    <w:rsid w:val="73B94524"/>
    <w:rsid w:val="73C4E9A5"/>
    <w:rsid w:val="73F62C4F"/>
    <w:rsid w:val="73F6F64D"/>
    <w:rsid w:val="73F9A3FD"/>
    <w:rsid w:val="73FF478C"/>
    <w:rsid w:val="73FF86E1"/>
    <w:rsid w:val="749F5B05"/>
    <w:rsid w:val="74DD5F4F"/>
    <w:rsid w:val="74E3A022"/>
    <w:rsid w:val="751E9FB8"/>
    <w:rsid w:val="759DF5B8"/>
    <w:rsid w:val="75A5B1BA"/>
    <w:rsid w:val="75BE237E"/>
    <w:rsid w:val="75E7EECB"/>
    <w:rsid w:val="75ED8E97"/>
    <w:rsid w:val="75EFC47B"/>
    <w:rsid w:val="75FD162E"/>
    <w:rsid w:val="75FEBE4F"/>
    <w:rsid w:val="75FF92A3"/>
    <w:rsid w:val="7613370D"/>
    <w:rsid w:val="76775D66"/>
    <w:rsid w:val="76BF5728"/>
    <w:rsid w:val="76C2F8C0"/>
    <w:rsid w:val="76D2E9E7"/>
    <w:rsid w:val="76EC1828"/>
    <w:rsid w:val="76EFD3EC"/>
    <w:rsid w:val="76FC7BA8"/>
    <w:rsid w:val="76FFE6B8"/>
    <w:rsid w:val="7745A698"/>
    <w:rsid w:val="77576B60"/>
    <w:rsid w:val="7759C979"/>
    <w:rsid w:val="775CE6A9"/>
    <w:rsid w:val="77670F92"/>
    <w:rsid w:val="776E1147"/>
    <w:rsid w:val="777DCAFF"/>
    <w:rsid w:val="777DE72D"/>
    <w:rsid w:val="777E21E1"/>
    <w:rsid w:val="777F49AD"/>
    <w:rsid w:val="777F580E"/>
    <w:rsid w:val="777FC513"/>
    <w:rsid w:val="778F72E2"/>
    <w:rsid w:val="77B9EF6F"/>
    <w:rsid w:val="77BBB801"/>
    <w:rsid w:val="77BF53E6"/>
    <w:rsid w:val="77BFDEE0"/>
    <w:rsid w:val="77CECD7E"/>
    <w:rsid w:val="77CF8B41"/>
    <w:rsid w:val="77D5933F"/>
    <w:rsid w:val="77DFBA17"/>
    <w:rsid w:val="77E7101B"/>
    <w:rsid w:val="77ED47AA"/>
    <w:rsid w:val="77EDB3A8"/>
    <w:rsid w:val="77EE144E"/>
    <w:rsid w:val="77F311A5"/>
    <w:rsid w:val="77F5E27B"/>
    <w:rsid w:val="77F7A886"/>
    <w:rsid w:val="77F7FB39"/>
    <w:rsid w:val="77FB1434"/>
    <w:rsid w:val="77FE14EE"/>
    <w:rsid w:val="77FEBEB3"/>
    <w:rsid w:val="77FEDF17"/>
    <w:rsid w:val="77FF6D4B"/>
    <w:rsid w:val="77FFCD7E"/>
    <w:rsid w:val="77FFEE93"/>
    <w:rsid w:val="781B6394"/>
    <w:rsid w:val="784426D2"/>
    <w:rsid w:val="786F3430"/>
    <w:rsid w:val="787DA79C"/>
    <w:rsid w:val="78885D10"/>
    <w:rsid w:val="78B27BF7"/>
    <w:rsid w:val="78D97F75"/>
    <w:rsid w:val="78ED05C2"/>
    <w:rsid w:val="790D7F02"/>
    <w:rsid w:val="793F883C"/>
    <w:rsid w:val="795F2CCF"/>
    <w:rsid w:val="797FC26B"/>
    <w:rsid w:val="79B38969"/>
    <w:rsid w:val="79BFFB9D"/>
    <w:rsid w:val="79C99416"/>
    <w:rsid w:val="79CCA7D4"/>
    <w:rsid w:val="79DAC26B"/>
    <w:rsid w:val="79E784A5"/>
    <w:rsid w:val="79EB8446"/>
    <w:rsid w:val="79EDE3E3"/>
    <w:rsid w:val="79FA3118"/>
    <w:rsid w:val="79FCD028"/>
    <w:rsid w:val="79FDB01D"/>
    <w:rsid w:val="79FE6EF4"/>
    <w:rsid w:val="79FEDEAD"/>
    <w:rsid w:val="79FF5CE3"/>
    <w:rsid w:val="79FF5E70"/>
    <w:rsid w:val="79FFBEF3"/>
    <w:rsid w:val="7A3F177D"/>
    <w:rsid w:val="7A5D2726"/>
    <w:rsid w:val="7A7F1B82"/>
    <w:rsid w:val="7A9CBE27"/>
    <w:rsid w:val="7AC90271"/>
    <w:rsid w:val="7AF692A6"/>
    <w:rsid w:val="7AF71189"/>
    <w:rsid w:val="7AFD7836"/>
    <w:rsid w:val="7AFF11DD"/>
    <w:rsid w:val="7AFFC5E5"/>
    <w:rsid w:val="7AFFE729"/>
    <w:rsid w:val="7AFFEEF9"/>
    <w:rsid w:val="7B36656B"/>
    <w:rsid w:val="7B5D84AF"/>
    <w:rsid w:val="7B5F75E5"/>
    <w:rsid w:val="7B5FDC17"/>
    <w:rsid w:val="7B719073"/>
    <w:rsid w:val="7B7757BA"/>
    <w:rsid w:val="7B777B9C"/>
    <w:rsid w:val="7B77D445"/>
    <w:rsid w:val="7B7A823B"/>
    <w:rsid w:val="7B7D5EBF"/>
    <w:rsid w:val="7B7D84D7"/>
    <w:rsid w:val="7B7DFC0E"/>
    <w:rsid w:val="7B7F1B16"/>
    <w:rsid w:val="7B7F3E68"/>
    <w:rsid w:val="7BBD66CD"/>
    <w:rsid w:val="7BBE3374"/>
    <w:rsid w:val="7BBEDAA0"/>
    <w:rsid w:val="7BBFD039"/>
    <w:rsid w:val="7BC87F8D"/>
    <w:rsid w:val="7BCFE803"/>
    <w:rsid w:val="7BDD27BE"/>
    <w:rsid w:val="7BDF4514"/>
    <w:rsid w:val="7BDF9BE2"/>
    <w:rsid w:val="7BE32B17"/>
    <w:rsid w:val="7BE56FAF"/>
    <w:rsid w:val="7BE6E259"/>
    <w:rsid w:val="7BE70604"/>
    <w:rsid w:val="7BED7FB5"/>
    <w:rsid w:val="7BEE1C49"/>
    <w:rsid w:val="7BEE952B"/>
    <w:rsid w:val="7BEEE7FB"/>
    <w:rsid w:val="7BEF3049"/>
    <w:rsid w:val="7BEF9E3F"/>
    <w:rsid w:val="7BEFD432"/>
    <w:rsid w:val="7BF26155"/>
    <w:rsid w:val="7BF579FB"/>
    <w:rsid w:val="7BF9B951"/>
    <w:rsid w:val="7BFB7579"/>
    <w:rsid w:val="7BFB7E75"/>
    <w:rsid w:val="7BFCCD12"/>
    <w:rsid w:val="7BFE0921"/>
    <w:rsid w:val="7BFF3190"/>
    <w:rsid w:val="7C2D191E"/>
    <w:rsid w:val="7C773BA2"/>
    <w:rsid w:val="7C7B72CF"/>
    <w:rsid w:val="7C9F984B"/>
    <w:rsid w:val="7CAF9480"/>
    <w:rsid w:val="7CB76553"/>
    <w:rsid w:val="7CBF7E5E"/>
    <w:rsid w:val="7CC7607D"/>
    <w:rsid w:val="7CED6104"/>
    <w:rsid w:val="7CEFE8A0"/>
    <w:rsid w:val="7CFBA92A"/>
    <w:rsid w:val="7CFF021F"/>
    <w:rsid w:val="7CFF2666"/>
    <w:rsid w:val="7CFFCFCF"/>
    <w:rsid w:val="7D3FE0D6"/>
    <w:rsid w:val="7D55584E"/>
    <w:rsid w:val="7D6D54E0"/>
    <w:rsid w:val="7D76037A"/>
    <w:rsid w:val="7D7AABBD"/>
    <w:rsid w:val="7D7D556C"/>
    <w:rsid w:val="7D7EB0A8"/>
    <w:rsid w:val="7D7F708D"/>
    <w:rsid w:val="7D7FFC39"/>
    <w:rsid w:val="7D9E3499"/>
    <w:rsid w:val="7D9F4E38"/>
    <w:rsid w:val="7DAB2158"/>
    <w:rsid w:val="7DBD1816"/>
    <w:rsid w:val="7DBF1DBD"/>
    <w:rsid w:val="7DD70CE8"/>
    <w:rsid w:val="7DDBDE8E"/>
    <w:rsid w:val="7DDF9279"/>
    <w:rsid w:val="7DE29A98"/>
    <w:rsid w:val="7DEBE4CF"/>
    <w:rsid w:val="7DEF8C58"/>
    <w:rsid w:val="7DF35148"/>
    <w:rsid w:val="7DF3588B"/>
    <w:rsid w:val="7DF4493C"/>
    <w:rsid w:val="7DF47E0B"/>
    <w:rsid w:val="7DF50731"/>
    <w:rsid w:val="7DF9AE54"/>
    <w:rsid w:val="7DFB6ED1"/>
    <w:rsid w:val="7DFBB475"/>
    <w:rsid w:val="7DFD331B"/>
    <w:rsid w:val="7DFD506A"/>
    <w:rsid w:val="7DFFB0A1"/>
    <w:rsid w:val="7E1FA3A8"/>
    <w:rsid w:val="7E341D3C"/>
    <w:rsid w:val="7E4EF1BF"/>
    <w:rsid w:val="7E53858A"/>
    <w:rsid w:val="7E53AE25"/>
    <w:rsid w:val="7E55AE2A"/>
    <w:rsid w:val="7E6B0818"/>
    <w:rsid w:val="7E6C2E4F"/>
    <w:rsid w:val="7E6D47E2"/>
    <w:rsid w:val="7E77049F"/>
    <w:rsid w:val="7E7B8F04"/>
    <w:rsid w:val="7E89C29F"/>
    <w:rsid w:val="7E9BB57E"/>
    <w:rsid w:val="7E9F15E5"/>
    <w:rsid w:val="7EA77DEB"/>
    <w:rsid w:val="7EAB5D35"/>
    <w:rsid w:val="7EB7E1D8"/>
    <w:rsid w:val="7EBDFD20"/>
    <w:rsid w:val="7EBEEB3A"/>
    <w:rsid w:val="7ECF379C"/>
    <w:rsid w:val="7ED76ACF"/>
    <w:rsid w:val="7ED77460"/>
    <w:rsid w:val="7EDBD2EB"/>
    <w:rsid w:val="7EEBF049"/>
    <w:rsid w:val="7EEF917B"/>
    <w:rsid w:val="7EF67C9A"/>
    <w:rsid w:val="7EF9ED18"/>
    <w:rsid w:val="7EFB8D9D"/>
    <w:rsid w:val="7EFBC26F"/>
    <w:rsid w:val="7EFC05BA"/>
    <w:rsid w:val="7EFCA33E"/>
    <w:rsid w:val="7EFCCC15"/>
    <w:rsid w:val="7EFD2C92"/>
    <w:rsid w:val="7EFE387A"/>
    <w:rsid w:val="7EFE3D24"/>
    <w:rsid w:val="7EFF0F4B"/>
    <w:rsid w:val="7EFF3AF3"/>
    <w:rsid w:val="7EFF5068"/>
    <w:rsid w:val="7EFF82F2"/>
    <w:rsid w:val="7EFFBB28"/>
    <w:rsid w:val="7F132BBE"/>
    <w:rsid w:val="7F363DEC"/>
    <w:rsid w:val="7F37883F"/>
    <w:rsid w:val="7F398709"/>
    <w:rsid w:val="7F3C5310"/>
    <w:rsid w:val="7F3D2647"/>
    <w:rsid w:val="7F3D81BB"/>
    <w:rsid w:val="7F3E2467"/>
    <w:rsid w:val="7F4E49EB"/>
    <w:rsid w:val="7F4E4CD9"/>
    <w:rsid w:val="7F57AAB4"/>
    <w:rsid w:val="7F5B7F29"/>
    <w:rsid w:val="7F5FA815"/>
    <w:rsid w:val="7F660A61"/>
    <w:rsid w:val="7F674A65"/>
    <w:rsid w:val="7F6A8740"/>
    <w:rsid w:val="7F75F896"/>
    <w:rsid w:val="7F797E9F"/>
    <w:rsid w:val="7F7B1E39"/>
    <w:rsid w:val="7F7B746F"/>
    <w:rsid w:val="7F7BB4EE"/>
    <w:rsid w:val="7F7D24ED"/>
    <w:rsid w:val="7F7ED6E4"/>
    <w:rsid w:val="7F7F3FB8"/>
    <w:rsid w:val="7F7F4FF5"/>
    <w:rsid w:val="7F7FC031"/>
    <w:rsid w:val="7F7FC5BA"/>
    <w:rsid w:val="7F7FD5C8"/>
    <w:rsid w:val="7F8FDB9D"/>
    <w:rsid w:val="7F960406"/>
    <w:rsid w:val="7F9AC356"/>
    <w:rsid w:val="7F9FAFB4"/>
    <w:rsid w:val="7FA6310D"/>
    <w:rsid w:val="7FABB4A3"/>
    <w:rsid w:val="7FADFD99"/>
    <w:rsid w:val="7FB3C53E"/>
    <w:rsid w:val="7FB3F694"/>
    <w:rsid w:val="7FB6C750"/>
    <w:rsid w:val="7FB7A802"/>
    <w:rsid w:val="7FBA3A24"/>
    <w:rsid w:val="7FBA466F"/>
    <w:rsid w:val="7FBBA505"/>
    <w:rsid w:val="7FBE0F2C"/>
    <w:rsid w:val="7FBEB49F"/>
    <w:rsid w:val="7FBF3DFE"/>
    <w:rsid w:val="7FBF9FBC"/>
    <w:rsid w:val="7FBFD8F3"/>
    <w:rsid w:val="7FCBBE6E"/>
    <w:rsid w:val="7FCF0597"/>
    <w:rsid w:val="7FCF0A3D"/>
    <w:rsid w:val="7FCF1C65"/>
    <w:rsid w:val="7FCF1F81"/>
    <w:rsid w:val="7FD081E6"/>
    <w:rsid w:val="7FD4A5AE"/>
    <w:rsid w:val="7FD55C10"/>
    <w:rsid w:val="7FD64AC3"/>
    <w:rsid w:val="7FD6C907"/>
    <w:rsid w:val="7FD76DB7"/>
    <w:rsid w:val="7FD7BCD4"/>
    <w:rsid w:val="7FDB0732"/>
    <w:rsid w:val="7FDDEB2A"/>
    <w:rsid w:val="7FDE17A4"/>
    <w:rsid w:val="7FDF44D9"/>
    <w:rsid w:val="7FE353F6"/>
    <w:rsid w:val="7FE577B9"/>
    <w:rsid w:val="7FE60624"/>
    <w:rsid w:val="7FE7441E"/>
    <w:rsid w:val="7FE7DB21"/>
    <w:rsid w:val="7FEB3633"/>
    <w:rsid w:val="7FEB5450"/>
    <w:rsid w:val="7FEC383A"/>
    <w:rsid w:val="7FEE1D1D"/>
    <w:rsid w:val="7FEF175B"/>
    <w:rsid w:val="7FEF3758"/>
    <w:rsid w:val="7FEFA443"/>
    <w:rsid w:val="7FEFDEB9"/>
    <w:rsid w:val="7FEFECC3"/>
    <w:rsid w:val="7FF36530"/>
    <w:rsid w:val="7FF4299C"/>
    <w:rsid w:val="7FF501D0"/>
    <w:rsid w:val="7FF5D4FD"/>
    <w:rsid w:val="7FF5E5AB"/>
    <w:rsid w:val="7FF6509C"/>
    <w:rsid w:val="7FF70E8D"/>
    <w:rsid w:val="7FF7C60C"/>
    <w:rsid w:val="7FF93356"/>
    <w:rsid w:val="7FF9D8F6"/>
    <w:rsid w:val="7FFA69D9"/>
    <w:rsid w:val="7FFAB150"/>
    <w:rsid w:val="7FFB35CC"/>
    <w:rsid w:val="7FFB537D"/>
    <w:rsid w:val="7FFB65C0"/>
    <w:rsid w:val="7FFB69C6"/>
    <w:rsid w:val="7FFBC166"/>
    <w:rsid w:val="7FFC9E47"/>
    <w:rsid w:val="7FFD43B4"/>
    <w:rsid w:val="7FFD6351"/>
    <w:rsid w:val="7FFDAA77"/>
    <w:rsid w:val="7FFDD6D9"/>
    <w:rsid w:val="7FFE4EB8"/>
    <w:rsid w:val="7FFE8D9A"/>
    <w:rsid w:val="7FFEBCC8"/>
    <w:rsid w:val="7FFEE559"/>
    <w:rsid w:val="7FFF1216"/>
    <w:rsid w:val="7FFF21A2"/>
    <w:rsid w:val="7FFF2CFB"/>
    <w:rsid w:val="7FFF3564"/>
    <w:rsid w:val="7FFF69B9"/>
    <w:rsid w:val="7FFF6BB5"/>
    <w:rsid w:val="7FFF77D4"/>
    <w:rsid w:val="7FFF816D"/>
    <w:rsid w:val="7FFF90D4"/>
    <w:rsid w:val="7FFF9C76"/>
    <w:rsid w:val="7FFFA134"/>
    <w:rsid w:val="7FFFAEE1"/>
    <w:rsid w:val="7FFFB8CE"/>
    <w:rsid w:val="7FFFD38E"/>
    <w:rsid w:val="7FFFEC77"/>
    <w:rsid w:val="84EFF7AD"/>
    <w:rsid w:val="85F32622"/>
    <w:rsid w:val="85FF20AE"/>
    <w:rsid w:val="87FF28B5"/>
    <w:rsid w:val="89FF3F3C"/>
    <w:rsid w:val="8BA6E0D8"/>
    <w:rsid w:val="8DFFC468"/>
    <w:rsid w:val="8FE36128"/>
    <w:rsid w:val="91BB3682"/>
    <w:rsid w:val="92FF7E86"/>
    <w:rsid w:val="93FBC9B9"/>
    <w:rsid w:val="967ECAC6"/>
    <w:rsid w:val="96C1675B"/>
    <w:rsid w:val="96EB49F9"/>
    <w:rsid w:val="975F489E"/>
    <w:rsid w:val="9769DAAD"/>
    <w:rsid w:val="977E89AC"/>
    <w:rsid w:val="97B7BA6A"/>
    <w:rsid w:val="97C3BBD1"/>
    <w:rsid w:val="97E71062"/>
    <w:rsid w:val="97FE70C1"/>
    <w:rsid w:val="97FF2EBD"/>
    <w:rsid w:val="98BFB25B"/>
    <w:rsid w:val="99FEDAEF"/>
    <w:rsid w:val="99FFDC4E"/>
    <w:rsid w:val="9AC73095"/>
    <w:rsid w:val="9BFEBD57"/>
    <w:rsid w:val="9BFF31C5"/>
    <w:rsid w:val="9C1A822E"/>
    <w:rsid w:val="9C8F8E4A"/>
    <w:rsid w:val="9D6D9AFA"/>
    <w:rsid w:val="9DAA9819"/>
    <w:rsid w:val="9DB9FEC2"/>
    <w:rsid w:val="9DF7B04D"/>
    <w:rsid w:val="9DFC4BB2"/>
    <w:rsid w:val="9E3F4E12"/>
    <w:rsid w:val="9EED8FEB"/>
    <w:rsid w:val="9F115210"/>
    <w:rsid w:val="9F4F4A6E"/>
    <w:rsid w:val="9F77A6A1"/>
    <w:rsid w:val="9F77CF02"/>
    <w:rsid w:val="9FD52083"/>
    <w:rsid w:val="9FDDA754"/>
    <w:rsid w:val="9FDF23E9"/>
    <w:rsid w:val="9FDF3D7C"/>
    <w:rsid w:val="9FF798D0"/>
    <w:rsid w:val="A01707A4"/>
    <w:rsid w:val="A0FAB2F3"/>
    <w:rsid w:val="A1FED652"/>
    <w:rsid w:val="A2F76E61"/>
    <w:rsid w:val="A35F2E1D"/>
    <w:rsid w:val="A3E9B198"/>
    <w:rsid w:val="A57F68E5"/>
    <w:rsid w:val="A5E751ED"/>
    <w:rsid w:val="A7CFC14D"/>
    <w:rsid w:val="A7DF0A90"/>
    <w:rsid w:val="A7F3229D"/>
    <w:rsid w:val="AA9F4923"/>
    <w:rsid w:val="AB793A87"/>
    <w:rsid w:val="AB7E013E"/>
    <w:rsid w:val="ABBDA3CC"/>
    <w:rsid w:val="ABFF08D8"/>
    <w:rsid w:val="AC9D6084"/>
    <w:rsid w:val="ACCEC982"/>
    <w:rsid w:val="ACD8931A"/>
    <w:rsid w:val="AD7F53F3"/>
    <w:rsid w:val="ADB7ABF2"/>
    <w:rsid w:val="ADC6942F"/>
    <w:rsid w:val="ADFD6189"/>
    <w:rsid w:val="ADFF8EE6"/>
    <w:rsid w:val="AE34BD3B"/>
    <w:rsid w:val="AE438754"/>
    <w:rsid w:val="AE6F7299"/>
    <w:rsid w:val="AE721787"/>
    <w:rsid w:val="AEF6EAC6"/>
    <w:rsid w:val="AEF7CCAD"/>
    <w:rsid w:val="AEFEBD5B"/>
    <w:rsid w:val="AEFEDE8F"/>
    <w:rsid w:val="AF774133"/>
    <w:rsid w:val="AF7BBE29"/>
    <w:rsid w:val="AFAB92AD"/>
    <w:rsid w:val="AFBF08AD"/>
    <w:rsid w:val="AFBFE299"/>
    <w:rsid w:val="AFD9EE8A"/>
    <w:rsid w:val="AFDFD1F6"/>
    <w:rsid w:val="AFF429AF"/>
    <w:rsid w:val="AFF579E5"/>
    <w:rsid w:val="AFF6D868"/>
    <w:rsid w:val="AFF9D522"/>
    <w:rsid w:val="AFFB82F1"/>
    <w:rsid w:val="AFFCF4FF"/>
    <w:rsid w:val="AFFDAEAC"/>
    <w:rsid w:val="B16D7664"/>
    <w:rsid w:val="B37E416A"/>
    <w:rsid w:val="B49D21BB"/>
    <w:rsid w:val="B49EB2BD"/>
    <w:rsid w:val="B57F604A"/>
    <w:rsid w:val="B5CBFDF4"/>
    <w:rsid w:val="B5ECE505"/>
    <w:rsid w:val="B5F1F813"/>
    <w:rsid w:val="B5F7001A"/>
    <w:rsid w:val="B5FB20DD"/>
    <w:rsid w:val="B5FE3F7B"/>
    <w:rsid w:val="B5FF3797"/>
    <w:rsid w:val="B67C341A"/>
    <w:rsid w:val="B7138D44"/>
    <w:rsid w:val="B733A3C8"/>
    <w:rsid w:val="B77769AC"/>
    <w:rsid w:val="B7792244"/>
    <w:rsid w:val="B77FA39D"/>
    <w:rsid w:val="B79F9462"/>
    <w:rsid w:val="B7BFEC49"/>
    <w:rsid w:val="B7E90F68"/>
    <w:rsid w:val="B7FFF943"/>
    <w:rsid w:val="B8B6E155"/>
    <w:rsid w:val="B97D1A6C"/>
    <w:rsid w:val="B9AF649D"/>
    <w:rsid w:val="B9F7826C"/>
    <w:rsid w:val="B9FEF69C"/>
    <w:rsid w:val="B9FEFF4B"/>
    <w:rsid w:val="BAAF3470"/>
    <w:rsid w:val="BAE6954F"/>
    <w:rsid w:val="BB1F637D"/>
    <w:rsid w:val="BB2F5FA6"/>
    <w:rsid w:val="BB3E84BD"/>
    <w:rsid w:val="BB55A9E0"/>
    <w:rsid w:val="BB5751D9"/>
    <w:rsid w:val="BB6A83F2"/>
    <w:rsid w:val="BB7FFC5E"/>
    <w:rsid w:val="BBBC5392"/>
    <w:rsid w:val="BBBF2521"/>
    <w:rsid w:val="BBC5CAAF"/>
    <w:rsid w:val="BBDF3869"/>
    <w:rsid w:val="BBEBE0EC"/>
    <w:rsid w:val="BBEE7B15"/>
    <w:rsid w:val="BBFB04B3"/>
    <w:rsid w:val="BC7996FD"/>
    <w:rsid w:val="BCEF743A"/>
    <w:rsid w:val="BCF7EC92"/>
    <w:rsid w:val="BD7F178F"/>
    <w:rsid w:val="BDABD95E"/>
    <w:rsid w:val="BDB79EAA"/>
    <w:rsid w:val="BDBA7F51"/>
    <w:rsid w:val="BDD94EAA"/>
    <w:rsid w:val="BDEF51A3"/>
    <w:rsid w:val="BDEFA24E"/>
    <w:rsid w:val="BDFAB9E6"/>
    <w:rsid w:val="BEB5BDA5"/>
    <w:rsid w:val="BEBBA024"/>
    <w:rsid w:val="BEBF723F"/>
    <w:rsid w:val="BEDF1681"/>
    <w:rsid w:val="BEF05A69"/>
    <w:rsid w:val="BEF7754B"/>
    <w:rsid w:val="BEF78101"/>
    <w:rsid w:val="BEF7C19F"/>
    <w:rsid w:val="BEF822CC"/>
    <w:rsid w:val="BEF9E650"/>
    <w:rsid w:val="BEFB5493"/>
    <w:rsid w:val="BEFCC953"/>
    <w:rsid w:val="BEFD3EB4"/>
    <w:rsid w:val="BEFF3407"/>
    <w:rsid w:val="BF3993FC"/>
    <w:rsid w:val="BF3FACE7"/>
    <w:rsid w:val="BF466893"/>
    <w:rsid w:val="BF4FE455"/>
    <w:rsid w:val="BF5704F9"/>
    <w:rsid w:val="BF70E1AF"/>
    <w:rsid w:val="BF79D94A"/>
    <w:rsid w:val="BF7C7100"/>
    <w:rsid w:val="BF7CB147"/>
    <w:rsid w:val="BF7F0AFE"/>
    <w:rsid w:val="BF7F38E3"/>
    <w:rsid w:val="BF957723"/>
    <w:rsid w:val="BF9A1DC2"/>
    <w:rsid w:val="BF9E17AE"/>
    <w:rsid w:val="BFA553FF"/>
    <w:rsid w:val="BFA9644F"/>
    <w:rsid w:val="BFAB3953"/>
    <w:rsid w:val="BFBDEA2F"/>
    <w:rsid w:val="BFBF088D"/>
    <w:rsid w:val="BFBF83F6"/>
    <w:rsid w:val="BFBFDBA3"/>
    <w:rsid w:val="BFC7B084"/>
    <w:rsid w:val="BFDF2B0E"/>
    <w:rsid w:val="BFE48090"/>
    <w:rsid w:val="BFE83BF2"/>
    <w:rsid w:val="BFEFA938"/>
    <w:rsid w:val="BFF72678"/>
    <w:rsid w:val="BFF8BF0C"/>
    <w:rsid w:val="BFF96908"/>
    <w:rsid w:val="BFFA0F49"/>
    <w:rsid w:val="BFFBCD07"/>
    <w:rsid w:val="BFFD0E63"/>
    <w:rsid w:val="BFFE5044"/>
    <w:rsid w:val="BFFEE7BB"/>
    <w:rsid w:val="BFFF09D1"/>
    <w:rsid w:val="BFFFA9CC"/>
    <w:rsid w:val="BFFFC210"/>
    <w:rsid w:val="BFFFC26D"/>
    <w:rsid w:val="BFFFC46C"/>
    <w:rsid w:val="BFFFE5A1"/>
    <w:rsid w:val="C3E3B3E6"/>
    <w:rsid w:val="C6BC19A5"/>
    <w:rsid w:val="C77BB312"/>
    <w:rsid w:val="C77F38FA"/>
    <w:rsid w:val="C7F4A78F"/>
    <w:rsid w:val="C7FB0248"/>
    <w:rsid w:val="C7FE7896"/>
    <w:rsid w:val="C82DFDF7"/>
    <w:rsid w:val="CAFA6018"/>
    <w:rsid w:val="CB77AE5E"/>
    <w:rsid w:val="CBB75A0C"/>
    <w:rsid w:val="CBBB2D44"/>
    <w:rsid w:val="CBE7A6AC"/>
    <w:rsid w:val="CC7D4B7C"/>
    <w:rsid w:val="CCF72E82"/>
    <w:rsid w:val="CD1BBD96"/>
    <w:rsid w:val="CD3A7838"/>
    <w:rsid w:val="CD65341E"/>
    <w:rsid w:val="CD7F32AC"/>
    <w:rsid w:val="CDB91C73"/>
    <w:rsid w:val="CDBE989A"/>
    <w:rsid w:val="CDE6BCC2"/>
    <w:rsid w:val="CDE7D10D"/>
    <w:rsid w:val="CDEF60B4"/>
    <w:rsid w:val="CDFE5FDD"/>
    <w:rsid w:val="CDFFB147"/>
    <w:rsid w:val="CEF4DB54"/>
    <w:rsid w:val="CEF71A80"/>
    <w:rsid w:val="CEFC461E"/>
    <w:rsid w:val="CF7F7996"/>
    <w:rsid w:val="CFA98DB6"/>
    <w:rsid w:val="CFBFA3E0"/>
    <w:rsid w:val="CFDF4EC6"/>
    <w:rsid w:val="CFE6778D"/>
    <w:rsid w:val="CFEE7AA8"/>
    <w:rsid w:val="CFF50026"/>
    <w:rsid w:val="CFF5EFC2"/>
    <w:rsid w:val="CFFB6597"/>
    <w:rsid w:val="CFFB933A"/>
    <w:rsid w:val="CFFC3474"/>
    <w:rsid w:val="CFFD7FF0"/>
    <w:rsid w:val="CFFF499F"/>
    <w:rsid w:val="CFFF4E50"/>
    <w:rsid w:val="CFFF7364"/>
    <w:rsid w:val="D05F3765"/>
    <w:rsid w:val="D127EF9F"/>
    <w:rsid w:val="D1BF982C"/>
    <w:rsid w:val="D1FFC2AF"/>
    <w:rsid w:val="D27F622E"/>
    <w:rsid w:val="D3E666E7"/>
    <w:rsid w:val="D3EF959A"/>
    <w:rsid w:val="D4D76FA5"/>
    <w:rsid w:val="D4DF592D"/>
    <w:rsid w:val="D55BBB70"/>
    <w:rsid w:val="D57FD212"/>
    <w:rsid w:val="D5BB6DA6"/>
    <w:rsid w:val="D5BF1562"/>
    <w:rsid w:val="D5BFE9DC"/>
    <w:rsid w:val="D5D5AF01"/>
    <w:rsid w:val="D5FF8971"/>
    <w:rsid w:val="D67300A7"/>
    <w:rsid w:val="D67B35C0"/>
    <w:rsid w:val="D67B3BDB"/>
    <w:rsid w:val="D6F754F1"/>
    <w:rsid w:val="D72EDFD6"/>
    <w:rsid w:val="D734D4CB"/>
    <w:rsid w:val="D75700F7"/>
    <w:rsid w:val="D7DF599B"/>
    <w:rsid w:val="D7DFEC5D"/>
    <w:rsid w:val="D7EF752C"/>
    <w:rsid w:val="D7FB69DE"/>
    <w:rsid w:val="D7FE3E5B"/>
    <w:rsid w:val="D7FF3906"/>
    <w:rsid w:val="D7FF9021"/>
    <w:rsid w:val="D7FFBACF"/>
    <w:rsid w:val="D7FFEC51"/>
    <w:rsid w:val="D8C75135"/>
    <w:rsid w:val="D8DBE4DE"/>
    <w:rsid w:val="D8DF1FC1"/>
    <w:rsid w:val="D93EC3E3"/>
    <w:rsid w:val="D97ED729"/>
    <w:rsid w:val="D9BDFB90"/>
    <w:rsid w:val="D9DE4FB0"/>
    <w:rsid w:val="D9E20286"/>
    <w:rsid w:val="D9EF2DF3"/>
    <w:rsid w:val="D9F6C488"/>
    <w:rsid w:val="D9F73536"/>
    <w:rsid w:val="D9FF4098"/>
    <w:rsid w:val="DA1F0696"/>
    <w:rsid w:val="DA3DBF2E"/>
    <w:rsid w:val="DADE3419"/>
    <w:rsid w:val="DAFF95C4"/>
    <w:rsid w:val="DB3E475F"/>
    <w:rsid w:val="DB52E964"/>
    <w:rsid w:val="DB7D2F56"/>
    <w:rsid w:val="DB9349D2"/>
    <w:rsid w:val="DBA5B8C9"/>
    <w:rsid w:val="DBB5C616"/>
    <w:rsid w:val="DBC7AA68"/>
    <w:rsid w:val="DBD76764"/>
    <w:rsid w:val="DBDDE63D"/>
    <w:rsid w:val="DBDE9E9D"/>
    <w:rsid w:val="DBEC7E2C"/>
    <w:rsid w:val="DBEFD293"/>
    <w:rsid w:val="DBF75073"/>
    <w:rsid w:val="DBFF4A44"/>
    <w:rsid w:val="DBFF523B"/>
    <w:rsid w:val="DCF79C36"/>
    <w:rsid w:val="DCFA971B"/>
    <w:rsid w:val="DCFFA810"/>
    <w:rsid w:val="DD3D8814"/>
    <w:rsid w:val="DD3FAB14"/>
    <w:rsid w:val="DD5A8C02"/>
    <w:rsid w:val="DD7B3B13"/>
    <w:rsid w:val="DDAD8DB2"/>
    <w:rsid w:val="DDBE6E59"/>
    <w:rsid w:val="DDE7C6DD"/>
    <w:rsid w:val="DDF7C015"/>
    <w:rsid w:val="DE3E748D"/>
    <w:rsid w:val="DE9E8DB1"/>
    <w:rsid w:val="DEAF3F8A"/>
    <w:rsid w:val="DEBB88E1"/>
    <w:rsid w:val="DEBFDD83"/>
    <w:rsid w:val="DEED0EC4"/>
    <w:rsid w:val="DEF317CE"/>
    <w:rsid w:val="DEFAA866"/>
    <w:rsid w:val="DEFB04B8"/>
    <w:rsid w:val="DEFB48BD"/>
    <w:rsid w:val="DEFD325A"/>
    <w:rsid w:val="DEFE0B12"/>
    <w:rsid w:val="DEFE9A91"/>
    <w:rsid w:val="DEFED555"/>
    <w:rsid w:val="DEFF6F91"/>
    <w:rsid w:val="DEFFBC2B"/>
    <w:rsid w:val="DF08C39A"/>
    <w:rsid w:val="DF2C78B9"/>
    <w:rsid w:val="DF2D436D"/>
    <w:rsid w:val="DF2F2E12"/>
    <w:rsid w:val="DF3CD5E5"/>
    <w:rsid w:val="DF4D2900"/>
    <w:rsid w:val="DF775223"/>
    <w:rsid w:val="DF777955"/>
    <w:rsid w:val="DF7BA0AD"/>
    <w:rsid w:val="DF7BA9E3"/>
    <w:rsid w:val="DF7D730A"/>
    <w:rsid w:val="DF7E3696"/>
    <w:rsid w:val="DF7E4463"/>
    <w:rsid w:val="DF7EB190"/>
    <w:rsid w:val="DF7FA474"/>
    <w:rsid w:val="DFBB5EC8"/>
    <w:rsid w:val="DFBBEC6C"/>
    <w:rsid w:val="DFBE23F4"/>
    <w:rsid w:val="DFBF152B"/>
    <w:rsid w:val="DFBF1A13"/>
    <w:rsid w:val="DFBF1DD6"/>
    <w:rsid w:val="DFBF7756"/>
    <w:rsid w:val="DFC61542"/>
    <w:rsid w:val="DFD75005"/>
    <w:rsid w:val="DFD76A45"/>
    <w:rsid w:val="DFDE9709"/>
    <w:rsid w:val="DFDF32CE"/>
    <w:rsid w:val="DFDF6F63"/>
    <w:rsid w:val="DFE362C5"/>
    <w:rsid w:val="DFE5984C"/>
    <w:rsid w:val="DFE615BB"/>
    <w:rsid w:val="DFEE0B35"/>
    <w:rsid w:val="DFF551F5"/>
    <w:rsid w:val="DFF7D68D"/>
    <w:rsid w:val="DFFB0FA6"/>
    <w:rsid w:val="DFFBD0E6"/>
    <w:rsid w:val="DFFD2F93"/>
    <w:rsid w:val="DFFD8095"/>
    <w:rsid w:val="DFFDA107"/>
    <w:rsid w:val="DFFDFEB2"/>
    <w:rsid w:val="DFFE98EB"/>
    <w:rsid w:val="DFFF0998"/>
    <w:rsid w:val="DFFF3602"/>
    <w:rsid w:val="DFFFAF9D"/>
    <w:rsid w:val="E17D8EE7"/>
    <w:rsid w:val="E18E940D"/>
    <w:rsid w:val="E1C6A760"/>
    <w:rsid w:val="E2DF1D46"/>
    <w:rsid w:val="E2E3C74D"/>
    <w:rsid w:val="E2FE7DE3"/>
    <w:rsid w:val="E35FCB15"/>
    <w:rsid w:val="E3AFEB92"/>
    <w:rsid w:val="E3DE83AC"/>
    <w:rsid w:val="E3EA86F7"/>
    <w:rsid w:val="E3FF2481"/>
    <w:rsid w:val="E4DE2195"/>
    <w:rsid w:val="E4EF5821"/>
    <w:rsid w:val="E56B5B20"/>
    <w:rsid w:val="E5ADF8AC"/>
    <w:rsid w:val="E5F76990"/>
    <w:rsid w:val="E5FCD1E6"/>
    <w:rsid w:val="E5FDC1F9"/>
    <w:rsid w:val="E69FC5B8"/>
    <w:rsid w:val="E6AF0493"/>
    <w:rsid w:val="E74F2C98"/>
    <w:rsid w:val="E7779B16"/>
    <w:rsid w:val="E7A8DEFD"/>
    <w:rsid w:val="E7BF696A"/>
    <w:rsid w:val="E7C4657C"/>
    <w:rsid w:val="E7D7B785"/>
    <w:rsid w:val="E7DEF793"/>
    <w:rsid w:val="E7E8DEFD"/>
    <w:rsid w:val="E7E93CB8"/>
    <w:rsid w:val="E7FE9B5B"/>
    <w:rsid w:val="E7FF3D94"/>
    <w:rsid w:val="E8BBBF37"/>
    <w:rsid w:val="E99FBC80"/>
    <w:rsid w:val="E9FF1E61"/>
    <w:rsid w:val="EAEFC0F6"/>
    <w:rsid w:val="EAF13F6B"/>
    <w:rsid w:val="EAFF731D"/>
    <w:rsid w:val="EB6D233D"/>
    <w:rsid w:val="EB7B5AC6"/>
    <w:rsid w:val="EBBD8426"/>
    <w:rsid w:val="EBBFE20D"/>
    <w:rsid w:val="EBDB8744"/>
    <w:rsid w:val="EBDE5EB5"/>
    <w:rsid w:val="EBE993FD"/>
    <w:rsid w:val="EBF5F8B7"/>
    <w:rsid w:val="EBFFC5B8"/>
    <w:rsid w:val="EC4F7E12"/>
    <w:rsid w:val="EC59BB26"/>
    <w:rsid w:val="ECD629F6"/>
    <w:rsid w:val="ED3F0872"/>
    <w:rsid w:val="ED6FAEB1"/>
    <w:rsid w:val="ED7DB80B"/>
    <w:rsid w:val="ED7F60B7"/>
    <w:rsid w:val="EDDB3828"/>
    <w:rsid w:val="EDF7924B"/>
    <w:rsid w:val="EDFFB6CE"/>
    <w:rsid w:val="EE1AD9C0"/>
    <w:rsid w:val="EE9F85C6"/>
    <w:rsid w:val="EEA5D4A5"/>
    <w:rsid w:val="EEB3A236"/>
    <w:rsid w:val="EEB52D81"/>
    <w:rsid w:val="EEBF7FD2"/>
    <w:rsid w:val="EEE79D08"/>
    <w:rsid w:val="EEFE77FD"/>
    <w:rsid w:val="EEFE7BC0"/>
    <w:rsid w:val="EEFF96C3"/>
    <w:rsid w:val="EEFF9B24"/>
    <w:rsid w:val="EF0BC23F"/>
    <w:rsid w:val="EF330292"/>
    <w:rsid w:val="EF3A6FD3"/>
    <w:rsid w:val="EF3E7CC6"/>
    <w:rsid w:val="EF735276"/>
    <w:rsid w:val="EF7D8CA2"/>
    <w:rsid w:val="EF7F6D38"/>
    <w:rsid w:val="EF956375"/>
    <w:rsid w:val="EFA672D0"/>
    <w:rsid w:val="EFB75461"/>
    <w:rsid w:val="EFBB8F28"/>
    <w:rsid w:val="EFBD4C03"/>
    <w:rsid w:val="EFBE3D50"/>
    <w:rsid w:val="EFBEEBA5"/>
    <w:rsid w:val="EFBF949D"/>
    <w:rsid w:val="EFCF353F"/>
    <w:rsid w:val="EFD700A5"/>
    <w:rsid w:val="EFDBBAA6"/>
    <w:rsid w:val="EFDBF905"/>
    <w:rsid w:val="EFDD4DD9"/>
    <w:rsid w:val="EFDF409B"/>
    <w:rsid w:val="EFE798FC"/>
    <w:rsid w:val="EFE7C1EC"/>
    <w:rsid w:val="EFEFD1D7"/>
    <w:rsid w:val="EFF1C208"/>
    <w:rsid w:val="EFF41EA9"/>
    <w:rsid w:val="EFF55E4B"/>
    <w:rsid w:val="EFF6493E"/>
    <w:rsid w:val="EFF73B42"/>
    <w:rsid w:val="EFF9F4F7"/>
    <w:rsid w:val="EFFA42CA"/>
    <w:rsid w:val="EFFAF84D"/>
    <w:rsid w:val="EFFB11E7"/>
    <w:rsid w:val="EFFD6A7F"/>
    <w:rsid w:val="EFFE943F"/>
    <w:rsid w:val="EFFEB5F7"/>
    <w:rsid w:val="EFFEC175"/>
    <w:rsid w:val="EFFEFC4C"/>
    <w:rsid w:val="EFFF0631"/>
    <w:rsid w:val="EFFF35E6"/>
    <w:rsid w:val="EFFF9596"/>
    <w:rsid w:val="EFFF9910"/>
    <w:rsid w:val="EFFFBBF1"/>
    <w:rsid w:val="F15B65D8"/>
    <w:rsid w:val="F19F2100"/>
    <w:rsid w:val="F1D5728E"/>
    <w:rsid w:val="F1EEB564"/>
    <w:rsid w:val="F1EF66FA"/>
    <w:rsid w:val="F1FF772B"/>
    <w:rsid w:val="F25F094A"/>
    <w:rsid w:val="F2FF1A7F"/>
    <w:rsid w:val="F2FFAEA9"/>
    <w:rsid w:val="F2FFED78"/>
    <w:rsid w:val="F35E055C"/>
    <w:rsid w:val="F36FB036"/>
    <w:rsid w:val="F37A75B1"/>
    <w:rsid w:val="F3971AFD"/>
    <w:rsid w:val="F3BB8145"/>
    <w:rsid w:val="F3BDC704"/>
    <w:rsid w:val="F3BFD23C"/>
    <w:rsid w:val="F3D4C4F9"/>
    <w:rsid w:val="F3D7BAB4"/>
    <w:rsid w:val="F3E75E20"/>
    <w:rsid w:val="F3FF20D1"/>
    <w:rsid w:val="F42C8A9E"/>
    <w:rsid w:val="F475946A"/>
    <w:rsid w:val="F4DF7785"/>
    <w:rsid w:val="F4FE7FAE"/>
    <w:rsid w:val="F4FF6EDB"/>
    <w:rsid w:val="F556B8BA"/>
    <w:rsid w:val="F59FFD21"/>
    <w:rsid w:val="F5AF5ABB"/>
    <w:rsid w:val="F5D10363"/>
    <w:rsid w:val="F5D7AB7A"/>
    <w:rsid w:val="F5E44115"/>
    <w:rsid w:val="F5ED99B2"/>
    <w:rsid w:val="F5EF7B8A"/>
    <w:rsid w:val="F5F494F3"/>
    <w:rsid w:val="F5F5D46B"/>
    <w:rsid w:val="F5F720E9"/>
    <w:rsid w:val="F5F77ED0"/>
    <w:rsid w:val="F5FA9CB0"/>
    <w:rsid w:val="F5FB1DCD"/>
    <w:rsid w:val="F5FD5B30"/>
    <w:rsid w:val="F63F134C"/>
    <w:rsid w:val="F65E464B"/>
    <w:rsid w:val="F66FE8A1"/>
    <w:rsid w:val="F67F0ED0"/>
    <w:rsid w:val="F6AF5E91"/>
    <w:rsid w:val="F6D9167E"/>
    <w:rsid w:val="F6DFBA5A"/>
    <w:rsid w:val="F6ED9B87"/>
    <w:rsid w:val="F6F723F6"/>
    <w:rsid w:val="F6F88473"/>
    <w:rsid w:val="F70FA906"/>
    <w:rsid w:val="F71E515A"/>
    <w:rsid w:val="F72FF84A"/>
    <w:rsid w:val="F757EEC1"/>
    <w:rsid w:val="F75B8F43"/>
    <w:rsid w:val="F75C66AB"/>
    <w:rsid w:val="F75FEEE1"/>
    <w:rsid w:val="F7606758"/>
    <w:rsid w:val="F76B05E1"/>
    <w:rsid w:val="F76FEA72"/>
    <w:rsid w:val="F7762B60"/>
    <w:rsid w:val="F7779A0D"/>
    <w:rsid w:val="F77B9178"/>
    <w:rsid w:val="F77CB897"/>
    <w:rsid w:val="F77DEA56"/>
    <w:rsid w:val="F78DE221"/>
    <w:rsid w:val="F78F645F"/>
    <w:rsid w:val="F7979533"/>
    <w:rsid w:val="F7B319FB"/>
    <w:rsid w:val="F7BCA9F0"/>
    <w:rsid w:val="F7BFDD60"/>
    <w:rsid w:val="F7BFFE8B"/>
    <w:rsid w:val="F7C70D28"/>
    <w:rsid w:val="F7D70F71"/>
    <w:rsid w:val="F7DB6F4B"/>
    <w:rsid w:val="F7DF288E"/>
    <w:rsid w:val="F7DFE45E"/>
    <w:rsid w:val="F7EE68BA"/>
    <w:rsid w:val="F7EF1F5F"/>
    <w:rsid w:val="F7EFD3B3"/>
    <w:rsid w:val="F7F6E3C6"/>
    <w:rsid w:val="F7F7BB5F"/>
    <w:rsid w:val="F7F7C339"/>
    <w:rsid w:val="F7F9DA5A"/>
    <w:rsid w:val="F7FB33A8"/>
    <w:rsid w:val="F7FB6FA5"/>
    <w:rsid w:val="F7FE4A31"/>
    <w:rsid w:val="F7FE581F"/>
    <w:rsid w:val="F7FF1966"/>
    <w:rsid w:val="F7FF1F44"/>
    <w:rsid w:val="F7FF7603"/>
    <w:rsid w:val="F7FFC30D"/>
    <w:rsid w:val="F8BF862C"/>
    <w:rsid w:val="F8EF9E49"/>
    <w:rsid w:val="F8FC3C0E"/>
    <w:rsid w:val="F8FEFF87"/>
    <w:rsid w:val="F975F0CB"/>
    <w:rsid w:val="F97DCA81"/>
    <w:rsid w:val="F9AA6D3D"/>
    <w:rsid w:val="F9B1DF2B"/>
    <w:rsid w:val="F9BF5540"/>
    <w:rsid w:val="F9C3EBBC"/>
    <w:rsid w:val="F9CF08F4"/>
    <w:rsid w:val="F9DDBDB1"/>
    <w:rsid w:val="F9DF8172"/>
    <w:rsid w:val="F9EEC9D8"/>
    <w:rsid w:val="F9FB8725"/>
    <w:rsid w:val="F9FE680C"/>
    <w:rsid w:val="F9FF43A4"/>
    <w:rsid w:val="FA687159"/>
    <w:rsid w:val="FA7B3E52"/>
    <w:rsid w:val="FA7F9D34"/>
    <w:rsid w:val="FA7FA406"/>
    <w:rsid w:val="FABB048D"/>
    <w:rsid w:val="FADB12DA"/>
    <w:rsid w:val="FADB91B0"/>
    <w:rsid w:val="FAEF7244"/>
    <w:rsid w:val="FAEFEFE2"/>
    <w:rsid w:val="FAF30A6E"/>
    <w:rsid w:val="FAFBC6E5"/>
    <w:rsid w:val="FB67DB88"/>
    <w:rsid w:val="FB6E5322"/>
    <w:rsid w:val="FB6F9F88"/>
    <w:rsid w:val="FB7AF618"/>
    <w:rsid w:val="FB7F3AF9"/>
    <w:rsid w:val="FB7FE693"/>
    <w:rsid w:val="FB7FFEA0"/>
    <w:rsid w:val="FBB72AF6"/>
    <w:rsid w:val="FBBB3814"/>
    <w:rsid w:val="FBBD21D3"/>
    <w:rsid w:val="FBBF6320"/>
    <w:rsid w:val="FBBF9BB9"/>
    <w:rsid w:val="FBCD8950"/>
    <w:rsid w:val="FBCF63F5"/>
    <w:rsid w:val="FBD2D492"/>
    <w:rsid w:val="FBD7535C"/>
    <w:rsid w:val="FBDE80CC"/>
    <w:rsid w:val="FBDE93AB"/>
    <w:rsid w:val="FBDFF0A3"/>
    <w:rsid w:val="FBE0F226"/>
    <w:rsid w:val="FBECBED1"/>
    <w:rsid w:val="FBEF5FCA"/>
    <w:rsid w:val="FBEF81E8"/>
    <w:rsid w:val="FBEFB4CB"/>
    <w:rsid w:val="FBF79FBB"/>
    <w:rsid w:val="FBFC14F8"/>
    <w:rsid w:val="FBFD394F"/>
    <w:rsid w:val="FBFE646C"/>
    <w:rsid w:val="FBFF09F1"/>
    <w:rsid w:val="FBFF270C"/>
    <w:rsid w:val="FBFF3ED3"/>
    <w:rsid w:val="FBFF4041"/>
    <w:rsid w:val="FBFF42C2"/>
    <w:rsid w:val="FC2F06CE"/>
    <w:rsid w:val="FC7FE161"/>
    <w:rsid w:val="FCBF212C"/>
    <w:rsid w:val="FCC21352"/>
    <w:rsid w:val="FCDF04E9"/>
    <w:rsid w:val="FCE3C2C3"/>
    <w:rsid w:val="FCEAD803"/>
    <w:rsid w:val="FCEE1298"/>
    <w:rsid w:val="FCEF09CB"/>
    <w:rsid w:val="FCF5BD41"/>
    <w:rsid w:val="FCFF6F25"/>
    <w:rsid w:val="FCFF7E15"/>
    <w:rsid w:val="FCFFB8B1"/>
    <w:rsid w:val="FCFFFB00"/>
    <w:rsid w:val="FD324851"/>
    <w:rsid w:val="FD3F0E16"/>
    <w:rsid w:val="FD3FE4A3"/>
    <w:rsid w:val="FD533DE5"/>
    <w:rsid w:val="FD5BC333"/>
    <w:rsid w:val="FD6A3407"/>
    <w:rsid w:val="FD7E932E"/>
    <w:rsid w:val="FD7F5A45"/>
    <w:rsid w:val="FD9F9D3C"/>
    <w:rsid w:val="FDBC3FC9"/>
    <w:rsid w:val="FDBF5139"/>
    <w:rsid w:val="FDCEF390"/>
    <w:rsid w:val="FDD322E7"/>
    <w:rsid w:val="FDE344B5"/>
    <w:rsid w:val="FDE72374"/>
    <w:rsid w:val="FDEB4845"/>
    <w:rsid w:val="FDED911E"/>
    <w:rsid w:val="FDEE3D71"/>
    <w:rsid w:val="FDEF2147"/>
    <w:rsid w:val="FDEF69D8"/>
    <w:rsid w:val="FDF2C145"/>
    <w:rsid w:val="FDF866B4"/>
    <w:rsid w:val="FDFA22E7"/>
    <w:rsid w:val="FDFBC2C3"/>
    <w:rsid w:val="FDFBD5E5"/>
    <w:rsid w:val="FDFCEF16"/>
    <w:rsid w:val="FDFE1749"/>
    <w:rsid w:val="FDFE60D3"/>
    <w:rsid w:val="FDFF02CC"/>
    <w:rsid w:val="FDFF1B28"/>
    <w:rsid w:val="FDFF5E0C"/>
    <w:rsid w:val="FDFF7193"/>
    <w:rsid w:val="FE1A2C5A"/>
    <w:rsid w:val="FE27D3E3"/>
    <w:rsid w:val="FE2B7600"/>
    <w:rsid w:val="FE37E9E5"/>
    <w:rsid w:val="FE672BE9"/>
    <w:rsid w:val="FE6D2EAD"/>
    <w:rsid w:val="FE7DCBE6"/>
    <w:rsid w:val="FE7F15CF"/>
    <w:rsid w:val="FE9BC3F3"/>
    <w:rsid w:val="FE9EB097"/>
    <w:rsid w:val="FE9F719F"/>
    <w:rsid w:val="FEAF84B5"/>
    <w:rsid w:val="FEAFBA4F"/>
    <w:rsid w:val="FEBB35FA"/>
    <w:rsid w:val="FEBCC559"/>
    <w:rsid w:val="FEBDBBE0"/>
    <w:rsid w:val="FEBF8623"/>
    <w:rsid w:val="FEC6556A"/>
    <w:rsid w:val="FECB75B8"/>
    <w:rsid w:val="FECE5C58"/>
    <w:rsid w:val="FED4D240"/>
    <w:rsid w:val="FED70ACA"/>
    <w:rsid w:val="FEDF6D64"/>
    <w:rsid w:val="FEDFB587"/>
    <w:rsid w:val="FEDFE71B"/>
    <w:rsid w:val="FEE431CD"/>
    <w:rsid w:val="FEF5EF3D"/>
    <w:rsid w:val="FEFA2844"/>
    <w:rsid w:val="FEFB36AE"/>
    <w:rsid w:val="FEFD3CAE"/>
    <w:rsid w:val="FEFE5B4A"/>
    <w:rsid w:val="FEFF1958"/>
    <w:rsid w:val="FEFF6672"/>
    <w:rsid w:val="FEFFAE15"/>
    <w:rsid w:val="FF1E641A"/>
    <w:rsid w:val="FF2796F5"/>
    <w:rsid w:val="FF37B4A1"/>
    <w:rsid w:val="FF3DF3CF"/>
    <w:rsid w:val="FF3FC0B8"/>
    <w:rsid w:val="FF4D6884"/>
    <w:rsid w:val="FF52568F"/>
    <w:rsid w:val="FF5DBE29"/>
    <w:rsid w:val="FF5EE3F9"/>
    <w:rsid w:val="FF6BE80A"/>
    <w:rsid w:val="FF6DCE2D"/>
    <w:rsid w:val="FF6F54B3"/>
    <w:rsid w:val="FF6FABFA"/>
    <w:rsid w:val="FF775F4A"/>
    <w:rsid w:val="FF7C2EFB"/>
    <w:rsid w:val="FF7C5156"/>
    <w:rsid w:val="FF7E1D87"/>
    <w:rsid w:val="FF7E6FEB"/>
    <w:rsid w:val="FF7F1971"/>
    <w:rsid w:val="FF7F3C5C"/>
    <w:rsid w:val="FF7F53C6"/>
    <w:rsid w:val="FF7F9F80"/>
    <w:rsid w:val="FF7FD6E6"/>
    <w:rsid w:val="FF7FE2C8"/>
    <w:rsid w:val="FF92DDD0"/>
    <w:rsid w:val="FF97B19D"/>
    <w:rsid w:val="FF9BCD98"/>
    <w:rsid w:val="FF9BF474"/>
    <w:rsid w:val="FF9E2D5B"/>
    <w:rsid w:val="FF9E3461"/>
    <w:rsid w:val="FF9F6EE9"/>
    <w:rsid w:val="FF9FBF6A"/>
    <w:rsid w:val="FFA0B1C4"/>
    <w:rsid w:val="FFA544F0"/>
    <w:rsid w:val="FFAD16AC"/>
    <w:rsid w:val="FFAD7DDC"/>
    <w:rsid w:val="FFAD81D1"/>
    <w:rsid w:val="FFAD95B5"/>
    <w:rsid w:val="FFAFF7E0"/>
    <w:rsid w:val="FFB12345"/>
    <w:rsid w:val="FFB20854"/>
    <w:rsid w:val="FFB3E44A"/>
    <w:rsid w:val="FFB7B15A"/>
    <w:rsid w:val="FFBC4364"/>
    <w:rsid w:val="FFBF005C"/>
    <w:rsid w:val="FFBF1E2F"/>
    <w:rsid w:val="FFBF51D9"/>
    <w:rsid w:val="FFBFE92A"/>
    <w:rsid w:val="FFCBA116"/>
    <w:rsid w:val="FFCD75C9"/>
    <w:rsid w:val="FFCD87DA"/>
    <w:rsid w:val="FFCF3227"/>
    <w:rsid w:val="FFD32E74"/>
    <w:rsid w:val="FFD3FB1F"/>
    <w:rsid w:val="FFD54CF5"/>
    <w:rsid w:val="FFD72645"/>
    <w:rsid w:val="FFD74A25"/>
    <w:rsid w:val="FFDBC735"/>
    <w:rsid w:val="FFDE16EF"/>
    <w:rsid w:val="FFDEC8BD"/>
    <w:rsid w:val="FFDF0BB8"/>
    <w:rsid w:val="FFDF28F3"/>
    <w:rsid w:val="FFDF53D0"/>
    <w:rsid w:val="FFE5525B"/>
    <w:rsid w:val="FFE7A29D"/>
    <w:rsid w:val="FFEB06D6"/>
    <w:rsid w:val="FFEB4EA4"/>
    <w:rsid w:val="FFEC6C4F"/>
    <w:rsid w:val="FFED1242"/>
    <w:rsid w:val="FFEE6C48"/>
    <w:rsid w:val="FFEE86D8"/>
    <w:rsid w:val="FFEF4D20"/>
    <w:rsid w:val="FFEF51A7"/>
    <w:rsid w:val="FFF3601E"/>
    <w:rsid w:val="FFF3BFC0"/>
    <w:rsid w:val="FFF40692"/>
    <w:rsid w:val="FFF45673"/>
    <w:rsid w:val="FFF5E122"/>
    <w:rsid w:val="FFF60465"/>
    <w:rsid w:val="FFF64908"/>
    <w:rsid w:val="FFF6BE83"/>
    <w:rsid w:val="FFF747D1"/>
    <w:rsid w:val="FFF767F4"/>
    <w:rsid w:val="FFF8B6FA"/>
    <w:rsid w:val="FFFA3BD0"/>
    <w:rsid w:val="FFFCF672"/>
    <w:rsid w:val="FFFD9882"/>
    <w:rsid w:val="FFFDA50F"/>
    <w:rsid w:val="FFFE188C"/>
    <w:rsid w:val="FFFE7032"/>
    <w:rsid w:val="FFFF31DE"/>
    <w:rsid w:val="FFFF3D29"/>
    <w:rsid w:val="FFFF3F60"/>
    <w:rsid w:val="FFFF60FE"/>
    <w:rsid w:val="FFFF7015"/>
    <w:rsid w:val="FFFF71D3"/>
    <w:rsid w:val="FFFF792D"/>
    <w:rsid w:val="FFFFB15B"/>
    <w:rsid w:val="FFFFD0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0" w:semiHidden="0"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zh-CN" w:eastAsia="zh-CN" w:bidi="zh-CN"/>
    </w:rPr>
  </w:style>
  <w:style w:type="paragraph" w:styleId="2">
    <w:name w:val="heading 1"/>
    <w:basedOn w:val="1"/>
    <w:next w:val="1"/>
    <w:qFormat/>
    <w:uiPriority w:val="1"/>
    <w:pPr>
      <w:spacing w:line="565" w:lineRule="exact"/>
      <w:ind w:right="452"/>
      <w:jc w:val="center"/>
      <w:outlineLvl w:val="0"/>
    </w:pPr>
    <w:rPr>
      <w:rFonts w:ascii="Microsoft JhengHei" w:hAnsi="Microsoft JhengHei" w:eastAsia="Microsoft JhengHei" w:cs="Microsoft JhengHei"/>
      <w:b/>
      <w:bCs/>
      <w:sz w:val="36"/>
      <w:szCs w:val="36"/>
    </w:rPr>
  </w:style>
  <w:style w:type="paragraph" w:styleId="3">
    <w:name w:val="heading 2"/>
    <w:basedOn w:val="1"/>
    <w:next w:val="1"/>
    <w:qFormat/>
    <w:uiPriority w:val="1"/>
    <w:pPr>
      <w:ind w:left="320"/>
      <w:outlineLvl w:val="1"/>
    </w:pPr>
    <w:rPr>
      <w:sz w:val="36"/>
      <w:szCs w:val="36"/>
    </w:rPr>
  </w:style>
  <w:style w:type="paragraph" w:styleId="4">
    <w:name w:val="heading 3"/>
    <w:basedOn w:val="1"/>
    <w:next w:val="5"/>
    <w:qFormat/>
    <w:uiPriority w:val="1"/>
    <w:pPr>
      <w:jc w:val="center"/>
      <w:outlineLvl w:val="2"/>
    </w:pPr>
    <w:rPr>
      <w:rFonts w:ascii="Microsoft JhengHei" w:hAnsi="Microsoft JhengHei" w:eastAsia="Microsoft JhengHei" w:cs="Microsoft JhengHei"/>
      <w:b/>
      <w:bCs/>
      <w:sz w:val="32"/>
      <w:szCs w:val="32"/>
    </w:rPr>
  </w:style>
  <w:style w:type="paragraph" w:styleId="6">
    <w:name w:val="heading 4"/>
    <w:basedOn w:val="1"/>
    <w:next w:val="1"/>
    <w:qFormat/>
    <w:uiPriority w:val="1"/>
    <w:pPr>
      <w:ind w:left="638"/>
      <w:outlineLvl w:val="3"/>
    </w:pPr>
    <w:rPr>
      <w:rFonts w:ascii="Microsoft JhengHei" w:hAnsi="Microsoft JhengHei" w:eastAsia="Microsoft JhengHei" w:cs="Microsoft JhengHei"/>
      <w:b/>
      <w:bCs/>
      <w:sz w:val="21"/>
      <w:szCs w:val="21"/>
    </w:rPr>
  </w:style>
  <w:style w:type="paragraph" w:styleId="7">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3"/>
    <w:qFormat/>
    <w:uiPriority w:val="0"/>
    <w:rPr>
      <w:sz w:val="18"/>
      <w:szCs w:val="18"/>
    </w:rPr>
  </w:style>
  <w:style w:type="paragraph" w:styleId="15">
    <w:name w:val="annotation text"/>
    <w:basedOn w:val="1"/>
    <w:link w:val="208"/>
    <w:qFormat/>
    <w:uiPriority w:val="0"/>
  </w:style>
  <w:style w:type="paragraph" w:styleId="16">
    <w:name w:val="Body Text 3"/>
    <w:basedOn w:val="1"/>
    <w:qFormat/>
    <w:uiPriority w:val="0"/>
    <w:rPr>
      <w:rFonts w:ascii="仿宋_GB2312" w:hAnsi="Arial" w:eastAsia="仿宋_GB2312"/>
      <w:sz w:val="32"/>
    </w:rPr>
  </w:style>
  <w:style w:type="paragraph" w:styleId="17">
    <w:name w:val="Body Text"/>
    <w:basedOn w:val="1"/>
    <w:next w:val="1"/>
    <w:qFormat/>
    <w:uiPriority w:val="1"/>
    <w:rPr>
      <w:sz w:val="21"/>
      <w:szCs w:val="21"/>
    </w:rPr>
  </w:style>
  <w:style w:type="paragraph" w:styleId="18">
    <w:name w:val="Body Text Indent"/>
    <w:basedOn w:val="1"/>
    <w:qFormat/>
    <w:uiPriority w:val="0"/>
    <w:pPr>
      <w:spacing w:line="400" w:lineRule="atLeast"/>
      <w:ind w:firstLine="600"/>
    </w:pPr>
    <w:rPr>
      <w:rFonts w:ascii="仿宋_GB2312" w:eastAsia="仿宋_GB2312"/>
      <w:bCs/>
      <w:sz w:val="24"/>
    </w:rPr>
  </w:style>
  <w:style w:type="paragraph" w:styleId="19">
    <w:name w:val="List Bullet 2"/>
    <w:basedOn w:val="1"/>
    <w:qFormat/>
    <w:uiPriority w:val="0"/>
    <w:pPr>
      <w:numPr>
        <w:ilvl w:val="0"/>
        <w:numId w:val="1"/>
      </w:numPr>
    </w:pPr>
  </w:style>
  <w:style w:type="paragraph" w:styleId="20">
    <w:name w:val="index 4"/>
    <w:basedOn w:val="1"/>
    <w:next w:val="1"/>
    <w:semiHidden/>
    <w:qFormat/>
    <w:uiPriority w:val="0"/>
    <w:pPr>
      <w:ind w:left="1260"/>
    </w:pPr>
  </w:style>
  <w:style w:type="paragraph" w:styleId="21">
    <w:name w:val="toc 5"/>
    <w:basedOn w:val="1"/>
    <w:next w:val="1"/>
    <w:unhideWhenUsed/>
    <w:qFormat/>
    <w:uiPriority w:val="39"/>
    <w:pPr>
      <w:spacing w:after="57"/>
      <w:ind w:left="1134" w:right="0" w:firstLine="0"/>
    </w:pPr>
  </w:style>
  <w:style w:type="paragraph" w:styleId="22">
    <w:name w:val="toc 3"/>
    <w:basedOn w:val="1"/>
    <w:next w:val="1"/>
    <w:qFormat/>
    <w:uiPriority w:val="1"/>
    <w:pPr>
      <w:spacing w:line="312" w:lineRule="exact"/>
      <w:ind w:left="218"/>
    </w:pPr>
    <w:rPr>
      <w:rFonts w:ascii="Microsoft JhengHei" w:hAnsi="Microsoft JhengHei" w:eastAsia="Microsoft JhengHei" w:cs="Microsoft JhengHei"/>
      <w:b/>
      <w:bCs/>
      <w:i/>
    </w:rPr>
  </w:style>
  <w:style w:type="paragraph" w:styleId="23">
    <w:name w:val="Plain Text"/>
    <w:basedOn w:val="1"/>
    <w:next w:val="1"/>
    <w:qFormat/>
    <w:uiPriority w:val="0"/>
    <w:rPr>
      <w:rFonts w:hAnsi="Courier New"/>
    </w:rPr>
  </w:style>
  <w:style w:type="paragraph" w:styleId="24">
    <w:name w:val="toc 8"/>
    <w:basedOn w:val="1"/>
    <w:next w:val="1"/>
    <w:unhideWhenUsed/>
    <w:qFormat/>
    <w:uiPriority w:val="39"/>
    <w:pPr>
      <w:spacing w:after="57"/>
      <w:ind w:left="1984" w:right="0" w:firstLine="0"/>
    </w:pPr>
  </w:style>
  <w:style w:type="paragraph" w:styleId="25">
    <w:name w:val="index 3"/>
    <w:basedOn w:val="1"/>
    <w:next w:val="1"/>
    <w:qFormat/>
    <w:uiPriority w:val="0"/>
    <w:pPr>
      <w:ind w:left="400"/>
      <w:jc w:val="both"/>
    </w:pPr>
    <w:rPr>
      <w:rFonts w:ascii="Times New Roman" w:hAnsi="Times New Roman" w:cs="Times New Roman"/>
      <w:sz w:val="21"/>
      <w:szCs w:val="20"/>
      <w:lang w:val="en-US" w:bidi="ar-SA"/>
    </w:rPr>
  </w:style>
  <w:style w:type="paragraph" w:styleId="26">
    <w:name w:val="endnote text"/>
    <w:basedOn w:val="1"/>
    <w:link w:val="197"/>
    <w:semiHidden/>
    <w:unhideWhenUsed/>
    <w:qFormat/>
    <w:uiPriority w:val="99"/>
    <w:pPr>
      <w:spacing w:after="0" w:line="240" w:lineRule="auto"/>
    </w:pPr>
    <w:rPr>
      <w:sz w:val="20"/>
    </w:rPr>
  </w:style>
  <w:style w:type="paragraph" w:styleId="27">
    <w:name w:val="Balloon Text"/>
    <w:basedOn w:val="1"/>
    <w:link w:val="207"/>
    <w:qFormat/>
    <w:uiPriority w:val="0"/>
    <w:rPr>
      <w:sz w:val="18"/>
      <w:szCs w:val="18"/>
    </w:rPr>
  </w:style>
  <w:style w:type="paragraph" w:styleId="28">
    <w:name w:val="footer"/>
    <w:basedOn w:val="1"/>
    <w:unhideWhenUsed/>
    <w:qFormat/>
    <w:uiPriority w:val="99"/>
    <w:pPr>
      <w:tabs>
        <w:tab w:val="center" w:pos="4153"/>
        <w:tab w:val="right" w:pos="8306"/>
      </w:tabs>
    </w:pPr>
    <w:rPr>
      <w:sz w:val="18"/>
      <w:szCs w:val="18"/>
    </w:rPr>
  </w:style>
  <w:style w:type="paragraph" w:styleId="2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30">
    <w:name w:val="toc 1"/>
    <w:basedOn w:val="1"/>
    <w:next w:val="1"/>
    <w:qFormat/>
    <w:uiPriority w:val="1"/>
    <w:pPr>
      <w:spacing w:line="312" w:lineRule="exact"/>
      <w:ind w:left="218"/>
    </w:pPr>
    <w:rPr>
      <w:rFonts w:ascii="Microsoft JhengHei" w:hAnsi="Microsoft JhengHei" w:eastAsia="Microsoft JhengHei" w:cs="Microsoft JhengHei"/>
      <w:b/>
      <w:bCs/>
      <w:sz w:val="21"/>
      <w:szCs w:val="21"/>
    </w:rPr>
  </w:style>
  <w:style w:type="paragraph" w:styleId="31">
    <w:name w:val="toc 4"/>
    <w:basedOn w:val="1"/>
    <w:next w:val="1"/>
    <w:qFormat/>
    <w:uiPriority w:val="1"/>
    <w:pPr>
      <w:spacing w:line="256" w:lineRule="exact"/>
      <w:ind w:left="1058"/>
    </w:pPr>
    <w:rPr>
      <w:sz w:val="21"/>
      <w:szCs w:val="21"/>
    </w:rPr>
  </w:style>
  <w:style w:type="paragraph" w:styleId="32">
    <w:name w:val="Subtitle"/>
    <w:basedOn w:val="1"/>
    <w:next w:val="1"/>
    <w:link w:val="63"/>
    <w:qFormat/>
    <w:uiPriority w:val="11"/>
    <w:pPr>
      <w:spacing w:before="200" w:after="200"/>
    </w:pPr>
    <w:rPr>
      <w:sz w:val="24"/>
      <w:szCs w:val="24"/>
    </w:rPr>
  </w:style>
  <w:style w:type="paragraph" w:styleId="33">
    <w:name w:val="footnote text"/>
    <w:basedOn w:val="1"/>
    <w:link w:val="196"/>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table of figures"/>
    <w:basedOn w:val="1"/>
    <w:next w:val="1"/>
    <w:unhideWhenUsed/>
    <w:qFormat/>
    <w:uiPriority w:val="99"/>
    <w:pPr>
      <w:spacing w:after="0" w:afterAutospacing="0"/>
    </w:pPr>
  </w:style>
  <w:style w:type="paragraph" w:styleId="36">
    <w:name w:val="toc 2"/>
    <w:basedOn w:val="1"/>
    <w:next w:val="1"/>
    <w:qFormat/>
    <w:uiPriority w:val="1"/>
    <w:pPr>
      <w:spacing w:before="43"/>
      <w:ind w:left="218"/>
    </w:pPr>
    <w:rPr>
      <w:sz w:val="21"/>
      <w:szCs w:val="21"/>
    </w:rPr>
  </w:style>
  <w:style w:type="paragraph" w:styleId="37">
    <w:name w:val="toc 9"/>
    <w:basedOn w:val="1"/>
    <w:next w:val="1"/>
    <w:unhideWhenUsed/>
    <w:qFormat/>
    <w:uiPriority w:val="39"/>
    <w:pPr>
      <w:spacing w:after="57"/>
      <w:ind w:left="2268" w:right="0" w:firstLine="0"/>
    </w:pPr>
  </w:style>
  <w:style w:type="paragraph" w:styleId="38">
    <w:name w:val="Normal (Web)"/>
    <w:basedOn w:val="1"/>
    <w:qFormat/>
    <w:uiPriority w:val="99"/>
    <w:pPr>
      <w:widowControl/>
      <w:spacing w:before="100" w:beforeAutospacing="1" w:after="100" w:afterAutospacing="1"/>
    </w:pPr>
    <w:rPr>
      <w:rFonts w:ascii="Arial" w:hAnsi="Arial" w:eastAsia="Arial Unicode MS" w:cs="Arial"/>
      <w:sz w:val="24"/>
      <w:szCs w:val="24"/>
    </w:rPr>
  </w:style>
  <w:style w:type="paragraph" w:styleId="39">
    <w:name w:val="Title"/>
    <w:basedOn w:val="1"/>
    <w:next w:val="1"/>
    <w:link w:val="62"/>
    <w:qFormat/>
    <w:uiPriority w:val="10"/>
    <w:pPr>
      <w:spacing w:before="300" w:after="200"/>
      <w:contextualSpacing/>
    </w:pPr>
    <w:rPr>
      <w:sz w:val="48"/>
      <w:szCs w:val="48"/>
    </w:rPr>
  </w:style>
  <w:style w:type="paragraph" w:styleId="40">
    <w:name w:val="annotation subject"/>
    <w:basedOn w:val="15"/>
    <w:next w:val="15"/>
    <w:link w:val="209"/>
    <w:qFormat/>
    <w:uiPriority w:val="0"/>
    <w:rPr>
      <w:b/>
      <w:bCs/>
    </w:rPr>
  </w:style>
  <w:style w:type="paragraph" w:styleId="41">
    <w:name w:val="Body Text First Indent 2"/>
    <w:basedOn w:val="18"/>
    <w:qFormat/>
    <w:uiPriority w:val="0"/>
    <w:pPr>
      <w:spacing w:after="120" w:line="240" w:lineRule="auto"/>
      <w:ind w:left="420" w:firstLine="420"/>
    </w:pPr>
    <w:rPr>
      <w:rFonts w:ascii="Times New Roman" w:eastAsia="宋体"/>
      <w:bCs w:val="0"/>
      <w:sz w:val="21"/>
    </w:r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basedOn w:val="44"/>
    <w:semiHidden/>
    <w:unhideWhenUsed/>
    <w:qFormat/>
    <w:uiPriority w:val="99"/>
    <w:rPr>
      <w:vertAlign w:val="superscript"/>
    </w:rPr>
  </w:style>
  <w:style w:type="character" w:styleId="47">
    <w:name w:val="Emphasis"/>
    <w:basedOn w:val="44"/>
    <w:qFormat/>
    <w:uiPriority w:val="20"/>
    <w:rPr>
      <w:i/>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qFormat/>
    <w:uiPriority w:val="0"/>
    <w:rPr>
      <w:sz w:val="21"/>
      <w:szCs w:val="21"/>
    </w:rPr>
  </w:style>
  <w:style w:type="character" w:styleId="50">
    <w:name w:val="footnote reference"/>
    <w:basedOn w:val="44"/>
    <w:unhideWhenUsed/>
    <w:qFormat/>
    <w:uiPriority w:val="99"/>
    <w:rPr>
      <w:vertAlign w:val="superscript"/>
    </w:rPr>
  </w:style>
  <w:style w:type="paragraph" w:customStyle="1" w:styleId="51">
    <w:name w:val="首行缩进"/>
    <w:basedOn w:val="1"/>
    <w:qFormat/>
    <w:uiPriority w:val="0"/>
    <w:pPr>
      <w:spacing w:line="360" w:lineRule="auto"/>
      <w:ind w:firstLine="480"/>
    </w:pPr>
    <w:rPr>
      <w:sz w:val="24"/>
    </w:rPr>
  </w:style>
  <w:style w:type="character" w:customStyle="1" w:styleId="52">
    <w:name w:val="Heading 1 Char"/>
    <w:basedOn w:val="44"/>
    <w:qFormat/>
    <w:uiPriority w:val="9"/>
    <w:rPr>
      <w:rFonts w:ascii="Arial" w:hAnsi="Arial" w:eastAsia="Arial" w:cs="Arial"/>
      <w:sz w:val="40"/>
      <w:szCs w:val="40"/>
    </w:rPr>
  </w:style>
  <w:style w:type="character" w:customStyle="1" w:styleId="53">
    <w:name w:val="Heading 2 Char"/>
    <w:basedOn w:val="44"/>
    <w:qFormat/>
    <w:uiPriority w:val="9"/>
    <w:rPr>
      <w:rFonts w:ascii="Arial" w:hAnsi="Arial" w:eastAsia="Arial" w:cs="Arial"/>
      <w:sz w:val="34"/>
    </w:rPr>
  </w:style>
  <w:style w:type="character" w:customStyle="1" w:styleId="54">
    <w:name w:val="Heading 3 Char"/>
    <w:basedOn w:val="44"/>
    <w:qFormat/>
    <w:uiPriority w:val="9"/>
    <w:rPr>
      <w:rFonts w:ascii="Arial" w:hAnsi="Arial" w:eastAsia="Arial" w:cs="Arial"/>
      <w:sz w:val="30"/>
      <w:szCs w:val="30"/>
    </w:rPr>
  </w:style>
  <w:style w:type="character" w:customStyle="1" w:styleId="55">
    <w:name w:val="Heading 4 Char"/>
    <w:basedOn w:val="44"/>
    <w:qFormat/>
    <w:uiPriority w:val="9"/>
    <w:rPr>
      <w:rFonts w:ascii="Arial" w:hAnsi="Arial" w:eastAsia="Arial" w:cs="Arial"/>
      <w:b/>
      <w:bCs/>
      <w:sz w:val="26"/>
      <w:szCs w:val="26"/>
    </w:rPr>
  </w:style>
  <w:style w:type="character" w:customStyle="1" w:styleId="56">
    <w:name w:val="Heading 5 Char"/>
    <w:basedOn w:val="44"/>
    <w:link w:val="7"/>
    <w:qFormat/>
    <w:uiPriority w:val="9"/>
    <w:rPr>
      <w:rFonts w:ascii="Arial" w:hAnsi="Arial" w:eastAsia="Arial" w:cs="Arial"/>
      <w:b/>
      <w:bCs/>
      <w:sz w:val="24"/>
      <w:szCs w:val="24"/>
    </w:rPr>
  </w:style>
  <w:style w:type="character" w:customStyle="1" w:styleId="57">
    <w:name w:val="Heading 6 Char"/>
    <w:basedOn w:val="44"/>
    <w:link w:val="8"/>
    <w:qFormat/>
    <w:uiPriority w:val="9"/>
    <w:rPr>
      <w:rFonts w:ascii="Arial" w:hAnsi="Arial" w:eastAsia="Arial" w:cs="Arial"/>
      <w:b/>
      <w:bCs/>
      <w:sz w:val="22"/>
      <w:szCs w:val="22"/>
    </w:rPr>
  </w:style>
  <w:style w:type="character" w:customStyle="1" w:styleId="58">
    <w:name w:val="Heading 7 Char"/>
    <w:basedOn w:val="44"/>
    <w:link w:val="9"/>
    <w:qFormat/>
    <w:uiPriority w:val="9"/>
    <w:rPr>
      <w:rFonts w:ascii="Arial" w:hAnsi="Arial" w:eastAsia="Arial" w:cs="Arial"/>
      <w:b/>
      <w:bCs/>
      <w:i/>
      <w:iCs/>
      <w:sz w:val="22"/>
      <w:szCs w:val="22"/>
    </w:rPr>
  </w:style>
  <w:style w:type="character" w:customStyle="1" w:styleId="59">
    <w:name w:val="Heading 8 Char"/>
    <w:basedOn w:val="44"/>
    <w:link w:val="10"/>
    <w:qFormat/>
    <w:uiPriority w:val="9"/>
    <w:rPr>
      <w:rFonts w:ascii="Arial" w:hAnsi="Arial" w:eastAsia="Arial" w:cs="Arial"/>
      <w:i/>
      <w:iCs/>
      <w:sz w:val="22"/>
      <w:szCs w:val="22"/>
    </w:rPr>
  </w:style>
  <w:style w:type="character" w:customStyle="1" w:styleId="60">
    <w:name w:val="Heading 9 Char"/>
    <w:basedOn w:val="44"/>
    <w:link w:val="11"/>
    <w:qFormat/>
    <w:uiPriority w:val="9"/>
    <w:rPr>
      <w:rFonts w:ascii="Arial" w:hAnsi="Arial" w:eastAsia="Arial" w:cs="Arial"/>
      <w:i/>
      <w:iCs/>
      <w:sz w:val="21"/>
      <w:szCs w:val="21"/>
    </w:rPr>
  </w:style>
  <w:style w:type="paragraph" w:styleId="61">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62">
    <w:name w:val="Title Char"/>
    <w:basedOn w:val="44"/>
    <w:link w:val="39"/>
    <w:qFormat/>
    <w:uiPriority w:val="10"/>
    <w:rPr>
      <w:sz w:val="48"/>
      <w:szCs w:val="48"/>
    </w:rPr>
  </w:style>
  <w:style w:type="character" w:customStyle="1" w:styleId="63">
    <w:name w:val="Subtitle Char"/>
    <w:basedOn w:val="44"/>
    <w:link w:val="32"/>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Quote Char"/>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7">
    <w:name w:val="Intense Quote Char"/>
    <w:link w:val="66"/>
    <w:qFormat/>
    <w:uiPriority w:val="30"/>
    <w:rPr>
      <w:i/>
    </w:rPr>
  </w:style>
  <w:style w:type="character" w:customStyle="1" w:styleId="68">
    <w:name w:val="Header Char"/>
    <w:basedOn w:val="44"/>
    <w:qFormat/>
    <w:uiPriority w:val="99"/>
  </w:style>
  <w:style w:type="character" w:customStyle="1" w:styleId="69">
    <w:name w:val="Footer Char"/>
    <w:basedOn w:val="44"/>
    <w:qFormat/>
    <w:uiPriority w:val="99"/>
  </w:style>
  <w:style w:type="character" w:customStyle="1" w:styleId="70">
    <w:name w:val="Caption Char"/>
    <w:qFormat/>
    <w:uiPriority w:val="99"/>
  </w:style>
  <w:style w:type="table" w:customStyle="1" w:styleId="71">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4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4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4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4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4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4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4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4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4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4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6 Colorful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4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7 Colorful - Accent 4"/>
    <w:basedOn w:val="4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4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4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4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4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4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4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4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4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4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4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4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4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4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4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4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4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4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4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4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4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4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4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4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4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4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4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4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4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4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4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4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4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4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4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4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4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4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4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4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4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4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4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4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Footnote Text Char"/>
    <w:link w:val="33"/>
    <w:qFormat/>
    <w:uiPriority w:val="99"/>
    <w:rPr>
      <w:sz w:val="18"/>
    </w:rPr>
  </w:style>
  <w:style w:type="character" w:customStyle="1" w:styleId="197">
    <w:name w:val="Endnote Text Char"/>
    <w:link w:val="26"/>
    <w:qFormat/>
    <w:uiPriority w:val="99"/>
    <w:rPr>
      <w:sz w:val="20"/>
    </w:rPr>
  </w:style>
  <w:style w:type="paragraph" w:customStyle="1" w:styleId="198">
    <w:name w:val="TOC Heading"/>
    <w:unhideWhenUsed/>
    <w:qFormat/>
    <w:uiPriority w:val="39"/>
    <w:rPr>
      <w:rFonts w:hint="default" w:ascii="Times New Roman" w:hAnsi="Times New Roman" w:cs="Times New Roman" w:eastAsiaTheme="minorEastAsia"/>
    </w:rPr>
  </w:style>
  <w:style w:type="paragraph" w:customStyle="1" w:styleId="199">
    <w:name w:val="正文1"/>
    <w:next w:val="1"/>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200">
    <w:name w:val="彩色列表1"/>
    <w:basedOn w:val="1"/>
    <w:qFormat/>
    <w:uiPriority w:val="0"/>
    <w:pPr>
      <w:ind w:firstLine="420"/>
    </w:pPr>
    <w:rPr>
      <w:szCs w:val="24"/>
    </w:rPr>
  </w:style>
  <w:style w:type="table" w:customStyle="1" w:styleId="201">
    <w:name w:val="Table Normal"/>
    <w:unhideWhenUsed/>
    <w:qFormat/>
    <w:uiPriority w:val="2"/>
    <w:tblPr>
      <w:tblCellMar>
        <w:top w:w="0" w:type="dxa"/>
        <w:left w:w="0" w:type="dxa"/>
        <w:bottom w:w="0" w:type="dxa"/>
        <w:right w:w="0" w:type="dxa"/>
      </w:tblCellMar>
    </w:tblPr>
  </w:style>
  <w:style w:type="paragraph" w:customStyle="1" w:styleId="202">
    <w:name w:val="列表段落1"/>
    <w:basedOn w:val="1"/>
    <w:qFormat/>
    <w:uiPriority w:val="1"/>
    <w:pPr>
      <w:ind w:left="218" w:firstLine="419"/>
    </w:pPr>
  </w:style>
  <w:style w:type="paragraph" w:customStyle="1" w:styleId="203">
    <w:name w:val="Table Paragraph"/>
    <w:basedOn w:val="1"/>
    <w:qFormat/>
    <w:uiPriority w:val="1"/>
  </w:style>
  <w:style w:type="paragraph" w:customStyle="1" w:styleId="204">
    <w:name w:val="列出段落1"/>
    <w:basedOn w:val="1"/>
    <w:qFormat/>
    <w:uiPriority w:val="99"/>
    <w:rPr>
      <w:lang w:eastAsia="en-US"/>
    </w:rPr>
  </w:style>
  <w:style w:type="paragraph" w:customStyle="1" w:styleId="205">
    <w:name w:val="ListBullet2"/>
    <w:basedOn w:val="1"/>
    <w:qFormat/>
    <w:uiPriority w:val="0"/>
    <w:pPr>
      <w:numPr>
        <w:ilvl w:val="0"/>
        <w:numId w:val="2"/>
      </w:numPr>
      <w:tabs>
        <w:tab w:val="decimal" w:pos="780"/>
      </w:tabs>
    </w:pPr>
  </w:style>
  <w:style w:type="paragraph" w:customStyle="1" w:styleId="206">
    <w:name w:val="WPSOffice手动目录 1"/>
    <w:qFormat/>
    <w:uiPriority w:val="0"/>
    <w:rPr>
      <w:rFonts w:hint="default" w:ascii="Times New Roman" w:hAnsi="Times New Roman" w:eastAsia="宋体" w:cs="Times New Roman"/>
      <w:lang w:val="en-US" w:eastAsia="zh-CN" w:bidi="ar-SA"/>
    </w:rPr>
  </w:style>
  <w:style w:type="character" w:customStyle="1" w:styleId="207">
    <w:name w:val="批注框文本 Char"/>
    <w:basedOn w:val="44"/>
    <w:link w:val="27"/>
    <w:qFormat/>
    <w:uiPriority w:val="0"/>
    <w:rPr>
      <w:rFonts w:ascii="宋体" w:hAnsi="宋体" w:cs="宋体"/>
      <w:sz w:val="18"/>
      <w:szCs w:val="18"/>
      <w:lang w:val="zh-CN" w:bidi="zh-CN"/>
    </w:rPr>
  </w:style>
  <w:style w:type="character" w:customStyle="1" w:styleId="208">
    <w:name w:val="批注文字 Char"/>
    <w:basedOn w:val="44"/>
    <w:link w:val="15"/>
    <w:qFormat/>
    <w:uiPriority w:val="0"/>
    <w:rPr>
      <w:rFonts w:ascii="宋体" w:hAnsi="宋体" w:cs="宋体"/>
      <w:sz w:val="22"/>
      <w:szCs w:val="22"/>
      <w:lang w:val="zh-CN" w:bidi="zh-CN"/>
    </w:rPr>
  </w:style>
  <w:style w:type="character" w:customStyle="1" w:styleId="209">
    <w:name w:val="批注主题 Char"/>
    <w:basedOn w:val="208"/>
    <w:link w:val="40"/>
    <w:qFormat/>
    <w:uiPriority w:val="0"/>
    <w:rPr>
      <w:rFonts w:ascii="宋体" w:hAnsi="宋体" w:cs="宋体"/>
      <w:b/>
      <w:bCs/>
      <w:sz w:val="22"/>
      <w:szCs w:val="22"/>
      <w:lang w:val="zh-CN" w:bidi="zh-CN"/>
    </w:rPr>
  </w:style>
  <w:style w:type="paragraph" w:customStyle="1" w:styleId="210">
    <w:name w:val="WPSOffice手动目录 3"/>
    <w:qFormat/>
    <w:uiPriority w:val="0"/>
    <w:pPr>
      <w:ind w:left="400"/>
    </w:pPr>
    <w:rPr>
      <w:rFonts w:hint="default" w:ascii="Times New Roman" w:hAnsi="Times New Roman" w:eastAsia="宋体" w:cs="Times New Roman"/>
      <w:lang w:val="en-US" w:eastAsia="zh-CN" w:bidi="ar-SA"/>
    </w:rPr>
  </w:style>
  <w:style w:type="paragraph" w:customStyle="1" w:styleId="211">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212">
    <w:name w:val="样式 标题 3 + (中文) 黑体 小四 非加粗 段前: 7.8 磅 段后: 0 磅 行距: 固定值 20 磅"/>
    <w:basedOn w:val="4"/>
    <w:qFormat/>
    <w:uiPriority w:val="0"/>
    <w:pPr>
      <w:spacing w:line="400" w:lineRule="exact"/>
    </w:pPr>
    <w:rPr>
      <w:rFonts w:ascii="Calibri" w:hAnsi="Calibri" w:eastAsia="黑体"/>
      <w:b w:val="0"/>
      <w:sz w:val="30"/>
    </w:rPr>
  </w:style>
  <w:style w:type="paragraph" w:customStyle="1" w:styleId="213">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4">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15">
    <w:name w:val="style4"/>
    <w:qFormat/>
    <w:uiPriority w:val="0"/>
  </w:style>
  <w:style w:type="character" w:customStyle="1" w:styleId="216">
    <w:name w:val="font31"/>
    <w:basedOn w:val="44"/>
    <w:qFormat/>
    <w:uiPriority w:val="0"/>
    <w:rPr>
      <w:rFonts w:hint="eastAsia" w:ascii="宋体" w:hAnsi="宋体" w:eastAsia="宋体" w:cs="宋体"/>
      <w:color w:val="000000"/>
      <w:sz w:val="20"/>
      <w:szCs w:val="20"/>
      <w:u w:val="none"/>
    </w:rPr>
  </w:style>
  <w:style w:type="character" w:customStyle="1" w:styleId="217">
    <w:name w:val="font101"/>
    <w:basedOn w:val="44"/>
    <w:qFormat/>
    <w:uiPriority w:val="0"/>
    <w:rPr>
      <w:rFonts w:hint="eastAsia" w:ascii="宋体" w:hAnsi="宋体" w:eastAsia="宋体" w:cs="宋体"/>
      <w:color w:val="000000"/>
      <w:sz w:val="20"/>
      <w:szCs w:val="20"/>
      <w:u w:val="none"/>
    </w:rPr>
  </w:style>
  <w:style w:type="character" w:customStyle="1" w:styleId="218">
    <w:name w:val="font112"/>
    <w:basedOn w:val="44"/>
    <w:qFormat/>
    <w:uiPriority w:val="0"/>
    <w:rPr>
      <w:rFonts w:hint="eastAsia" w:ascii="宋体" w:hAnsi="宋体" w:eastAsia="宋体" w:cs="宋体"/>
      <w:color w:val="000000"/>
      <w:sz w:val="20"/>
      <w:szCs w:val="20"/>
      <w:u w:val="none"/>
      <w:vertAlign w:val="superscript"/>
    </w:rPr>
  </w:style>
  <w:style w:type="character" w:customStyle="1" w:styleId="219">
    <w:name w:val="font51"/>
    <w:basedOn w:val="44"/>
    <w:qFormat/>
    <w:uiPriority w:val="0"/>
    <w:rPr>
      <w:rFonts w:hint="eastAsia" w:ascii="宋体" w:hAnsi="宋体" w:eastAsia="宋体" w:cs="宋体"/>
      <w:color w:val="000000"/>
      <w:sz w:val="20"/>
      <w:szCs w:val="20"/>
      <w:u w:val="none"/>
    </w:rPr>
  </w:style>
  <w:style w:type="paragraph" w:customStyle="1" w:styleId="220">
    <w:name w:val="普通正文"/>
    <w:basedOn w:val="1"/>
    <w:qFormat/>
    <w:uiPriority w:val="0"/>
    <w:pPr>
      <w:spacing w:before="120" w:after="120" w:line="360" w:lineRule="auto"/>
      <w:ind w:firstLine="480"/>
    </w:pPr>
    <w:rPr>
      <w:rFonts w:ascii="Arial" w:hAnsi="Arial"/>
      <w:sz w:val="24"/>
      <w:szCs w:val="24"/>
    </w:rPr>
  </w:style>
  <w:style w:type="paragraph" w:customStyle="1" w:styleId="221">
    <w:name w:val="修订1"/>
    <w:hidden/>
    <w:semiHidden/>
    <w:qFormat/>
    <w:uiPriority w:val="99"/>
    <w:rPr>
      <w:rFonts w:hint="default" w:ascii="宋体" w:hAnsi="宋体" w:eastAsia="宋体" w:cs="宋体"/>
      <w:sz w:val="22"/>
      <w:szCs w:val="22"/>
      <w:lang w:val="zh-CN" w:eastAsia="zh-CN" w:bidi="zh-CN"/>
    </w:rPr>
  </w:style>
  <w:style w:type="paragraph" w:styleId="222">
    <w:name w:val="List Paragraph"/>
    <w:basedOn w:val="1"/>
    <w:qFormat/>
    <w:uiPriority w:val="99"/>
    <w:pPr>
      <w:ind w:firstLine="420"/>
    </w:pPr>
  </w:style>
  <w:style w:type="character" w:customStyle="1" w:styleId="223">
    <w:name w:val="文档结构图 Char"/>
    <w:basedOn w:val="44"/>
    <w:link w:val="14"/>
    <w:qFormat/>
    <w:uiPriority w:val="0"/>
    <w:rPr>
      <w:rFonts w:ascii="宋体" w:hAnsi="宋体" w:cs="宋体"/>
      <w:sz w:val="18"/>
      <w:szCs w:val="18"/>
      <w:lang w:val="zh-CN" w:bidi="zh-CN"/>
    </w:rPr>
  </w:style>
  <w:style w:type="paragraph" w:customStyle="1" w:styleId="224">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23331</Words>
  <Characters>24355</Characters>
  <Lines>1</Lines>
  <Paragraphs>1</Paragraphs>
  <TotalTime>14</TotalTime>
  <ScaleCrop>false</ScaleCrop>
  <LinksUpToDate>false</LinksUpToDate>
  <CharactersWithSpaces>25186</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2023-10-28T02:28:00Z</dcterms:created>
  <dc:creator>User</dc:creator>
  <cp:lastModifiedBy>海豚Σ</cp:lastModifiedBy>
  <cp:lastPrinted>2024-12-08T01:14:00Z</cp:lastPrinted>
  <dcterms:modified xsi:type="dcterms:W3CDTF">2026-08-14T01:26:40Z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Office Word 2007</vt:lpwstr>
  </property>
  <property fmtid="{D5CDD505-2E9C-101B-9397-08002B2CF9AE}" pid="4" name="LastSaved">
    <vt:filetime>2021-02-19T00:00:00Z</vt:filetime>
  </property>
  <property fmtid="{D5CDD505-2E9C-101B-9397-08002B2CF9AE}" pid="5" name="KSOProductBuildVer">
    <vt:lpwstr>2052-12.1.0.22089</vt:lpwstr>
  </property>
  <property fmtid="{D5CDD505-2E9C-101B-9397-08002B2CF9AE}" pid="6" name="ICV">
    <vt:lpwstr>E9F000D4F92B12F99CAE546AFFE0E89C_43</vt:lpwstr>
  </property>
  <property fmtid="{D5CDD505-2E9C-101B-9397-08002B2CF9AE}" pid="7" name="commondata">
    <vt:lpwstr>eyJoZGlkIjoiNjM5N2QwY2FlMDk3YTZjMGQyNDc5ODM3MjdmYjU3YWEifQ==</vt:lpwstr>
  </property>
  <property fmtid="{D5CDD505-2E9C-101B-9397-08002B2CF9AE}" pid="8" name="KSOTemplateDocerSaveRecord">
    <vt:lpwstr>eyJoZGlkIjoiMTlmMDMzZGZmYTIxYWM2OWIwYmU0ZTFkMTc0ZWFjMGYiLCJ1c2VySWQiOiI3NTE4NDIwMDEifQ==</vt:lpwstr>
  </property>
</Properties>
</file>