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0"/>
        <w:ind w:firstLine="0"/>
        <w:rPr>
          <w:rFonts w:hint="eastAsia" w:ascii="隶书" w:hAnsi="隶书" w:eastAsia="隶书" w:cs="隶书"/>
          <w:b/>
          <w:bCs/>
          <w:sz w:val="72"/>
        </w:rPr>
      </w:pPr>
    </w:p>
    <w:p>
      <w:pPr>
        <w:spacing w:line="360" w:lineRule="auto"/>
        <w:jc w:val="center"/>
        <w:rPr>
          <w:rFonts w:hint="eastAsia" w:ascii="隶书" w:hAnsi="隶书" w:eastAsia="隶书" w:cs="隶书"/>
          <w:sz w:val="48"/>
          <w:szCs w:val="48"/>
        </w:rPr>
      </w:pPr>
    </w:p>
    <w:p>
      <w:pPr>
        <w:spacing w:line="360" w:lineRule="auto"/>
        <w:jc w:val="center"/>
        <w:rPr>
          <w:rFonts w:hint="eastAsia" w:ascii="华文中宋" w:hAnsi="华文中宋" w:eastAsia="华文中宋" w:cs="华文中宋"/>
          <w:bCs/>
          <w:sz w:val="56"/>
          <w:szCs w:val="16"/>
          <w:lang w:eastAsia="zh-CN"/>
        </w:rPr>
      </w:pPr>
      <w:r>
        <w:rPr>
          <w:rFonts w:hint="eastAsia" w:ascii="华文中宋" w:hAnsi="华文中宋" w:eastAsia="华文中宋" w:cs="华文中宋"/>
          <w:sz w:val="52"/>
          <w:szCs w:val="52"/>
          <w:lang w:eastAsia="zh-CN"/>
        </w:rPr>
        <w:t>江苏省无线电监测站2026-2027年无线电管理信息专网设备和系统运维服务</w:t>
      </w:r>
    </w:p>
    <w:p>
      <w:pPr>
        <w:spacing w:line="360" w:lineRule="auto"/>
        <w:rPr>
          <w:rFonts w:hint="eastAsia" w:ascii="华文中宋" w:hAnsi="华文中宋" w:eastAsia="华文中宋" w:cs="华文中宋"/>
          <w:b/>
          <w:sz w:val="32"/>
          <w:szCs w:val="32"/>
        </w:rPr>
      </w:pPr>
    </w:p>
    <w:p>
      <w:pPr>
        <w:pStyle w:val="44"/>
        <w:rPr>
          <w:rFonts w:hint="eastAsia" w:ascii="华文中宋" w:hAnsi="华文中宋" w:eastAsia="华文中宋" w:cs="华文中宋"/>
          <w:b/>
          <w:sz w:val="32"/>
          <w:szCs w:val="32"/>
        </w:rPr>
      </w:pPr>
    </w:p>
    <w:p>
      <w:pPr>
        <w:pStyle w:val="44"/>
        <w:rPr>
          <w:rFonts w:hint="eastAsia" w:ascii="华文中宋" w:hAnsi="华文中宋" w:eastAsia="华文中宋" w:cs="华文中宋"/>
          <w:b/>
          <w:sz w:val="32"/>
          <w:szCs w:val="32"/>
        </w:rPr>
      </w:pPr>
    </w:p>
    <w:p>
      <w:pPr>
        <w:pStyle w:val="44"/>
        <w:rPr>
          <w:rFonts w:hint="eastAsia" w:ascii="华文中宋" w:hAnsi="华文中宋" w:eastAsia="华文中宋" w:cs="华文中宋"/>
          <w:b/>
          <w:sz w:val="32"/>
          <w:szCs w:val="32"/>
        </w:rPr>
      </w:pPr>
    </w:p>
    <w:p>
      <w:pPr>
        <w:pStyle w:val="44"/>
        <w:rPr>
          <w:rFonts w:hint="eastAsia" w:ascii="华文中宋" w:hAnsi="华文中宋" w:eastAsia="华文中宋" w:cs="华文中宋"/>
          <w:b/>
          <w:sz w:val="32"/>
          <w:szCs w:val="32"/>
        </w:rPr>
      </w:pPr>
    </w:p>
    <w:p>
      <w:pPr>
        <w:spacing w:line="360" w:lineRule="auto"/>
        <w:jc w:val="center"/>
        <w:rPr>
          <w:rFonts w:hint="eastAsia" w:ascii="华文中宋" w:hAnsi="华文中宋" w:eastAsia="华文中宋" w:cs="华文中宋"/>
          <w:sz w:val="72"/>
          <w:szCs w:val="72"/>
        </w:rPr>
      </w:pPr>
      <w:r>
        <w:rPr>
          <w:rFonts w:hint="eastAsia" w:ascii="华文中宋" w:hAnsi="华文中宋" w:eastAsia="华文中宋" w:cs="华文中宋"/>
          <w:sz w:val="96"/>
          <w:szCs w:val="96"/>
        </w:rPr>
        <w:t>竞争性磋商文件</w:t>
      </w:r>
    </w:p>
    <w:p>
      <w:pPr>
        <w:spacing w:line="440" w:lineRule="exact"/>
        <w:jc w:val="center"/>
        <w:rPr>
          <w:rFonts w:hint="eastAsia" w:ascii="华文中宋" w:hAnsi="华文中宋" w:eastAsia="华文中宋" w:cs="华文中宋"/>
          <w:b/>
          <w:sz w:val="52"/>
        </w:rPr>
      </w:pPr>
    </w:p>
    <w:p>
      <w:pPr>
        <w:spacing w:line="440" w:lineRule="exact"/>
        <w:rPr>
          <w:rFonts w:hint="eastAsia" w:ascii="华文中宋" w:hAnsi="华文中宋" w:eastAsia="华文中宋" w:cs="华文中宋"/>
          <w:b/>
          <w:sz w:val="52"/>
        </w:rPr>
      </w:pPr>
    </w:p>
    <w:p>
      <w:pPr>
        <w:spacing w:line="360" w:lineRule="auto"/>
        <w:rPr>
          <w:rFonts w:hint="eastAsia" w:ascii="华文中宋" w:hAnsi="华文中宋" w:eastAsia="华文中宋" w:cs="华文中宋"/>
          <w:szCs w:val="21"/>
        </w:rPr>
      </w:pPr>
    </w:p>
    <w:p>
      <w:pPr>
        <w:pStyle w:val="48"/>
        <w:spacing w:line="360" w:lineRule="auto"/>
        <w:ind w:left="1277" w:firstLine="0"/>
        <w:jc w:val="left"/>
        <w:rPr>
          <w:rFonts w:hint="eastAsia" w:ascii="华文中宋" w:hAnsi="华文中宋" w:eastAsia="华文中宋" w:cs="华文中宋"/>
          <w:bCs/>
          <w:sz w:val="32"/>
          <w:szCs w:val="32"/>
        </w:rPr>
      </w:pPr>
      <w:r>
        <w:rPr>
          <w:rFonts w:hint="eastAsia" w:ascii="华文中宋" w:hAnsi="华文中宋" w:eastAsia="华文中宋" w:cs="华文中宋"/>
          <w:bCs/>
          <w:sz w:val="32"/>
          <w:szCs w:val="32"/>
        </w:rPr>
        <w:t>项目编号</w:t>
      </w:r>
      <w:r>
        <w:rPr>
          <w:rFonts w:hint="eastAsia" w:ascii="华文中宋" w:hAnsi="华文中宋" w:eastAsia="华文中宋" w:cs="华文中宋"/>
          <w:b/>
          <w:sz w:val="32"/>
          <w:szCs w:val="32"/>
        </w:rPr>
        <w:t>：</w:t>
      </w:r>
      <w:r>
        <w:rPr>
          <w:rFonts w:hint="eastAsia" w:ascii="华文中宋" w:hAnsi="华文中宋" w:eastAsia="华文中宋" w:cs="华文中宋"/>
          <w:bCs/>
          <w:sz w:val="32"/>
          <w:szCs w:val="32"/>
        </w:rPr>
        <w:t>JSZC-320000-JSYC-C2026-0025</w:t>
      </w:r>
    </w:p>
    <w:p>
      <w:pPr>
        <w:pStyle w:val="48"/>
        <w:spacing w:line="360" w:lineRule="auto"/>
        <w:ind w:firstLine="1280"/>
        <w:rPr>
          <w:rFonts w:hint="eastAsia" w:ascii="华文中宋" w:hAnsi="华文中宋" w:eastAsia="华文中宋" w:cs="华文中宋"/>
          <w:bCs/>
          <w:sz w:val="32"/>
          <w:szCs w:val="32"/>
        </w:rPr>
      </w:pPr>
      <w:r>
        <w:rPr>
          <w:rFonts w:hint="eastAsia" w:ascii="华文中宋" w:hAnsi="华文中宋" w:eastAsia="华文中宋" w:cs="华文中宋"/>
          <w:bCs/>
          <w:sz w:val="32"/>
          <w:szCs w:val="32"/>
        </w:rPr>
        <w:t>采购人：江苏省无线电监测站</w:t>
      </w:r>
    </w:p>
    <w:p>
      <w:pPr>
        <w:pStyle w:val="48"/>
        <w:spacing w:line="360" w:lineRule="auto"/>
        <w:ind w:firstLine="1280"/>
        <w:rPr>
          <w:rFonts w:hint="eastAsia" w:ascii="华文中宋" w:hAnsi="华文中宋" w:eastAsia="华文中宋" w:cs="华文中宋"/>
        </w:rPr>
      </w:pPr>
      <w:r>
        <w:rPr>
          <w:rFonts w:hint="eastAsia" w:ascii="华文中宋" w:hAnsi="华文中宋" w:eastAsia="华文中宋" w:cs="华文中宋"/>
          <w:bCs/>
          <w:sz w:val="32"/>
          <w:szCs w:val="32"/>
        </w:rPr>
        <w:t>采购代理机构：江苏益诚建设工程咨询有限公司</w:t>
      </w:r>
    </w:p>
    <w:p>
      <w:pPr>
        <w:spacing w:line="360" w:lineRule="auto"/>
        <w:rPr>
          <w:rFonts w:hint="eastAsia" w:ascii="华文中宋" w:hAnsi="华文中宋" w:eastAsia="华文中宋" w:cs="华文中宋"/>
          <w:b/>
          <w:sz w:val="32"/>
          <w:szCs w:val="32"/>
        </w:rPr>
      </w:pPr>
    </w:p>
    <w:p>
      <w:pPr>
        <w:spacing w:line="360" w:lineRule="auto"/>
        <w:jc w:val="center"/>
        <w:rPr>
          <w:b/>
          <w:sz w:val="36"/>
          <w:szCs w:val="36"/>
        </w:rPr>
      </w:pPr>
      <w:r>
        <w:rPr>
          <w:b/>
          <w:sz w:val="36"/>
          <w:szCs w:val="36"/>
        </w:rPr>
        <w:t>202</w:t>
      </w:r>
      <w:r>
        <w:rPr>
          <w:rFonts w:hint="eastAsia"/>
          <w:b/>
          <w:sz w:val="36"/>
          <w:szCs w:val="36"/>
        </w:rPr>
        <w:t>6年</w:t>
      </w:r>
      <w:r>
        <w:rPr>
          <w:rFonts w:hint="eastAsia"/>
          <w:b/>
          <w:sz w:val="36"/>
          <w:szCs w:val="36"/>
          <w:lang w:val="en-US" w:eastAsia="zh-CN"/>
        </w:rPr>
        <w:t>9</w:t>
      </w:r>
      <w:r>
        <w:rPr>
          <w:rFonts w:hint="eastAsia"/>
          <w:b/>
          <w:sz w:val="36"/>
          <w:szCs w:val="36"/>
        </w:rPr>
        <w:t>月</w:t>
      </w:r>
    </w:p>
    <w:p>
      <w:pPr>
        <w:spacing w:line="440" w:lineRule="exact"/>
        <w:jc w:val="center"/>
        <w:rPr>
          <w:rFonts w:hint="eastAsia" w:ascii="华文中宋" w:hAnsi="华文中宋" w:eastAsia="华文中宋" w:cs="华文中宋"/>
          <w:bCs/>
          <w:sz w:val="32"/>
        </w:rPr>
        <w:sectPr>
          <w:headerReference r:id="rId4" w:type="first"/>
          <w:footerReference r:id="rId6" w:type="first"/>
          <w:headerReference r:id="rId3" w:type="default"/>
          <w:footerReference r:id="rId5" w:type="default"/>
          <w:pgSz w:w="11906" w:h="16838"/>
          <w:pgMar w:top="1134" w:right="892" w:bottom="1134" w:left="934" w:header="851" w:footer="992" w:gutter="0"/>
          <w:pgNumType w:start="1"/>
          <w:cols w:space="720" w:num="1"/>
          <w:docGrid w:linePitch="360" w:charSpace="0"/>
        </w:sectPr>
      </w:pPr>
    </w:p>
    <w:p>
      <w:pPr>
        <w:spacing w:line="440" w:lineRule="exact"/>
        <w:jc w:val="center"/>
        <w:rPr>
          <w:rFonts w:hint="eastAsia" w:ascii="宋体" w:hAnsi="宋体" w:cs="宋体"/>
          <w:b/>
          <w:sz w:val="32"/>
        </w:rPr>
      </w:pPr>
      <w:r>
        <w:rPr>
          <w:rFonts w:hint="eastAsia" w:ascii="宋体" w:hAnsi="宋体" w:cs="宋体"/>
          <w:b/>
          <w:sz w:val="32"/>
        </w:rPr>
        <w:t>目   录</w:t>
      </w:r>
    </w:p>
    <w:p>
      <w:pPr>
        <w:pStyle w:val="35"/>
        <w:tabs>
          <w:tab w:val="right" w:leader="dot" w:pos="9638"/>
        </w:tabs>
      </w:pPr>
      <w:r>
        <w:rPr>
          <w:rFonts w:hint="eastAsia" w:ascii="宋体" w:hAnsi="宋体" w:cs="宋体"/>
          <w:bCs/>
          <w:szCs w:val="21"/>
        </w:rPr>
        <w:fldChar w:fldCharType="begin"/>
      </w:r>
      <w:r>
        <w:rPr>
          <w:rFonts w:hint="eastAsia" w:ascii="宋体" w:hAnsi="宋体" w:cs="宋体"/>
          <w:bCs/>
          <w:szCs w:val="21"/>
        </w:rPr>
        <w:instrText xml:space="preserve">TOC \o "1-3" \h \u </w:instrText>
      </w:r>
      <w:r>
        <w:rPr>
          <w:rFonts w:hint="eastAsia" w:ascii="宋体" w:hAnsi="宋体" w:cs="宋体"/>
          <w:bCs/>
          <w:szCs w:val="21"/>
        </w:rPr>
        <w:fldChar w:fldCharType="separate"/>
      </w:r>
      <w:r>
        <w:fldChar w:fldCharType="begin"/>
      </w:r>
      <w:r>
        <w:instrText xml:space="preserve"> HYPERLINK \l "_Toc13736" </w:instrText>
      </w:r>
      <w:r>
        <w:fldChar w:fldCharType="separate"/>
      </w:r>
      <w:r>
        <w:rPr>
          <w:rFonts w:hint="eastAsia" w:ascii="宋体" w:hAnsi="宋体" w:cs="宋体"/>
          <w:szCs w:val="28"/>
        </w:rPr>
        <w:t xml:space="preserve">第一章 </w:t>
      </w:r>
      <w:r>
        <w:rPr>
          <w:rFonts w:ascii="Arial" w:hAnsi="Arial" w:eastAsia="黑体" w:cs="Arial"/>
          <w:szCs w:val="28"/>
        </w:rPr>
        <w:t>竞争性磋商公告</w:t>
      </w:r>
      <w:r>
        <w:tab/>
      </w:r>
      <w:r>
        <w:fldChar w:fldCharType="begin"/>
      </w:r>
      <w:r>
        <w:instrText xml:space="preserve"> PAGEREF _Toc13736 \h </w:instrText>
      </w:r>
      <w:r>
        <w:fldChar w:fldCharType="separate"/>
      </w:r>
      <w:r>
        <w:t>1</w:t>
      </w:r>
      <w:r>
        <w:fldChar w:fldCharType="end"/>
      </w:r>
      <w:r>
        <w:fldChar w:fldCharType="end"/>
      </w:r>
    </w:p>
    <w:p>
      <w:pPr>
        <w:pStyle w:val="42"/>
        <w:tabs>
          <w:tab w:val="right" w:leader="dot" w:pos="9638"/>
        </w:tabs>
      </w:pPr>
      <w:r>
        <w:fldChar w:fldCharType="begin"/>
      </w:r>
      <w:r>
        <w:instrText xml:space="preserve"> HYPERLINK \l "_Toc16937" </w:instrText>
      </w:r>
      <w:r>
        <w:fldChar w:fldCharType="separate"/>
      </w:r>
      <w:r>
        <w:rPr>
          <w:rFonts w:hint="eastAsia" w:ascii="宋体" w:hAnsi="宋体" w:cs="宋体"/>
          <w:szCs w:val="21"/>
        </w:rPr>
        <w:t>一、项目基本情况</w:t>
      </w:r>
      <w:r>
        <w:tab/>
      </w:r>
      <w:r>
        <w:fldChar w:fldCharType="begin"/>
      </w:r>
      <w:r>
        <w:instrText xml:space="preserve"> PAGEREF _Toc16937 \h </w:instrText>
      </w:r>
      <w:r>
        <w:fldChar w:fldCharType="separate"/>
      </w:r>
      <w:r>
        <w:t>1</w:t>
      </w:r>
      <w:r>
        <w:fldChar w:fldCharType="end"/>
      </w:r>
      <w:r>
        <w:fldChar w:fldCharType="end"/>
      </w:r>
    </w:p>
    <w:p>
      <w:pPr>
        <w:pStyle w:val="42"/>
        <w:tabs>
          <w:tab w:val="right" w:leader="dot" w:pos="9638"/>
        </w:tabs>
      </w:pPr>
      <w:r>
        <w:fldChar w:fldCharType="begin"/>
      </w:r>
      <w:r>
        <w:instrText xml:space="preserve"> HYPERLINK \l "_Toc13364" </w:instrText>
      </w:r>
      <w:r>
        <w:fldChar w:fldCharType="separate"/>
      </w:r>
      <w:r>
        <w:rPr>
          <w:rFonts w:hint="eastAsia" w:ascii="宋体" w:hAnsi="宋体" w:cs="宋体"/>
          <w:szCs w:val="21"/>
        </w:rPr>
        <w:t>二、申请人的资格要求：</w:t>
      </w:r>
      <w:r>
        <w:tab/>
      </w:r>
      <w:r>
        <w:fldChar w:fldCharType="begin"/>
      </w:r>
      <w:r>
        <w:instrText xml:space="preserve"> PAGEREF _Toc13364 \h </w:instrText>
      </w:r>
      <w:r>
        <w:fldChar w:fldCharType="separate"/>
      </w:r>
      <w:r>
        <w:t>1</w:t>
      </w:r>
      <w:r>
        <w:fldChar w:fldCharType="end"/>
      </w:r>
      <w:r>
        <w:fldChar w:fldCharType="end"/>
      </w:r>
    </w:p>
    <w:p>
      <w:pPr>
        <w:pStyle w:val="42"/>
        <w:tabs>
          <w:tab w:val="right" w:leader="dot" w:pos="9638"/>
        </w:tabs>
      </w:pPr>
      <w:r>
        <w:fldChar w:fldCharType="begin"/>
      </w:r>
      <w:r>
        <w:instrText xml:space="preserve"> HYPERLINK \l "_Toc11613" </w:instrText>
      </w:r>
      <w:r>
        <w:fldChar w:fldCharType="separate"/>
      </w:r>
      <w:r>
        <w:rPr>
          <w:rFonts w:hint="eastAsia" w:ascii="宋体" w:hAnsi="宋体" w:cs="宋体"/>
          <w:szCs w:val="21"/>
        </w:rPr>
        <w:t>三、获取采购文件</w:t>
      </w:r>
      <w:r>
        <w:tab/>
      </w:r>
      <w:r>
        <w:fldChar w:fldCharType="begin"/>
      </w:r>
      <w:r>
        <w:instrText xml:space="preserve"> PAGEREF _Toc11613 \h </w:instrText>
      </w:r>
      <w:r>
        <w:fldChar w:fldCharType="separate"/>
      </w:r>
      <w:r>
        <w:t>2</w:t>
      </w:r>
      <w:r>
        <w:fldChar w:fldCharType="end"/>
      </w:r>
      <w:r>
        <w:fldChar w:fldCharType="end"/>
      </w:r>
    </w:p>
    <w:p>
      <w:pPr>
        <w:pStyle w:val="42"/>
        <w:tabs>
          <w:tab w:val="right" w:leader="dot" w:pos="9638"/>
        </w:tabs>
      </w:pPr>
      <w:r>
        <w:fldChar w:fldCharType="begin"/>
      </w:r>
      <w:r>
        <w:instrText xml:space="preserve"> HYPERLINK \l "_Toc21044" </w:instrText>
      </w:r>
      <w:r>
        <w:fldChar w:fldCharType="separate"/>
      </w:r>
      <w:r>
        <w:rPr>
          <w:rFonts w:hint="eastAsia" w:ascii="宋体" w:hAnsi="宋体" w:cs="宋体"/>
          <w:szCs w:val="21"/>
        </w:rPr>
        <w:t>四、提交响应文件截止时间和地点</w:t>
      </w:r>
      <w:r>
        <w:tab/>
      </w:r>
      <w:r>
        <w:fldChar w:fldCharType="begin"/>
      </w:r>
      <w:r>
        <w:instrText xml:space="preserve"> PAGEREF _Toc21044 \h </w:instrText>
      </w:r>
      <w:r>
        <w:fldChar w:fldCharType="separate"/>
      </w:r>
      <w:r>
        <w:t>2</w:t>
      </w:r>
      <w:r>
        <w:fldChar w:fldCharType="end"/>
      </w:r>
      <w:r>
        <w:fldChar w:fldCharType="end"/>
      </w:r>
    </w:p>
    <w:p>
      <w:pPr>
        <w:pStyle w:val="42"/>
        <w:tabs>
          <w:tab w:val="right" w:leader="dot" w:pos="9638"/>
        </w:tabs>
      </w:pPr>
      <w:r>
        <w:fldChar w:fldCharType="begin"/>
      </w:r>
      <w:r>
        <w:instrText xml:space="preserve"> HYPERLINK \l "_Toc30760" </w:instrText>
      </w:r>
      <w:r>
        <w:fldChar w:fldCharType="separate"/>
      </w:r>
      <w:r>
        <w:rPr>
          <w:rFonts w:hint="eastAsia" w:ascii="宋体" w:hAnsi="宋体" w:cs="宋体"/>
          <w:szCs w:val="21"/>
        </w:rPr>
        <w:t>五、开启</w:t>
      </w:r>
      <w:r>
        <w:tab/>
      </w:r>
      <w:r>
        <w:fldChar w:fldCharType="begin"/>
      </w:r>
      <w:r>
        <w:instrText xml:space="preserve"> PAGEREF _Toc30760 \h </w:instrText>
      </w:r>
      <w:r>
        <w:fldChar w:fldCharType="separate"/>
      </w:r>
      <w:r>
        <w:t>2</w:t>
      </w:r>
      <w:r>
        <w:fldChar w:fldCharType="end"/>
      </w:r>
      <w:r>
        <w:fldChar w:fldCharType="end"/>
      </w:r>
    </w:p>
    <w:p>
      <w:pPr>
        <w:pStyle w:val="42"/>
        <w:tabs>
          <w:tab w:val="right" w:leader="dot" w:pos="9638"/>
        </w:tabs>
      </w:pPr>
      <w:r>
        <w:fldChar w:fldCharType="begin"/>
      </w:r>
      <w:r>
        <w:instrText xml:space="preserve"> HYPERLINK \l "_Toc14482" </w:instrText>
      </w:r>
      <w:r>
        <w:fldChar w:fldCharType="separate"/>
      </w:r>
      <w:r>
        <w:rPr>
          <w:rFonts w:hint="eastAsia" w:ascii="宋体" w:hAnsi="宋体" w:cs="宋体"/>
          <w:szCs w:val="21"/>
        </w:rPr>
        <w:t>六、公告期限</w:t>
      </w:r>
      <w:r>
        <w:tab/>
      </w:r>
      <w:r>
        <w:fldChar w:fldCharType="begin"/>
      </w:r>
      <w:r>
        <w:instrText xml:space="preserve"> PAGEREF _Toc14482 \h </w:instrText>
      </w:r>
      <w:r>
        <w:fldChar w:fldCharType="separate"/>
      </w:r>
      <w:r>
        <w:t>2</w:t>
      </w:r>
      <w:r>
        <w:fldChar w:fldCharType="end"/>
      </w:r>
      <w:r>
        <w:fldChar w:fldCharType="end"/>
      </w:r>
    </w:p>
    <w:p>
      <w:pPr>
        <w:pStyle w:val="42"/>
        <w:tabs>
          <w:tab w:val="right" w:leader="dot" w:pos="9638"/>
        </w:tabs>
      </w:pPr>
      <w:r>
        <w:fldChar w:fldCharType="begin"/>
      </w:r>
      <w:r>
        <w:instrText xml:space="preserve"> HYPERLINK \l "_Toc20846" </w:instrText>
      </w:r>
      <w:r>
        <w:fldChar w:fldCharType="separate"/>
      </w:r>
      <w:r>
        <w:rPr>
          <w:rFonts w:hint="eastAsia" w:ascii="宋体" w:hAnsi="宋体" w:cs="宋体"/>
          <w:szCs w:val="21"/>
        </w:rPr>
        <w:t>七、其他补充事宜</w:t>
      </w:r>
      <w:r>
        <w:tab/>
      </w:r>
      <w:r>
        <w:fldChar w:fldCharType="begin"/>
      </w:r>
      <w:r>
        <w:instrText xml:space="preserve"> PAGEREF _Toc20846 \h </w:instrText>
      </w:r>
      <w:r>
        <w:fldChar w:fldCharType="separate"/>
      </w:r>
      <w:r>
        <w:t>3</w:t>
      </w:r>
      <w:r>
        <w:fldChar w:fldCharType="end"/>
      </w:r>
      <w:r>
        <w:fldChar w:fldCharType="end"/>
      </w:r>
    </w:p>
    <w:p>
      <w:pPr>
        <w:pStyle w:val="42"/>
        <w:tabs>
          <w:tab w:val="right" w:leader="dot" w:pos="9638"/>
        </w:tabs>
      </w:pPr>
      <w:r>
        <w:fldChar w:fldCharType="begin"/>
      </w:r>
      <w:r>
        <w:instrText xml:space="preserve"> HYPERLINK \l "_Toc26045" </w:instrText>
      </w:r>
      <w:r>
        <w:fldChar w:fldCharType="separate"/>
      </w:r>
      <w:r>
        <w:rPr>
          <w:rFonts w:hint="eastAsia" w:ascii="宋体" w:hAnsi="宋体" w:cs="宋体"/>
          <w:szCs w:val="21"/>
        </w:rPr>
        <w:t>八、凡对本次采购提出询问，请按以下方式联系。</w:t>
      </w:r>
      <w:r>
        <w:tab/>
      </w:r>
      <w:r>
        <w:fldChar w:fldCharType="begin"/>
      </w:r>
      <w:r>
        <w:instrText xml:space="preserve"> PAGEREF _Toc26045 \h </w:instrText>
      </w:r>
      <w:r>
        <w:fldChar w:fldCharType="separate"/>
      </w:r>
      <w:r>
        <w:t>3</w:t>
      </w:r>
      <w:r>
        <w:fldChar w:fldCharType="end"/>
      </w:r>
      <w:r>
        <w:fldChar w:fldCharType="end"/>
      </w:r>
    </w:p>
    <w:p>
      <w:pPr>
        <w:pStyle w:val="35"/>
        <w:tabs>
          <w:tab w:val="right" w:leader="dot" w:pos="9638"/>
        </w:tabs>
      </w:pPr>
      <w:r>
        <w:fldChar w:fldCharType="begin"/>
      </w:r>
      <w:r>
        <w:instrText xml:space="preserve"> HYPERLINK \l "_Toc1175" </w:instrText>
      </w:r>
      <w:r>
        <w:fldChar w:fldCharType="separate"/>
      </w:r>
      <w:r>
        <w:rPr>
          <w:rFonts w:ascii="Arial" w:hAnsi="Arial" w:eastAsia="黑体" w:cs="Arial"/>
          <w:szCs w:val="28"/>
        </w:rPr>
        <w:t>第二章 供应商须知</w:t>
      </w:r>
      <w:r>
        <w:tab/>
      </w:r>
      <w:r>
        <w:fldChar w:fldCharType="begin"/>
      </w:r>
      <w:r>
        <w:instrText xml:space="preserve"> PAGEREF _Toc1175 \h </w:instrText>
      </w:r>
      <w:r>
        <w:fldChar w:fldCharType="separate"/>
      </w:r>
      <w:r>
        <w:t>5</w:t>
      </w:r>
      <w:r>
        <w:fldChar w:fldCharType="end"/>
      </w:r>
      <w:r>
        <w:fldChar w:fldCharType="end"/>
      </w:r>
    </w:p>
    <w:p>
      <w:pPr>
        <w:pStyle w:val="42"/>
        <w:tabs>
          <w:tab w:val="right" w:leader="dot" w:pos="9638"/>
        </w:tabs>
      </w:pPr>
      <w:r>
        <w:fldChar w:fldCharType="begin"/>
      </w:r>
      <w:r>
        <w:instrText xml:space="preserve"> HYPERLINK \l "_Toc27494" </w:instrText>
      </w:r>
      <w:r>
        <w:fldChar w:fldCharType="separate"/>
      </w:r>
      <w:r>
        <w:rPr>
          <w:rFonts w:hint="eastAsia" w:ascii="宋体" w:hAnsi="宋体" w:cs="宋体"/>
          <w:bCs/>
          <w:szCs w:val="21"/>
        </w:rPr>
        <w:t>一、总 则</w:t>
      </w:r>
      <w:r>
        <w:tab/>
      </w:r>
      <w:r>
        <w:fldChar w:fldCharType="begin"/>
      </w:r>
      <w:r>
        <w:instrText xml:space="preserve"> PAGEREF _Toc27494 \h </w:instrText>
      </w:r>
      <w:r>
        <w:fldChar w:fldCharType="separate"/>
      </w:r>
      <w:r>
        <w:t>8</w:t>
      </w:r>
      <w:r>
        <w:fldChar w:fldCharType="end"/>
      </w:r>
      <w:r>
        <w:fldChar w:fldCharType="end"/>
      </w:r>
    </w:p>
    <w:p>
      <w:pPr>
        <w:pStyle w:val="25"/>
        <w:tabs>
          <w:tab w:val="right" w:leader="dot" w:pos="9638"/>
        </w:tabs>
      </w:pPr>
      <w:r>
        <w:fldChar w:fldCharType="begin"/>
      </w:r>
      <w:r>
        <w:instrText xml:space="preserve"> HYPERLINK \l "_Toc10447" </w:instrText>
      </w:r>
      <w:r>
        <w:fldChar w:fldCharType="separate"/>
      </w:r>
      <w:r>
        <w:rPr>
          <w:rFonts w:hint="eastAsia" w:ascii="宋体" w:hAnsi="宋体" w:cs="宋体"/>
          <w:bCs/>
          <w:szCs w:val="21"/>
          <w:lang w:val="zh-CN"/>
        </w:rPr>
        <w:t>1.</w:t>
      </w:r>
      <w:r>
        <w:rPr>
          <w:rFonts w:hint="eastAsia" w:ascii="宋体" w:hAnsi="宋体" w:cs="宋体"/>
          <w:szCs w:val="21"/>
          <w:lang w:val="zh-CN"/>
        </w:rPr>
        <w:t>适用法律</w:t>
      </w:r>
      <w:r>
        <w:tab/>
      </w:r>
      <w:r>
        <w:fldChar w:fldCharType="begin"/>
      </w:r>
      <w:r>
        <w:instrText xml:space="preserve"> PAGEREF _Toc10447 \h </w:instrText>
      </w:r>
      <w:r>
        <w:fldChar w:fldCharType="separate"/>
      </w:r>
      <w:r>
        <w:t>8</w:t>
      </w:r>
      <w:r>
        <w:fldChar w:fldCharType="end"/>
      </w:r>
      <w:r>
        <w:fldChar w:fldCharType="end"/>
      </w:r>
    </w:p>
    <w:p>
      <w:pPr>
        <w:pStyle w:val="25"/>
        <w:tabs>
          <w:tab w:val="right" w:leader="dot" w:pos="9638"/>
        </w:tabs>
      </w:pPr>
      <w:r>
        <w:fldChar w:fldCharType="begin"/>
      </w:r>
      <w:r>
        <w:instrText xml:space="preserve"> HYPERLINK \l "_Toc10054" </w:instrText>
      </w:r>
      <w:r>
        <w:fldChar w:fldCharType="separate"/>
      </w:r>
      <w:r>
        <w:rPr>
          <w:rFonts w:hint="eastAsia" w:ascii="宋体" w:hAnsi="宋体" w:cs="宋体"/>
          <w:bCs/>
          <w:szCs w:val="21"/>
          <w:lang w:val="zh-CN"/>
        </w:rPr>
        <w:t>2.</w:t>
      </w:r>
      <w:r>
        <w:rPr>
          <w:rFonts w:hint="eastAsia" w:ascii="宋体" w:hAnsi="宋体" w:cs="宋体"/>
          <w:szCs w:val="21"/>
          <w:lang w:val="zh-CN"/>
        </w:rPr>
        <w:t>定义</w:t>
      </w:r>
      <w:r>
        <w:tab/>
      </w:r>
      <w:r>
        <w:fldChar w:fldCharType="begin"/>
      </w:r>
      <w:r>
        <w:instrText xml:space="preserve"> PAGEREF _Toc10054 \h </w:instrText>
      </w:r>
      <w:r>
        <w:fldChar w:fldCharType="separate"/>
      </w:r>
      <w:r>
        <w:t>8</w:t>
      </w:r>
      <w:r>
        <w:fldChar w:fldCharType="end"/>
      </w:r>
      <w:r>
        <w:fldChar w:fldCharType="end"/>
      </w:r>
    </w:p>
    <w:p>
      <w:pPr>
        <w:pStyle w:val="25"/>
        <w:tabs>
          <w:tab w:val="right" w:leader="dot" w:pos="9638"/>
        </w:tabs>
      </w:pPr>
      <w:r>
        <w:fldChar w:fldCharType="begin"/>
      </w:r>
      <w:r>
        <w:instrText xml:space="preserve"> HYPERLINK \l "_Toc9024" </w:instrText>
      </w:r>
      <w:r>
        <w:fldChar w:fldCharType="separate"/>
      </w:r>
      <w:r>
        <w:rPr>
          <w:rFonts w:hint="eastAsia" w:ascii="宋体" w:hAnsi="宋体" w:cs="宋体"/>
          <w:bCs/>
          <w:szCs w:val="21"/>
          <w:lang w:val="zh-CN"/>
        </w:rPr>
        <w:t>3.政策功能：</w:t>
      </w:r>
      <w:r>
        <w:tab/>
      </w:r>
      <w:r>
        <w:fldChar w:fldCharType="begin"/>
      </w:r>
      <w:r>
        <w:instrText xml:space="preserve"> PAGEREF _Toc9024 \h </w:instrText>
      </w:r>
      <w:r>
        <w:fldChar w:fldCharType="separate"/>
      </w:r>
      <w:r>
        <w:t>8</w:t>
      </w:r>
      <w:r>
        <w:fldChar w:fldCharType="end"/>
      </w:r>
      <w:r>
        <w:fldChar w:fldCharType="end"/>
      </w:r>
    </w:p>
    <w:p>
      <w:pPr>
        <w:pStyle w:val="25"/>
        <w:tabs>
          <w:tab w:val="right" w:leader="dot" w:pos="9638"/>
        </w:tabs>
      </w:pPr>
      <w:r>
        <w:fldChar w:fldCharType="begin"/>
      </w:r>
      <w:r>
        <w:instrText xml:space="preserve"> HYPERLINK \l "_Toc14050" </w:instrText>
      </w:r>
      <w:r>
        <w:fldChar w:fldCharType="separate"/>
      </w:r>
      <w:r>
        <w:rPr>
          <w:rFonts w:hint="eastAsia" w:ascii="宋体" w:hAnsi="宋体" w:cs="宋体"/>
          <w:szCs w:val="21"/>
        </w:rPr>
        <w:t>4.</w:t>
      </w:r>
      <w:r>
        <w:rPr>
          <w:rFonts w:hint="eastAsia" w:ascii="宋体" w:hAnsi="宋体" w:cs="宋体"/>
          <w:bCs/>
          <w:szCs w:val="21"/>
        </w:rPr>
        <w:t>采购</w:t>
      </w:r>
      <w:r>
        <w:rPr>
          <w:rFonts w:hint="eastAsia" w:ascii="宋体" w:hAnsi="宋体" w:cs="宋体"/>
          <w:bCs/>
          <w:szCs w:val="21"/>
          <w:lang w:val="zh-CN"/>
        </w:rPr>
        <w:t>费用</w:t>
      </w:r>
      <w:r>
        <w:tab/>
      </w:r>
      <w:r>
        <w:fldChar w:fldCharType="begin"/>
      </w:r>
      <w:r>
        <w:instrText xml:space="preserve"> PAGEREF _Toc14050 \h </w:instrText>
      </w:r>
      <w:r>
        <w:fldChar w:fldCharType="separate"/>
      </w:r>
      <w:r>
        <w:t>9</w:t>
      </w:r>
      <w:r>
        <w:fldChar w:fldCharType="end"/>
      </w:r>
      <w:r>
        <w:fldChar w:fldCharType="end"/>
      </w:r>
    </w:p>
    <w:p>
      <w:pPr>
        <w:pStyle w:val="25"/>
        <w:tabs>
          <w:tab w:val="right" w:leader="dot" w:pos="9638"/>
        </w:tabs>
      </w:pPr>
      <w:r>
        <w:fldChar w:fldCharType="begin"/>
      </w:r>
      <w:r>
        <w:instrText xml:space="preserve"> HYPERLINK \l "_Toc23609" </w:instrText>
      </w:r>
      <w:r>
        <w:fldChar w:fldCharType="separate"/>
      </w:r>
      <w:r>
        <w:rPr>
          <w:rFonts w:hint="eastAsia" w:ascii="宋体" w:hAnsi="宋体" w:cs="宋体"/>
          <w:szCs w:val="21"/>
        </w:rPr>
        <w:t>5.磋商文件的约束力</w:t>
      </w:r>
      <w:r>
        <w:tab/>
      </w:r>
      <w:r>
        <w:fldChar w:fldCharType="begin"/>
      </w:r>
      <w:r>
        <w:instrText xml:space="preserve"> PAGEREF _Toc23609 \h </w:instrText>
      </w:r>
      <w:r>
        <w:fldChar w:fldCharType="separate"/>
      </w:r>
      <w:r>
        <w:t>10</w:t>
      </w:r>
      <w:r>
        <w:fldChar w:fldCharType="end"/>
      </w:r>
      <w:r>
        <w:fldChar w:fldCharType="end"/>
      </w:r>
    </w:p>
    <w:p>
      <w:pPr>
        <w:pStyle w:val="42"/>
        <w:tabs>
          <w:tab w:val="right" w:leader="dot" w:pos="9638"/>
        </w:tabs>
      </w:pPr>
      <w:r>
        <w:fldChar w:fldCharType="begin"/>
      </w:r>
      <w:r>
        <w:instrText xml:space="preserve"> HYPERLINK \l "_Toc9901" </w:instrText>
      </w:r>
      <w:r>
        <w:fldChar w:fldCharType="separate"/>
      </w:r>
      <w:r>
        <w:rPr>
          <w:rFonts w:hint="eastAsia" w:ascii="宋体" w:hAnsi="宋体" w:cs="宋体"/>
          <w:bCs/>
          <w:szCs w:val="21"/>
        </w:rPr>
        <w:t>二、磋商文件</w:t>
      </w:r>
      <w:r>
        <w:tab/>
      </w:r>
      <w:r>
        <w:fldChar w:fldCharType="begin"/>
      </w:r>
      <w:r>
        <w:instrText xml:space="preserve"> PAGEREF _Toc9901 \h </w:instrText>
      </w:r>
      <w:r>
        <w:fldChar w:fldCharType="separate"/>
      </w:r>
      <w:r>
        <w:t>10</w:t>
      </w:r>
      <w:r>
        <w:fldChar w:fldCharType="end"/>
      </w:r>
      <w:r>
        <w:fldChar w:fldCharType="end"/>
      </w:r>
    </w:p>
    <w:p>
      <w:pPr>
        <w:pStyle w:val="25"/>
        <w:tabs>
          <w:tab w:val="right" w:leader="dot" w:pos="9638"/>
        </w:tabs>
      </w:pPr>
      <w:r>
        <w:fldChar w:fldCharType="begin"/>
      </w:r>
      <w:r>
        <w:instrText xml:space="preserve"> HYPERLINK \l "_Toc18008" </w:instrText>
      </w:r>
      <w:r>
        <w:fldChar w:fldCharType="separate"/>
      </w:r>
      <w:r>
        <w:rPr>
          <w:rFonts w:hint="eastAsia" w:ascii="宋体" w:hAnsi="宋体" w:cs="宋体"/>
          <w:szCs w:val="21"/>
        </w:rPr>
        <w:t>6.</w:t>
      </w:r>
      <w:r>
        <w:rPr>
          <w:rFonts w:hint="eastAsia" w:ascii="宋体" w:hAnsi="宋体" w:cs="宋体"/>
          <w:bCs/>
          <w:szCs w:val="21"/>
        </w:rPr>
        <w:t>磋商</w:t>
      </w:r>
      <w:r>
        <w:rPr>
          <w:rFonts w:hint="eastAsia" w:ascii="宋体" w:hAnsi="宋体" w:cs="宋体"/>
          <w:szCs w:val="21"/>
        </w:rPr>
        <w:t>文件构成</w:t>
      </w:r>
      <w:r>
        <w:tab/>
      </w:r>
      <w:r>
        <w:fldChar w:fldCharType="begin"/>
      </w:r>
      <w:r>
        <w:instrText xml:space="preserve"> PAGEREF _Toc18008 \h </w:instrText>
      </w:r>
      <w:r>
        <w:fldChar w:fldCharType="separate"/>
      </w:r>
      <w:r>
        <w:t>10</w:t>
      </w:r>
      <w:r>
        <w:fldChar w:fldCharType="end"/>
      </w:r>
      <w:r>
        <w:fldChar w:fldCharType="end"/>
      </w:r>
    </w:p>
    <w:p>
      <w:pPr>
        <w:pStyle w:val="25"/>
        <w:tabs>
          <w:tab w:val="right" w:leader="dot" w:pos="9638"/>
        </w:tabs>
      </w:pPr>
      <w:r>
        <w:fldChar w:fldCharType="begin"/>
      </w:r>
      <w:r>
        <w:instrText xml:space="preserve"> HYPERLINK \l "_Toc7925" </w:instrText>
      </w:r>
      <w:r>
        <w:fldChar w:fldCharType="separate"/>
      </w:r>
      <w:r>
        <w:rPr>
          <w:rFonts w:hint="eastAsia" w:ascii="宋体" w:hAnsi="宋体" w:cs="宋体"/>
          <w:szCs w:val="21"/>
        </w:rPr>
        <w:t>7.</w:t>
      </w:r>
      <w:r>
        <w:rPr>
          <w:rFonts w:hint="eastAsia" w:ascii="宋体" w:hAnsi="宋体" w:cs="宋体"/>
          <w:bCs/>
          <w:szCs w:val="21"/>
        </w:rPr>
        <w:t>磋商文件的澄清、补充或修改</w:t>
      </w:r>
      <w:r>
        <w:tab/>
      </w:r>
      <w:r>
        <w:fldChar w:fldCharType="begin"/>
      </w:r>
      <w:r>
        <w:instrText xml:space="preserve"> PAGEREF _Toc7925 \h </w:instrText>
      </w:r>
      <w:r>
        <w:fldChar w:fldCharType="separate"/>
      </w:r>
      <w:r>
        <w:t>10</w:t>
      </w:r>
      <w:r>
        <w:fldChar w:fldCharType="end"/>
      </w:r>
      <w:r>
        <w:fldChar w:fldCharType="end"/>
      </w:r>
    </w:p>
    <w:p>
      <w:pPr>
        <w:pStyle w:val="42"/>
        <w:tabs>
          <w:tab w:val="right" w:leader="dot" w:pos="9638"/>
        </w:tabs>
      </w:pPr>
      <w:r>
        <w:fldChar w:fldCharType="begin"/>
      </w:r>
      <w:r>
        <w:instrText xml:space="preserve"> HYPERLINK \l "_Toc4143" </w:instrText>
      </w:r>
      <w:r>
        <w:fldChar w:fldCharType="separate"/>
      </w:r>
      <w:r>
        <w:rPr>
          <w:rFonts w:hint="eastAsia" w:ascii="宋体" w:hAnsi="宋体" w:cs="宋体"/>
          <w:bCs/>
          <w:szCs w:val="21"/>
        </w:rPr>
        <w:t>三、响应文件的编制</w:t>
      </w:r>
      <w:r>
        <w:tab/>
      </w:r>
      <w:r>
        <w:fldChar w:fldCharType="begin"/>
      </w:r>
      <w:r>
        <w:instrText xml:space="preserve"> PAGEREF _Toc4143 \h </w:instrText>
      </w:r>
      <w:r>
        <w:fldChar w:fldCharType="separate"/>
      </w:r>
      <w:r>
        <w:t>10</w:t>
      </w:r>
      <w:r>
        <w:fldChar w:fldCharType="end"/>
      </w:r>
      <w:r>
        <w:fldChar w:fldCharType="end"/>
      </w:r>
    </w:p>
    <w:p>
      <w:pPr>
        <w:pStyle w:val="25"/>
        <w:tabs>
          <w:tab w:val="right" w:leader="dot" w:pos="9638"/>
        </w:tabs>
      </w:pPr>
      <w:r>
        <w:fldChar w:fldCharType="begin"/>
      </w:r>
      <w:r>
        <w:instrText xml:space="preserve"> HYPERLINK \l "_Toc9600" </w:instrText>
      </w:r>
      <w:r>
        <w:fldChar w:fldCharType="separate"/>
      </w:r>
      <w:r>
        <w:rPr>
          <w:rFonts w:hint="eastAsia" w:ascii="宋体" w:hAnsi="宋体" w:cs="宋体"/>
          <w:szCs w:val="21"/>
        </w:rPr>
        <w:t>8.响应文件的语言、计量单位、货币</w:t>
      </w:r>
      <w:r>
        <w:tab/>
      </w:r>
      <w:r>
        <w:fldChar w:fldCharType="begin"/>
      </w:r>
      <w:r>
        <w:instrText xml:space="preserve"> PAGEREF _Toc9600 \h </w:instrText>
      </w:r>
      <w:r>
        <w:fldChar w:fldCharType="separate"/>
      </w:r>
      <w:r>
        <w:t>11</w:t>
      </w:r>
      <w:r>
        <w:fldChar w:fldCharType="end"/>
      </w:r>
      <w:r>
        <w:fldChar w:fldCharType="end"/>
      </w:r>
    </w:p>
    <w:p>
      <w:pPr>
        <w:pStyle w:val="25"/>
        <w:tabs>
          <w:tab w:val="right" w:leader="dot" w:pos="9638"/>
        </w:tabs>
      </w:pPr>
      <w:r>
        <w:fldChar w:fldCharType="begin"/>
      </w:r>
      <w:r>
        <w:instrText xml:space="preserve"> HYPERLINK \l "_Toc23556" </w:instrText>
      </w:r>
      <w:r>
        <w:fldChar w:fldCharType="separate"/>
      </w:r>
      <w:r>
        <w:rPr>
          <w:rFonts w:hint="eastAsia" w:ascii="宋体" w:hAnsi="宋体" w:cs="宋体"/>
          <w:bCs/>
          <w:szCs w:val="21"/>
        </w:rPr>
        <w:t>9.响应文件的组成</w:t>
      </w:r>
      <w:r>
        <w:tab/>
      </w:r>
      <w:r>
        <w:fldChar w:fldCharType="begin"/>
      </w:r>
      <w:r>
        <w:instrText xml:space="preserve"> PAGEREF _Toc23556 \h </w:instrText>
      </w:r>
      <w:r>
        <w:fldChar w:fldCharType="separate"/>
      </w:r>
      <w:r>
        <w:t>11</w:t>
      </w:r>
      <w:r>
        <w:fldChar w:fldCharType="end"/>
      </w:r>
      <w:r>
        <w:fldChar w:fldCharType="end"/>
      </w:r>
    </w:p>
    <w:p>
      <w:pPr>
        <w:pStyle w:val="25"/>
        <w:tabs>
          <w:tab w:val="right" w:leader="dot" w:pos="9638"/>
        </w:tabs>
      </w:pPr>
      <w:r>
        <w:fldChar w:fldCharType="begin"/>
      </w:r>
      <w:r>
        <w:instrText xml:space="preserve"> HYPERLINK \l "_Toc194" </w:instrText>
      </w:r>
      <w:r>
        <w:fldChar w:fldCharType="separate"/>
      </w:r>
      <w:r>
        <w:rPr>
          <w:rFonts w:hint="eastAsia" w:ascii="宋体" w:hAnsi="宋体" w:cs="宋体"/>
          <w:bCs/>
          <w:szCs w:val="21"/>
        </w:rPr>
        <w:t>10.磋商保证金（如有）</w:t>
      </w:r>
      <w:r>
        <w:tab/>
      </w:r>
      <w:r>
        <w:fldChar w:fldCharType="begin"/>
      </w:r>
      <w:r>
        <w:instrText xml:space="preserve"> PAGEREF _Toc194 \h </w:instrText>
      </w:r>
      <w:r>
        <w:fldChar w:fldCharType="separate"/>
      </w:r>
      <w:r>
        <w:t>12</w:t>
      </w:r>
      <w:r>
        <w:fldChar w:fldCharType="end"/>
      </w:r>
      <w:r>
        <w:fldChar w:fldCharType="end"/>
      </w:r>
    </w:p>
    <w:p>
      <w:pPr>
        <w:pStyle w:val="25"/>
        <w:tabs>
          <w:tab w:val="right" w:leader="dot" w:pos="9638"/>
        </w:tabs>
      </w:pPr>
      <w:r>
        <w:fldChar w:fldCharType="begin"/>
      </w:r>
      <w:r>
        <w:instrText xml:space="preserve"> HYPERLINK \l "_Toc30361" </w:instrText>
      </w:r>
      <w:r>
        <w:fldChar w:fldCharType="separate"/>
      </w:r>
      <w:r>
        <w:rPr>
          <w:rFonts w:hint="eastAsia" w:ascii="宋体" w:hAnsi="宋体" w:cs="宋体"/>
          <w:bCs/>
          <w:szCs w:val="21"/>
        </w:rPr>
        <w:t>11.响应文件的有效期</w:t>
      </w:r>
      <w:r>
        <w:tab/>
      </w:r>
      <w:r>
        <w:fldChar w:fldCharType="begin"/>
      </w:r>
      <w:r>
        <w:instrText xml:space="preserve"> PAGEREF _Toc30361 \h </w:instrText>
      </w:r>
      <w:r>
        <w:fldChar w:fldCharType="separate"/>
      </w:r>
      <w:r>
        <w:t>12</w:t>
      </w:r>
      <w:r>
        <w:fldChar w:fldCharType="end"/>
      </w:r>
      <w:r>
        <w:fldChar w:fldCharType="end"/>
      </w:r>
    </w:p>
    <w:p>
      <w:pPr>
        <w:pStyle w:val="25"/>
        <w:tabs>
          <w:tab w:val="right" w:leader="dot" w:pos="9638"/>
        </w:tabs>
      </w:pPr>
      <w:r>
        <w:fldChar w:fldCharType="begin"/>
      </w:r>
      <w:r>
        <w:instrText xml:space="preserve"> HYPERLINK \l "_Toc29202" </w:instrText>
      </w:r>
      <w:r>
        <w:fldChar w:fldCharType="separate"/>
      </w:r>
      <w:r>
        <w:rPr>
          <w:rFonts w:hint="eastAsia" w:ascii="宋体" w:hAnsi="宋体" w:cs="宋体"/>
          <w:bCs/>
          <w:szCs w:val="21"/>
        </w:rPr>
        <w:t>12.响应文件的签署及其形式</w:t>
      </w:r>
      <w:r>
        <w:tab/>
      </w:r>
      <w:r>
        <w:fldChar w:fldCharType="begin"/>
      </w:r>
      <w:r>
        <w:instrText xml:space="preserve"> PAGEREF _Toc29202 \h </w:instrText>
      </w:r>
      <w:r>
        <w:fldChar w:fldCharType="separate"/>
      </w:r>
      <w:r>
        <w:t>12</w:t>
      </w:r>
      <w:r>
        <w:fldChar w:fldCharType="end"/>
      </w:r>
      <w:r>
        <w:fldChar w:fldCharType="end"/>
      </w:r>
    </w:p>
    <w:p>
      <w:pPr>
        <w:pStyle w:val="42"/>
        <w:tabs>
          <w:tab w:val="right" w:leader="dot" w:pos="9638"/>
        </w:tabs>
      </w:pPr>
      <w:r>
        <w:fldChar w:fldCharType="begin"/>
      </w:r>
      <w:r>
        <w:instrText xml:space="preserve"> HYPERLINK \l "_Toc3356" </w:instrText>
      </w:r>
      <w:r>
        <w:fldChar w:fldCharType="separate"/>
      </w:r>
      <w:r>
        <w:rPr>
          <w:rFonts w:hint="eastAsia" w:ascii="宋体" w:hAnsi="宋体" w:cs="宋体"/>
          <w:bCs/>
          <w:szCs w:val="21"/>
        </w:rPr>
        <w:t>四、响应文件的递交</w:t>
      </w:r>
      <w:r>
        <w:tab/>
      </w:r>
      <w:r>
        <w:fldChar w:fldCharType="begin"/>
      </w:r>
      <w:r>
        <w:instrText xml:space="preserve"> PAGEREF _Toc3356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"_Toc26192" </w:instrText>
      </w:r>
      <w:r>
        <w:fldChar w:fldCharType="separate"/>
      </w:r>
      <w:r>
        <w:rPr>
          <w:rFonts w:hint="eastAsia" w:ascii="宋体" w:hAnsi="宋体" w:cs="宋体"/>
          <w:bCs/>
          <w:szCs w:val="21"/>
        </w:rPr>
        <w:t>13.响应文件的密封及标记</w:t>
      </w:r>
      <w:r>
        <w:tab/>
      </w:r>
      <w:r>
        <w:fldChar w:fldCharType="begin"/>
      </w:r>
      <w:r>
        <w:instrText xml:space="preserve"> PAGEREF _Toc26192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"_Toc9135" </w:instrText>
      </w:r>
      <w:r>
        <w:fldChar w:fldCharType="separate"/>
      </w:r>
      <w:r>
        <w:rPr>
          <w:rFonts w:hint="eastAsia" w:ascii="宋体" w:hAnsi="宋体" w:cs="宋体"/>
          <w:bCs/>
          <w:szCs w:val="21"/>
        </w:rPr>
        <w:t>14.磋商的截止日期</w:t>
      </w:r>
      <w:r>
        <w:tab/>
      </w:r>
      <w:r>
        <w:fldChar w:fldCharType="begin"/>
      </w:r>
      <w:r>
        <w:instrText xml:space="preserve"> PAGEREF _Toc9135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"_Toc30926" </w:instrText>
      </w:r>
      <w:r>
        <w:fldChar w:fldCharType="separate"/>
      </w:r>
      <w:r>
        <w:rPr>
          <w:rFonts w:hint="eastAsia" w:ascii="宋体" w:hAnsi="宋体" w:cs="宋体"/>
          <w:bCs/>
          <w:szCs w:val="21"/>
        </w:rPr>
        <w:t>15.迟交的响应文件</w:t>
      </w:r>
      <w:r>
        <w:tab/>
      </w:r>
      <w:r>
        <w:fldChar w:fldCharType="begin"/>
      </w:r>
      <w:r>
        <w:instrText xml:space="preserve"> PAGEREF _Toc30926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"_Toc22830" </w:instrText>
      </w:r>
      <w:r>
        <w:fldChar w:fldCharType="separate"/>
      </w:r>
      <w:r>
        <w:rPr>
          <w:rFonts w:hint="eastAsia" w:ascii="宋体" w:hAnsi="宋体" w:cs="宋体"/>
          <w:bCs/>
          <w:szCs w:val="21"/>
        </w:rPr>
        <w:t>16.响应文件的修改或撤回</w:t>
      </w:r>
      <w:r>
        <w:tab/>
      </w:r>
      <w:r>
        <w:fldChar w:fldCharType="begin"/>
      </w:r>
      <w:r>
        <w:instrText xml:space="preserve"> PAGEREF _Toc22830 \h </w:instrText>
      </w:r>
      <w:r>
        <w:fldChar w:fldCharType="separate"/>
      </w:r>
      <w:r>
        <w:t>13</w:t>
      </w:r>
      <w:r>
        <w:fldChar w:fldCharType="end"/>
      </w:r>
      <w:r>
        <w:fldChar w:fldCharType="end"/>
      </w:r>
    </w:p>
    <w:p>
      <w:pPr>
        <w:pStyle w:val="42"/>
        <w:tabs>
          <w:tab w:val="right" w:leader="dot" w:pos="9638"/>
        </w:tabs>
      </w:pPr>
      <w:r>
        <w:fldChar w:fldCharType="begin"/>
      </w:r>
      <w:r>
        <w:instrText xml:space="preserve"> HYPERLINK \l "_Toc17027" </w:instrText>
      </w:r>
      <w:r>
        <w:fldChar w:fldCharType="separate"/>
      </w:r>
      <w:r>
        <w:rPr>
          <w:rFonts w:hint="eastAsia" w:ascii="宋体" w:hAnsi="宋体" w:cs="宋体"/>
          <w:bCs/>
          <w:szCs w:val="21"/>
        </w:rPr>
        <w:t>五、磋商程序及评标</w:t>
      </w:r>
      <w:r>
        <w:tab/>
      </w:r>
      <w:r>
        <w:fldChar w:fldCharType="begin"/>
      </w:r>
      <w:r>
        <w:instrText xml:space="preserve"> PAGEREF _Toc17027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"_Toc10776" </w:instrText>
      </w:r>
      <w:r>
        <w:fldChar w:fldCharType="separate"/>
      </w:r>
      <w:r>
        <w:rPr>
          <w:rFonts w:hint="eastAsia" w:ascii="宋体" w:hAnsi="宋体" w:cs="宋体"/>
          <w:bCs/>
          <w:szCs w:val="21"/>
        </w:rPr>
        <w:t>17.磋商</w:t>
      </w:r>
      <w:r>
        <w:tab/>
      </w:r>
      <w:r>
        <w:fldChar w:fldCharType="begin"/>
      </w:r>
      <w:r>
        <w:instrText xml:space="preserve"> PAGEREF _Toc10776 \h </w:instrText>
      </w:r>
      <w:r>
        <w:fldChar w:fldCharType="separate"/>
      </w:r>
      <w:r>
        <w:t>13</w:t>
      </w:r>
      <w:r>
        <w:fldChar w:fldCharType="end"/>
      </w:r>
      <w:r>
        <w:fldChar w:fldCharType="end"/>
      </w:r>
    </w:p>
    <w:p>
      <w:pPr>
        <w:pStyle w:val="25"/>
        <w:tabs>
          <w:tab w:val="right" w:leader="dot" w:pos="9638"/>
        </w:tabs>
      </w:pPr>
      <w:r>
        <w:fldChar w:fldCharType="begin"/>
      </w:r>
      <w:r>
        <w:instrText xml:space="preserve"> HYPERLINK \l "_Toc32716" </w:instrText>
      </w:r>
      <w:r>
        <w:fldChar w:fldCharType="separate"/>
      </w:r>
      <w:r>
        <w:rPr>
          <w:rFonts w:hint="eastAsia" w:ascii="宋体" w:hAnsi="宋体" w:cs="宋体"/>
          <w:bCs/>
          <w:szCs w:val="21"/>
        </w:rPr>
        <w:t>18.磋商小组</w:t>
      </w:r>
      <w:r>
        <w:tab/>
      </w:r>
      <w:r>
        <w:fldChar w:fldCharType="begin"/>
      </w:r>
      <w:r>
        <w:instrText xml:space="preserve"> PAGEREF _Toc32716 \h </w:instrText>
      </w:r>
      <w:r>
        <w:fldChar w:fldCharType="separate"/>
      </w:r>
      <w:r>
        <w:t>14</w:t>
      </w:r>
      <w:r>
        <w:fldChar w:fldCharType="end"/>
      </w:r>
      <w:r>
        <w:fldChar w:fldCharType="end"/>
      </w:r>
    </w:p>
    <w:p>
      <w:pPr>
        <w:pStyle w:val="25"/>
        <w:tabs>
          <w:tab w:val="right" w:leader="dot" w:pos="9638"/>
        </w:tabs>
      </w:pPr>
      <w:r>
        <w:fldChar w:fldCharType="begin"/>
      </w:r>
      <w:r>
        <w:instrText xml:space="preserve"> HYPERLINK \l "_Toc13254" </w:instrText>
      </w:r>
      <w:r>
        <w:fldChar w:fldCharType="separate"/>
      </w:r>
      <w:r>
        <w:rPr>
          <w:rFonts w:hint="eastAsia" w:ascii="宋体" w:hAnsi="宋体" w:cs="宋体"/>
          <w:bCs/>
          <w:szCs w:val="21"/>
        </w:rPr>
        <w:t>19.磋商程序</w:t>
      </w:r>
      <w:r>
        <w:tab/>
      </w:r>
      <w:r>
        <w:fldChar w:fldCharType="begin"/>
      </w:r>
      <w:r>
        <w:instrText xml:space="preserve"> PAGEREF _Toc13254 \h </w:instrText>
      </w:r>
      <w:r>
        <w:fldChar w:fldCharType="separate"/>
      </w:r>
      <w:r>
        <w:t>14</w:t>
      </w:r>
      <w:r>
        <w:fldChar w:fldCharType="end"/>
      </w:r>
      <w:r>
        <w:fldChar w:fldCharType="end"/>
      </w:r>
    </w:p>
    <w:p>
      <w:pPr>
        <w:pStyle w:val="25"/>
        <w:tabs>
          <w:tab w:val="right" w:leader="dot" w:pos="9638"/>
        </w:tabs>
      </w:pPr>
      <w:r>
        <w:fldChar w:fldCharType="begin"/>
      </w:r>
      <w:r>
        <w:instrText xml:space="preserve"> HYPERLINK \l "_Toc10571" </w:instrText>
      </w:r>
      <w:r>
        <w:fldChar w:fldCharType="separate"/>
      </w:r>
      <w:r>
        <w:rPr>
          <w:rFonts w:hint="eastAsia" w:ascii="宋体" w:hAnsi="宋体" w:cs="宋体"/>
          <w:bCs/>
          <w:szCs w:val="21"/>
        </w:rPr>
        <w:t>21.无效响应文件与终止磋商</w:t>
      </w:r>
      <w:r>
        <w:tab/>
      </w:r>
      <w:r>
        <w:fldChar w:fldCharType="begin"/>
      </w:r>
      <w:r>
        <w:instrText xml:space="preserve"> PAGEREF _Toc10571 \h </w:instrText>
      </w:r>
      <w:r>
        <w:fldChar w:fldCharType="separate"/>
      </w:r>
      <w:r>
        <w:t>15</w:t>
      </w:r>
      <w:r>
        <w:fldChar w:fldCharType="end"/>
      </w:r>
      <w:r>
        <w:fldChar w:fldCharType="end"/>
      </w:r>
    </w:p>
    <w:p>
      <w:pPr>
        <w:pStyle w:val="25"/>
        <w:tabs>
          <w:tab w:val="right" w:leader="dot" w:pos="9638"/>
        </w:tabs>
      </w:pPr>
      <w:r>
        <w:fldChar w:fldCharType="begin"/>
      </w:r>
      <w:r>
        <w:instrText xml:space="preserve"> HYPERLINK \l "_Toc16979" </w:instrText>
      </w:r>
      <w:r>
        <w:fldChar w:fldCharType="separate"/>
      </w:r>
      <w:r>
        <w:rPr>
          <w:rFonts w:hint="eastAsia" w:ascii="宋体" w:hAnsi="宋体" w:cs="宋体"/>
          <w:bCs/>
          <w:szCs w:val="21"/>
        </w:rPr>
        <w:t>22.首次磋商失败，重新组织磋商后供应商不足的处理</w:t>
      </w:r>
      <w:r>
        <w:tab/>
      </w:r>
      <w:r>
        <w:fldChar w:fldCharType="begin"/>
      </w:r>
      <w:r>
        <w:instrText xml:space="preserve"> PAGEREF _Toc16979 \h </w:instrText>
      </w:r>
      <w:r>
        <w:fldChar w:fldCharType="separate"/>
      </w:r>
      <w:r>
        <w:t>16</w:t>
      </w:r>
      <w:r>
        <w:fldChar w:fldCharType="end"/>
      </w:r>
      <w:r>
        <w:fldChar w:fldCharType="end"/>
      </w:r>
    </w:p>
    <w:p>
      <w:pPr>
        <w:pStyle w:val="42"/>
        <w:tabs>
          <w:tab w:val="right" w:leader="dot" w:pos="9638"/>
        </w:tabs>
      </w:pPr>
      <w:r>
        <w:fldChar w:fldCharType="begin"/>
      </w:r>
      <w:r>
        <w:instrText xml:space="preserve"> HYPERLINK \l "_Toc16546" </w:instrText>
      </w:r>
      <w:r>
        <w:fldChar w:fldCharType="separate"/>
      </w:r>
      <w:r>
        <w:rPr>
          <w:rFonts w:hint="eastAsia" w:ascii="宋体" w:hAnsi="宋体" w:cs="宋体"/>
          <w:bCs/>
          <w:szCs w:val="21"/>
        </w:rPr>
        <w:t>六、成交</w:t>
      </w:r>
      <w:r>
        <w:tab/>
      </w:r>
      <w:r>
        <w:fldChar w:fldCharType="begin"/>
      </w:r>
      <w:r>
        <w:instrText xml:space="preserve"> PAGEREF _Toc16546 \h </w:instrText>
      </w:r>
      <w:r>
        <w:fldChar w:fldCharType="separate"/>
      </w:r>
      <w:r>
        <w:t>16</w:t>
      </w:r>
      <w:r>
        <w:fldChar w:fldCharType="end"/>
      </w:r>
      <w:r>
        <w:fldChar w:fldCharType="end"/>
      </w:r>
    </w:p>
    <w:p>
      <w:pPr>
        <w:pStyle w:val="25"/>
        <w:tabs>
          <w:tab w:val="right" w:leader="dot" w:pos="9638"/>
        </w:tabs>
      </w:pPr>
      <w:r>
        <w:fldChar w:fldCharType="begin"/>
      </w:r>
      <w:r>
        <w:instrText xml:space="preserve"> HYPERLINK \l "_Toc1772" </w:instrText>
      </w:r>
      <w:r>
        <w:fldChar w:fldCharType="separate"/>
      </w:r>
      <w:r>
        <w:rPr>
          <w:rFonts w:hint="eastAsia" w:ascii="宋体" w:hAnsi="宋体" w:cs="宋体"/>
          <w:bCs/>
          <w:szCs w:val="21"/>
        </w:rPr>
        <w:t>23.</w:t>
      </w:r>
      <w:r>
        <w:rPr>
          <w:rFonts w:hint="eastAsia" w:ascii="宋体" w:hAnsi="宋体" w:cs="宋体"/>
          <w:bCs/>
          <w:szCs w:val="21"/>
          <w:lang w:val="zh-CN"/>
        </w:rPr>
        <w:t>评定成交方法和标准</w:t>
      </w:r>
      <w:r>
        <w:tab/>
      </w:r>
      <w:r>
        <w:fldChar w:fldCharType="begin"/>
      </w:r>
      <w:r>
        <w:instrText xml:space="preserve"> PAGEREF _Toc1772 \h </w:instrText>
      </w:r>
      <w:r>
        <w:fldChar w:fldCharType="separate"/>
      </w:r>
      <w:r>
        <w:t>16</w:t>
      </w:r>
      <w:r>
        <w:fldChar w:fldCharType="end"/>
      </w:r>
      <w:r>
        <w:fldChar w:fldCharType="end"/>
      </w:r>
    </w:p>
    <w:p>
      <w:pPr>
        <w:pStyle w:val="25"/>
        <w:tabs>
          <w:tab w:val="right" w:leader="dot" w:pos="9638"/>
        </w:tabs>
      </w:pPr>
      <w:r>
        <w:fldChar w:fldCharType="begin"/>
      </w:r>
      <w:r>
        <w:instrText xml:space="preserve"> HYPERLINK \l "_Toc22555" </w:instrText>
      </w:r>
      <w:r>
        <w:fldChar w:fldCharType="separate"/>
      </w:r>
      <w:r>
        <w:rPr>
          <w:rFonts w:hint="eastAsia" w:ascii="宋体" w:hAnsi="宋体" w:cs="宋体"/>
          <w:bCs/>
          <w:szCs w:val="21"/>
        </w:rPr>
        <w:t>24.磋商过程保密</w:t>
      </w:r>
      <w:r>
        <w:tab/>
      </w:r>
      <w:r>
        <w:fldChar w:fldCharType="begin"/>
      </w:r>
      <w:r>
        <w:instrText xml:space="preserve"> PAGEREF _Toc22555 \h </w:instrText>
      </w:r>
      <w:r>
        <w:fldChar w:fldCharType="separate"/>
      </w:r>
      <w:r>
        <w:t>16</w:t>
      </w:r>
      <w:r>
        <w:fldChar w:fldCharType="end"/>
      </w:r>
      <w:r>
        <w:fldChar w:fldCharType="end"/>
      </w:r>
    </w:p>
    <w:p>
      <w:pPr>
        <w:pStyle w:val="25"/>
        <w:tabs>
          <w:tab w:val="right" w:leader="dot" w:pos="9638"/>
        </w:tabs>
      </w:pPr>
      <w:r>
        <w:fldChar w:fldCharType="begin"/>
      </w:r>
      <w:r>
        <w:instrText xml:space="preserve"> HYPERLINK \l "_Toc343" </w:instrText>
      </w:r>
      <w:r>
        <w:fldChar w:fldCharType="separate"/>
      </w:r>
      <w:r>
        <w:rPr>
          <w:rFonts w:hint="eastAsia" w:ascii="宋体" w:hAnsi="宋体" w:cs="宋体"/>
          <w:bCs/>
          <w:szCs w:val="21"/>
        </w:rPr>
        <w:t>25.确认成交供应商</w:t>
      </w:r>
      <w:r>
        <w:tab/>
      </w:r>
      <w:r>
        <w:fldChar w:fldCharType="begin"/>
      </w:r>
      <w:r>
        <w:instrText xml:space="preserve"> PAGEREF _Toc343 \h </w:instrText>
      </w:r>
      <w:r>
        <w:fldChar w:fldCharType="separate"/>
      </w:r>
      <w:r>
        <w:t>16</w:t>
      </w:r>
      <w:r>
        <w:fldChar w:fldCharType="end"/>
      </w:r>
      <w:r>
        <w:fldChar w:fldCharType="end"/>
      </w:r>
    </w:p>
    <w:p>
      <w:pPr>
        <w:pStyle w:val="25"/>
        <w:tabs>
          <w:tab w:val="right" w:leader="dot" w:pos="9638"/>
        </w:tabs>
      </w:pPr>
      <w:r>
        <w:fldChar w:fldCharType="begin"/>
      </w:r>
      <w:r>
        <w:instrText xml:space="preserve"> HYPERLINK \l "_Toc21629" </w:instrText>
      </w:r>
      <w:r>
        <w:fldChar w:fldCharType="separate"/>
      </w:r>
      <w:r>
        <w:rPr>
          <w:rFonts w:hint="eastAsia" w:ascii="宋体" w:hAnsi="宋体" w:cs="宋体"/>
          <w:bCs/>
          <w:szCs w:val="21"/>
        </w:rPr>
        <w:t>26.成交的通知</w:t>
      </w:r>
      <w:r>
        <w:tab/>
      </w:r>
      <w:r>
        <w:fldChar w:fldCharType="begin"/>
      </w:r>
      <w:r>
        <w:instrText xml:space="preserve"> PAGEREF _Toc21629 \h </w:instrText>
      </w:r>
      <w:r>
        <w:fldChar w:fldCharType="separate"/>
      </w:r>
      <w:r>
        <w:t>16</w:t>
      </w:r>
      <w:r>
        <w:fldChar w:fldCharType="end"/>
      </w:r>
      <w:r>
        <w:fldChar w:fldCharType="end"/>
      </w:r>
    </w:p>
    <w:p>
      <w:pPr>
        <w:pStyle w:val="25"/>
        <w:tabs>
          <w:tab w:val="right" w:leader="dot" w:pos="9638"/>
        </w:tabs>
      </w:pPr>
      <w:r>
        <w:fldChar w:fldCharType="begin"/>
      </w:r>
      <w:r>
        <w:instrText xml:space="preserve"> HYPERLINK \l "_Toc16111" </w:instrText>
      </w:r>
      <w:r>
        <w:fldChar w:fldCharType="separate"/>
      </w:r>
      <w:r>
        <w:rPr>
          <w:rFonts w:hint="eastAsia" w:ascii="宋体" w:hAnsi="宋体" w:cs="宋体"/>
          <w:bCs/>
          <w:szCs w:val="21"/>
        </w:rPr>
        <w:t>27.签订合同</w:t>
      </w:r>
      <w:r>
        <w:tab/>
      </w:r>
      <w:r>
        <w:fldChar w:fldCharType="begin"/>
      </w:r>
      <w:r>
        <w:instrText xml:space="preserve"> PAGEREF _Toc16111 \h </w:instrText>
      </w:r>
      <w:r>
        <w:fldChar w:fldCharType="separate"/>
      </w:r>
      <w:r>
        <w:t>16</w:t>
      </w:r>
      <w:r>
        <w:fldChar w:fldCharType="end"/>
      </w:r>
      <w:r>
        <w:fldChar w:fldCharType="end"/>
      </w:r>
    </w:p>
    <w:p>
      <w:pPr>
        <w:pStyle w:val="42"/>
        <w:tabs>
          <w:tab w:val="right" w:leader="dot" w:pos="9638"/>
        </w:tabs>
      </w:pPr>
      <w:r>
        <w:fldChar w:fldCharType="begin"/>
      </w:r>
      <w:r>
        <w:instrText xml:space="preserve"> HYPERLINK \l "_Toc8861" </w:instrText>
      </w:r>
      <w:r>
        <w:fldChar w:fldCharType="separate"/>
      </w:r>
      <w:r>
        <w:rPr>
          <w:rFonts w:hint="eastAsia" w:ascii="宋体" w:hAnsi="宋体" w:cs="宋体"/>
          <w:bCs/>
          <w:szCs w:val="21"/>
        </w:rPr>
        <w:t>七、质疑</w:t>
      </w:r>
      <w:r>
        <w:tab/>
      </w:r>
      <w:r>
        <w:fldChar w:fldCharType="begin"/>
      </w:r>
      <w:r>
        <w:instrText xml:space="preserve"> PAGEREF _Toc8861 \h </w:instrText>
      </w:r>
      <w:r>
        <w:fldChar w:fldCharType="separate"/>
      </w:r>
      <w:r>
        <w:t>17</w:t>
      </w:r>
      <w:r>
        <w:fldChar w:fldCharType="end"/>
      </w:r>
      <w:r>
        <w:fldChar w:fldCharType="end"/>
      </w:r>
    </w:p>
    <w:p>
      <w:pPr>
        <w:pStyle w:val="25"/>
        <w:tabs>
          <w:tab w:val="right" w:leader="dot" w:pos="9638"/>
        </w:tabs>
      </w:pPr>
      <w:r>
        <w:fldChar w:fldCharType="begin"/>
      </w:r>
      <w:r>
        <w:instrText xml:space="preserve"> HYPERLINK \l "_Toc25206" </w:instrText>
      </w:r>
      <w:r>
        <w:fldChar w:fldCharType="separate"/>
      </w:r>
      <w:r>
        <w:rPr>
          <w:rFonts w:hint="eastAsia" w:ascii="宋体" w:hAnsi="宋体" w:cs="宋体"/>
          <w:bCs/>
          <w:szCs w:val="21"/>
        </w:rPr>
        <w:t>29.质疑</w:t>
      </w:r>
      <w:r>
        <w:tab/>
      </w:r>
      <w:r>
        <w:fldChar w:fldCharType="begin"/>
      </w:r>
      <w:r>
        <w:instrText xml:space="preserve"> PAGEREF _Toc25206 \h </w:instrText>
      </w:r>
      <w:r>
        <w:fldChar w:fldCharType="separate"/>
      </w:r>
      <w:r>
        <w:t>17</w:t>
      </w:r>
      <w:r>
        <w:fldChar w:fldCharType="end"/>
      </w:r>
      <w:r>
        <w:fldChar w:fldCharType="end"/>
      </w:r>
    </w:p>
    <w:p>
      <w:pPr>
        <w:pStyle w:val="35"/>
        <w:tabs>
          <w:tab w:val="right" w:leader="dot" w:pos="9638"/>
        </w:tabs>
      </w:pPr>
      <w:r>
        <w:fldChar w:fldCharType="begin"/>
      </w:r>
      <w:r>
        <w:instrText xml:space="preserve"> HYPERLINK \l "_Toc9840" </w:instrText>
      </w:r>
      <w:r>
        <w:fldChar w:fldCharType="separate"/>
      </w:r>
      <w:r>
        <w:rPr>
          <w:rFonts w:hint="eastAsia" w:ascii="宋体" w:hAnsi="宋体" w:cs="宋体"/>
          <w:szCs w:val="28"/>
        </w:rPr>
        <w:t>第三章 评分标准</w:t>
      </w:r>
      <w:r>
        <w:tab/>
      </w:r>
      <w:r>
        <w:fldChar w:fldCharType="begin"/>
      </w:r>
      <w:r>
        <w:instrText xml:space="preserve"> PAGEREF _Toc9840 \h </w:instrText>
      </w:r>
      <w:r>
        <w:fldChar w:fldCharType="separate"/>
      </w:r>
      <w:r>
        <w:t>18</w:t>
      </w:r>
      <w:r>
        <w:fldChar w:fldCharType="end"/>
      </w:r>
      <w:r>
        <w:fldChar w:fldCharType="end"/>
      </w:r>
    </w:p>
    <w:p>
      <w:pPr>
        <w:pStyle w:val="35"/>
        <w:tabs>
          <w:tab w:val="right" w:leader="dot" w:pos="9638"/>
        </w:tabs>
      </w:pPr>
      <w:r>
        <w:fldChar w:fldCharType="begin"/>
      </w:r>
      <w:r>
        <w:instrText xml:space="preserve"> HYPERLINK \l "_Toc17249" </w:instrText>
      </w:r>
      <w:r>
        <w:fldChar w:fldCharType="separate"/>
      </w:r>
      <w:r>
        <w:rPr>
          <w:rFonts w:hint="eastAsia" w:ascii="宋体" w:hAnsi="宋体" w:cs="宋体"/>
          <w:szCs w:val="28"/>
        </w:rPr>
        <w:t>第四章 采购技术规格及要求</w:t>
      </w:r>
      <w:r>
        <w:tab/>
      </w:r>
      <w:r>
        <w:fldChar w:fldCharType="begin"/>
      </w:r>
      <w:r>
        <w:instrText xml:space="preserve"> PAGEREF _Toc17249 \h </w:instrText>
      </w:r>
      <w:r>
        <w:fldChar w:fldCharType="separate"/>
      </w:r>
      <w:r>
        <w:t>22</w:t>
      </w:r>
      <w:r>
        <w:fldChar w:fldCharType="end"/>
      </w:r>
      <w:r>
        <w:fldChar w:fldCharType="end"/>
      </w:r>
    </w:p>
    <w:p>
      <w:pPr>
        <w:pStyle w:val="35"/>
        <w:tabs>
          <w:tab w:val="right" w:leader="dot" w:pos="9638"/>
        </w:tabs>
      </w:pPr>
      <w:r>
        <w:fldChar w:fldCharType="begin"/>
      </w:r>
      <w:r>
        <w:instrText xml:space="preserve"> HYPERLINK \l "_Toc6052" </w:instrText>
      </w:r>
      <w:r>
        <w:fldChar w:fldCharType="separate"/>
      </w:r>
      <w:r>
        <w:rPr>
          <w:szCs w:val="28"/>
        </w:rPr>
        <w:t>第五章 拟签订的合同文本</w:t>
      </w:r>
      <w:r>
        <w:tab/>
      </w:r>
      <w:r>
        <w:fldChar w:fldCharType="begin"/>
      </w:r>
      <w:r>
        <w:instrText xml:space="preserve"> PAGEREF _Toc6052 \h </w:instrText>
      </w:r>
      <w:r>
        <w:fldChar w:fldCharType="separate"/>
      </w:r>
      <w:r>
        <w:t>54</w:t>
      </w:r>
      <w:r>
        <w:fldChar w:fldCharType="end"/>
      </w:r>
      <w:r>
        <w:fldChar w:fldCharType="end"/>
      </w:r>
    </w:p>
    <w:p>
      <w:pPr>
        <w:pStyle w:val="35"/>
        <w:tabs>
          <w:tab w:val="right" w:leader="dot" w:pos="9638"/>
        </w:tabs>
      </w:pPr>
      <w:r>
        <w:fldChar w:fldCharType="begin"/>
      </w:r>
      <w:r>
        <w:instrText xml:space="preserve"> HYPERLINK \l "_Toc10375" </w:instrText>
      </w:r>
      <w:r>
        <w:fldChar w:fldCharType="separate"/>
      </w:r>
      <w:r>
        <w:rPr>
          <w:rFonts w:ascii="Arial" w:hAnsi="Arial" w:cs="Arial"/>
          <w:szCs w:val="24"/>
        </w:rPr>
        <w:t>第六章 响应文件格式及附件</w:t>
      </w:r>
      <w:r>
        <w:tab/>
      </w:r>
      <w:r>
        <w:fldChar w:fldCharType="begin"/>
      </w:r>
      <w:r>
        <w:instrText xml:space="preserve"> PAGEREF _Toc10375 \h </w:instrText>
      </w:r>
      <w:r>
        <w:fldChar w:fldCharType="separate"/>
      </w:r>
      <w:r>
        <w:t>57</w:t>
      </w:r>
      <w:r>
        <w:fldChar w:fldCharType="end"/>
      </w:r>
      <w:r>
        <w:fldChar w:fldCharType="end"/>
      </w:r>
    </w:p>
    <w:p>
      <w:pPr>
        <w:pStyle w:val="42"/>
        <w:tabs>
          <w:tab w:val="right" w:leader="dot" w:pos="9638"/>
        </w:tabs>
      </w:pPr>
      <w:r>
        <w:fldChar w:fldCharType="begin"/>
      </w:r>
      <w:r>
        <w:instrText xml:space="preserve"> HYPERLINK \l "_Toc24587" </w:instrText>
      </w:r>
      <w:r>
        <w:fldChar w:fldCharType="separate"/>
      </w:r>
      <w:r>
        <w:rPr>
          <w:szCs w:val="24"/>
        </w:rPr>
        <w:t>资格审查索引表</w:t>
      </w:r>
      <w:r>
        <w:tab/>
      </w:r>
      <w:r>
        <w:fldChar w:fldCharType="begin"/>
      </w:r>
      <w:r>
        <w:instrText xml:space="preserve"> PAGEREF _Toc24587 \h </w:instrText>
      </w:r>
      <w:r>
        <w:fldChar w:fldCharType="separate"/>
      </w:r>
      <w:r>
        <w:t>59</w:t>
      </w:r>
      <w:r>
        <w:fldChar w:fldCharType="end"/>
      </w:r>
      <w:r>
        <w:fldChar w:fldCharType="end"/>
      </w:r>
    </w:p>
    <w:p>
      <w:pPr>
        <w:pStyle w:val="42"/>
        <w:tabs>
          <w:tab w:val="right" w:leader="dot" w:pos="9638"/>
        </w:tabs>
      </w:pPr>
      <w:r>
        <w:fldChar w:fldCharType="begin"/>
      </w:r>
      <w:r>
        <w:instrText xml:space="preserve"> HYPERLINK \l "_Toc355" </w:instrText>
      </w:r>
      <w:r>
        <w:fldChar w:fldCharType="separate"/>
      </w:r>
      <w:r>
        <w:rPr>
          <w:szCs w:val="24"/>
        </w:rPr>
        <w:t>评审索引表</w:t>
      </w:r>
      <w:r>
        <w:tab/>
      </w:r>
      <w:r>
        <w:fldChar w:fldCharType="begin"/>
      </w:r>
      <w:r>
        <w:instrText xml:space="preserve"> PAGEREF _Toc355 \h </w:instrText>
      </w:r>
      <w:r>
        <w:fldChar w:fldCharType="separate"/>
      </w:r>
      <w:r>
        <w:t>60</w:t>
      </w:r>
      <w:r>
        <w:fldChar w:fldCharType="end"/>
      </w:r>
      <w:r>
        <w:fldChar w:fldCharType="end"/>
      </w:r>
    </w:p>
    <w:p>
      <w:pPr>
        <w:pStyle w:val="42"/>
        <w:tabs>
          <w:tab w:val="right" w:leader="dot" w:pos="9638"/>
        </w:tabs>
      </w:pPr>
      <w:r>
        <w:fldChar w:fldCharType="begin"/>
      </w:r>
      <w:r>
        <w:instrText xml:space="preserve"> HYPERLINK \l "_Toc29282" </w:instrText>
      </w:r>
      <w:r>
        <w:fldChar w:fldCharType="separate"/>
      </w:r>
      <w:r>
        <w:rPr>
          <w:rFonts w:hint="eastAsia" w:ascii="宋体" w:hAnsi="宋体" w:cs="宋体"/>
          <w:bCs/>
        </w:rPr>
        <w:t xml:space="preserve">附件一 </w:t>
      </w:r>
      <w:r>
        <w:rPr>
          <w:rFonts w:hint="eastAsia"/>
          <w:bCs/>
          <w:szCs w:val="22"/>
        </w:rPr>
        <w:t>磋商申请及申明</w:t>
      </w:r>
      <w:r>
        <w:tab/>
      </w:r>
      <w:r>
        <w:fldChar w:fldCharType="begin"/>
      </w:r>
      <w:r>
        <w:instrText xml:space="preserve"> PAGEREF _Toc29282 \h </w:instrText>
      </w:r>
      <w:r>
        <w:fldChar w:fldCharType="separate"/>
      </w:r>
      <w:r>
        <w:t>61</w:t>
      </w:r>
      <w:r>
        <w:fldChar w:fldCharType="end"/>
      </w:r>
      <w:r>
        <w:fldChar w:fldCharType="end"/>
      </w:r>
    </w:p>
    <w:p>
      <w:pPr>
        <w:pStyle w:val="42"/>
        <w:tabs>
          <w:tab w:val="right" w:leader="dot" w:pos="9638"/>
        </w:tabs>
      </w:pPr>
      <w:r>
        <w:fldChar w:fldCharType="begin"/>
      </w:r>
      <w:r>
        <w:instrText xml:space="preserve"> HYPERLINK \l "_Toc23108" </w:instrText>
      </w:r>
      <w:r>
        <w:fldChar w:fldCharType="separate"/>
      </w:r>
      <w:r>
        <w:rPr>
          <w:rFonts w:hint="eastAsia" w:ascii="宋体" w:hAnsi="宋体" w:cs="宋体"/>
          <w:bCs/>
          <w:szCs w:val="22"/>
        </w:rPr>
        <w:t>附件二 响应一览表</w:t>
      </w:r>
      <w:r>
        <w:tab/>
      </w:r>
      <w:r>
        <w:fldChar w:fldCharType="begin"/>
      </w:r>
      <w:r>
        <w:instrText xml:space="preserve"> PAGEREF _Toc23108 \h </w:instrText>
      </w:r>
      <w:r>
        <w:fldChar w:fldCharType="separate"/>
      </w:r>
      <w:r>
        <w:t>62</w:t>
      </w:r>
      <w:r>
        <w:fldChar w:fldCharType="end"/>
      </w:r>
      <w:r>
        <w:fldChar w:fldCharType="end"/>
      </w:r>
    </w:p>
    <w:p>
      <w:pPr>
        <w:pStyle w:val="42"/>
        <w:tabs>
          <w:tab w:val="right" w:leader="dot" w:pos="9638"/>
        </w:tabs>
      </w:pPr>
      <w:r>
        <w:fldChar w:fldCharType="begin"/>
      </w:r>
      <w:r>
        <w:instrText xml:space="preserve"> HYPERLINK \l "_Toc1072" </w:instrText>
      </w:r>
      <w:r>
        <w:fldChar w:fldCharType="separate"/>
      </w:r>
      <w:r>
        <w:rPr>
          <w:rFonts w:hint="eastAsia" w:ascii="宋体" w:hAnsi="宋体" w:cs="宋体"/>
          <w:bCs/>
          <w:szCs w:val="22"/>
        </w:rPr>
        <w:t>附件三 分项报价表</w:t>
      </w:r>
      <w:r>
        <w:tab/>
      </w:r>
      <w:r>
        <w:fldChar w:fldCharType="begin"/>
      </w:r>
      <w:r>
        <w:instrText xml:space="preserve"> PAGEREF _Toc1072 \h </w:instrText>
      </w:r>
      <w:r>
        <w:fldChar w:fldCharType="separate"/>
      </w:r>
      <w:r>
        <w:t>63</w:t>
      </w:r>
      <w:r>
        <w:fldChar w:fldCharType="end"/>
      </w:r>
      <w:r>
        <w:fldChar w:fldCharType="end"/>
      </w:r>
    </w:p>
    <w:p>
      <w:pPr>
        <w:pStyle w:val="42"/>
        <w:tabs>
          <w:tab w:val="right" w:leader="dot" w:pos="9638"/>
        </w:tabs>
      </w:pPr>
      <w:r>
        <w:fldChar w:fldCharType="begin"/>
      </w:r>
      <w:r>
        <w:instrText xml:space="preserve"> HYPERLINK \l "_Toc27427" </w:instrText>
      </w:r>
      <w:r>
        <w:fldChar w:fldCharType="separate"/>
      </w:r>
      <w:r>
        <w:rPr>
          <w:rFonts w:hint="eastAsia" w:ascii="宋体" w:hAnsi="宋体" w:cs="宋体"/>
          <w:bCs/>
          <w:szCs w:val="22"/>
        </w:rPr>
        <w:t>附件四 商务条款偏离表</w:t>
      </w:r>
      <w:r>
        <w:tab/>
      </w:r>
      <w:r>
        <w:fldChar w:fldCharType="begin"/>
      </w:r>
      <w:r>
        <w:instrText xml:space="preserve"> PAGEREF _Toc27427 \h </w:instrText>
      </w:r>
      <w:r>
        <w:fldChar w:fldCharType="separate"/>
      </w:r>
      <w:r>
        <w:t>64</w:t>
      </w:r>
      <w:r>
        <w:fldChar w:fldCharType="end"/>
      </w:r>
      <w:r>
        <w:fldChar w:fldCharType="end"/>
      </w:r>
    </w:p>
    <w:p>
      <w:pPr>
        <w:pStyle w:val="42"/>
        <w:tabs>
          <w:tab w:val="right" w:leader="dot" w:pos="9638"/>
        </w:tabs>
      </w:pPr>
      <w:r>
        <w:fldChar w:fldCharType="begin"/>
      </w:r>
      <w:r>
        <w:instrText xml:space="preserve"> HYPERLINK \l "_Toc11227" </w:instrText>
      </w:r>
      <w:r>
        <w:fldChar w:fldCharType="separate"/>
      </w:r>
      <w:r>
        <w:rPr>
          <w:rFonts w:hint="eastAsia" w:ascii="宋体" w:hAnsi="宋体" w:cs="宋体"/>
          <w:bCs/>
          <w:szCs w:val="22"/>
        </w:rPr>
        <w:t>附件五 技术条款偏离表</w:t>
      </w:r>
      <w:r>
        <w:tab/>
      </w:r>
      <w:r>
        <w:fldChar w:fldCharType="begin"/>
      </w:r>
      <w:r>
        <w:instrText xml:space="preserve"> PAGEREF _Toc11227 \h </w:instrText>
      </w:r>
      <w:r>
        <w:fldChar w:fldCharType="separate"/>
      </w:r>
      <w:r>
        <w:t>65</w:t>
      </w:r>
      <w:r>
        <w:fldChar w:fldCharType="end"/>
      </w:r>
      <w:r>
        <w:fldChar w:fldCharType="end"/>
      </w:r>
    </w:p>
    <w:p>
      <w:pPr>
        <w:pStyle w:val="42"/>
        <w:tabs>
          <w:tab w:val="right" w:leader="dot" w:pos="9638"/>
        </w:tabs>
      </w:pPr>
      <w:r>
        <w:fldChar w:fldCharType="begin"/>
      </w:r>
      <w:r>
        <w:instrText xml:space="preserve"> HYPERLINK \l "_Toc24049" </w:instrText>
      </w:r>
      <w:r>
        <w:fldChar w:fldCharType="separate"/>
      </w:r>
      <w:r>
        <w:rPr>
          <w:bCs/>
          <w:szCs w:val="22"/>
        </w:rPr>
        <w:t>附件六 政府采购政策</w:t>
      </w:r>
      <w:r>
        <w:tab/>
      </w:r>
      <w:r>
        <w:fldChar w:fldCharType="begin"/>
      </w:r>
      <w:r>
        <w:instrText xml:space="preserve"> PAGEREF _Toc24049 \h </w:instrText>
      </w:r>
      <w:r>
        <w:fldChar w:fldCharType="separate"/>
      </w:r>
      <w:r>
        <w:t>66</w:t>
      </w:r>
      <w:r>
        <w:fldChar w:fldCharType="end"/>
      </w:r>
      <w:r>
        <w:fldChar w:fldCharType="end"/>
      </w:r>
    </w:p>
    <w:p>
      <w:pPr>
        <w:pStyle w:val="42"/>
        <w:tabs>
          <w:tab w:val="right" w:leader="dot" w:pos="9638"/>
        </w:tabs>
      </w:pPr>
      <w:r>
        <w:fldChar w:fldCharType="begin"/>
      </w:r>
      <w:r>
        <w:instrText xml:space="preserve"> HYPERLINK \l "_Toc11298" </w:instrText>
      </w:r>
      <w:r>
        <w:fldChar w:fldCharType="separate"/>
      </w:r>
      <w:r>
        <w:rPr>
          <w:bCs/>
          <w:szCs w:val="22"/>
          <w:lang w:val="zh-CN"/>
        </w:rPr>
        <w:t>附件</w:t>
      </w:r>
      <w:r>
        <w:rPr>
          <w:bCs/>
          <w:szCs w:val="22"/>
        </w:rPr>
        <w:t xml:space="preserve">七 </w:t>
      </w:r>
      <w:r>
        <w:rPr>
          <w:bCs/>
          <w:szCs w:val="22"/>
          <w:lang w:val="zh-CN"/>
        </w:rPr>
        <w:t>供应商基本情况表</w:t>
      </w:r>
      <w:r>
        <w:tab/>
      </w:r>
      <w:r>
        <w:fldChar w:fldCharType="begin"/>
      </w:r>
      <w:r>
        <w:instrText xml:space="preserve"> PAGEREF _Toc11298 \h </w:instrText>
      </w:r>
      <w:r>
        <w:fldChar w:fldCharType="separate"/>
      </w:r>
      <w:r>
        <w:t>70</w:t>
      </w:r>
      <w:r>
        <w:fldChar w:fldCharType="end"/>
      </w:r>
      <w:r>
        <w:fldChar w:fldCharType="end"/>
      </w:r>
    </w:p>
    <w:p>
      <w:pPr>
        <w:pStyle w:val="42"/>
        <w:tabs>
          <w:tab w:val="right" w:leader="dot" w:pos="9638"/>
        </w:tabs>
      </w:pPr>
      <w:r>
        <w:fldChar w:fldCharType="begin"/>
      </w:r>
      <w:r>
        <w:instrText xml:space="preserve"> HYPERLINK \l "_Toc4258" </w:instrText>
      </w:r>
      <w:r>
        <w:fldChar w:fldCharType="separate"/>
      </w:r>
      <w:r>
        <w:rPr>
          <w:rFonts w:hint="eastAsia" w:ascii="宋体" w:hAnsi="宋体" w:cs="宋体"/>
          <w:bCs/>
          <w:szCs w:val="22"/>
          <w:lang w:val="zh-CN"/>
        </w:rPr>
        <w:t>附件</w:t>
      </w:r>
      <w:r>
        <w:rPr>
          <w:rFonts w:hint="eastAsia" w:ascii="宋体" w:hAnsi="宋体" w:cs="宋体"/>
          <w:bCs/>
          <w:szCs w:val="22"/>
        </w:rPr>
        <w:t xml:space="preserve">七 </w:t>
      </w:r>
      <w:r>
        <w:rPr>
          <w:rFonts w:hint="eastAsia" w:ascii="宋体" w:hAnsi="宋体" w:cs="宋体"/>
          <w:bCs/>
          <w:szCs w:val="22"/>
          <w:lang w:val="zh-CN"/>
        </w:rPr>
        <w:t>供应商情况告知表</w:t>
      </w:r>
      <w:r>
        <w:rPr>
          <w:rFonts w:hint="eastAsia" w:ascii="宋体" w:hAnsi="宋体" w:cs="宋体"/>
          <w:bCs/>
          <w:szCs w:val="22"/>
        </w:rPr>
        <w:t>—附表</w:t>
      </w:r>
      <w:r>
        <w:tab/>
      </w:r>
      <w:r>
        <w:fldChar w:fldCharType="begin"/>
      </w:r>
      <w:r>
        <w:instrText xml:space="preserve"> PAGEREF _Toc4258 \h </w:instrText>
      </w:r>
      <w:r>
        <w:fldChar w:fldCharType="separate"/>
      </w:r>
      <w:r>
        <w:t>71</w:t>
      </w:r>
      <w:r>
        <w:fldChar w:fldCharType="end"/>
      </w:r>
      <w:r>
        <w:fldChar w:fldCharType="end"/>
      </w:r>
    </w:p>
    <w:p>
      <w:pPr>
        <w:pStyle w:val="42"/>
        <w:tabs>
          <w:tab w:val="right" w:leader="dot" w:pos="9638"/>
        </w:tabs>
      </w:pPr>
      <w:r>
        <w:fldChar w:fldCharType="begin"/>
      </w:r>
      <w:r>
        <w:instrText xml:space="preserve"> HYPERLINK \l "_Toc16537" </w:instrText>
      </w:r>
      <w:r>
        <w:fldChar w:fldCharType="separate"/>
      </w:r>
      <w:r>
        <w:rPr>
          <w:rFonts w:hint="eastAsia" w:ascii="宋体" w:hAnsi="宋体" w:cs="宋体"/>
          <w:bCs/>
          <w:szCs w:val="22"/>
          <w:lang w:val="zh-CN"/>
        </w:rPr>
        <w:t>附件</w:t>
      </w:r>
      <w:r>
        <w:rPr>
          <w:rFonts w:hint="eastAsia" w:ascii="宋体" w:hAnsi="宋体" w:cs="宋体"/>
          <w:bCs/>
          <w:szCs w:val="22"/>
        </w:rPr>
        <w:t>八</w:t>
      </w:r>
      <w:r>
        <w:rPr>
          <w:rFonts w:hint="eastAsia" w:ascii="宋体" w:hAnsi="宋体" w:cs="宋体"/>
          <w:bCs/>
          <w:szCs w:val="22"/>
          <w:lang w:val="zh-CN"/>
        </w:rPr>
        <w:t xml:space="preserve"> 资格证明文件</w:t>
      </w:r>
      <w:r>
        <w:tab/>
      </w:r>
      <w:r>
        <w:fldChar w:fldCharType="begin"/>
      </w:r>
      <w:r>
        <w:instrText xml:space="preserve"> PAGEREF _Toc16537 \h </w:instrText>
      </w:r>
      <w:r>
        <w:fldChar w:fldCharType="separate"/>
      </w:r>
      <w:r>
        <w:t>73</w:t>
      </w:r>
      <w:r>
        <w:fldChar w:fldCharType="end"/>
      </w:r>
      <w:r>
        <w:fldChar w:fldCharType="end"/>
      </w:r>
    </w:p>
    <w:p>
      <w:pPr>
        <w:pStyle w:val="42"/>
        <w:tabs>
          <w:tab w:val="right" w:leader="dot" w:pos="9638"/>
        </w:tabs>
      </w:pPr>
      <w:r>
        <w:fldChar w:fldCharType="begin"/>
      </w:r>
      <w:r>
        <w:instrText xml:space="preserve"> HYPERLINK \l "_Toc30783" </w:instrText>
      </w:r>
      <w:r>
        <w:fldChar w:fldCharType="separate"/>
      </w:r>
      <w:r>
        <w:rPr>
          <w:rFonts w:ascii="Arial" w:hAnsi="Arial" w:cs="Arial"/>
          <w:bCs/>
          <w:szCs w:val="22"/>
          <w:lang w:val="zh-CN"/>
        </w:rPr>
        <w:t>附件</w:t>
      </w:r>
      <w:r>
        <w:rPr>
          <w:rFonts w:hint="eastAsia" w:ascii="Arial" w:hAnsi="Arial" w:cs="Arial"/>
          <w:bCs/>
          <w:szCs w:val="22"/>
        </w:rPr>
        <w:t>九</w:t>
      </w:r>
      <w:r>
        <w:rPr>
          <w:rFonts w:ascii="Arial" w:hAnsi="Arial" w:cs="Arial"/>
          <w:bCs/>
          <w:szCs w:val="22"/>
        </w:rPr>
        <w:t xml:space="preserve"> </w:t>
      </w:r>
      <w:r>
        <w:rPr>
          <w:rFonts w:ascii="Arial" w:hAnsi="Arial" w:cs="Arial"/>
          <w:bCs/>
          <w:szCs w:val="22"/>
          <w:lang w:val="zh-CN"/>
        </w:rPr>
        <w:t>供应商认为应提供的其他材料</w:t>
      </w:r>
      <w:r>
        <w:tab/>
      </w:r>
      <w:r>
        <w:fldChar w:fldCharType="begin"/>
      </w:r>
      <w:r>
        <w:instrText xml:space="preserve"> PAGEREF _Toc30783 \h </w:instrText>
      </w:r>
      <w:r>
        <w:fldChar w:fldCharType="separate"/>
      </w:r>
      <w:r>
        <w:t>82</w:t>
      </w:r>
      <w:r>
        <w:fldChar w:fldCharType="end"/>
      </w:r>
      <w:r>
        <w:fldChar w:fldCharType="end"/>
      </w:r>
    </w:p>
    <w:p>
      <w:pPr>
        <w:pStyle w:val="42"/>
        <w:tabs>
          <w:tab w:val="right" w:leader="dot" w:pos="9638"/>
        </w:tabs>
      </w:pPr>
      <w:r>
        <w:fldChar w:fldCharType="begin"/>
      </w:r>
      <w:r>
        <w:instrText xml:space="preserve"> HYPERLINK \l "_Toc6879" </w:instrText>
      </w:r>
      <w:r>
        <w:fldChar w:fldCharType="separate"/>
      </w:r>
      <w:r>
        <w:rPr>
          <w:bCs/>
          <w:szCs w:val="22"/>
        </w:rPr>
        <w:t>附件</w:t>
      </w:r>
      <w:r>
        <w:rPr>
          <w:rFonts w:hint="eastAsia"/>
          <w:bCs/>
          <w:szCs w:val="22"/>
        </w:rPr>
        <w:t>十</w:t>
      </w:r>
      <w:r>
        <w:rPr>
          <w:bCs/>
          <w:szCs w:val="22"/>
        </w:rPr>
        <w:t>评标标准中承诺函格式</w:t>
      </w:r>
      <w:r>
        <w:tab/>
      </w:r>
      <w:r>
        <w:fldChar w:fldCharType="begin"/>
      </w:r>
      <w:r>
        <w:instrText xml:space="preserve"> PAGEREF _Toc6879 \h </w:instrText>
      </w:r>
      <w:r>
        <w:fldChar w:fldCharType="separate"/>
      </w:r>
      <w:r>
        <w:t>83</w:t>
      </w:r>
      <w:r>
        <w:fldChar w:fldCharType="end"/>
      </w:r>
      <w:r>
        <w:fldChar w:fldCharType="end"/>
      </w:r>
    </w:p>
    <w:p>
      <w:pPr>
        <w:spacing w:line="440" w:lineRule="exact"/>
        <w:rPr>
          <w:rFonts w:hint="eastAsia" w:ascii="宋体" w:hAnsi="宋体" w:cs="宋体"/>
          <w:b/>
          <w:sz w:val="32"/>
        </w:rPr>
        <w:sectPr>
          <w:footerReference r:id="rId9" w:type="first"/>
          <w:headerReference r:id="rId7" w:type="default"/>
          <w:footerReference r:id="rId8" w:type="default"/>
          <w:pgSz w:w="11906" w:h="16838"/>
          <w:pgMar w:top="1134" w:right="1134" w:bottom="1134" w:left="1134" w:header="851" w:footer="992" w:gutter="0"/>
          <w:pgNumType w:start="1"/>
          <w:cols w:space="720" w:num="1"/>
          <w:docGrid w:linePitch="360" w:charSpace="0"/>
        </w:sectPr>
      </w:pPr>
      <w:r>
        <w:rPr>
          <w:rFonts w:hint="eastAsia" w:ascii="宋体" w:hAnsi="宋体" w:cs="宋体"/>
          <w:bCs/>
          <w:szCs w:val="21"/>
        </w:rPr>
        <w:fldChar w:fldCharType="end"/>
      </w:r>
    </w:p>
    <w:p>
      <w:pPr>
        <w:spacing w:line="360" w:lineRule="auto"/>
        <w:jc w:val="center"/>
        <w:outlineLvl w:val="0"/>
        <w:rPr>
          <w:rFonts w:hint="eastAsia" w:ascii="宋体" w:hAnsi="宋体" w:cs="宋体"/>
          <w:b/>
          <w:sz w:val="28"/>
          <w:szCs w:val="28"/>
        </w:rPr>
      </w:pPr>
      <w:bookmarkStart w:id="0" w:name="_Toc1"/>
      <w:bookmarkStart w:id="1" w:name="_Toc13736"/>
      <w:r>
        <w:rPr>
          <w:rFonts w:hint="eastAsia" w:ascii="宋体" w:hAnsi="宋体" w:cs="宋体"/>
          <w:b/>
          <w:sz w:val="28"/>
          <w:szCs w:val="28"/>
        </w:rPr>
        <w:t xml:space="preserve">第一章 </w:t>
      </w:r>
      <w:bookmarkEnd w:id="0"/>
      <w:r>
        <w:rPr>
          <w:rFonts w:ascii="Arial" w:hAnsi="Arial" w:eastAsia="黑体" w:cs="Arial"/>
          <w:b/>
          <w:sz w:val="28"/>
          <w:szCs w:val="28"/>
        </w:rPr>
        <w:t>竞争性磋商公告</w:t>
      </w:r>
      <w:bookmarkEnd w:id="1"/>
    </w:p>
    <w:p>
      <w:pPr>
        <w:pBdr>
          <w:top w:val="single" w:color="auto" w:sz="4" w:space="1"/>
          <w:left w:val="single" w:color="auto" w:sz="4" w:space="1"/>
          <w:bottom w:val="single" w:color="auto" w:sz="4" w:space="1"/>
          <w:right w:val="single" w:color="auto" w:sz="4" w:space="4"/>
        </w:pBdr>
        <w:spacing w:line="360" w:lineRule="auto"/>
        <w:ind w:firstLine="422"/>
        <w:rPr>
          <w:rFonts w:hint="eastAsia" w:ascii="宋体" w:hAnsi="宋体" w:cs="宋体"/>
          <w:b/>
          <w:bCs/>
          <w:szCs w:val="21"/>
        </w:rPr>
      </w:pPr>
      <w:r>
        <w:rPr>
          <w:rFonts w:hint="eastAsia" w:ascii="宋体" w:hAnsi="宋体" w:cs="宋体"/>
          <w:b/>
          <w:bCs/>
          <w:szCs w:val="21"/>
        </w:rPr>
        <w:t>项目概况</w:t>
      </w:r>
    </w:p>
    <w:p>
      <w:pPr>
        <w:pBdr>
          <w:top w:val="single" w:color="auto" w:sz="4" w:space="1"/>
          <w:left w:val="single" w:color="auto" w:sz="4" w:space="1"/>
          <w:bottom w:val="single" w:color="auto" w:sz="4" w:space="1"/>
          <w:right w:val="single" w:color="auto" w:sz="4" w:space="4"/>
        </w:pBdr>
        <w:spacing w:line="360" w:lineRule="auto"/>
        <w:ind w:firstLine="420"/>
        <w:rPr>
          <w:rFonts w:hint="eastAsia" w:ascii="宋体" w:hAnsi="宋体" w:cs="宋体"/>
          <w:bCs/>
          <w:szCs w:val="21"/>
        </w:rPr>
      </w:pPr>
      <w:r>
        <w:rPr>
          <w:rFonts w:hint="eastAsia" w:ascii="宋体" w:hAnsi="宋体" w:cs="宋体"/>
          <w:szCs w:val="21"/>
          <w:u w:val="single"/>
          <w:lang w:eastAsia="zh-CN"/>
        </w:rPr>
        <w:t>江苏省无线电监测站2026-2027年无线电管理信息专网设备和系统运维服务</w:t>
      </w:r>
      <w:r>
        <w:rPr>
          <w:rFonts w:hint="eastAsia" w:ascii="宋体" w:hAnsi="宋体" w:cs="宋体"/>
          <w:bCs/>
          <w:szCs w:val="21"/>
        </w:rPr>
        <w:t>的潜在供应商应在</w:t>
      </w:r>
      <w:r>
        <w:rPr>
          <w:rFonts w:hint="eastAsia" w:ascii="宋体" w:hAnsi="宋体" w:cs="宋体"/>
          <w:szCs w:val="21"/>
          <w:u w:val="single"/>
        </w:rPr>
        <w:t>“苏采云”系统内免费下载</w:t>
      </w:r>
      <w:r>
        <w:rPr>
          <w:rFonts w:hint="eastAsia" w:ascii="宋体" w:hAnsi="宋体" w:cs="宋体"/>
          <w:szCs w:val="21"/>
        </w:rPr>
        <w:t>采购文件，</w:t>
      </w:r>
      <w:r>
        <w:rPr>
          <w:rFonts w:hint="eastAsia" w:ascii="宋体" w:hAnsi="宋体" w:cs="宋体"/>
          <w:bCs/>
          <w:szCs w:val="21"/>
        </w:rPr>
        <w:t>并于</w:t>
      </w:r>
      <w:r>
        <w:rPr>
          <w:rFonts w:hint="eastAsia" w:ascii="宋体" w:hAnsi="宋体" w:cs="宋体"/>
          <w:bCs/>
          <w:szCs w:val="21"/>
          <w:u w:val="single"/>
        </w:rPr>
        <w:t>2026年</w:t>
      </w:r>
      <w:r>
        <w:rPr>
          <w:rFonts w:hint="eastAsia" w:ascii="宋体" w:hAnsi="宋体" w:cs="宋体"/>
          <w:bCs/>
          <w:szCs w:val="21"/>
          <w:u w:val="single"/>
          <w:lang w:val="en-US" w:eastAsia="zh-CN"/>
        </w:rPr>
        <w:t>9</w:t>
      </w:r>
      <w:r>
        <w:rPr>
          <w:rFonts w:hint="eastAsia" w:ascii="宋体" w:hAnsi="宋体" w:cs="宋体"/>
          <w:bCs/>
          <w:szCs w:val="21"/>
          <w:u w:val="single"/>
        </w:rPr>
        <w:t>月</w:t>
      </w:r>
      <w:r>
        <w:rPr>
          <w:rFonts w:hint="eastAsia" w:ascii="宋体" w:hAnsi="宋体" w:cs="宋体"/>
          <w:bCs/>
          <w:szCs w:val="21"/>
          <w:u w:val="single"/>
          <w:lang w:val="en-US" w:eastAsia="zh-CN"/>
        </w:rPr>
        <w:t>21</w:t>
      </w:r>
      <w:r>
        <w:rPr>
          <w:rFonts w:hint="eastAsia" w:ascii="宋体" w:hAnsi="宋体" w:cs="宋体"/>
          <w:bCs/>
          <w:szCs w:val="21"/>
          <w:u w:val="single"/>
        </w:rPr>
        <w:t>日09点30分</w:t>
      </w:r>
      <w:r>
        <w:rPr>
          <w:rFonts w:hint="eastAsia" w:ascii="宋体" w:hAnsi="宋体" w:cs="宋体"/>
          <w:bCs/>
          <w:szCs w:val="21"/>
        </w:rPr>
        <w:t>（北京时间）前递交响应文件</w:t>
      </w:r>
      <w:r>
        <w:rPr>
          <w:rFonts w:hint="eastAsia" w:ascii="宋体" w:hAnsi="宋体" w:cs="宋体"/>
          <w:szCs w:val="21"/>
        </w:rPr>
        <w:t>。</w:t>
      </w:r>
    </w:p>
    <w:p>
      <w:pPr>
        <w:pStyle w:val="4"/>
        <w:spacing w:before="0" w:after="0" w:line="360" w:lineRule="auto"/>
        <w:ind w:firstLine="422"/>
        <w:rPr>
          <w:rFonts w:hint="eastAsia" w:ascii="宋体" w:hAnsi="宋体" w:eastAsia="宋体" w:cs="宋体"/>
          <w:bCs w:val="0"/>
          <w:sz w:val="21"/>
          <w:szCs w:val="21"/>
        </w:rPr>
      </w:pPr>
      <w:bookmarkStart w:id="2" w:name="_Toc16937"/>
      <w:bookmarkStart w:id="3" w:name="_Toc13154"/>
      <w:bookmarkStart w:id="4" w:name="_Toc28359012"/>
      <w:bookmarkStart w:id="5" w:name="_Toc25683"/>
      <w:bookmarkStart w:id="6" w:name="_Toc35393798"/>
      <w:bookmarkStart w:id="7" w:name="_Toc35393629"/>
      <w:bookmarkStart w:id="8" w:name="_Toc28359089"/>
      <w:r>
        <w:rPr>
          <w:rFonts w:hint="eastAsia" w:ascii="宋体" w:hAnsi="宋体" w:eastAsia="宋体" w:cs="宋体"/>
          <w:bCs w:val="0"/>
          <w:sz w:val="21"/>
          <w:szCs w:val="21"/>
        </w:rPr>
        <w:t>一、项目基本情况</w:t>
      </w:r>
      <w:bookmarkEnd w:id="2"/>
      <w:bookmarkEnd w:id="3"/>
      <w:bookmarkEnd w:id="4"/>
      <w:bookmarkEnd w:id="5"/>
      <w:bookmarkEnd w:id="6"/>
      <w:bookmarkEnd w:id="7"/>
      <w:bookmarkEnd w:id="8"/>
    </w:p>
    <w:p>
      <w:pPr>
        <w:spacing w:line="360" w:lineRule="auto"/>
        <w:ind w:firstLine="420"/>
        <w:rPr>
          <w:rFonts w:hint="eastAsia" w:ascii="宋体" w:hAnsi="宋体" w:cs="宋体"/>
          <w:szCs w:val="21"/>
        </w:rPr>
      </w:pPr>
      <w:bookmarkStart w:id="9" w:name="_Toc35393799"/>
      <w:bookmarkStart w:id="10" w:name="_Toc28359013"/>
      <w:bookmarkStart w:id="11" w:name="_Toc28359090"/>
      <w:bookmarkStart w:id="12" w:name="_Toc35393630"/>
      <w:r>
        <w:rPr>
          <w:rFonts w:hint="eastAsia" w:ascii="宋体" w:hAnsi="宋体" w:cs="宋体"/>
          <w:szCs w:val="21"/>
        </w:rPr>
        <w:t>1、项目编号：</w:t>
      </w:r>
      <w:r>
        <w:rPr>
          <w:rFonts w:hint="eastAsia" w:ascii="宋体" w:hAnsi="宋体" w:cs="宋体"/>
          <w:lang w:eastAsia="zh-CN"/>
        </w:rPr>
        <w:t>JSZC-320000-JSYC-C2026-0025</w:t>
      </w:r>
    </w:p>
    <w:p>
      <w:pPr>
        <w:spacing w:line="360" w:lineRule="auto"/>
        <w:ind w:firstLine="420"/>
        <w:rPr>
          <w:rFonts w:hint="eastAsia" w:ascii="宋体" w:hAnsi="宋体" w:eastAsia="宋体" w:cs="宋体"/>
          <w:lang w:eastAsia="zh-CN"/>
        </w:rPr>
      </w:pPr>
      <w:r>
        <w:rPr>
          <w:rFonts w:hint="eastAsia" w:ascii="宋体" w:hAnsi="宋体" w:cs="宋体"/>
          <w:szCs w:val="21"/>
        </w:rPr>
        <w:t>2、项目名称：</w:t>
      </w:r>
      <w:r>
        <w:rPr>
          <w:rFonts w:hint="eastAsia" w:ascii="宋体" w:hAnsi="宋体" w:cs="宋体"/>
          <w:lang w:eastAsia="zh-CN"/>
        </w:rPr>
        <w:t>江苏省无线电监测站2026-2027年无线电管理信息专网设备和系统运维服务</w:t>
      </w:r>
    </w:p>
    <w:p>
      <w:pPr>
        <w:spacing w:line="360" w:lineRule="auto"/>
        <w:ind w:firstLine="420"/>
        <w:rPr>
          <w:rFonts w:hint="eastAsia" w:ascii="宋体" w:hAnsi="宋体" w:cs="宋体"/>
          <w:szCs w:val="21"/>
        </w:rPr>
      </w:pPr>
      <w:r>
        <w:rPr>
          <w:rFonts w:hint="eastAsia" w:ascii="宋体" w:hAnsi="宋体" w:cs="宋体"/>
          <w:szCs w:val="21"/>
        </w:rPr>
        <w:t>3、采购方式：竞争性磋商</w:t>
      </w:r>
    </w:p>
    <w:p>
      <w:pPr>
        <w:spacing w:line="360" w:lineRule="auto"/>
        <w:ind w:firstLine="420"/>
        <w:rPr>
          <w:rFonts w:hint="eastAsia" w:ascii="宋体" w:hAnsi="宋体" w:cs="宋体"/>
          <w:szCs w:val="21"/>
        </w:rPr>
      </w:pPr>
      <w:r>
        <w:rPr>
          <w:rFonts w:hint="eastAsia" w:ascii="宋体" w:hAnsi="宋体" w:cs="宋体"/>
          <w:szCs w:val="21"/>
        </w:rPr>
        <w:t>4、预算金额：161万元</w:t>
      </w:r>
    </w:p>
    <w:p>
      <w:pPr>
        <w:spacing w:line="360" w:lineRule="auto"/>
        <w:ind w:firstLine="420"/>
        <w:rPr>
          <w:rFonts w:hint="eastAsia" w:ascii="宋体" w:hAnsi="宋体" w:cs="宋体"/>
          <w:szCs w:val="21"/>
        </w:rPr>
      </w:pPr>
      <w:r>
        <w:rPr>
          <w:rFonts w:hint="eastAsia" w:ascii="宋体" w:hAnsi="宋体" w:cs="宋体"/>
          <w:szCs w:val="21"/>
        </w:rPr>
        <w:t>5、最高限价：161万元，报价超过最高限价作无效响应处理。</w:t>
      </w:r>
    </w:p>
    <w:p>
      <w:pPr>
        <w:spacing w:line="360" w:lineRule="auto"/>
        <w:ind w:firstLine="420"/>
        <w:rPr>
          <w:rFonts w:hint="eastAsia" w:ascii="宋体" w:hAnsi="宋体" w:cs="宋体"/>
          <w:b/>
          <w:bCs/>
          <w:szCs w:val="21"/>
        </w:rPr>
      </w:pPr>
      <w:r>
        <w:rPr>
          <w:rFonts w:hint="eastAsia" w:ascii="宋体" w:hAnsi="宋体" w:cs="宋体"/>
          <w:szCs w:val="21"/>
        </w:rPr>
        <w:t>6、采购需求：</w:t>
      </w:r>
      <w:r>
        <w:rPr>
          <w:rFonts w:hint="eastAsia" w:ascii="宋体" w:hAnsi="宋体" w:cs="宋体"/>
          <w:szCs w:val="21"/>
          <w:lang w:eastAsia="zh-CN"/>
        </w:rPr>
        <w:t>江苏省无线电监测站2026-2027年无线电管理信息专网设备和系统运维服务</w:t>
      </w:r>
      <w:r>
        <w:rPr>
          <w:rFonts w:hint="eastAsia" w:ascii="宋体" w:hAnsi="宋体" w:cs="宋体"/>
          <w:szCs w:val="21"/>
        </w:rPr>
        <w:t>,具体要求详见磋商文件第四章。</w:t>
      </w:r>
    </w:p>
    <w:p>
      <w:pPr>
        <w:spacing w:line="360" w:lineRule="auto"/>
        <w:ind w:firstLine="420"/>
        <w:rPr>
          <w:rFonts w:hint="eastAsia" w:ascii="宋体" w:hAnsi="宋体" w:cs="宋体"/>
          <w:bCs/>
          <w:color w:val="000000"/>
          <w:szCs w:val="21"/>
        </w:rPr>
      </w:pPr>
      <w:r>
        <w:rPr>
          <w:rFonts w:hint="eastAsia" w:ascii="宋体" w:hAnsi="宋体" w:cs="宋体"/>
          <w:szCs w:val="21"/>
        </w:rPr>
        <w:t>7、合同履行期限：</w:t>
      </w:r>
      <w:bookmarkStart w:id="13" w:name="OLE_LINK9"/>
      <w:r>
        <w:rPr>
          <w:rFonts w:hint="eastAsia" w:ascii="宋体" w:hAnsi="宋体" w:cs="宋体"/>
          <w:szCs w:val="21"/>
        </w:rPr>
        <w:t>自合同签订之日起一年内</w:t>
      </w:r>
      <w:bookmarkEnd w:id="13"/>
    </w:p>
    <w:p>
      <w:pPr>
        <w:spacing w:line="360" w:lineRule="auto"/>
        <w:ind w:firstLine="420"/>
        <w:rPr>
          <w:rFonts w:hint="eastAsia" w:ascii="宋体" w:hAnsi="宋体" w:cs="宋体"/>
          <w:szCs w:val="21"/>
        </w:rPr>
      </w:pPr>
      <w:r>
        <w:rPr>
          <w:rFonts w:hint="eastAsia" w:ascii="宋体" w:hAnsi="宋体" w:cs="宋体"/>
          <w:szCs w:val="21"/>
        </w:rPr>
        <w:t>8、项目标的行业类别：软件和信息技术服务业</w:t>
      </w:r>
    </w:p>
    <w:p>
      <w:pPr>
        <w:spacing w:line="360" w:lineRule="auto"/>
        <w:ind w:firstLine="420"/>
        <w:rPr>
          <w:rFonts w:hint="eastAsia" w:ascii="宋体" w:hAnsi="宋体" w:cs="宋体"/>
          <w:color w:val="0000FF"/>
          <w:szCs w:val="21"/>
        </w:rPr>
      </w:pPr>
      <w:r>
        <w:rPr>
          <w:rFonts w:hint="eastAsia" w:ascii="宋体" w:hAnsi="宋体" w:cs="宋体"/>
          <w:szCs w:val="21"/>
        </w:rPr>
        <w:t>9、本项目（是/否）接受联合体投标：否</w:t>
      </w:r>
    </w:p>
    <w:p>
      <w:pPr>
        <w:pStyle w:val="4"/>
        <w:spacing w:before="0" w:after="0" w:line="360" w:lineRule="auto"/>
        <w:ind w:firstLine="422"/>
        <w:rPr>
          <w:rFonts w:hint="eastAsia" w:ascii="宋体" w:hAnsi="宋体" w:eastAsia="宋体" w:cs="宋体"/>
          <w:bCs w:val="0"/>
          <w:sz w:val="21"/>
          <w:szCs w:val="21"/>
        </w:rPr>
      </w:pPr>
      <w:bookmarkStart w:id="14" w:name="_Toc13364"/>
      <w:bookmarkStart w:id="15" w:name="_Toc2946"/>
      <w:bookmarkStart w:id="16" w:name="_Toc15995"/>
      <w:r>
        <w:rPr>
          <w:rFonts w:hint="eastAsia" w:ascii="宋体" w:hAnsi="宋体" w:eastAsia="宋体" w:cs="宋体"/>
          <w:bCs w:val="0"/>
          <w:sz w:val="21"/>
          <w:szCs w:val="21"/>
        </w:rPr>
        <w:t>二、申请人的资格要求：</w:t>
      </w:r>
      <w:bookmarkEnd w:id="9"/>
      <w:bookmarkEnd w:id="10"/>
      <w:bookmarkEnd w:id="11"/>
      <w:bookmarkEnd w:id="12"/>
      <w:bookmarkEnd w:id="14"/>
      <w:bookmarkEnd w:id="15"/>
      <w:bookmarkEnd w:id="16"/>
    </w:p>
    <w:p>
      <w:pPr>
        <w:spacing w:line="360" w:lineRule="auto"/>
        <w:ind w:firstLine="422"/>
        <w:rPr>
          <w:rFonts w:hint="eastAsia" w:ascii="宋体" w:hAnsi="宋体" w:cs="宋体"/>
          <w:b/>
          <w:bCs/>
          <w:color w:val="000000"/>
          <w:szCs w:val="21"/>
        </w:rPr>
      </w:pPr>
      <w:r>
        <w:rPr>
          <w:rFonts w:hint="eastAsia" w:ascii="宋体" w:hAnsi="宋体" w:cs="宋体"/>
          <w:b/>
          <w:bCs/>
          <w:szCs w:val="21"/>
        </w:rPr>
        <w:t>1、满足《中华人民共和国政府采购法》第二十二条规定，</w:t>
      </w:r>
      <w:r>
        <w:rPr>
          <w:rFonts w:hint="eastAsia" w:ascii="宋体" w:hAnsi="宋体" w:cs="宋体"/>
          <w:b/>
          <w:bCs/>
          <w:color w:val="000000"/>
          <w:szCs w:val="21"/>
        </w:rPr>
        <w:t>提供证明材料（包括但不限于）：</w:t>
      </w:r>
    </w:p>
    <w:p>
      <w:pPr>
        <w:spacing w:line="360" w:lineRule="auto"/>
        <w:ind w:firstLine="210"/>
        <w:rPr>
          <w:rFonts w:hint="eastAsia" w:ascii="宋体" w:hAnsi="宋体" w:cs="宋体"/>
          <w:szCs w:val="21"/>
        </w:rPr>
      </w:pPr>
      <w:bookmarkStart w:id="17" w:name="_Toc28359091"/>
      <w:bookmarkStart w:id="18" w:name="_Toc28359014"/>
      <w:r>
        <w:rPr>
          <w:rFonts w:hint="eastAsia" w:ascii="宋体" w:hAnsi="宋体" w:cs="宋体"/>
          <w:szCs w:val="21"/>
        </w:rPr>
        <w:t>（1）具有独立承担民事责任的能力，提供法人或其他组织的营业执照等证明文件，复印件加盖公章；</w:t>
      </w:r>
    </w:p>
    <w:p>
      <w:pPr>
        <w:spacing w:line="360" w:lineRule="auto"/>
        <w:ind w:firstLine="210"/>
        <w:rPr>
          <w:rFonts w:hint="eastAsia" w:ascii="宋体" w:hAnsi="宋体" w:cs="宋体"/>
          <w:szCs w:val="21"/>
        </w:rPr>
      </w:pPr>
      <w:r>
        <w:rPr>
          <w:rFonts w:hint="eastAsia" w:ascii="宋体" w:hAnsi="宋体" w:cs="宋体"/>
          <w:szCs w:val="21"/>
        </w:rPr>
        <w:t>（2）法人代表授权书（原件）及法定代表人、授权代表身份证复印件（如果是法定代表人直接参与投标的可以不提供授权书）；</w:t>
      </w:r>
    </w:p>
    <w:p>
      <w:pPr>
        <w:spacing w:line="360" w:lineRule="auto"/>
        <w:ind w:firstLine="210"/>
        <w:rPr>
          <w:rFonts w:hint="eastAsia" w:ascii="宋体" w:hAnsi="宋体" w:cs="宋体"/>
          <w:szCs w:val="21"/>
        </w:rPr>
      </w:pPr>
      <w:r>
        <w:rPr>
          <w:rFonts w:hint="eastAsia" w:ascii="宋体" w:hAnsi="宋体" w:cs="宋体"/>
          <w:szCs w:val="21"/>
        </w:rPr>
        <w:t>（3）具有良好的商业信誉和健全的财务会计制度，提供距磋商时间六个月内任意一月份的财务状况报告（</w:t>
      </w:r>
      <w:r>
        <w:rPr>
          <w:rFonts w:hint="eastAsia" w:ascii="宋体" w:hAnsi="宋体" w:cs="宋体"/>
          <w:b/>
          <w:bCs/>
          <w:szCs w:val="21"/>
        </w:rPr>
        <w:t>至少包括资产负债表和利润表</w:t>
      </w:r>
      <w:r>
        <w:rPr>
          <w:rFonts w:hint="eastAsia" w:ascii="宋体" w:hAnsi="宋体" w:cs="宋体"/>
          <w:szCs w:val="21"/>
        </w:rPr>
        <w:t>）（法人或者其他组织成立未满三个月的可以不提供），或其银行出具的资信证书（复印件）（开标前六个月内），或其2024或者2025年度经审计的财务报告复印件加盖公章；</w:t>
      </w:r>
    </w:p>
    <w:p>
      <w:pPr>
        <w:spacing w:line="360" w:lineRule="auto"/>
        <w:ind w:firstLine="210"/>
        <w:rPr>
          <w:rFonts w:hint="eastAsia" w:ascii="宋体" w:hAnsi="宋体" w:cs="宋体"/>
          <w:szCs w:val="21"/>
        </w:rPr>
      </w:pPr>
      <w:r>
        <w:rPr>
          <w:rFonts w:hint="eastAsia" w:ascii="宋体" w:hAnsi="宋体" w:cs="宋体"/>
          <w:szCs w:val="21"/>
        </w:rPr>
        <w:t>（4）具有履行合同所必需的设备和专业技术能力（根据项目需求提供履行合同所必需的设备和专业技术能力的证明材料或相关加盖公章的承诺函，承诺函自行编写）；</w:t>
      </w:r>
    </w:p>
    <w:p>
      <w:pPr>
        <w:spacing w:line="360" w:lineRule="auto"/>
        <w:ind w:firstLine="210"/>
        <w:rPr>
          <w:rFonts w:hint="eastAsia" w:ascii="宋体" w:hAnsi="宋体" w:cs="宋体"/>
          <w:szCs w:val="21"/>
        </w:rPr>
      </w:pPr>
      <w:r>
        <w:rPr>
          <w:rFonts w:hint="eastAsia" w:ascii="宋体" w:hAnsi="宋体" w:cs="宋体"/>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pPr>
        <w:spacing w:line="360" w:lineRule="auto"/>
        <w:ind w:firstLine="210"/>
        <w:rPr>
          <w:rFonts w:hint="eastAsia" w:ascii="宋体" w:hAnsi="宋体" w:cs="宋体"/>
          <w:szCs w:val="21"/>
        </w:rPr>
      </w:pPr>
      <w:r>
        <w:rPr>
          <w:rFonts w:hint="eastAsia" w:ascii="宋体" w:hAnsi="宋体" w:cs="宋体"/>
          <w:szCs w:val="21"/>
        </w:rPr>
        <w:t>（6）有依法缴纳税收的良好记录，提供距磋商时间六个月内任意一个月份的（企业代缴的个人所得税除外）纳税凭据复印件加盖公章（依法免税的应提供相应文件说明）；</w:t>
      </w:r>
    </w:p>
    <w:p>
      <w:pPr>
        <w:spacing w:line="360" w:lineRule="auto"/>
        <w:ind w:firstLine="210"/>
        <w:rPr>
          <w:rFonts w:hint="eastAsia" w:ascii="宋体" w:hAnsi="宋体" w:cs="宋体"/>
          <w:szCs w:val="21"/>
        </w:rPr>
      </w:pPr>
      <w:r>
        <w:rPr>
          <w:rFonts w:hint="eastAsia" w:ascii="宋体" w:hAnsi="宋体" w:cs="宋体"/>
          <w:szCs w:val="21"/>
        </w:rPr>
        <w:t>（7）有依法缴纳社会保障资金的良好记录，提供距磋商时间六个月内任意一个月份的依法缴纳社会保障资金的凭据复印件加盖公章；</w:t>
      </w:r>
    </w:p>
    <w:p>
      <w:pPr>
        <w:spacing w:line="360" w:lineRule="auto"/>
        <w:ind w:firstLine="210"/>
        <w:rPr>
          <w:rFonts w:hint="eastAsia" w:ascii="宋体" w:hAnsi="宋体" w:cs="宋体"/>
          <w:szCs w:val="21"/>
        </w:rPr>
      </w:pPr>
      <w:r>
        <w:rPr>
          <w:rFonts w:hint="eastAsia" w:ascii="宋体" w:hAnsi="宋体" w:cs="宋体"/>
          <w:szCs w:val="21"/>
        </w:rPr>
        <w:t>（8）法律、行政法规规定的其他条件。</w:t>
      </w:r>
    </w:p>
    <w:p>
      <w:pPr>
        <w:pStyle w:val="2"/>
      </w:pPr>
    </w:p>
    <w:p>
      <w:pPr>
        <w:spacing w:line="360" w:lineRule="auto"/>
        <w:ind w:firstLine="211"/>
        <w:rPr>
          <w:rFonts w:hint="eastAsia" w:ascii="宋体" w:hAnsi="宋体" w:cs="宋体"/>
          <w:szCs w:val="21"/>
        </w:rPr>
      </w:pPr>
      <w:r>
        <w:rPr>
          <w:rFonts w:hint="eastAsia" w:ascii="宋体" w:hAnsi="宋体" w:cs="宋体"/>
          <w:b/>
          <w:bCs/>
          <w:szCs w:val="21"/>
        </w:rPr>
        <w:t>2、落实政府采购政策需满足的资格要求：</w:t>
      </w:r>
      <w:r>
        <w:rPr>
          <w:rFonts w:hint="eastAsia" w:ascii="宋体" w:hAnsi="宋体" w:cs="宋体"/>
          <w:szCs w:val="21"/>
        </w:rPr>
        <w:t>项目按照采用以下第（1）种方式落实政府采购促进中小企业发展的要求：</w:t>
      </w:r>
    </w:p>
    <w:p>
      <w:pPr>
        <w:spacing w:line="360" w:lineRule="auto"/>
        <w:ind w:firstLine="211"/>
        <w:rPr>
          <w:rFonts w:hint="eastAsia" w:ascii="宋体" w:hAnsi="宋体" w:cs="宋体"/>
          <w:szCs w:val="21"/>
        </w:rPr>
      </w:pPr>
      <w:r>
        <w:rPr>
          <w:rFonts w:hint="eastAsia" w:ascii="宋体" w:hAnsi="宋体" w:cs="宋体"/>
          <w:szCs w:val="21"/>
        </w:rPr>
        <w:t>（1）本项目整体专门面向中小型企业采购；</w:t>
      </w:r>
    </w:p>
    <w:p>
      <w:pPr>
        <w:spacing w:line="360" w:lineRule="auto"/>
        <w:ind w:firstLine="211"/>
        <w:rPr>
          <w:rFonts w:hint="eastAsia" w:ascii="宋体" w:hAnsi="宋体" w:cs="宋体"/>
          <w:szCs w:val="21"/>
        </w:rPr>
      </w:pPr>
      <w:r>
        <w:rPr>
          <w:rFonts w:hint="eastAsia" w:ascii="宋体" w:hAnsi="宋体" w:cs="宋体"/>
          <w:szCs w:val="21"/>
        </w:rPr>
        <w:t>（2）本项目整体专门面向小微企业采购；</w:t>
      </w:r>
    </w:p>
    <w:p>
      <w:pPr>
        <w:spacing w:line="360" w:lineRule="auto"/>
        <w:ind w:firstLine="211"/>
        <w:rPr>
          <w:rFonts w:hint="eastAsia" w:ascii="宋体" w:hAnsi="宋体" w:cs="宋体"/>
          <w:szCs w:val="21"/>
        </w:rPr>
      </w:pPr>
      <w:r>
        <w:rPr>
          <w:rFonts w:hint="eastAsia" w:ascii="宋体" w:hAnsi="宋体" w:cs="宋体"/>
          <w:szCs w:val="21"/>
        </w:rPr>
        <w:t>（3）本项目通过以下第 / 种方式预留部分采购份额，面向中小企业采购：</w:t>
      </w:r>
    </w:p>
    <w:p>
      <w:pPr>
        <w:spacing w:line="360" w:lineRule="auto"/>
        <w:ind w:firstLine="211"/>
        <w:rPr>
          <w:rFonts w:hint="eastAsia" w:ascii="宋体" w:hAnsi="宋体" w:cs="宋体"/>
          <w:szCs w:val="21"/>
        </w:rPr>
      </w:pPr>
      <w:r>
        <w:rPr>
          <w:rFonts w:hint="eastAsia" w:ascii="宋体" w:hAnsi="宋体" w:cs="宋体"/>
          <w:szCs w:val="21"/>
        </w:rPr>
        <w:t>①本项目要求供应商以联合体形式参加，中小企业合同金额应当达到的比例为 / %；</w:t>
      </w:r>
    </w:p>
    <w:p>
      <w:pPr>
        <w:spacing w:line="360" w:lineRule="auto"/>
        <w:ind w:firstLine="211"/>
        <w:rPr>
          <w:rFonts w:hint="eastAsia" w:ascii="宋体" w:hAnsi="宋体" w:cs="宋体"/>
          <w:szCs w:val="21"/>
        </w:rPr>
      </w:pPr>
      <w:r>
        <w:rPr>
          <w:rFonts w:hint="eastAsia" w:ascii="宋体" w:hAnsi="宋体" w:cs="宋体"/>
          <w:szCs w:val="21"/>
        </w:rPr>
        <w:t>②本项目要求供应商进行合同分包，中小企业合同金额应当达到的比例为 / %。</w:t>
      </w:r>
    </w:p>
    <w:p>
      <w:pPr>
        <w:spacing w:line="360" w:lineRule="auto"/>
        <w:ind w:firstLine="211"/>
        <w:rPr>
          <w:rFonts w:hint="eastAsia" w:ascii="宋体" w:hAnsi="宋体" w:cs="宋体"/>
          <w:szCs w:val="21"/>
        </w:rPr>
      </w:pPr>
      <w:r>
        <w:rPr>
          <w:rFonts w:hint="eastAsia" w:ascii="宋体" w:hAnsi="宋体" w:cs="宋体"/>
          <w:szCs w:val="21"/>
        </w:rPr>
        <w:t>（4）本项目为非预留份额专门面向中小企业的采购项目或采购包，执行价格扣除优惠政策，详见“第三章评标标准”。</w:t>
      </w:r>
    </w:p>
    <w:p>
      <w:pPr>
        <w:spacing w:line="360" w:lineRule="auto"/>
        <w:ind w:firstLine="211"/>
        <w:rPr>
          <w:rFonts w:hint="eastAsia" w:ascii="宋体" w:hAnsi="宋体" w:cs="宋体"/>
          <w:szCs w:val="21"/>
        </w:rPr>
      </w:pPr>
      <w:r>
        <w:rPr>
          <w:rFonts w:hint="eastAsia" w:ascii="宋体" w:hAnsi="宋体" w:cs="宋体"/>
          <w:b/>
          <w:bCs/>
          <w:szCs w:val="21"/>
        </w:rPr>
        <w:t>3、本项目的特定资格要求：</w:t>
      </w:r>
      <w:r>
        <w:rPr>
          <w:rFonts w:hint="eastAsia" w:ascii="宋体" w:hAnsi="宋体" w:cs="宋体"/>
          <w:szCs w:val="21"/>
        </w:rPr>
        <w:t>无。</w:t>
      </w:r>
    </w:p>
    <w:p>
      <w:pPr>
        <w:spacing w:line="360" w:lineRule="auto"/>
        <w:ind w:firstLine="211"/>
        <w:rPr>
          <w:rFonts w:hint="eastAsia" w:ascii="宋体" w:hAnsi="宋体" w:cs="宋体"/>
          <w:b/>
          <w:bCs/>
          <w:szCs w:val="21"/>
        </w:rPr>
      </w:pPr>
      <w:r>
        <w:rPr>
          <w:rFonts w:hint="eastAsia" w:ascii="宋体" w:hAnsi="宋体" w:cs="宋体"/>
          <w:b/>
          <w:bCs/>
          <w:szCs w:val="21"/>
        </w:rPr>
        <w:t>4、拒绝下述供应商参加本次采购活动的情形：</w:t>
      </w:r>
    </w:p>
    <w:p>
      <w:pPr>
        <w:spacing w:line="360" w:lineRule="auto"/>
        <w:ind w:firstLine="420"/>
        <w:rPr>
          <w:rFonts w:hint="eastAsia" w:ascii="宋体" w:hAnsi="宋体" w:cs="宋体"/>
          <w:szCs w:val="21"/>
        </w:rPr>
      </w:pPr>
      <w:r>
        <w:rPr>
          <w:rFonts w:hint="eastAsia" w:ascii="宋体" w:hAnsi="宋体" w:cs="宋体"/>
          <w:szCs w:val="21"/>
        </w:rPr>
        <w:t>①供应商单位负责人为同一人或者存在直接控股、管理关系的不同供应商，不得参加同一合同项下的政府采购活动。</w:t>
      </w:r>
    </w:p>
    <w:p>
      <w:pPr>
        <w:spacing w:line="360" w:lineRule="auto"/>
        <w:ind w:firstLine="420"/>
        <w:rPr>
          <w:rFonts w:hint="eastAsia" w:ascii="宋体" w:hAnsi="宋体" w:cs="宋体"/>
          <w:szCs w:val="21"/>
        </w:rPr>
      </w:pPr>
      <w:r>
        <w:rPr>
          <w:rFonts w:hint="eastAsia" w:ascii="宋体" w:hAnsi="宋体" w:cs="宋体"/>
          <w:szCs w:val="21"/>
        </w:rPr>
        <w:t>②凡为采购项目提供整体设计、规范编制或者项目管理、监理、检测等服务的供应商，不得再参加本项目的采购活动。</w:t>
      </w:r>
    </w:p>
    <w:p>
      <w:pPr>
        <w:spacing w:line="360" w:lineRule="auto"/>
        <w:ind w:firstLine="420"/>
        <w:rPr>
          <w:rFonts w:hint="eastAsia" w:ascii="宋体" w:hAnsi="宋体" w:cs="宋体"/>
          <w:szCs w:val="21"/>
        </w:rPr>
      </w:pPr>
      <w:r>
        <w:rPr>
          <w:rFonts w:hint="eastAsia" w:ascii="宋体" w:hAnsi="宋体" w:cs="宋体"/>
          <w:szCs w:val="21"/>
        </w:rPr>
        <w:t>③拒绝列入失信被执行人、重大税收违法案件当事人名单、政府采购严重违法失信行为记录名单的供应商参与政府采购活动。采购代理机构在评标时通过“信用中国”网站(www.creditchina.gov.cn)、中国政府采购网(www.ccgp.gov.cn)等渠道查询供应商在</w:t>
      </w:r>
      <w:r>
        <w:rPr>
          <w:rFonts w:hint="eastAsia" w:ascii="宋体" w:hAnsi="宋体" w:cs="宋体"/>
          <w:b/>
          <w:bCs/>
        </w:rPr>
        <w:t>递交响应文件截止之日前</w:t>
      </w:r>
      <w:r>
        <w:rPr>
          <w:rFonts w:hint="eastAsia" w:ascii="宋体" w:hAnsi="宋体" w:cs="宋体"/>
          <w:szCs w:val="21"/>
        </w:rPr>
        <w:t>的信用记录。</w:t>
      </w:r>
    </w:p>
    <w:p>
      <w:pPr>
        <w:pStyle w:val="4"/>
        <w:spacing w:before="0" w:after="0" w:line="360" w:lineRule="auto"/>
        <w:ind w:firstLine="422"/>
        <w:rPr>
          <w:rFonts w:hint="eastAsia" w:ascii="宋体" w:hAnsi="宋体" w:eastAsia="宋体" w:cs="宋体"/>
          <w:bCs w:val="0"/>
          <w:sz w:val="21"/>
          <w:szCs w:val="21"/>
        </w:rPr>
      </w:pPr>
      <w:bookmarkStart w:id="19" w:name="_Toc35393631"/>
      <w:bookmarkStart w:id="20" w:name="_Toc11613"/>
      <w:bookmarkStart w:id="21" w:name="_Toc17042"/>
      <w:bookmarkStart w:id="22" w:name="_Toc35393800"/>
      <w:bookmarkStart w:id="23" w:name="_Toc30217"/>
      <w:r>
        <w:rPr>
          <w:rFonts w:hint="eastAsia" w:ascii="宋体" w:hAnsi="宋体" w:eastAsia="宋体" w:cs="宋体"/>
          <w:bCs w:val="0"/>
          <w:sz w:val="21"/>
          <w:szCs w:val="21"/>
        </w:rPr>
        <w:t>三、获取采购文件</w:t>
      </w:r>
      <w:bookmarkEnd w:id="17"/>
      <w:bookmarkEnd w:id="18"/>
      <w:bookmarkEnd w:id="19"/>
      <w:bookmarkEnd w:id="20"/>
      <w:bookmarkEnd w:id="21"/>
      <w:bookmarkEnd w:id="22"/>
      <w:bookmarkEnd w:id="23"/>
    </w:p>
    <w:p>
      <w:pPr>
        <w:spacing w:line="360" w:lineRule="auto"/>
        <w:ind w:firstLine="420"/>
        <w:rPr>
          <w:rFonts w:hint="eastAsia" w:ascii="宋体" w:hAnsi="宋体" w:cs="宋体"/>
          <w:szCs w:val="21"/>
        </w:rPr>
      </w:pPr>
      <w:bookmarkStart w:id="24" w:name="_Toc28359092"/>
      <w:bookmarkStart w:id="25" w:name="_Toc35393801"/>
      <w:bookmarkStart w:id="26" w:name="_Toc35393632"/>
      <w:bookmarkStart w:id="27" w:name="_Toc32194"/>
      <w:bookmarkStart w:id="28" w:name="_Toc17338"/>
      <w:bookmarkStart w:id="29" w:name="_Toc28359015"/>
      <w:r>
        <w:rPr>
          <w:rFonts w:hint="eastAsia" w:ascii="宋体" w:hAnsi="宋体" w:cs="宋体"/>
          <w:szCs w:val="21"/>
        </w:rPr>
        <w:t>时间：自本公告发布之日起5个工作日</w:t>
      </w:r>
    </w:p>
    <w:p>
      <w:pPr>
        <w:spacing w:line="360" w:lineRule="auto"/>
        <w:ind w:firstLine="420"/>
        <w:rPr>
          <w:rFonts w:hint="eastAsia" w:ascii="宋体" w:hAnsi="宋体" w:cs="宋体"/>
          <w:szCs w:val="21"/>
        </w:rPr>
      </w:pPr>
      <w:r>
        <w:rPr>
          <w:rFonts w:hint="eastAsia" w:ascii="宋体" w:hAnsi="宋体" w:cs="宋体"/>
          <w:szCs w:val="21"/>
        </w:rPr>
        <w:t>地点：“苏采云”系统内免费下载（供应商必须在苏采云系统中获取采购文件，方能参与政府采购项目）</w:t>
      </w:r>
    </w:p>
    <w:p>
      <w:pPr>
        <w:spacing w:line="360" w:lineRule="auto"/>
        <w:ind w:firstLine="420"/>
        <w:rPr>
          <w:rFonts w:hint="eastAsia" w:ascii="宋体" w:hAnsi="宋体" w:cs="宋体"/>
          <w:szCs w:val="21"/>
        </w:rPr>
      </w:pPr>
      <w:r>
        <w:rPr>
          <w:rFonts w:hint="eastAsia" w:ascii="宋体" w:hAnsi="宋体" w:cs="宋体"/>
          <w:szCs w:val="21"/>
        </w:rPr>
        <w:t>方式：苏采云系统注册登记成功后系统内免费下载。</w:t>
      </w:r>
    </w:p>
    <w:p>
      <w:pPr>
        <w:spacing w:line="360" w:lineRule="auto"/>
        <w:ind w:firstLine="420"/>
        <w:rPr>
          <w:rFonts w:hint="eastAsia" w:ascii="宋体" w:hAnsi="宋体" w:cs="宋体"/>
          <w:szCs w:val="21"/>
        </w:rPr>
      </w:pPr>
      <w:r>
        <w:rPr>
          <w:rFonts w:hint="eastAsia" w:ascii="宋体" w:hAnsi="宋体" w:cs="宋体"/>
          <w:szCs w:val="21"/>
        </w:rPr>
        <w:t>售价：0元。</w:t>
      </w:r>
      <w:bookmarkEnd w:id="24"/>
      <w:bookmarkEnd w:id="25"/>
      <w:bookmarkEnd w:id="26"/>
      <w:bookmarkEnd w:id="27"/>
      <w:bookmarkEnd w:id="28"/>
      <w:bookmarkEnd w:id="29"/>
    </w:p>
    <w:p>
      <w:pPr>
        <w:pStyle w:val="4"/>
        <w:spacing w:before="0" w:after="0" w:line="360" w:lineRule="auto"/>
        <w:ind w:firstLine="422"/>
        <w:rPr>
          <w:rFonts w:hint="eastAsia" w:ascii="宋体" w:hAnsi="宋体" w:eastAsia="宋体" w:cs="宋体"/>
          <w:bCs w:val="0"/>
          <w:sz w:val="21"/>
          <w:szCs w:val="21"/>
        </w:rPr>
      </w:pPr>
      <w:bookmarkStart w:id="30" w:name="_Toc21044"/>
      <w:bookmarkStart w:id="31" w:name="_Toc35393802"/>
      <w:bookmarkStart w:id="32" w:name="_Toc28359093"/>
      <w:bookmarkStart w:id="33" w:name="_Toc28359016"/>
      <w:bookmarkStart w:id="34" w:name="_Toc35393633"/>
      <w:r>
        <w:rPr>
          <w:rFonts w:hint="eastAsia" w:ascii="宋体" w:hAnsi="宋体" w:eastAsia="宋体" w:cs="宋体"/>
          <w:bCs w:val="0"/>
          <w:sz w:val="21"/>
          <w:szCs w:val="21"/>
        </w:rPr>
        <w:t>四、提交响应文件截止时间和地点</w:t>
      </w:r>
      <w:bookmarkEnd w:id="30"/>
    </w:p>
    <w:p>
      <w:pPr>
        <w:spacing w:line="360" w:lineRule="auto"/>
        <w:ind w:firstLine="420"/>
        <w:rPr>
          <w:rFonts w:hint="eastAsia" w:ascii="宋体" w:hAnsi="宋体" w:cs="宋体"/>
        </w:rPr>
      </w:pPr>
      <w:r>
        <w:rPr>
          <w:rFonts w:hint="eastAsia" w:ascii="宋体" w:hAnsi="宋体" w:cs="宋体"/>
        </w:rPr>
        <w:t>提交响应文件截止时间：2026年</w:t>
      </w:r>
      <w:r>
        <w:rPr>
          <w:rFonts w:hint="eastAsia" w:ascii="宋体" w:hAnsi="宋体" w:cs="宋体"/>
          <w:lang w:val="en-US" w:eastAsia="zh-CN"/>
        </w:rPr>
        <w:t>9</w:t>
      </w:r>
      <w:r>
        <w:rPr>
          <w:rFonts w:hint="eastAsia" w:ascii="宋体" w:hAnsi="宋体" w:cs="宋体"/>
        </w:rPr>
        <w:t>月</w:t>
      </w:r>
      <w:r>
        <w:rPr>
          <w:rFonts w:hint="eastAsia" w:ascii="宋体" w:hAnsi="宋体" w:cs="宋体"/>
          <w:lang w:val="en-US" w:eastAsia="zh-CN"/>
        </w:rPr>
        <w:t>21</w:t>
      </w:r>
      <w:r>
        <w:rPr>
          <w:rFonts w:hint="eastAsia" w:ascii="宋体" w:hAnsi="宋体" w:cs="宋体"/>
        </w:rPr>
        <w:t>日09点30分（北京时间）</w:t>
      </w:r>
    </w:p>
    <w:p>
      <w:pPr>
        <w:spacing w:line="360" w:lineRule="auto"/>
        <w:ind w:firstLine="420"/>
        <w:rPr>
          <w:rFonts w:hint="eastAsia" w:ascii="宋体" w:hAnsi="宋体" w:cs="宋体"/>
          <w:b/>
        </w:rPr>
      </w:pPr>
      <w:r>
        <w:rPr>
          <w:rFonts w:hint="eastAsia" w:ascii="宋体" w:hAnsi="宋体" w:cs="宋体"/>
          <w:bCs/>
        </w:rPr>
        <w:t>地点：“苏采云”系统（网址： http://jszfcg.jsczt.cn/）“开标大厅”</w:t>
      </w:r>
    </w:p>
    <w:p>
      <w:pPr>
        <w:pStyle w:val="4"/>
        <w:spacing w:before="0" w:after="0" w:line="360" w:lineRule="auto"/>
        <w:ind w:firstLine="422"/>
        <w:rPr>
          <w:rFonts w:hint="eastAsia" w:ascii="宋体" w:hAnsi="宋体" w:eastAsia="宋体" w:cs="宋体"/>
          <w:bCs w:val="0"/>
          <w:sz w:val="21"/>
          <w:szCs w:val="21"/>
        </w:rPr>
      </w:pPr>
      <w:bookmarkStart w:id="35" w:name="_Toc28829"/>
      <w:bookmarkStart w:id="36" w:name="_Toc30760"/>
      <w:bookmarkStart w:id="37" w:name="_Toc2218"/>
      <w:r>
        <w:rPr>
          <w:rFonts w:hint="eastAsia" w:ascii="宋体" w:hAnsi="宋体" w:eastAsia="宋体" w:cs="宋体"/>
          <w:bCs w:val="0"/>
          <w:sz w:val="21"/>
          <w:szCs w:val="21"/>
        </w:rPr>
        <w:t>五、开启</w:t>
      </w:r>
      <w:bookmarkEnd w:id="31"/>
      <w:bookmarkEnd w:id="32"/>
      <w:bookmarkEnd w:id="33"/>
      <w:bookmarkEnd w:id="34"/>
      <w:bookmarkEnd w:id="35"/>
      <w:bookmarkEnd w:id="36"/>
      <w:bookmarkEnd w:id="37"/>
    </w:p>
    <w:p>
      <w:pPr>
        <w:spacing w:line="360" w:lineRule="auto"/>
        <w:ind w:firstLine="420"/>
        <w:rPr>
          <w:rFonts w:hint="eastAsia" w:ascii="宋体" w:hAnsi="宋体" w:cs="宋体"/>
          <w:bCs/>
          <w:szCs w:val="21"/>
          <w:u w:val="single"/>
        </w:rPr>
      </w:pPr>
      <w:r>
        <w:rPr>
          <w:rFonts w:hint="eastAsia" w:ascii="宋体" w:hAnsi="宋体" w:cs="宋体"/>
          <w:szCs w:val="21"/>
        </w:rPr>
        <w:t>1、时间：</w:t>
      </w:r>
      <w:r>
        <w:rPr>
          <w:rFonts w:hint="eastAsia" w:ascii="宋体" w:hAnsi="宋体" w:cs="宋体"/>
        </w:rPr>
        <w:t>2026年</w:t>
      </w:r>
      <w:r>
        <w:rPr>
          <w:rFonts w:hint="eastAsia" w:ascii="宋体" w:hAnsi="宋体" w:cs="宋体"/>
          <w:lang w:val="en-US" w:eastAsia="zh-CN"/>
        </w:rPr>
        <w:t>9</w:t>
      </w:r>
      <w:r>
        <w:rPr>
          <w:rFonts w:hint="eastAsia" w:ascii="宋体" w:hAnsi="宋体" w:cs="宋体"/>
        </w:rPr>
        <w:t>月</w:t>
      </w:r>
      <w:r>
        <w:rPr>
          <w:rFonts w:hint="eastAsia" w:ascii="宋体" w:hAnsi="宋体" w:cs="宋体"/>
          <w:lang w:val="en-US" w:eastAsia="zh-CN"/>
        </w:rPr>
        <w:t>21</w:t>
      </w:r>
      <w:r>
        <w:rPr>
          <w:rFonts w:hint="eastAsia" w:ascii="宋体" w:hAnsi="宋体" w:cs="宋体"/>
        </w:rPr>
        <w:t>日09点30分</w:t>
      </w:r>
      <w:r>
        <w:rPr>
          <w:rFonts w:hint="eastAsia" w:ascii="宋体" w:hAnsi="宋体" w:cs="宋体"/>
          <w:szCs w:val="21"/>
        </w:rPr>
        <w:t>（北京时间）</w:t>
      </w:r>
    </w:p>
    <w:p>
      <w:pPr>
        <w:spacing w:line="360" w:lineRule="auto"/>
        <w:ind w:firstLine="420"/>
        <w:rPr>
          <w:rFonts w:hint="eastAsia" w:ascii="宋体" w:hAnsi="宋体" w:cs="宋体"/>
          <w:szCs w:val="21"/>
        </w:rPr>
      </w:pPr>
      <w:r>
        <w:rPr>
          <w:rFonts w:hint="eastAsia" w:ascii="宋体" w:hAnsi="宋体" w:cs="宋体"/>
          <w:szCs w:val="21"/>
        </w:rPr>
        <w:t>2、地点：</w:t>
      </w:r>
      <w:r>
        <w:rPr>
          <w:rFonts w:hint="eastAsia" w:ascii="宋体" w:hAnsi="宋体" w:cs="宋体"/>
          <w:bCs/>
        </w:rPr>
        <w:t>“苏采云”系统（网址： http://jszfcg.jsczt.cn/）“开标大厅”</w:t>
      </w:r>
    </w:p>
    <w:p>
      <w:pPr>
        <w:pStyle w:val="4"/>
        <w:spacing w:before="0" w:after="0" w:line="360" w:lineRule="auto"/>
        <w:ind w:firstLine="422"/>
        <w:rPr>
          <w:rFonts w:hint="eastAsia" w:ascii="宋体" w:hAnsi="宋体" w:eastAsia="宋体" w:cs="宋体"/>
          <w:b w:val="0"/>
          <w:bCs w:val="0"/>
          <w:sz w:val="21"/>
          <w:szCs w:val="21"/>
        </w:rPr>
      </w:pPr>
      <w:bookmarkStart w:id="38" w:name="_Toc35393634"/>
      <w:bookmarkStart w:id="39" w:name="_Toc28359094"/>
      <w:bookmarkStart w:id="40" w:name="_Toc31339"/>
      <w:bookmarkStart w:id="41" w:name="_Toc28359017"/>
      <w:bookmarkStart w:id="42" w:name="_Toc28242"/>
      <w:bookmarkStart w:id="43" w:name="_Toc35393803"/>
      <w:bookmarkStart w:id="44" w:name="_Toc14482"/>
      <w:r>
        <w:rPr>
          <w:rFonts w:hint="eastAsia" w:ascii="宋体" w:hAnsi="宋体" w:eastAsia="宋体" w:cs="宋体"/>
          <w:bCs w:val="0"/>
          <w:sz w:val="21"/>
          <w:szCs w:val="21"/>
        </w:rPr>
        <w:t>六、</w:t>
      </w:r>
      <w:bookmarkEnd w:id="38"/>
      <w:bookmarkEnd w:id="39"/>
      <w:bookmarkEnd w:id="40"/>
      <w:bookmarkEnd w:id="41"/>
      <w:bookmarkEnd w:id="42"/>
      <w:bookmarkEnd w:id="43"/>
      <w:r>
        <w:rPr>
          <w:rFonts w:hint="eastAsia" w:ascii="宋体" w:hAnsi="宋体" w:eastAsia="宋体" w:cs="宋体"/>
          <w:bCs w:val="0"/>
          <w:sz w:val="21"/>
          <w:szCs w:val="21"/>
        </w:rPr>
        <w:t>公告期限</w:t>
      </w:r>
      <w:bookmarkEnd w:id="44"/>
    </w:p>
    <w:p>
      <w:pPr>
        <w:spacing w:line="360" w:lineRule="auto"/>
        <w:ind w:firstLine="420"/>
        <w:rPr>
          <w:rFonts w:hint="eastAsia" w:ascii="宋体" w:hAnsi="宋体" w:cs="宋体"/>
        </w:rPr>
      </w:pPr>
      <w:bookmarkStart w:id="45" w:name="_Toc8098"/>
      <w:bookmarkStart w:id="46" w:name="_Toc6473"/>
      <w:bookmarkStart w:id="47" w:name="_Toc28870"/>
      <w:bookmarkStart w:id="48" w:name="_Toc17325"/>
      <w:bookmarkStart w:id="49" w:name="_Toc4183"/>
      <w:r>
        <w:rPr>
          <w:rFonts w:hint="eastAsia" w:ascii="宋体" w:hAnsi="宋体" w:cs="宋体"/>
          <w:szCs w:val="21"/>
        </w:rPr>
        <w:t>自本公告发布之日起3个工作日。</w:t>
      </w:r>
      <w:bookmarkEnd w:id="45"/>
      <w:bookmarkEnd w:id="46"/>
      <w:bookmarkEnd w:id="47"/>
      <w:bookmarkEnd w:id="48"/>
      <w:bookmarkEnd w:id="49"/>
    </w:p>
    <w:p>
      <w:pPr>
        <w:pStyle w:val="4"/>
        <w:spacing w:before="0" w:after="0" w:line="360" w:lineRule="auto"/>
        <w:ind w:firstLine="422"/>
        <w:rPr>
          <w:rFonts w:hint="eastAsia" w:ascii="宋体" w:hAnsi="宋体" w:eastAsia="宋体" w:cs="宋体"/>
          <w:bCs w:val="0"/>
          <w:sz w:val="21"/>
          <w:szCs w:val="21"/>
        </w:rPr>
      </w:pPr>
      <w:bookmarkStart w:id="50" w:name="_Toc29842"/>
      <w:bookmarkStart w:id="51" w:name="_Toc20846"/>
      <w:bookmarkStart w:id="52" w:name="_Toc35393635"/>
      <w:bookmarkStart w:id="53" w:name="_Toc35393804"/>
      <w:bookmarkStart w:id="54" w:name="_Toc14048"/>
      <w:r>
        <w:rPr>
          <w:rFonts w:hint="eastAsia" w:ascii="宋体" w:hAnsi="宋体" w:eastAsia="宋体" w:cs="宋体"/>
          <w:bCs w:val="0"/>
          <w:sz w:val="21"/>
          <w:szCs w:val="21"/>
        </w:rPr>
        <w:t>七、其他补充事宜</w:t>
      </w:r>
      <w:bookmarkEnd w:id="50"/>
      <w:bookmarkEnd w:id="51"/>
      <w:bookmarkEnd w:id="52"/>
      <w:bookmarkEnd w:id="53"/>
      <w:bookmarkEnd w:id="54"/>
    </w:p>
    <w:p>
      <w:pPr>
        <w:spacing w:line="360" w:lineRule="auto"/>
        <w:ind w:firstLine="420"/>
        <w:rPr>
          <w:rFonts w:hint="eastAsia" w:ascii="宋体" w:hAnsi="宋体" w:cs="宋体"/>
          <w:szCs w:val="21"/>
        </w:rPr>
      </w:pPr>
      <w:r>
        <w:rPr>
          <w:rFonts w:hint="eastAsia" w:ascii="宋体" w:hAnsi="宋体" w:cs="宋体"/>
          <w:szCs w:val="21"/>
        </w:rPr>
        <w:t>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bookmarkStart w:id="55" w:name="_Toc27607"/>
      <w:bookmarkStart w:id="56" w:name="_Toc35393805"/>
      <w:bookmarkStart w:id="57" w:name="_Toc28359018"/>
      <w:bookmarkStart w:id="58" w:name="_Toc17244"/>
      <w:bookmarkStart w:id="59" w:name="_Toc35393636"/>
      <w:bookmarkStart w:id="60" w:name="_Toc28359095"/>
    </w:p>
    <w:p>
      <w:pPr>
        <w:spacing w:line="360" w:lineRule="auto"/>
        <w:ind w:firstLine="420"/>
        <w:rPr>
          <w:rFonts w:hint="eastAsia" w:ascii="宋体" w:hAnsi="宋体" w:cs="宋体"/>
          <w:szCs w:val="21"/>
        </w:rPr>
      </w:pPr>
      <w:r>
        <w:rPr>
          <w:rFonts w:hint="eastAsia" w:ascii="宋体" w:hAnsi="宋体" w:cs="宋体"/>
          <w:szCs w:val="21"/>
        </w:rPr>
        <w:t>2、潜在供应商访问电子招标响应交易平台的网络地址和方法：</w:t>
      </w:r>
    </w:p>
    <w:p>
      <w:pPr>
        <w:spacing w:line="360" w:lineRule="auto"/>
        <w:ind w:firstLine="420"/>
        <w:rPr>
          <w:rFonts w:hint="eastAsia" w:ascii="宋体" w:hAnsi="宋体" w:cs="宋体"/>
          <w:szCs w:val="21"/>
        </w:rPr>
      </w:pPr>
      <w:r>
        <w:rPr>
          <w:rFonts w:hint="eastAsia" w:ascii="宋体" w:hAnsi="宋体" w:cs="宋体"/>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spacing w:line="360" w:lineRule="auto"/>
        <w:ind w:firstLine="420"/>
        <w:rPr>
          <w:rFonts w:hint="eastAsia" w:ascii="宋体" w:hAnsi="宋体" w:cs="宋体"/>
          <w:szCs w:val="21"/>
        </w:rPr>
      </w:pPr>
      <w:r>
        <w:rPr>
          <w:rFonts w:hint="eastAsia" w:ascii="宋体" w:hAnsi="宋体" w:cs="宋体"/>
          <w:szCs w:val="21"/>
        </w:rPr>
        <w:t>3、潜在供应商访问“苏采云”系统的网络地址和方法：“苏采云”系统的网址：http://jszfcg.jsczt.cn/。</w:t>
      </w:r>
    </w:p>
    <w:p>
      <w:pPr>
        <w:spacing w:line="360" w:lineRule="auto"/>
        <w:ind w:firstLine="420"/>
        <w:rPr>
          <w:rFonts w:hint="eastAsia" w:ascii="宋体" w:hAnsi="宋体" w:cs="宋体"/>
          <w:szCs w:val="21"/>
        </w:rPr>
      </w:pPr>
      <w:r>
        <w:rPr>
          <w:rFonts w:hint="eastAsia" w:ascii="宋体" w:hAnsi="宋体" w:cs="宋体"/>
          <w:szCs w:val="21"/>
        </w:rPr>
        <w:t>4、“CA数字证书”的获取：</w:t>
      </w:r>
    </w:p>
    <w:p>
      <w:pPr>
        <w:spacing w:line="360" w:lineRule="auto"/>
        <w:ind w:firstLine="420"/>
        <w:rPr>
          <w:rFonts w:hint="eastAsia" w:ascii="宋体" w:hAnsi="宋体" w:cs="宋体"/>
          <w:szCs w:val="21"/>
        </w:rPr>
      </w:pPr>
      <w:r>
        <w:rPr>
          <w:rFonts w:hint="eastAsia" w:ascii="宋体" w:hAnsi="宋体" w:cs="宋体"/>
          <w:szCs w:val="21"/>
        </w:rPr>
        <w:t>响应供应商需办理“CA数字证书”，CA办理指南及“苏采云”操作手册可至江苏省政府采购网―办事指南-资料下载中心下载。</w:t>
      </w:r>
    </w:p>
    <w:p>
      <w:pPr>
        <w:spacing w:line="360" w:lineRule="auto"/>
        <w:ind w:firstLine="420"/>
        <w:rPr>
          <w:rFonts w:hint="eastAsia" w:ascii="宋体" w:hAnsi="宋体" w:cs="宋体"/>
          <w:szCs w:val="21"/>
        </w:rPr>
      </w:pPr>
      <w:r>
        <w:rPr>
          <w:rFonts w:hint="eastAsia" w:ascii="宋体" w:hAnsi="宋体" w:cs="宋体"/>
          <w:szCs w:val="21"/>
        </w:rPr>
        <w:t>通过苏采云系统首页（http://jszfcg.jscz.gov.cn/）的“苏采云控件驱动下载”，选择“政务CA、方正签章控件驱动安装包及安装说明”下载安装，具体安装方法详见下载文件内的《安装说明》。</w:t>
      </w:r>
    </w:p>
    <w:p>
      <w:pPr>
        <w:spacing w:line="360" w:lineRule="auto"/>
        <w:ind w:firstLine="420"/>
        <w:rPr>
          <w:rFonts w:hint="eastAsia" w:ascii="宋体" w:hAnsi="宋体" w:cs="宋体"/>
          <w:szCs w:val="21"/>
        </w:rPr>
      </w:pPr>
      <w:r>
        <w:rPr>
          <w:rFonts w:hint="eastAsia" w:ascii="宋体" w:hAnsi="宋体" w:cs="宋体"/>
          <w:szCs w:val="21"/>
        </w:rPr>
        <w:t>5、采购文件（后缀名为“.kedt”）、供应商操作手册及政府采购客户端工具可通过“苏采云”系统--已报名项目--报名详情页面内相应链接进行下载。</w:t>
      </w:r>
    </w:p>
    <w:p>
      <w:pPr>
        <w:spacing w:line="360" w:lineRule="auto"/>
        <w:ind w:firstLine="420"/>
        <w:rPr>
          <w:rFonts w:hint="eastAsia" w:ascii="宋体" w:hAnsi="宋体" w:cs="宋体"/>
          <w:szCs w:val="21"/>
        </w:rPr>
      </w:pPr>
      <w:r>
        <w:rPr>
          <w:rFonts w:hint="eastAsia" w:ascii="宋体" w:hAnsi="宋体" w:cs="宋体"/>
          <w:szCs w:val="21"/>
        </w:rPr>
        <w:t>6、请潜在供应商提前安装相应的控件（详见《江苏省政府采购管理交易系统（苏采云）供应商操作手册》）并使用谷歌浏览器登录“苏采云”系统参与不见面开评标。</w:t>
      </w:r>
    </w:p>
    <w:p>
      <w:pPr>
        <w:spacing w:line="360" w:lineRule="auto"/>
        <w:ind w:firstLine="420"/>
        <w:rPr>
          <w:rFonts w:hint="eastAsia" w:ascii="宋体" w:hAnsi="宋体" w:cs="宋体"/>
          <w:szCs w:val="21"/>
        </w:rPr>
      </w:pPr>
      <w:r>
        <w:rPr>
          <w:rFonts w:hint="eastAsia" w:ascii="宋体" w:hAnsi="宋体" w:cs="宋体"/>
          <w:szCs w:val="21"/>
        </w:rPr>
        <w:t>注：如潜在供应商未按上述要求操作，将自行承担所产生的风险。</w:t>
      </w:r>
    </w:p>
    <w:p>
      <w:pPr>
        <w:spacing w:line="360" w:lineRule="auto"/>
        <w:ind w:firstLine="420"/>
        <w:rPr>
          <w:rFonts w:hint="eastAsia" w:ascii="宋体" w:hAnsi="宋体" w:cs="宋体"/>
          <w:szCs w:val="21"/>
        </w:rPr>
      </w:pPr>
      <w:r>
        <w:rPr>
          <w:rFonts w:hint="eastAsia" w:ascii="宋体" w:hAnsi="宋体" w:cs="宋体"/>
          <w:szCs w:val="21"/>
        </w:rPr>
        <w:t>7、项目开标活动模式：不见面远程开标模式，供应商在各自地点通过不见面交易系统参加开标会。</w:t>
      </w:r>
    </w:p>
    <w:p>
      <w:pPr>
        <w:spacing w:line="360" w:lineRule="auto"/>
        <w:ind w:firstLine="420"/>
        <w:rPr>
          <w:rFonts w:hint="eastAsia" w:ascii="宋体" w:hAnsi="宋体" w:cs="宋体"/>
          <w:szCs w:val="21"/>
        </w:rPr>
      </w:pPr>
      <w:r>
        <w:rPr>
          <w:rFonts w:hint="eastAsia" w:ascii="宋体" w:hAnsi="宋体" w:cs="宋体"/>
          <w:szCs w:val="21"/>
        </w:rPr>
        <w:t>8、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pPr>
        <w:pStyle w:val="4"/>
        <w:spacing w:before="0" w:after="0" w:line="360" w:lineRule="auto"/>
        <w:ind w:firstLine="422"/>
        <w:rPr>
          <w:rFonts w:hint="eastAsia" w:ascii="宋体" w:hAnsi="宋体" w:eastAsia="宋体" w:cs="宋体"/>
          <w:bCs w:val="0"/>
          <w:sz w:val="21"/>
          <w:szCs w:val="21"/>
        </w:rPr>
      </w:pPr>
      <w:bookmarkStart w:id="61" w:name="_Toc26045"/>
      <w:r>
        <w:rPr>
          <w:rFonts w:hint="eastAsia" w:ascii="宋体" w:hAnsi="宋体" w:eastAsia="宋体" w:cs="宋体"/>
          <w:bCs w:val="0"/>
          <w:sz w:val="21"/>
          <w:szCs w:val="21"/>
        </w:rPr>
        <w:t>八、凡对本次采购提出询问，请按以下方式联系。</w:t>
      </w:r>
      <w:bookmarkEnd w:id="55"/>
      <w:bookmarkEnd w:id="56"/>
      <w:bookmarkEnd w:id="57"/>
      <w:bookmarkEnd w:id="58"/>
      <w:bookmarkEnd w:id="59"/>
      <w:bookmarkEnd w:id="60"/>
      <w:bookmarkEnd w:id="61"/>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1.采购人信息</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名     称：江苏省无线电监测站</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地     址：南京市玄武区珠江路280号</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联 系 人：魏晓敏</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电     话：025-83268163</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2.采购代理机构信息</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名    称：江苏益诚建设工程咨询有限公司</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地　　址：南京市鼓楼区建宁路37号万谷智慧硅巷12楼</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联系方式：15358199285</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3.项目联系方式</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项目联系人：季天凤</w:t>
      </w:r>
    </w:p>
    <w:p>
      <w:pPr>
        <w:widowControl/>
        <w:shd w:val="clear" w:color="auto" w:fill="FFFFFF"/>
        <w:snapToGrid w:val="0"/>
        <w:spacing w:line="360" w:lineRule="auto"/>
        <w:ind w:firstLine="420"/>
        <w:rPr>
          <w:rFonts w:hint="eastAsia" w:ascii="宋体" w:hAnsi="宋体" w:cs="宋体"/>
          <w:szCs w:val="21"/>
        </w:rPr>
      </w:pPr>
      <w:r>
        <w:rPr>
          <w:rFonts w:hint="eastAsia" w:ascii="宋体" w:hAnsi="宋体" w:cs="宋体"/>
          <w:szCs w:val="21"/>
        </w:rPr>
        <w:t>联系方式：15358199285</w:t>
      </w:r>
    </w:p>
    <w:p>
      <w:pPr>
        <w:spacing w:line="360" w:lineRule="auto"/>
        <w:jc w:val="center"/>
      </w:pPr>
      <w:bookmarkStart w:id="62" w:name="_Toc26929"/>
      <w:bookmarkStart w:id="63" w:name="_Toc1175"/>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outlineLvl w:val="0"/>
        <w:rPr>
          <w:rFonts w:ascii="Arial" w:hAnsi="Arial" w:eastAsia="黑体" w:cs="Arial"/>
          <w:b/>
          <w:sz w:val="28"/>
          <w:szCs w:val="28"/>
        </w:rPr>
      </w:pPr>
      <w:r>
        <w:rPr>
          <w:rFonts w:ascii="Arial" w:hAnsi="Arial" w:eastAsia="黑体" w:cs="Arial"/>
          <w:b/>
          <w:sz w:val="28"/>
          <w:szCs w:val="28"/>
        </w:rPr>
        <w:t>第二章 供应商须知</w:t>
      </w:r>
      <w:bookmarkEnd w:id="62"/>
      <w:bookmarkEnd w:id="63"/>
    </w:p>
    <w:p>
      <w:pPr>
        <w:widowControl/>
        <w:shd w:val="clear" w:color="auto" w:fill="FFFFFF"/>
        <w:spacing w:line="360" w:lineRule="auto"/>
        <w:rPr>
          <w:rFonts w:hint="eastAsia" w:ascii="宋体" w:hAnsi="宋体" w:cs="宋体"/>
          <w:b/>
          <w:bCs/>
          <w:sz w:val="24"/>
        </w:rPr>
      </w:pPr>
      <w:r>
        <w:rPr>
          <w:rFonts w:ascii="Arial" w:hAnsi="Arial" w:cs="Arial"/>
          <w:b/>
          <w:bCs/>
          <w:sz w:val="24"/>
        </w:rPr>
        <w:t>供应商须知前附表（本表是对供应商须知的具体补充和修改，如有矛盾，应以本表为准）</w:t>
      </w:r>
    </w:p>
    <w:tbl>
      <w:tblPr>
        <w:tblStyle w:val="49"/>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序号</w:t>
            </w:r>
          </w:p>
        </w:tc>
        <w:tc>
          <w:tcPr>
            <w:tcW w:w="8980" w:type="dxa"/>
            <w:vAlign w:val="center"/>
          </w:tcPr>
          <w:p>
            <w:pPr>
              <w:spacing w:line="440" w:lineRule="exact"/>
              <w:jc w:val="center"/>
              <w:rPr>
                <w:rFonts w:hint="eastAsia" w:ascii="宋体" w:hAnsi="宋体" w:cs="宋体"/>
                <w:bCs/>
                <w:szCs w:val="21"/>
              </w:rPr>
            </w:pPr>
            <w:r>
              <w:rPr>
                <w:rFonts w:hint="eastAsia" w:ascii="宋体" w:hAnsi="宋体" w:cs="宋体"/>
                <w:bCs/>
                <w:szCs w:val="21"/>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1</w:t>
            </w:r>
          </w:p>
        </w:tc>
        <w:tc>
          <w:tcPr>
            <w:tcW w:w="8980" w:type="dxa"/>
            <w:vAlign w:val="center"/>
          </w:tcPr>
          <w:p>
            <w:pPr>
              <w:widowControl/>
              <w:shd w:val="clear" w:color="auto" w:fill="FFFFFF"/>
              <w:spacing w:line="440" w:lineRule="exact"/>
              <w:rPr>
                <w:rFonts w:hint="eastAsia" w:ascii="宋体" w:hAnsi="宋体" w:cs="宋体"/>
                <w:szCs w:val="21"/>
              </w:rPr>
            </w:pPr>
            <w:r>
              <w:rPr>
                <w:rFonts w:hint="eastAsia" w:ascii="宋体" w:hAnsi="宋体" w:cs="宋体"/>
                <w:szCs w:val="21"/>
              </w:rPr>
              <w:t>采购人：江苏省无线电监测站</w:t>
            </w:r>
          </w:p>
          <w:p>
            <w:pPr>
              <w:widowControl/>
              <w:shd w:val="clear" w:color="auto" w:fill="FFFFFF"/>
              <w:spacing w:line="440" w:lineRule="exact"/>
              <w:rPr>
                <w:rFonts w:hint="eastAsia" w:ascii="宋体" w:hAnsi="宋体" w:cs="宋体"/>
                <w:szCs w:val="21"/>
              </w:rPr>
            </w:pPr>
            <w:r>
              <w:rPr>
                <w:rFonts w:hint="eastAsia" w:ascii="宋体" w:hAnsi="宋体" w:cs="宋体"/>
                <w:szCs w:val="21"/>
              </w:rPr>
              <w:t>联系人：魏晓敏</w:t>
            </w:r>
          </w:p>
          <w:p>
            <w:pPr>
              <w:widowControl/>
              <w:shd w:val="clear" w:color="auto" w:fill="FFFFFF"/>
              <w:spacing w:line="440" w:lineRule="exact"/>
              <w:rPr>
                <w:rFonts w:hint="eastAsia" w:ascii="宋体" w:hAnsi="宋体" w:cs="宋体"/>
                <w:szCs w:val="21"/>
              </w:rPr>
            </w:pPr>
            <w:r>
              <w:rPr>
                <w:rFonts w:hint="eastAsia" w:ascii="宋体" w:hAnsi="宋体" w:cs="宋体"/>
                <w:szCs w:val="21"/>
              </w:rPr>
              <w:t>联系方式：025-83268163</w:t>
            </w:r>
          </w:p>
          <w:p>
            <w:pPr>
              <w:spacing w:line="440" w:lineRule="exact"/>
              <w:rPr>
                <w:rFonts w:hint="eastAsia" w:ascii="宋体" w:hAnsi="宋体" w:cs="宋体"/>
                <w:b/>
                <w:szCs w:val="21"/>
              </w:rPr>
            </w:pPr>
            <w:r>
              <w:rPr>
                <w:rFonts w:hint="eastAsia" w:ascii="宋体" w:hAnsi="宋体" w:cs="宋体"/>
                <w:szCs w:val="21"/>
              </w:rPr>
              <w:t>地址：南京市玄武区珠江路280号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2</w:t>
            </w:r>
          </w:p>
        </w:tc>
        <w:tc>
          <w:tcPr>
            <w:tcW w:w="8980" w:type="dxa"/>
            <w:vAlign w:val="center"/>
          </w:tcPr>
          <w:p>
            <w:pPr>
              <w:widowControl/>
              <w:shd w:val="clear" w:color="auto" w:fill="FFFFFF"/>
              <w:spacing w:line="440" w:lineRule="exact"/>
              <w:rPr>
                <w:rFonts w:hint="eastAsia" w:ascii="宋体" w:hAnsi="宋体" w:cs="宋体"/>
                <w:szCs w:val="21"/>
              </w:rPr>
            </w:pPr>
            <w:r>
              <w:rPr>
                <w:rFonts w:hint="eastAsia" w:ascii="宋体" w:hAnsi="宋体" w:cs="宋体"/>
                <w:szCs w:val="21"/>
              </w:rPr>
              <w:t>采购代理机构：江苏益诚建设工程咨询有限公司</w:t>
            </w:r>
          </w:p>
          <w:p>
            <w:pPr>
              <w:widowControl/>
              <w:shd w:val="clear" w:color="auto" w:fill="FFFFFF"/>
              <w:spacing w:line="440" w:lineRule="exact"/>
              <w:rPr>
                <w:rFonts w:hint="eastAsia" w:ascii="宋体" w:hAnsi="宋体" w:cs="宋体"/>
                <w:szCs w:val="21"/>
              </w:rPr>
            </w:pPr>
            <w:r>
              <w:rPr>
                <w:rFonts w:hint="eastAsia" w:ascii="宋体" w:hAnsi="宋体" w:cs="宋体"/>
                <w:szCs w:val="21"/>
              </w:rPr>
              <w:t>项目联系人：季天凤</w:t>
            </w:r>
          </w:p>
          <w:p>
            <w:pPr>
              <w:widowControl/>
              <w:shd w:val="clear" w:color="auto" w:fill="FFFFFF"/>
              <w:spacing w:line="440" w:lineRule="exact"/>
              <w:rPr>
                <w:rFonts w:hint="eastAsia" w:ascii="宋体" w:hAnsi="宋体" w:cs="宋体"/>
                <w:szCs w:val="21"/>
              </w:rPr>
            </w:pPr>
            <w:r>
              <w:rPr>
                <w:rFonts w:hint="eastAsia" w:ascii="宋体" w:hAnsi="宋体" w:cs="宋体"/>
                <w:szCs w:val="21"/>
              </w:rPr>
              <w:t>电话：15358199285</w:t>
            </w:r>
          </w:p>
          <w:p>
            <w:pPr>
              <w:spacing w:line="440" w:lineRule="exact"/>
              <w:rPr>
                <w:rFonts w:hint="eastAsia" w:ascii="宋体" w:hAnsi="宋体" w:cs="宋体"/>
                <w:szCs w:val="21"/>
              </w:rPr>
            </w:pPr>
            <w:r>
              <w:rPr>
                <w:rFonts w:hint="eastAsia" w:ascii="宋体" w:hAnsi="宋体" w:cs="宋体"/>
                <w:szCs w:val="21"/>
              </w:rPr>
              <w:t>联系地址：南京市鼓楼区建宁路37号万谷智慧硅巷12楼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66" w:type="dxa"/>
            <w:vAlign w:val="center"/>
          </w:tcPr>
          <w:p>
            <w:pPr>
              <w:spacing w:line="440" w:lineRule="exact"/>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w:t>
            </w:r>
          </w:p>
        </w:tc>
        <w:tc>
          <w:tcPr>
            <w:tcW w:w="8980" w:type="dxa"/>
            <w:vAlign w:val="center"/>
          </w:tcPr>
          <w:p>
            <w:pPr>
              <w:pStyle w:val="45"/>
              <w:spacing w:before="0" w:beforeAutospacing="0" w:after="0" w:afterAutospacing="0" w:line="4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项目名称：江苏省无线电监测站2026-2027年无线电管理信息专网设备和系统运维服务 </w:t>
            </w:r>
          </w:p>
          <w:p>
            <w:pPr>
              <w:pStyle w:val="45"/>
              <w:spacing w:before="0" w:beforeAutospacing="0" w:after="0" w:afterAutospacing="0" w:line="4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项目编号：JSZC-320000-JSYC-C2026-0025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4</w:t>
            </w:r>
          </w:p>
        </w:tc>
        <w:tc>
          <w:tcPr>
            <w:tcW w:w="8980" w:type="dxa"/>
            <w:vAlign w:val="center"/>
          </w:tcPr>
          <w:p>
            <w:pPr>
              <w:widowControl/>
              <w:shd w:val="clear" w:color="auto" w:fill="FFFFFF"/>
              <w:spacing w:line="440" w:lineRule="exact"/>
              <w:rPr>
                <w:rFonts w:hint="eastAsia" w:ascii="宋体" w:hAnsi="宋体" w:cs="宋体"/>
                <w:szCs w:val="21"/>
              </w:rPr>
            </w:pPr>
            <w:r>
              <w:rPr>
                <w:rFonts w:hint="eastAsia" w:ascii="宋体" w:hAnsi="宋体" w:cs="宋体"/>
                <w:szCs w:val="21"/>
              </w:rPr>
              <w:t>采购方式：竞争性磋商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5</w:t>
            </w:r>
          </w:p>
        </w:tc>
        <w:tc>
          <w:tcPr>
            <w:tcW w:w="8980" w:type="dxa"/>
            <w:vAlign w:val="center"/>
          </w:tcPr>
          <w:p>
            <w:pPr>
              <w:widowControl/>
              <w:shd w:val="clear" w:color="auto" w:fill="FFFFFF"/>
              <w:spacing w:line="440" w:lineRule="exact"/>
              <w:rPr>
                <w:rFonts w:hint="eastAsia" w:ascii="宋体" w:hAnsi="宋体" w:cs="宋体"/>
                <w:szCs w:val="21"/>
              </w:rPr>
            </w:pPr>
            <w:r>
              <w:rPr>
                <w:rFonts w:hint="eastAsia" w:ascii="宋体" w:hAnsi="宋体" w:cs="宋体"/>
                <w:szCs w:val="21"/>
              </w:rPr>
              <w:t>响应有效期：递交响应文件截止之日起90天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6</w:t>
            </w:r>
          </w:p>
        </w:tc>
        <w:tc>
          <w:tcPr>
            <w:tcW w:w="8980" w:type="dxa"/>
            <w:vAlign w:val="center"/>
          </w:tcPr>
          <w:p>
            <w:pPr>
              <w:pStyle w:val="210"/>
              <w:spacing w:line="440" w:lineRule="exact"/>
              <w:ind w:firstLine="0"/>
              <w:jc w:val="left"/>
              <w:rPr>
                <w:rFonts w:hint="eastAsia" w:ascii="宋体" w:hAnsi="宋体" w:cs="宋体"/>
                <w:szCs w:val="21"/>
              </w:rPr>
            </w:pPr>
            <w:r>
              <w:rPr>
                <w:rFonts w:hint="eastAsia" w:ascii="宋体" w:hAnsi="宋体" w:cs="宋体"/>
                <w:b/>
                <w:bCs/>
                <w:szCs w:val="21"/>
              </w:rPr>
              <w:t>磋商保证金：本项目不收取</w:t>
            </w:r>
            <w:r>
              <w:rPr>
                <w:rFonts w:hint="eastAsia" w:ascii="宋体" w:hAnsi="宋体" w:cs="宋体"/>
                <w:szCs w:val="21"/>
              </w:rPr>
              <w:t>，本文件中与磋商保证金有关条款不生效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7</w:t>
            </w:r>
          </w:p>
        </w:tc>
        <w:tc>
          <w:tcPr>
            <w:tcW w:w="8980" w:type="dxa"/>
            <w:vAlign w:val="center"/>
          </w:tcPr>
          <w:p>
            <w:pPr>
              <w:spacing w:line="440" w:lineRule="exact"/>
              <w:jc w:val="left"/>
              <w:rPr>
                <w:rFonts w:hint="eastAsia" w:ascii="宋体" w:hAnsi="宋体" w:cs="宋体"/>
                <w:szCs w:val="21"/>
              </w:rPr>
            </w:pPr>
            <w:r>
              <w:rPr>
                <w:rFonts w:hint="eastAsia" w:ascii="宋体" w:hAnsi="宋体" w:cs="宋体"/>
                <w:szCs w:val="21"/>
              </w:rPr>
              <w:t>响应文件份数：电子响应文件一份(通过系统提交)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8</w:t>
            </w:r>
          </w:p>
        </w:tc>
        <w:tc>
          <w:tcPr>
            <w:tcW w:w="8980" w:type="dxa"/>
            <w:vAlign w:val="center"/>
          </w:tcPr>
          <w:p>
            <w:pPr>
              <w:spacing w:line="460" w:lineRule="exact"/>
              <w:rPr>
                <w:rFonts w:hint="eastAsia" w:ascii="宋体" w:hAnsi="宋体" w:cs="宋体"/>
                <w:szCs w:val="21"/>
              </w:rPr>
            </w:pPr>
            <w:r>
              <w:rPr>
                <w:rFonts w:hint="eastAsia" w:ascii="宋体" w:hAnsi="宋体" w:cs="宋体"/>
                <w:szCs w:val="21"/>
              </w:rPr>
              <w:t>响应文件提交截止时间：详见竞争性磋商公告</w:t>
            </w:r>
          </w:p>
          <w:p>
            <w:pPr>
              <w:spacing w:line="460" w:lineRule="exact"/>
              <w:rPr>
                <w:rFonts w:hint="eastAsia" w:ascii="宋体" w:hAnsi="宋体" w:cs="宋体"/>
                <w:szCs w:val="21"/>
              </w:rPr>
            </w:pPr>
            <w:r>
              <w:rPr>
                <w:rFonts w:hint="eastAsia" w:ascii="宋体" w:hAnsi="宋体" w:cs="宋体"/>
                <w:szCs w:val="21"/>
              </w:rPr>
              <w:t>开启时间：详见竞争性磋商公告</w:t>
            </w:r>
          </w:p>
          <w:p>
            <w:pPr>
              <w:spacing w:line="440" w:lineRule="exact"/>
              <w:jc w:val="left"/>
              <w:rPr>
                <w:rFonts w:hint="eastAsia" w:ascii="宋体" w:hAnsi="宋体" w:cs="宋体"/>
                <w:szCs w:val="21"/>
              </w:rPr>
            </w:pPr>
            <w:r>
              <w:rPr>
                <w:rFonts w:hint="eastAsia" w:ascii="宋体" w:hAnsi="宋体" w:cs="宋体"/>
                <w:szCs w:val="21"/>
              </w:rPr>
              <w:t>地点：详见竞争性磋商公告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9</w:t>
            </w:r>
          </w:p>
        </w:tc>
        <w:tc>
          <w:tcPr>
            <w:tcW w:w="8980" w:type="dxa"/>
            <w:vAlign w:val="center"/>
          </w:tcPr>
          <w:p>
            <w:pPr>
              <w:spacing w:line="440" w:lineRule="exact"/>
              <w:rPr>
                <w:rFonts w:hint="eastAsia" w:ascii="宋体" w:hAnsi="宋体" w:cs="宋体"/>
                <w:szCs w:val="21"/>
              </w:rPr>
            </w:pPr>
            <w:r>
              <w:rPr>
                <w:rFonts w:hint="eastAsia" w:ascii="宋体" w:hAnsi="宋体" w:cs="宋体"/>
                <w:szCs w:val="21"/>
              </w:rPr>
              <w:t>磋商报价：</w:t>
            </w:r>
          </w:p>
          <w:p>
            <w:pPr>
              <w:pStyle w:val="48"/>
              <w:spacing w:line="440" w:lineRule="exact"/>
              <w:ind w:firstLine="0"/>
              <w:rPr>
                <w:rFonts w:hint="eastAsia" w:hAnsi="宋体" w:cs="宋体"/>
                <w:sz w:val="21"/>
                <w:szCs w:val="21"/>
              </w:rPr>
            </w:pPr>
            <w:r>
              <w:rPr>
                <w:rFonts w:hint="eastAsia" w:hAnsi="宋体" w:cs="宋体"/>
                <w:sz w:val="21"/>
                <w:szCs w:val="21"/>
              </w:rPr>
              <w:t>1.本项目以人民币报价，采用总承包方式，磋商报价为项目履约涉及到的一切费用。</w:t>
            </w:r>
          </w:p>
          <w:p>
            <w:pPr>
              <w:pStyle w:val="48"/>
              <w:spacing w:line="440" w:lineRule="exact"/>
              <w:ind w:firstLine="0"/>
              <w:rPr>
                <w:rFonts w:hint="eastAsia" w:hAnsi="宋体" w:cs="宋体"/>
                <w:sz w:val="21"/>
                <w:szCs w:val="21"/>
              </w:rPr>
            </w:pPr>
            <w:r>
              <w:rPr>
                <w:rFonts w:hint="eastAsia" w:hAnsi="宋体" w:cs="宋体"/>
                <w:sz w:val="21"/>
                <w:szCs w:val="21"/>
              </w:rPr>
              <w:t>2.除非采购文件有特别说明，采购人不接受备选的响应方案或有选择的报价。</w:t>
            </w:r>
          </w:p>
          <w:p>
            <w:pPr>
              <w:pStyle w:val="48"/>
              <w:spacing w:line="440" w:lineRule="exact"/>
              <w:ind w:firstLine="0"/>
              <w:rPr>
                <w:rFonts w:hint="eastAsia" w:hAnsi="宋体" w:cs="宋体"/>
                <w:sz w:val="21"/>
                <w:szCs w:val="21"/>
              </w:rPr>
            </w:pPr>
            <w:r>
              <w:rPr>
                <w:rFonts w:hint="eastAsia" w:hAnsi="宋体" w:cs="宋体"/>
                <w:sz w:val="21"/>
                <w:szCs w:val="21"/>
              </w:rPr>
              <w:t>3.磋商报价不得超过采购预算及最高限价，否则响应文件作无效处理。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10</w:t>
            </w:r>
          </w:p>
        </w:tc>
        <w:tc>
          <w:tcPr>
            <w:tcW w:w="8980" w:type="dxa"/>
            <w:vAlign w:val="center"/>
          </w:tcPr>
          <w:p>
            <w:pPr>
              <w:spacing w:line="440" w:lineRule="exact"/>
              <w:ind w:firstLine="15"/>
              <w:rPr>
                <w:rFonts w:hint="eastAsia" w:ascii="宋体" w:hAnsi="宋体" w:cs="宋体"/>
                <w:bCs/>
                <w:szCs w:val="21"/>
              </w:rPr>
            </w:pPr>
            <w:r>
              <w:rPr>
                <w:rFonts w:hint="eastAsia" w:ascii="宋体" w:hAnsi="宋体" w:cs="宋体"/>
                <w:b/>
                <w:szCs w:val="21"/>
              </w:rPr>
              <w:t>现场勘查要求：具体要求详见磋商文件第四章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11</w:t>
            </w:r>
          </w:p>
        </w:tc>
        <w:tc>
          <w:tcPr>
            <w:tcW w:w="8980" w:type="dxa"/>
            <w:vAlign w:val="center"/>
          </w:tcPr>
          <w:p>
            <w:pPr>
              <w:spacing w:line="440" w:lineRule="exact"/>
              <w:rPr>
                <w:rFonts w:hint="eastAsia" w:ascii="宋体" w:hAnsi="宋体" w:cs="宋体"/>
                <w:b/>
                <w:bCs/>
                <w:szCs w:val="21"/>
              </w:rPr>
            </w:pPr>
            <w:r>
              <w:rPr>
                <w:rFonts w:hint="eastAsia" w:ascii="宋体" w:hAnsi="宋体" w:cs="宋体"/>
                <w:b/>
                <w:bCs/>
                <w:szCs w:val="21"/>
              </w:rPr>
              <w:t>信用信息：</w:t>
            </w:r>
          </w:p>
          <w:p>
            <w:pPr>
              <w:spacing w:line="440" w:lineRule="exact"/>
              <w:rPr>
                <w:rFonts w:hint="eastAsia" w:ascii="宋体" w:hAnsi="宋体" w:cs="宋体"/>
                <w:szCs w:val="21"/>
              </w:rPr>
            </w:pPr>
            <w:r>
              <w:rPr>
                <w:rFonts w:hint="eastAsia" w:ascii="宋体" w:hAnsi="宋体" w:cs="宋体"/>
                <w:szCs w:val="21"/>
              </w:rPr>
              <w:t>1）信用信息查询渠道：“信用中国”网站(www.creditchina.gov.cn)、中国政府采购网(www.ccgp.gov.cn)等。</w:t>
            </w:r>
          </w:p>
          <w:p>
            <w:pPr>
              <w:spacing w:line="440" w:lineRule="exact"/>
              <w:rPr>
                <w:rFonts w:hint="eastAsia" w:ascii="宋体" w:hAnsi="宋体" w:cs="宋体"/>
                <w:szCs w:val="21"/>
              </w:rPr>
            </w:pPr>
            <w:r>
              <w:rPr>
                <w:rFonts w:hint="eastAsia" w:ascii="宋体" w:hAnsi="宋体" w:cs="宋体"/>
                <w:szCs w:val="21"/>
              </w:rPr>
              <w:t>2）信用信息查询截止时点：</w:t>
            </w:r>
            <w:r>
              <w:rPr>
                <w:rFonts w:hint="eastAsia" w:ascii="宋体" w:hAnsi="宋体" w:cs="宋体"/>
                <w:b/>
                <w:bCs/>
                <w:szCs w:val="21"/>
              </w:rPr>
              <w:t>递交响应文件截止之日前。</w:t>
            </w:r>
          </w:p>
          <w:p>
            <w:pPr>
              <w:widowControl/>
              <w:shd w:val="clear" w:color="auto" w:fill="FFFFFF"/>
              <w:spacing w:line="440" w:lineRule="exact"/>
              <w:rPr>
                <w:rFonts w:hint="eastAsia" w:ascii="宋体" w:hAnsi="宋体" w:cs="宋体"/>
                <w:szCs w:val="21"/>
              </w:rPr>
            </w:pPr>
            <w:r>
              <w:rPr>
                <w:rFonts w:hint="eastAsia" w:ascii="宋体" w:hAnsi="宋体" w:cs="宋体"/>
                <w:szCs w:val="21"/>
              </w:rPr>
              <w:t>3）信用信息的使用规则：拒绝列入失信被执行人、重大税收违法案件当事人名单、政府采购严重违法失信行为记录名单的供应商参与政府采购活动。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66" w:type="dxa"/>
            <w:vAlign w:val="center"/>
          </w:tcPr>
          <w:p>
            <w:pPr>
              <w:jc w:val="center"/>
              <w:rPr>
                <w:rFonts w:hint="eastAsia" w:ascii="宋体" w:hAnsi="宋体" w:cs="宋体"/>
                <w:bCs/>
                <w:szCs w:val="21"/>
              </w:rPr>
            </w:pPr>
            <w:r>
              <w:rPr>
                <w:rFonts w:hint="eastAsia" w:ascii="宋体" w:hAnsi="宋体" w:cs="宋体"/>
                <w:bCs/>
                <w:szCs w:val="21"/>
              </w:rPr>
              <w:t>12</w:t>
            </w:r>
          </w:p>
        </w:tc>
        <w:tc>
          <w:tcPr>
            <w:tcW w:w="8980" w:type="dxa"/>
            <w:vAlign w:val="center"/>
          </w:tcPr>
          <w:p>
            <w:pPr>
              <w:rPr>
                <w:rFonts w:hint="eastAsia" w:ascii="宋体" w:hAnsi="宋体" w:cs="宋体"/>
                <w:color w:val="000000"/>
                <w:szCs w:val="21"/>
              </w:rPr>
            </w:pPr>
            <w:r>
              <w:rPr>
                <w:rFonts w:hint="eastAsia" w:ascii="宋体" w:hAnsi="宋体" w:cs="宋体"/>
                <w:szCs w:val="21"/>
              </w:rPr>
              <w:t>采购标的对应中小企业划分标准所属行业：</w:t>
            </w:r>
            <w:r>
              <w:rPr>
                <w:rFonts w:hint="eastAsia" w:ascii="宋体" w:hAnsi="宋体" w:cs="宋体"/>
                <w:color w:val="000000"/>
                <w:szCs w:val="21"/>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13</w:t>
            </w:r>
          </w:p>
        </w:tc>
        <w:tc>
          <w:tcPr>
            <w:tcW w:w="8980" w:type="dxa"/>
            <w:vAlign w:val="center"/>
          </w:tcPr>
          <w:p>
            <w:pPr>
              <w:autoSpaceDE w:val="0"/>
              <w:autoSpaceDN w:val="0"/>
              <w:adjustRightInd w:val="0"/>
              <w:snapToGrid w:val="0"/>
              <w:spacing w:line="360" w:lineRule="auto"/>
              <w:rPr>
                <w:rFonts w:hint="eastAsia" w:ascii="宋体" w:hAnsi="宋体"/>
                <w:szCs w:val="21"/>
              </w:rPr>
            </w:pPr>
            <w:r>
              <w:rPr>
                <w:rFonts w:hint="eastAsia" w:ascii="宋体" w:hAnsi="宋体"/>
                <w:szCs w:val="21"/>
              </w:rPr>
              <w:t>供应商应承担所有与准备和参加磋商有关的费用，无论采购结果如何，代理机构和采购人在任何情况下均无义务和责任承担这些费用。</w:t>
            </w:r>
          </w:p>
          <w:p>
            <w:pPr>
              <w:spacing w:line="360" w:lineRule="auto"/>
              <w:rPr>
                <w:rFonts w:hint="eastAsia" w:ascii="宋体" w:hAnsi="宋体"/>
                <w:szCs w:val="21"/>
              </w:rPr>
            </w:pPr>
            <w:r>
              <w:rPr>
                <w:rFonts w:hint="eastAsia" w:ascii="宋体" w:hAnsi="宋体"/>
                <w:szCs w:val="21"/>
              </w:rPr>
              <w:t>本项目招标代理服务费由中标供应商支付，费用包含在报价内，请供应商投标时自行考虑，不得单列。</w:t>
            </w:r>
          </w:p>
          <w:p>
            <w:pPr>
              <w:spacing w:line="360" w:lineRule="auto"/>
              <w:rPr>
                <w:rFonts w:hint="eastAsia" w:ascii="宋体" w:hAnsi="宋体" w:cs="宋体"/>
                <w:szCs w:val="21"/>
              </w:rPr>
            </w:pPr>
            <w:r>
              <w:rPr>
                <w:rFonts w:hint="eastAsia" w:ascii="宋体" w:hAnsi="宋体"/>
                <w:szCs w:val="21"/>
              </w:rPr>
              <w:t>代理费以中标价为基础按《江苏省招标代理服务收费的指导意见》的通知-苏招协[2022]002号× 80 %（折扣率）计费，向代理机构支付招标代理服务费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66" w:type="dxa"/>
            <w:vAlign w:val="center"/>
          </w:tcPr>
          <w:p>
            <w:pPr>
              <w:jc w:val="center"/>
              <w:rPr>
                <w:rFonts w:hint="eastAsia" w:ascii="宋体" w:hAnsi="宋体" w:cs="宋体"/>
                <w:bCs/>
                <w:szCs w:val="21"/>
              </w:rPr>
            </w:pPr>
            <w:r>
              <w:rPr>
                <w:rFonts w:hint="eastAsia" w:ascii="宋体" w:hAnsi="宋体" w:cs="宋体"/>
                <w:bCs/>
                <w:szCs w:val="21"/>
              </w:rPr>
              <w:t>14</w:t>
            </w:r>
          </w:p>
        </w:tc>
        <w:tc>
          <w:tcPr>
            <w:tcW w:w="8980" w:type="dxa"/>
            <w:vAlign w:val="center"/>
          </w:tcPr>
          <w:p>
            <w:pPr>
              <w:keepLines/>
              <w:spacing w:line="440" w:lineRule="exact"/>
              <w:rPr>
                <w:rFonts w:hint="eastAsia" w:ascii="宋体" w:hAnsi="宋体" w:cs="宋体"/>
                <w:bCs/>
                <w:szCs w:val="21"/>
              </w:rPr>
            </w:pPr>
            <w:r>
              <w:rPr>
                <w:rFonts w:hint="eastAsia" w:ascii="宋体" w:hAnsi="宋体" w:cs="宋体"/>
                <w:bCs/>
                <w:szCs w:val="21"/>
              </w:rPr>
              <w:t>1、供应商对政府采购活动事项有疑问的，可以提出询问，</w:t>
            </w:r>
            <w:r>
              <w:rPr>
                <w:rFonts w:hint="eastAsia" w:ascii="宋体" w:hAnsi="宋体" w:cs="宋体"/>
                <w:b/>
                <w:szCs w:val="21"/>
              </w:rPr>
              <w:t>联系方式详见第一章竞争性磋商公告</w:t>
            </w:r>
            <w:r>
              <w:rPr>
                <w:rFonts w:hint="eastAsia" w:ascii="宋体" w:hAnsi="宋体" w:cs="宋体"/>
                <w:bCs/>
                <w:szCs w:val="21"/>
              </w:rPr>
              <w:t>。</w:t>
            </w:r>
          </w:p>
          <w:p>
            <w:pPr>
              <w:keepLines/>
              <w:spacing w:line="440" w:lineRule="exact"/>
              <w:rPr>
                <w:rFonts w:hint="eastAsia" w:ascii="宋体" w:hAnsi="宋体" w:cs="宋体"/>
                <w:bCs/>
                <w:szCs w:val="21"/>
              </w:rPr>
            </w:pPr>
            <w:r>
              <w:rPr>
                <w:rFonts w:hint="eastAsia" w:ascii="宋体" w:hAnsi="宋体" w:cs="宋体"/>
                <w:bCs/>
                <w:szCs w:val="21"/>
              </w:rPr>
              <w:t>2、供应商认为采购文件、采购过程、中标或者成交结果使自己的权益受到损害的，可以在知道或者应知权益受到损害之日起7个工作日内，提出质疑。</w:t>
            </w:r>
          </w:p>
          <w:p>
            <w:pPr>
              <w:keepLines/>
              <w:spacing w:line="440" w:lineRule="exact"/>
              <w:rPr>
                <w:rFonts w:hint="eastAsia" w:ascii="宋体" w:hAnsi="宋体" w:cs="宋体"/>
                <w:bCs/>
                <w:szCs w:val="21"/>
              </w:rPr>
            </w:pPr>
            <w:r>
              <w:rPr>
                <w:rFonts w:hint="eastAsia" w:ascii="宋体" w:hAnsi="宋体" w:cs="宋体"/>
                <w:bCs/>
                <w:szCs w:val="21"/>
              </w:rPr>
              <w:t>（1）接收质疑函的方式：供应商应在法定质疑期内将质疑函以</w:t>
            </w:r>
            <w:r>
              <w:rPr>
                <w:rFonts w:hint="eastAsia" w:ascii="宋体" w:hAnsi="宋体" w:cs="宋体"/>
                <w:b/>
                <w:szCs w:val="21"/>
              </w:rPr>
              <w:t>书面形式（原件）</w:t>
            </w:r>
            <w:r>
              <w:rPr>
                <w:rFonts w:hint="eastAsia" w:ascii="宋体" w:hAnsi="宋体" w:cs="宋体"/>
                <w:bCs/>
                <w:szCs w:val="21"/>
              </w:rPr>
              <w:t>送达代理机构，</w:t>
            </w:r>
            <w:r>
              <w:rPr>
                <w:rFonts w:hint="eastAsia" w:ascii="宋体" w:hAnsi="宋体" w:cs="宋体"/>
                <w:b/>
                <w:szCs w:val="21"/>
              </w:rPr>
              <w:t>针对本项目同一采购程序环节</w:t>
            </w:r>
            <w:r>
              <w:rPr>
                <w:rFonts w:hint="eastAsia" w:ascii="宋体" w:hAnsi="宋体" w:cs="宋体"/>
                <w:bCs/>
                <w:szCs w:val="21"/>
              </w:rPr>
              <w:t>的质疑应</w:t>
            </w:r>
            <w:r>
              <w:rPr>
                <w:rFonts w:hint="eastAsia" w:ascii="宋体" w:hAnsi="宋体" w:cs="宋体"/>
                <w:b/>
                <w:szCs w:val="21"/>
              </w:rPr>
              <w:t>一次性提出</w:t>
            </w:r>
            <w:r>
              <w:rPr>
                <w:rFonts w:hint="eastAsia" w:ascii="宋体" w:hAnsi="宋体" w:cs="宋体"/>
                <w:bCs/>
                <w:szCs w:val="21"/>
              </w:rPr>
              <w:t>。</w:t>
            </w:r>
          </w:p>
          <w:p>
            <w:pPr>
              <w:keepLines/>
              <w:spacing w:line="440" w:lineRule="exact"/>
              <w:rPr>
                <w:rFonts w:hint="eastAsia" w:ascii="宋体" w:hAnsi="宋体" w:cs="宋体"/>
                <w:bCs/>
                <w:szCs w:val="21"/>
              </w:rPr>
            </w:pPr>
            <w:r>
              <w:rPr>
                <w:rFonts w:hint="eastAsia" w:ascii="宋体" w:hAnsi="宋体" w:cs="宋体"/>
                <w:bCs/>
                <w:szCs w:val="21"/>
              </w:rPr>
              <w:t>（2）质疑函应包括以下主要内容，并按照“谁主张、谁举证”的原则，附上相关证明材料。质疑函的质疑事项应具体、明确，并有必要的事实依据和法律依据。质疑函的质疑请求应与质疑事项相关。否则，代理机构不予受理：</w:t>
            </w:r>
          </w:p>
          <w:p>
            <w:pPr>
              <w:keepLines/>
              <w:spacing w:line="440" w:lineRule="exact"/>
              <w:ind w:firstLine="210"/>
              <w:rPr>
                <w:rFonts w:hint="eastAsia" w:ascii="宋体" w:hAnsi="宋体" w:cs="宋体"/>
                <w:bCs/>
                <w:szCs w:val="21"/>
              </w:rPr>
            </w:pPr>
            <w:r>
              <w:rPr>
                <w:rFonts w:hint="eastAsia" w:ascii="宋体" w:hAnsi="宋体" w:cs="宋体"/>
                <w:bCs/>
                <w:szCs w:val="21"/>
              </w:rPr>
              <w:t>①供应商的姓名或者名称、地址、邮编、联系人及联系电话；</w:t>
            </w:r>
          </w:p>
          <w:p>
            <w:pPr>
              <w:keepLines/>
              <w:spacing w:line="440" w:lineRule="exact"/>
              <w:ind w:firstLine="210"/>
              <w:rPr>
                <w:rFonts w:hint="eastAsia" w:ascii="宋体" w:hAnsi="宋体" w:cs="宋体"/>
                <w:bCs/>
                <w:szCs w:val="21"/>
              </w:rPr>
            </w:pPr>
            <w:r>
              <w:rPr>
                <w:rFonts w:hint="eastAsia" w:ascii="宋体" w:hAnsi="宋体" w:cs="宋体"/>
                <w:bCs/>
                <w:szCs w:val="21"/>
              </w:rPr>
              <w:t>②质疑项目的名称、编号；</w:t>
            </w:r>
          </w:p>
          <w:p>
            <w:pPr>
              <w:keepLines/>
              <w:spacing w:line="440" w:lineRule="exact"/>
              <w:ind w:firstLine="210"/>
              <w:rPr>
                <w:rFonts w:hint="eastAsia" w:ascii="宋体" w:hAnsi="宋体" w:cs="宋体"/>
                <w:bCs/>
                <w:szCs w:val="21"/>
              </w:rPr>
            </w:pPr>
            <w:r>
              <w:rPr>
                <w:rFonts w:hint="eastAsia" w:ascii="宋体" w:hAnsi="宋体" w:cs="宋体"/>
                <w:bCs/>
                <w:szCs w:val="21"/>
              </w:rPr>
              <w:t>③具体、明确的质疑事项和与质疑事项相关的请求；</w:t>
            </w:r>
          </w:p>
          <w:p>
            <w:pPr>
              <w:keepLines/>
              <w:spacing w:line="440" w:lineRule="exact"/>
              <w:ind w:firstLine="210"/>
              <w:rPr>
                <w:rFonts w:hint="eastAsia" w:ascii="宋体" w:hAnsi="宋体" w:cs="宋体"/>
                <w:bCs/>
                <w:szCs w:val="21"/>
              </w:rPr>
            </w:pPr>
            <w:r>
              <w:rPr>
                <w:rFonts w:hint="eastAsia" w:ascii="宋体" w:hAnsi="宋体" w:cs="宋体"/>
                <w:bCs/>
                <w:szCs w:val="21"/>
              </w:rPr>
              <w:t>④事实依据；</w:t>
            </w:r>
          </w:p>
          <w:p>
            <w:pPr>
              <w:keepLines/>
              <w:spacing w:line="440" w:lineRule="exact"/>
              <w:ind w:firstLine="210"/>
              <w:rPr>
                <w:rFonts w:hint="eastAsia" w:ascii="宋体" w:hAnsi="宋体" w:cs="宋体"/>
                <w:bCs/>
                <w:szCs w:val="21"/>
              </w:rPr>
            </w:pPr>
            <w:r>
              <w:rPr>
                <w:rFonts w:hint="eastAsia" w:ascii="宋体" w:hAnsi="宋体" w:cs="宋体"/>
                <w:bCs/>
                <w:szCs w:val="21"/>
              </w:rPr>
              <w:t>⑤必要的法律依据；</w:t>
            </w:r>
          </w:p>
          <w:p>
            <w:pPr>
              <w:keepLines/>
              <w:spacing w:line="440" w:lineRule="exact"/>
              <w:ind w:firstLine="210"/>
              <w:rPr>
                <w:rFonts w:hint="eastAsia" w:ascii="宋体" w:hAnsi="宋体" w:cs="宋体"/>
                <w:bCs/>
                <w:szCs w:val="21"/>
              </w:rPr>
            </w:pPr>
            <w:r>
              <w:rPr>
                <w:rFonts w:hint="eastAsia" w:ascii="宋体" w:hAnsi="宋体" w:cs="宋体"/>
                <w:bCs/>
                <w:szCs w:val="21"/>
              </w:rPr>
              <w:t>⑥提出质疑的日期；</w:t>
            </w:r>
          </w:p>
          <w:p>
            <w:pPr>
              <w:keepLines/>
              <w:spacing w:line="440" w:lineRule="exact"/>
              <w:ind w:firstLine="210"/>
              <w:rPr>
                <w:rFonts w:hint="eastAsia" w:ascii="宋体" w:hAnsi="宋体" w:cs="宋体"/>
                <w:bCs/>
                <w:szCs w:val="21"/>
              </w:rPr>
            </w:pPr>
            <w:r>
              <w:rPr>
                <w:rFonts w:hint="eastAsia" w:ascii="宋体" w:hAnsi="宋体" w:cs="宋体"/>
                <w:bCs/>
                <w:szCs w:val="21"/>
              </w:rPr>
              <w:t>质疑人为自然人的，应当由本人签字并附有效身份证明；质疑人为法人或其他组织的，应当由法定代表人、主要负责人，或者其授权代表签署本人姓名或印盖本人姓名章并加盖单位公章。</w:t>
            </w:r>
          </w:p>
          <w:p>
            <w:pPr>
              <w:keepLines/>
              <w:spacing w:line="440" w:lineRule="exact"/>
              <w:rPr>
                <w:rFonts w:hint="eastAsia" w:ascii="宋体" w:hAnsi="宋体" w:cs="宋体"/>
                <w:bCs/>
                <w:szCs w:val="21"/>
              </w:rPr>
            </w:pPr>
            <w:r>
              <w:rPr>
                <w:rFonts w:hint="eastAsia" w:ascii="宋体" w:hAnsi="宋体" w:cs="宋体"/>
                <w:bCs/>
                <w:szCs w:val="21"/>
              </w:rPr>
              <w:t>（3）质疑供应商若对项目的某一分包进行质疑，质疑函中应列明具体分包号。</w:t>
            </w:r>
          </w:p>
          <w:p>
            <w:pPr>
              <w:keepLines/>
              <w:spacing w:line="440" w:lineRule="exact"/>
              <w:rPr>
                <w:rFonts w:hint="eastAsia" w:ascii="宋体" w:hAnsi="宋体" w:cs="宋体"/>
                <w:bCs/>
                <w:szCs w:val="21"/>
              </w:rPr>
            </w:pPr>
            <w:r>
              <w:rPr>
                <w:rFonts w:hint="eastAsia" w:ascii="宋体" w:hAnsi="宋体" w:cs="宋体"/>
                <w:bCs/>
                <w:szCs w:val="21"/>
              </w:rPr>
              <w:t>（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p>
          <w:p>
            <w:pPr>
              <w:keepLines/>
              <w:spacing w:line="440" w:lineRule="exact"/>
              <w:rPr>
                <w:rFonts w:hint="eastAsia" w:ascii="宋体" w:hAnsi="宋体" w:cs="宋体"/>
                <w:bCs/>
                <w:color w:val="000000"/>
                <w:szCs w:val="21"/>
              </w:rPr>
            </w:pPr>
            <w:r>
              <w:rPr>
                <w:rFonts w:hint="eastAsia" w:ascii="宋体" w:hAnsi="宋体" w:cs="宋体"/>
                <w:bCs/>
                <w:szCs w:val="21"/>
              </w:rPr>
              <w:t>（5）</w:t>
            </w:r>
            <w:r>
              <w:rPr>
                <w:rFonts w:hint="eastAsia" w:ascii="宋体" w:hAnsi="宋体" w:cs="宋体"/>
                <w:bCs/>
                <w:color w:val="000000"/>
                <w:szCs w:val="21"/>
              </w:rPr>
              <w:t>质疑人是指直接参加本项目采购活动的供应商，未参加投标活动的供应商或在投标活动中自身权益未受到损害的供应商所提出的质疑不予受理。对采购文件提出质疑的，自供应商收到响应文件之日起或响应文件公告期限届满之日计算；对采购过程提出质疑的，自采购程序环节结束之日起计算；对中标结果提出质疑的，自中标结果公告期限届满之日计算。</w:t>
            </w:r>
          </w:p>
          <w:p>
            <w:pPr>
              <w:keepLines/>
              <w:spacing w:line="440" w:lineRule="exact"/>
              <w:rPr>
                <w:rFonts w:hint="eastAsia" w:ascii="宋体" w:hAnsi="宋体" w:cs="宋体"/>
                <w:bCs/>
                <w:szCs w:val="21"/>
              </w:rPr>
            </w:pPr>
            <w:r>
              <w:rPr>
                <w:rFonts w:hint="eastAsia" w:ascii="宋体" w:hAnsi="宋体" w:cs="宋体"/>
                <w:bCs/>
                <w:szCs w:val="21"/>
              </w:rPr>
              <w:t>（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pPr>
              <w:keepLines/>
              <w:spacing w:line="440" w:lineRule="exact"/>
              <w:rPr>
                <w:rFonts w:hint="eastAsia" w:ascii="宋体" w:hAnsi="宋体" w:cs="宋体"/>
                <w:bCs/>
                <w:szCs w:val="21"/>
              </w:rPr>
            </w:pPr>
            <w:r>
              <w:rPr>
                <w:rFonts w:hint="eastAsia" w:ascii="宋体" w:hAnsi="宋体" w:cs="宋体"/>
                <w:bCs/>
                <w:szCs w:val="21"/>
              </w:rPr>
              <w:t>（7）本项目质疑函的联系部门、联系电话和通讯地址如下：</w:t>
            </w:r>
          </w:p>
          <w:p>
            <w:pPr>
              <w:keepLines/>
              <w:spacing w:line="440" w:lineRule="exact"/>
              <w:ind w:firstLine="210"/>
              <w:rPr>
                <w:rFonts w:hint="eastAsia" w:ascii="宋体" w:hAnsi="宋体" w:cs="宋体"/>
                <w:bCs/>
                <w:szCs w:val="21"/>
              </w:rPr>
            </w:pPr>
            <w:r>
              <w:rPr>
                <w:rFonts w:hint="eastAsia" w:ascii="宋体" w:hAnsi="宋体" w:cs="宋体"/>
                <w:bCs/>
                <w:szCs w:val="21"/>
              </w:rPr>
              <w:t>联系部门：江苏益诚建设工程咨询有限公司</w:t>
            </w:r>
          </w:p>
          <w:p>
            <w:pPr>
              <w:keepLines/>
              <w:spacing w:line="440" w:lineRule="exact"/>
              <w:ind w:firstLine="210"/>
              <w:rPr>
                <w:rFonts w:hint="eastAsia" w:ascii="宋体" w:hAnsi="宋体" w:cs="宋体"/>
                <w:bCs/>
                <w:szCs w:val="21"/>
              </w:rPr>
            </w:pPr>
            <w:r>
              <w:rPr>
                <w:rFonts w:hint="eastAsia" w:ascii="宋体" w:hAnsi="宋体" w:cs="宋体"/>
                <w:bCs/>
                <w:szCs w:val="21"/>
              </w:rPr>
              <w:t>联系电话：15358199285</w:t>
            </w:r>
          </w:p>
          <w:p>
            <w:pPr>
              <w:keepLines/>
              <w:spacing w:line="440" w:lineRule="exact"/>
              <w:ind w:firstLine="210"/>
              <w:rPr>
                <w:rFonts w:hint="eastAsia" w:ascii="宋体" w:hAnsi="宋体" w:cs="宋体"/>
                <w:b/>
                <w:bCs/>
                <w:szCs w:val="21"/>
              </w:rPr>
            </w:pPr>
            <w:r>
              <w:rPr>
                <w:rFonts w:hint="eastAsia" w:ascii="宋体" w:hAnsi="宋体" w:cs="宋体"/>
                <w:bCs/>
                <w:szCs w:val="21"/>
              </w:rPr>
              <w:t>通讯地址：</w:t>
            </w:r>
            <w:r>
              <w:rPr>
                <w:rFonts w:hint="eastAsia" w:ascii="宋体" w:hAnsi="宋体" w:cs="宋体"/>
                <w:szCs w:val="21"/>
              </w:rPr>
              <w:t>南京市鼓楼区建宁路37号万谷智慧硅巷12楼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66" w:type="dxa"/>
            <w:vAlign w:val="center"/>
          </w:tcPr>
          <w:p>
            <w:pPr>
              <w:spacing w:line="440" w:lineRule="exact"/>
              <w:jc w:val="center"/>
              <w:rPr>
                <w:rFonts w:hint="eastAsia" w:ascii="宋体" w:hAnsi="宋体" w:cs="宋体"/>
                <w:bCs/>
                <w:szCs w:val="21"/>
              </w:rPr>
            </w:pPr>
            <w:r>
              <w:rPr>
                <w:rFonts w:hint="eastAsia" w:ascii="宋体" w:hAnsi="宋体" w:cs="宋体"/>
                <w:bCs/>
                <w:szCs w:val="21"/>
              </w:rPr>
              <w:t>15</w:t>
            </w:r>
          </w:p>
        </w:tc>
        <w:tc>
          <w:tcPr>
            <w:tcW w:w="8980" w:type="dxa"/>
            <w:vAlign w:val="center"/>
          </w:tcPr>
          <w:p>
            <w:pPr>
              <w:widowControl/>
              <w:shd w:val="clear" w:color="auto" w:fill="FFFFFF"/>
              <w:spacing w:line="440" w:lineRule="exact"/>
              <w:rPr>
                <w:rFonts w:hint="eastAsia" w:ascii="宋体" w:hAnsi="宋体" w:cs="宋体"/>
                <w:szCs w:val="21"/>
              </w:rPr>
            </w:pPr>
            <w:r>
              <w:rPr>
                <w:rFonts w:hint="eastAsia" w:ascii="宋体" w:hAnsi="宋体" w:cs="宋体"/>
                <w:b/>
                <w:bCs/>
                <w:szCs w:val="21"/>
              </w:rPr>
              <w:t xml:space="preserve">磋商报价不得超过采购公告、采购文件规定的预算价或最高限价，超过规定的预算价或最高限价的响应文件，按无效响应处理。 </w:t>
            </w:r>
          </w:p>
        </w:tc>
      </w:tr>
    </w:tbl>
    <w:p>
      <w:pPr>
        <w:rPr>
          <w:rFonts w:hint="eastAsia" w:ascii="宋体" w:hAnsi="宋体" w:cs="宋体"/>
          <w:b/>
          <w:bCs/>
          <w:szCs w:val="21"/>
        </w:rPr>
      </w:pPr>
      <w:bookmarkStart w:id="64" w:name="_Toc4722"/>
      <w:bookmarkStart w:id="65" w:name="_Toc17151"/>
      <w:bookmarkStart w:id="66" w:name="_Toc8580"/>
      <w:r>
        <w:rPr>
          <w:rFonts w:hint="eastAsia" w:ascii="宋体" w:hAnsi="宋体" w:cs="宋体"/>
          <w:b/>
          <w:bCs/>
          <w:szCs w:val="21"/>
        </w:rPr>
        <w:br w:type="page"/>
      </w:r>
    </w:p>
    <w:p>
      <w:pPr>
        <w:widowControl/>
        <w:shd w:val="clear" w:color="auto" w:fill="FFFFFF"/>
        <w:spacing w:line="360" w:lineRule="auto"/>
        <w:ind w:firstLine="422" w:firstLineChars="200"/>
        <w:outlineLvl w:val="1"/>
        <w:rPr>
          <w:rFonts w:hint="eastAsia" w:ascii="宋体" w:hAnsi="宋体" w:cs="宋体"/>
          <w:b/>
          <w:bCs/>
          <w:szCs w:val="21"/>
        </w:rPr>
      </w:pPr>
      <w:bookmarkStart w:id="67" w:name="_Toc27494"/>
      <w:r>
        <w:rPr>
          <w:rFonts w:hint="eastAsia" w:ascii="宋体" w:hAnsi="宋体" w:cs="宋体"/>
          <w:b/>
          <w:bCs/>
          <w:szCs w:val="21"/>
        </w:rPr>
        <w:t>一、总 则</w:t>
      </w:r>
      <w:bookmarkEnd w:id="64"/>
      <w:bookmarkEnd w:id="65"/>
      <w:bookmarkEnd w:id="66"/>
      <w:bookmarkEnd w:id="67"/>
    </w:p>
    <w:p>
      <w:pPr>
        <w:spacing w:line="360" w:lineRule="auto"/>
        <w:ind w:firstLine="422" w:firstLineChars="200"/>
        <w:outlineLvl w:val="2"/>
        <w:rPr>
          <w:rFonts w:hint="eastAsia" w:ascii="宋体" w:hAnsi="宋体" w:cs="宋体"/>
          <w:b/>
          <w:szCs w:val="21"/>
          <w:lang w:val="zh-CN"/>
        </w:rPr>
      </w:pPr>
      <w:bookmarkStart w:id="68" w:name="_Toc10447"/>
      <w:bookmarkStart w:id="69" w:name="_Toc21738"/>
      <w:bookmarkStart w:id="70" w:name="_Toc9594"/>
      <w:bookmarkStart w:id="71" w:name="_Toc3951"/>
      <w:bookmarkStart w:id="72" w:name="_Toc25955"/>
      <w:bookmarkStart w:id="73" w:name="_Toc24947"/>
      <w:bookmarkStart w:id="74" w:name="_Toc513029204"/>
      <w:bookmarkStart w:id="75" w:name="_Toc20823276"/>
      <w:bookmarkStart w:id="76" w:name="_Toc458694821"/>
      <w:bookmarkStart w:id="77" w:name="_Toc16938520"/>
      <w:r>
        <w:rPr>
          <w:rFonts w:hint="eastAsia" w:ascii="宋体" w:hAnsi="宋体" w:cs="宋体"/>
          <w:b/>
          <w:bCs/>
          <w:szCs w:val="21"/>
          <w:lang w:val="zh-CN"/>
        </w:rPr>
        <w:t>1.</w:t>
      </w:r>
      <w:r>
        <w:rPr>
          <w:rFonts w:hint="eastAsia" w:ascii="宋体" w:hAnsi="宋体" w:cs="宋体"/>
          <w:b/>
          <w:szCs w:val="21"/>
          <w:lang w:val="zh-CN"/>
        </w:rPr>
        <w:t>适用法律</w:t>
      </w:r>
      <w:bookmarkEnd w:id="68"/>
      <w:bookmarkEnd w:id="69"/>
      <w:bookmarkEnd w:id="70"/>
      <w:bookmarkEnd w:id="71"/>
      <w:bookmarkEnd w:id="72"/>
    </w:p>
    <w:p>
      <w:pPr>
        <w:spacing w:line="360" w:lineRule="auto"/>
        <w:ind w:firstLine="420" w:firstLineChars="200"/>
        <w:rPr>
          <w:rFonts w:hint="eastAsia" w:ascii="宋体" w:hAnsi="宋体" w:cs="宋体"/>
          <w:szCs w:val="21"/>
          <w:lang w:val="zh-CN"/>
        </w:rPr>
      </w:pPr>
      <w:bookmarkStart w:id="78" w:name="_Toc2953"/>
      <w:bookmarkStart w:id="79" w:name="_Toc6182"/>
      <w:r>
        <w:rPr>
          <w:rFonts w:hint="eastAsia" w:ascii="宋体" w:hAnsi="宋体" w:cs="宋体"/>
          <w:szCs w:val="21"/>
          <w:lang w:val="zh-CN"/>
        </w:rPr>
        <w:t>1.1 执行</w:t>
      </w:r>
      <w:bookmarkStart w:id="80" w:name="_Toc10994"/>
      <w:bookmarkStart w:id="81" w:name="_Toc23120"/>
      <w:bookmarkStart w:id="82" w:name="_Toc27367"/>
      <w:bookmarkStart w:id="83" w:name="_Toc29463"/>
      <w:r>
        <w:rPr>
          <w:rFonts w:hint="eastAsia" w:ascii="宋体" w:hAnsi="宋体" w:cs="宋体"/>
          <w:szCs w:val="21"/>
          <w:lang w:val="zh-CN"/>
        </w:rPr>
        <w:t>《中华人民共和国政府采购法》、《中华人民共和国政府采购法实施条例》、《政府采购竞争性磋商采购方式管理暂行办法》等有关法律、规章和规定等。</w:t>
      </w:r>
      <w:bookmarkEnd w:id="78"/>
      <w:bookmarkEnd w:id="79"/>
    </w:p>
    <w:p>
      <w:pPr>
        <w:spacing w:line="360" w:lineRule="auto"/>
        <w:ind w:firstLine="422" w:firstLineChars="200"/>
        <w:outlineLvl w:val="2"/>
        <w:rPr>
          <w:rFonts w:hint="eastAsia" w:ascii="宋体" w:hAnsi="宋体" w:cs="宋体"/>
          <w:b/>
          <w:szCs w:val="21"/>
          <w:lang w:val="zh-CN"/>
        </w:rPr>
      </w:pPr>
      <w:bookmarkStart w:id="84" w:name="_Toc10054"/>
      <w:r>
        <w:rPr>
          <w:rFonts w:hint="eastAsia" w:ascii="宋体" w:hAnsi="宋体" w:cs="宋体"/>
          <w:b/>
          <w:bCs/>
          <w:szCs w:val="21"/>
          <w:lang w:val="zh-CN"/>
        </w:rPr>
        <w:t>2.</w:t>
      </w:r>
      <w:r>
        <w:rPr>
          <w:rFonts w:hint="eastAsia" w:ascii="宋体" w:hAnsi="宋体" w:cs="宋体"/>
          <w:b/>
          <w:szCs w:val="21"/>
          <w:lang w:val="zh-CN"/>
        </w:rPr>
        <w:t>定义</w:t>
      </w:r>
      <w:bookmarkEnd w:id="73"/>
      <w:bookmarkEnd w:id="74"/>
      <w:bookmarkEnd w:id="75"/>
      <w:bookmarkEnd w:id="76"/>
      <w:bookmarkEnd w:id="77"/>
      <w:bookmarkEnd w:id="80"/>
      <w:bookmarkEnd w:id="81"/>
      <w:bookmarkEnd w:id="82"/>
      <w:bookmarkEnd w:id="83"/>
      <w:bookmarkEnd w:id="84"/>
    </w:p>
    <w:p>
      <w:pPr>
        <w:spacing w:line="360" w:lineRule="auto"/>
        <w:ind w:firstLine="420" w:firstLineChars="200"/>
        <w:rPr>
          <w:rFonts w:hint="eastAsia" w:ascii="宋体" w:hAnsi="宋体" w:cs="宋体"/>
          <w:bCs/>
          <w:szCs w:val="21"/>
        </w:rPr>
      </w:pPr>
      <w:r>
        <w:rPr>
          <w:rFonts w:hint="eastAsia" w:ascii="宋体" w:hAnsi="宋体" w:cs="宋体"/>
          <w:szCs w:val="21"/>
        </w:rPr>
        <w:t>2.1本文件</w:t>
      </w:r>
      <w:r>
        <w:rPr>
          <w:rFonts w:hint="eastAsia" w:ascii="宋体" w:hAnsi="宋体" w:cs="宋体"/>
          <w:bCs/>
          <w:szCs w:val="21"/>
        </w:rPr>
        <w:t xml:space="preserve">中采购代理机构为 </w:t>
      </w:r>
      <w:r>
        <w:rPr>
          <w:rFonts w:hint="eastAsia" w:ascii="宋体" w:hAnsi="宋体" w:cs="宋体"/>
          <w:b/>
          <w:szCs w:val="21"/>
          <w:u w:val="single"/>
        </w:rPr>
        <w:t>江苏益诚建设工程咨询有限公司</w:t>
      </w:r>
      <w:r>
        <w:rPr>
          <w:rFonts w:hint="eastAsia" w:ascii="宋体" w:hAnsi="宋体" w:cs="宋体"/>
          <w:bCs/>
          <w:szCs w:val="21"/>
        </w:rPr>
        <w:t>；采购人为</w:t>
      </w:r>
      <w:r>
        <w:rPr>
          <w:rFonts w:hint="eastAsia" w:ascii="宋体" w:hAnsi="宋体" w:cs="宋体"/>
          <w:b/>
          <w:szCs w:val="21"/>
          <w:u w:val="single"/>
        </w:rPr>
        <w:t>江苏省无线电监测站</w:t>
      </w:r>
      <w:r>
        <w:rPr>
          <w:rFonts w:hint="eastAsia" w:ascii="宋体" w:hAnsi="宋体" w:cs="宋体"/>
          <w:bCs/>
          <w:szCs w:val="21"/>
        </w:rPr>
        <w:t>；响应人（亦称供应商）系指参加投标竞争并满足响应文件资格要求规定的法人、其他组织或者自然人。</w:t>
      </w:r>
    </w:p>
    <w:p>
      <w:pPr>
        <w:spacing w:line="360" w:lineRule="auto"/>
        <w:ind w:firstLine="420" w:firstLineChars="200"/>
        <w:rPr>
          <w:rFonts w:hint="eastAsia" w:ascii="宋体" w:hAnsi="宋体" w:cs="宋体"/>
          <w:bCs/>
          <w:szCs w:val="21"/>
        </w:rPr>
      </w:pPr>
      <w:r>
        <w:rPr>
          <w:rFonts w:hint="eastAsia" w:ascii="宋体" w:hAnsi="宋体" w:cs="宋体"/>
          <w:bCs/>
          <w:szCs w:val="21"/>
        </w:rPr>
        <w:t>2.2“货物和服务”指本文件中所述产品及相关货物和服务。</w:t>
      </w:r>
    </w:p>
    <w:p>
      <w:pPr>
        <w:spacing w:line="360" w:lineRule="auto"/>
        <w:ind w:firstLine="420" w:firstLineChars="200"/>
        <w:rPr>
          <w:rFonts w:hint="eastAsia" w:ascii="宋体" w:hAnsi="宋体" w:cs="宋体"/>
          <w:bCs/>
          <w:szCs w:val="21"/>
        </w:rPr>
      </w:pPr>
      <w:r>
        <w:rPr>
          <w:rFonts w:hint="eastAsia" w:ascii="宋体" w:hAnsi="宋体" w:cs="宋体"/>
          <w:bCs/>
          <w:szCs w:val="21"/>
        </w:rPr>
        <w:t>2.3“用户或使用单位”指使用</w:t>
      </w:r>
      <w:r>
        <w:rPr>
          <w:rFonts w:hint="eastAsia" w:ascii="宋体" w:hAnsi="宋体" w:cs="宋体"/>
          <w:szCs w:val="21"/>
          <w:lang w:val="zh-CN"/>
        </w:rPr>
        <w:t>货物、服务的</w:t>
      </w:r>
      <w:r>
        <w:rPr>
          <w:rFonts w:hint="eastAsia" w:ascii="宋体" w:hAnsi="宋体" w:cs="宋体"/>
          <w:bCs/>
          <w:szCs w:val="21"/>
        </w:rPr>
        <w:t>单位。</w:t>
      </w:r>
    </w:p>
    <w:p>
      <w:pPr>
        <w:spacing w:line="360" w:lineRule="auto"/>
        <w:ind w:firstLine="422" w:firstLineChars="200"/>
        <w:outlineLvl w:val="2"/>
        <w:rPr>
          <w:rFonts w:hint="eastAsia" w:ascii="宋体" w:hAnsi="宋体" w:cs="宋体"/>
          <w:b/>
          <w:bCs/>
          <w:szCs w:val="21"/>
        </w:rPr>
      </w:pPr>
      <w:bookmarkStart w:id="85" w:name="_Toc13479"/>
      <w:bookmarkStart w:id="86" w:name="_Toc29913"/>
      <w:bookmarkStart w:id="87" w:name="_Toc9659"/>
      <w:bookmarkStart w:id="88" w:name="_Toc9024"/>
      <w:bookmarkStart w:id="89" w:name="_Toc11967"/>
      <w:bookmarkStart w:id="90" w:name="_Toc16938525"/>
      <w:bookmarkStart w:id="91" w:name="_Toc20823281"/>
      <w:bookmarkStart w:id="92" w:name="_Toc513029209"/>
      <w:bookmarkStart w:id="93" w:name="_Toc120614215"/>
      <w:r>
        <w:rPr>
          <w:rFonts w:hint="eastAsia" w:ascii="宋体" w:hAnsi="宋体" w:cs="宋体"/>
          <w:b/>
          <w:bCs/>
          <w:szCs w:val="21"/>
          <w:lang w:val="zh-CN"/>
        </w:rPr>
        <w:t>3.政策功能</w:t>
      </w:r>
      <w:bookmarkEnd w:id="85"/>
      <w:r>
        <w:rPr>
          <w:rFonts w:hint="eastAsia" w:ascii="宋体" w:hAnsi="宋体" w:cs="宋体"/>
          <w:b/>
          <w:bCs/>
          <w:szCs w:val="21"/>
          <w:lang w:val="zh-CN"/>
        </w:rPr>
        <w:t>：</w:t>
      </w:r>
      <w:bookmarkEnd w:id="86"/>
      <w:bookmarkEnd w:id="87"/>
      <w:bookmarkEnd w:id="88"/>
    </w:p>
    <w:p>
      <w:pPr>
        <w:spacing w:line="360" w:lineRule="auto"/>
        <w:ind w:firstLine="420" w:firstLineChars="200"/>
        <w:rPr>
          <w:rFonts w:hint="eastAsia" w:ascii="宋体" w:hAnsi="宋体" w:cs="宋体"/>
          <w:bCs/>
          <w:szCs w:val="21"/>
        </w:rPr>
      </w:pPr>
      <w:r>
        <w:rPr>
          <w:rFonts w:hint="eastAsia" w:ascii="宋体" w:hAnsi="宋体" w:cs="宋体"/>
          <w:bCs/>
          <w:szCs w:val="21"/>
        </w:rPr>
        <w:t>3.1促进中小企业发展政策：</w:t>
      </w:r>
    </w:p>
    <w:p>
      <w:pPr>
        <w:spacing w:line="360" w:lineRule="auto"/>
        <w:ind w:firstLine="420" w:firstLineChars="200"/>
        <w:rPr>
          <w:rFonts w:hint="eastAsia" w:ascii="宋体" w:hAnsi="宋体" w:cs="宋体"/>
          <w:bCs/>
          <w:szCs w:val="21"/>
        </w:rPr>
      </w:pPr>
      <w:r>
        <w:rPr>
          <w:rFonts w:hint="eastAsia" w:ascii="宋体" w:hAnsi="宋体" w:cs="宋体"/>
          <w:bCs/>
          <w:szCs w:val="21"/>
        </w:rPr>
        <w:t>（1）促进小微企业发展政策：对于专门面向中小企业或小型、微型企业的项目，只面向中小企业或小型、微型企业采购。对于非专门面向中小企业的项目，对小型和微型企业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本项目为专门面向中小企业采购，供应商应为中小微企业、监狱和戒毒企业、残疾人福利性企业。专门面向中小企业采购的项目或者采购包，只面向中小微企业、监狱和戒毒企业、残疾人福利性企业采购，不再执行价格评审优惠的扶持政策。</w:t>
      </w:r>
    </w:p>
    <w:p>
      <w:pPr>
        <w:spacing w:line="360" w:lineRule="auto"/>
        <w:ind w:firstLine="420" w:firstLineChars="200"/>
        <w:rPr>
          <w:rFonts w:hint="eastAsia" w:ascii="宋体" w:hAnsi="宋体" w:cs="宋体"/>
          <w:bCs/>
          <w:szCs w:val="21"/>
        </w:rPr>
      </w:pPr>
      <w:r>
        <w:rPr>
          <w:rFonts w:hint="eastAsia" w:ascii="宋体" w:hAnsi="宋体" w:cs="宋体"/>
          <w:bCs/>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pPr>
        <w:spacing w:line="360" w:lineRule="auto"/>
        <w:ind w:firstLine="420" w:firstLineChars="200"/>
        <w:rPr>
          <w:rFonts w:hint="eastAsia" w:ascii="宋体" w:hAnsi="宋体" w:cs="宋体"/>
          <w:bCs/>
          <w:szCs w:val="21"/>
        </w:rPr>
      </w:pPr>
      <w:r>
        <w:rPr>
          <w:rFonts w:hint="eastAsia" w:ascii="宋体" w:hAnsi="宋体" w:cs="宋体"/>
          <w:bCs/>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pPr>
        <w:spacing w:line="360" w:lineRule="auto"/>
        <w:ind w:firstLine="420" w:firstLineChars="200"/>
        <w:rPr>
          <w:rFonts w:hint="eastAsia" w:ascii="宋体" w:hAnsi="宋体" w:cs="宋体"/>
          <w:bCs/>
          <w:szCs w:val="21"/>
        </w:rPr>
      </w:pPr>
      <w:r>
        <w:rPr>
          <w:rFonts w:hint="eastAsia" w:ascii="宋体" w:hAnsi="宋体" w:cs="宋体"/>
          <w:bCs/>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pPr>
        <w:spacing w:line="360" w:lineRule="auto"/>
        <w:ind w:firstLine="420" w:firstLineChars="200"/>
        <w:rPr>
          <w:rFonts w:hint="eastAsia" w:ascii="宋体" w:hAnsi="宋体" w:cs="宋体"/>
          <w:bCs/>
          <w:szCs w:val="21"/>
        </w:rPr>
      </w:pPr>
      <w:r>
        <w:rPr>
          <w:rFonts w:hint="eastAsia" w:ascii="宋体" w:hAnsi="宋体" w:cs="宋体"/>
          <w:bCs/>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pPr>
        <w:spacing w:line="360" w:lineRule="auto"/>
        <w:ind w:firstLine="420" w:firstLineChars="200"/>
        <w:rPr>
          <w:rFonts w:hint="eastAsia" w:ascii="宋体" w:hAnsi="宋体" w:cs="宋体"/>
          <w:bCs/>
          <w:szCs w:val="21"/>
        </w:rPr>
      </w:pPr>
      <w:r>
        <w:rPr>
          <w:rFonts w:hint="eastAsia" w:ascii="宋体" w:hAnsi="宋体" w:cs="宋体"/>
          <w:bCs/>
          <w:szCs w:val="21"/>
        </w:rPr>
        <w:t>3.2节能产品、环境标志产品政策</w:t>
      </w:r>
    </w:p>
    <w:p>
      <w:pPr>
        <w:spacing w:line="360" w:lineRule="auto"/>
        <w:ind w:firstLine="420" w:firstLineChars="200"/>
        <w:rPr>
          <w:rFonts w:hint="eastAsia" w:ascii="宋体" w:hAnsi="宋体" w:cs="宋体"/>
          <w:bCs/>
          <w:szCs w:val="21"/>
        </w:rPr>
      </w:pPr>
      <w:r>
        <w:rPr>
          <w:rFonts w:hint="eastAsia" w:ascii="宋体" w:hAnsi="宋体" w:cs="宋体"/>
          <w:bCs/>
          <w:szCs w:val="21"/>
        </w:rPr>
        <w:t>（1）政府采购节能产品、环境标志产品实施品目清单管理。</w:t>
      </w:r>
    </w:p>
    <w:p>
      <w:pPr>
        <w:spacing w:line="360" w:lineRule="auto"/>
        <w:ind w:firstLine="420" w:firstLineChars="200"/>
        <w:rPr>
          <w:rFonts w:hint="eastAsia" w:ascii="宋体" w:hAnsi="宋体" w:cs="宋体"/>
          <w:bCs/>
          <w:szCs w:val="21"/>
        </w:rPr>
      </w:pPr>
      <w:r>
        <w:rPr>
          <w:rFonts w:hint="eastAsia" w:ascii="宋体" w:hAnsi="宋体" w:cs="宋体"/>
          <w:bCs/>
          <w:szCs w:val="21"/>
        </w:rPr>
        <w:t>（2）拟采购产品属于节能产品、环境标志产品品目清单规定必须强制采购的，实行强制采购。</w:t>
      </w:r>
    </w:p>
    <w:p>
      <w:pPr>
        <w:spacing w:line="360" w:lineRule="auto"/>
        <w:ind w:firstLine="420" w:firstLineChars="200"/>
        <w:rPr>
          <w:rFonts w:hint="eastAsia" w:ascii="宋体" w:hAnsi="宋体" w:cs="宋体"/>
          <w:bCs/>
          <w:szCs w:val="21"/>
        </w:rPr>
      </w:pPr>
      <w:r>
        <w:rPr>
          <w:rFonts w:hint="eastAsia" w:ascii="宋体" w:hAnsi="宋体" w:cs="宋体"/>
          <w:bCs/>
          <w:szCs w:val="21"/>
        </w:rPr>
        <w:t>（3）拟采购产品属于节能产品、环境标志产品品目清单规定优先采购的，在性能、技术、服务等指标同等条件下，实行优先采购，优先采购的评审标准详见本响应文件第三章。</w:t>
      </w:r>
    </w:p>
    <w:p>
      <w:pPr>
        <w:spacing w:line="360" w:lineRule="auto"/>
        <w:ind w:firstLine="420" w:firstLineChars="200"/>
        <w:rPr>
          <w:rFonts w:hint="eastAsia" w:ascii="宋体" w:hAnsi="宋体" w:cs="宋体"/>
          <w:bCs/>
          <w:szCs w:val="21"/>
        </w:rPr>
      </w:pPr>
      <w:r>
        <w:rPr>
          <w:rFonts w:hint="eastAsia" w:ascii="宋体" w:hAnsi="宋体" w:cs="宋体"/>
          <w:bCs/>
          <w:szCs w:val="21"/>
        </w:rPr>
        <w:t>（4）参加政府采购活动的节能产品、环境标志产品供应商应当提供国家确定的认证机构出具的、处于有效期之内的节能产品、环境标志产品认证证书。</w:t>
      </w:r>
    </w:p>
    <w:p>
      <w:pPr>
        <w:spacing w:line="360" w:lineRule="auto"/>
        <w:ind w:firstLine="420" w:firstLineChars="200"/>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pPr>
        <w:spacing w:line="360" w:lineRule="auto"/>
        <w:ind w:firstLine="420" w:firstLineChars="200"/>
        <w:rPr>
          <w:rFonts w:hint="eastAsia" w:ascii="宋体" w:hAnsi="宋体" w:cs="宋体"/>
          <w:bCs/>
          <w:szCs w:val="21"/>
        </w:rPr>
      </w:pPr>
      <w:r>
        <w:rPr>
          <w:rFonts w:hint="eastAsia" w:ascii="宋体" w:hAnsi="宋体" w:cs="宋体"/>
          <w:bCs/>
          <w:szCs w:val="21"/>
        </w:rPr>
        <w:t>3.4提供的产品属于信息安全产品的，供应商应当选择经国家认证的信息安全产品投标，并提供由中国信息安全认证中心按国家标准认证颁发的有效认证证书复印件。</w:t>
      </w:r>
    </w:p>
    <w:p>
      <w:pPr>
        <w:spacing w:line="360" w:lineRule="auto"/>
        <w:ind w:firstLine="420" w:firstLineChars="200"/>
        <w:rPr>
          <w:rFonts w:hint="eastAsia" w:ascii="宋体" w:hAnsi="宋体" w:cs="宋体"/>
          <w:bCs/>
          <w:szCs w:val="21"/>
        </w:rPr>
      </w:pPr>
      <w:r>
        <w:rPr>
          <w:rFonts w:hint="eastAsia" w:ascii="宋体" w:hAnsi="宋体" w:cs="宋体"/>
          <w:bCs/>
          <w:szCs w:val="21"/>
        </w:rPr>
        <w:t>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pPr>
        <w:spacing w:line="360" w:lineRule="auto"/>
        <w:ind w:firstLine="420" w:firstLineChars="200"/>
        <w:rPr>
          <w:rFonts w:hint="eastAsia" w:ascii="宋体" w:hAnsi="宋体" w:cs="宋体"/>
          <w:bCs/>
          <w:szCs w:val="21"/>
        </w:rPr>
      </w:pPr>
      <w:r>
        <w:rPr>
          <w:rFonts w:hint="eastAsia" w:ascii="宋体" w:hAnsi="宋体" w:cs="宋体"/>
          <w:bCs/>
          <w:szCs w:val="21"/>
        </w:rPr>
        <w:t>3.6为推进社会诚信体系建设，根据财政部等政策要求，在政府采购活动中查询、使用信用记录，推进政府采购领域联合惩戒工作。</w:t>
      </w:r>
    </w:p>
    <w:p>
      <w:pPr>
        <w:spacing w:line="360" w:lineRule="auto"/>
        <w:ind w:firstLine="420" w:firstLineChars="200"/>
        <w:rPr>
          <w:rFonts w:hint="eastAsia" w:ascii="宋体" w:hAnsi="宋体" w:cs="宋体"/>
          <w:bCs/>
          <w:szCs w:val="21"/>
        </w:rPr>
      </w:pPr>
      <w:r>
        <w:rPr>
          <w:rFonts w:hint="eastAsia" w:ascii="宋体" w:hAnsi="宋体" w:cs="宋体"/>
          <w:bCs/>
          <w:szCs w:val="21"/>
        </w:rPr>
        <w:t>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pPr>
        <w:spacing w:line="360" w:lineRule="auto"/>
        <w:ind w:firstLine="420" w:firstLineChars="200"/>
        <w:rPr>
          <w:rFonts w:hint="eastAsia" w:ascii="宋体" w:hAnsi="宋体" w:cs="宋体"/>
          <w:bCs/>
          <w:szCs w:val="21"/>
        </w:rPr>
      </w:pPr>
      <w:r>
        <w:rPr>
          <w:rFonts w:hint="eastAsia" w:ascii="宋体" w:hAnsi="宋体" w:cs="宋体"/>
          <w:bCs/>
          <w:szCs w:val="21"/>
        </w:rPr>
        <w:t>3.7采购本国产品的支持政策：</w:t>
      </w:r>
    </w:p>
    <w:p>
      <w:pPr>
        <w:spacing w:line="360" w:lineRule="auto"/>
        <w:ind w:firstLine="420" w:firstLineChars="200"/>
        <w:rPr>
          <w:rFonts w:hint="eastAsia" w:ascii="宋体" w:hAnsi="宋体" w:cs="宋体"/>
          <w:bCs/>
          <w:szCs w:val="21"/>
        </w:rPr>
      </w:pPr>
      <w:r>
        <w:rPr>
          <w:rFonts w:hint="eastAsia" w:ascii="宋体" w:hAnsi="宋体" w:cs="宋体"/>
          <w:bCs/>
          <w:szCs w:val="21"/>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pPr>
        <w:spacing w:line="360" w:lineRule="auto"/>
        <w:ind w:firstLine="420" w:firstLineChars="200"/>
        <w:rPr>
          <w:rFonts w:hint="eastAsia" w:ascii="宋体" w:hAnsi="宋体" w:cs="宋体"/>
          <w:bCs/>
          <w:szCs w:val="21"/>
        </w:rPr>
      </w:pPr>
      <w:r>
        <w:rPr>
          <w:rFonts w:hint="eastAsia" w:ascii="宋体" w:hAnsi="宋体" w:cs="宋体"/>
          <w:bCs/>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360" w:lineRule="auto"/>
        <w:ind w:firstLine="420" w:firstLineChars="200"/>
        <w:rPr>
          <w:rFonts w:hint="eastAsia" w:ascii="宋体" w:hAnsi="宋体" w:cs="宋体"/>
          <w:bCs/>
          <w:szCs w:val="21"/>
        </w:rPr>
      </w:pPr>
      <w:r>
        <w:rPr>
          <w:rFonts w:hint="eastAsia" w:ascii="宋体" w:hAnsi="宋体" w:cs="宋体"/>
          <w:bCs/>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9"/>
    </w:p>
    <w:p>
      <w:pPr>
        <w:spacing w:line="360" w:lineRule="auto"/>
        <w:ind w:firstLine="422" w:firstLineChars="200"/>
        <w:outlineLvl w:val="2"/>
        <w:rPr>
          <w:rFonts w:hint="eastAsia" w:ascii="宋体" w:hAnsi="宋体" w:cs="宋体"/>
          <w:b/>
          <w:bCs/>
          <w:szCs w:val="21"/>
          <w:lang w:val="zh-CN"/>
        </w:rPr>
      </w:pPr>
      <w:bookmarkStart w:id="94" w:name="_Toc14050"/>
      <w:bookmarkStart w:id="95" w:name="_Toc5363"/>
      <w:r>
        <w:rPr>
          <w:rFonts w:hint="eastAsia" w:ascii="宋体" w:hAnsi="宋体" w:cs="宋体"/>
          <w:b/>
          <w:szCs w:val="21"/>
        </w:rPr>
        <w:t>4.</w:t>
      </w:r>
      <w:r>
        <w:rPr>
          <w:rFonts w:hint="eastAsia" w:ascii="宋体" w:hAnsi="宋体" w:cs="宋体"/>
          <w:b/>
          <w:bCs/>
          <w:szCs w:val="21"/>
        </w:rPr>
        <w:t>采购</w:t>
      </w:r>
      <w:r>
        <w:rPr>
          <w:rFonts w:hint="eastAsia" w:ascii="宋体" w:hAnsi="宋体" w:cs="宋体"/>
          <w:b/>
          <w:bCs/>
          <w:szCs w:val="21"/>
          <w:lang w:val="zh-CN"/>
        </w:rPr>
        <w:t>费用</w:t>
      </w:r>
      <w:bookmarkEnd w:id="94"/>
      <w:bookmarkEnd w:id="95"/>
    </w:p>
    <w:p>
      <w:pPr>
        <w:spacing w:line="360" w:lineRule="auto"/>
        <w:ind w:firstLine="420" w:firstLineChars="200"/>
        <w:rPr>
          <w:rFonts w:hint="eastAsia" w:ascii="宋体" w:hAnsi="宋体" w:cs="宋体"/>
          <w:szCs w:val="21"/>
        </w:rPr>
      </w:pPr>
      <w:r>
        <w:rPr>
          <w:rFonts w:hint="eastAsia" w:ascii="宋体" w:hAnsi="宋体" w:cs="宋体"/>
          <w:szCs w:val="21"/>
          <w:lang w:val="zh-CN"/>
        </w:rPr>
        <w:t>4.1</w:t>
      </w:r>
      <w:r>
        <w:rPr>
          <w:rFonts w:hint="eastAsia" w:ascii="宋体" w:hAnsi="宋体" w:cs="宋体"/>
          <w:szCs w:val="21"/>
        </w:rPr>
        <w:t>供应商应自行承担所有与参加采购的费用，无论采购结果如何，代理机构和采购人在任何情况下均无义务和责任承担这些费用。</w:t>
      </w:r>
    </w:p>
    <w:p>
      <w:pPr>
        <w:pStyle w:val="5"/>
        <w:numPr>
          <w:ilvl w:val="0"/>
          <w:numId w:val="0"/>
        </w:numPr>
        <w:spacing w:line="360" w:lineRule="auto"/>
        <w:ind w:firstLine="422" w:firstLineChars="200"/>
        <w:jc w:val="both"/>
        <w:rPr>
          <w:rFonts w:hint="eastAsia" w:ascii="宋体" w:hAnsi="宋体" w:eastAsia="宋体" w:cs="宋体"/>
          <w:b/>
          <w:sz w:val="21"/>
          <w:szCs w:val="21"/>
        </w:rPr>
      </w:pPr>
      <w:bookmarkStart w:id="96" w:name="_Toc632"/>
      <w:bookmarkStart w:id="97" w:name="_Toc23609"/>
      <w:bookmarkStart w:id="98" w:name="_Toc8516"/>
      <w:bookmarkStart w:id="99" w:name="_Toc29486"/>
      <w:bookmarkStart w:id="100" w:name="_Toc15300"/>
      <w:bookmarkStart w:id="101" w:name="_Toc22000"/>
      <w:r>
        <w:rPr>
          <w:rFonts w:hint="eastAsia" w:ascii="宋体" w:hAnsi="宋体" w:eastAsia="宋体" w:cs="宋体"/>
          <w:b/>
          <w:sz w:val="21"/>
          <w:szCs w:val="21"/>
        </w:rPr>
        <w:t>5.磋商文件的约束力</w:t>
      </w:r>
      <w:bookmarkEnd w:id="96"/>
      <w:bookmarkEnd w:id="97"/>
      <w:bookmarkEnd w:id="98"/>
      <w:bookmarkEnd w:id="99"/>
      <w:bookmarkEnd w:id="100"/>
      <w:bookmarkEnd w:id="101"/>
    </w:p>
    <w:p>
      <w:pPr>
        <w:spacing w:line="360" w:lineRule="auto"/>
        <w:ind w:firstLine="420" w:firstLineChars="200"/>
        <w:rPr>
          <w:rFonts w:hint="eastAsia" w:ascii="宋体" w:hAnsi="宋体" w:cs="宋体"/>
          <w:szCs w:val="21"/>
        </w:rPr>
      </w:pPr>
      <w:r>
        <w:rPr>
          <w:rFonts w:hint="eastAsia" w:ascii="宋体" w:hAnsi="宋体" w:cs="宋体"/>
          <w:szCs w:val="21"/>
        </w:rPr>
        <w:t>5.1供应商一旦参加本项目采购活动，即被认为接受了本磋商文件的规定和约束。</w:t>
      </w:r>
      <w:bookmarkEnd w:id="90"/>
      <w:bookmarkEnd w:id="91"/>
      <w:bookmarkEnd w:id="92"/>
      <w:bookmarkEnd w:id="93"/>
    </w:p>
    <w:p>
      <w:pPr>
        <w:widowControl/>
        <w:shd w:val="clear" w:color="auto" w:fill="FFFFFF"/>
        <w:spacing w:line="360" w:lineRule="auto"/>
        <w:ind w:firstLine="422" w:firstLineChars="200"/>
        <w:outlineLvl w:val="1"/>
        <w:rPr>
          <w:rFonts w:hint="eastAsia" w:ascii="宋体" w:hAnsi="宋体" w:cs="宋体"/>
          <w:b/>
          <w:bCs/>
          <w:szCs w:val="21"/>
        </w:rPr>
      </w:pPr>
      <w:bookmarkStart w:id="102" w:name="_Toc9901"/>
      <w:bookmarkStart w:id="103" w:name="_Toc13287"/>
      <w:bookmarkStart w:id="104" w:name="_Toc20106"/>
      <w:bookmarkStart w:id="105" w:name="_Toc18333"/>
      <w:r>
        <w:rPr>
          <w:rFonts w:hint="eastAsia" w:ascii="宋体" w:hAnsi="宋体" w:cs="宋体"/>
          <w:b/>
          <w:bCs/>
          <w:szCs w:val="21"/>
        </w:rPr>
        <w:t>二、磋商文件</w:t>
      </w:r>
      <w:bookmarkEnd w:id="102"/>
      <w:bookmarkEnd w:id="103"/>
      <w:bookmarkEnd w:id="104"/>
      <w:bookmarkEnd w:id="105"/>
    </w:p>
    <w:p>
      <w:pPr>
        <w:pStyle w:val="5"/>
        <w:numPr>
          <w:ilvl w:val="0"/>
          <w:numId w:val="0"/>
        </w:numPr>
        <w:spacing w:line="360" w:lineRule="auto"/>
        <w:ind w:firstLine="422" w:firstLineChars="200"/>
        <w:jc w:val="both"/>
        <w:rPr>
          <w:rFonts w:hint="eastAsia" w:ascii="宋体" w:hAnsi="宋体" w:eastAsia="宋体" w:cs="宋体"/>
          <w:b/>
          <w:sz w:val="21"/>
          <w:szCs w:val="21"/>
        </w:rPr>
      </w:pPr>
      <w:bookmarkStart w:id="106" w:name="_Toc16938526"/>
      <w:bookmarkStart w:id="107" w:name="_Toc18008"/>
      <w:bookmarkStart w:id="108" w:name="_Toc22815"/>
      <w:bookmarkStart w:id="109" w:name="_Toc20823282"/>
      <w:bookmarkStart w:id="110" w:name="_Toc10625"/>
      <w:bookmarkStart w:id="111" w:name="_Toc513029210"/>
      <w:bookmarkStart w:id="112" w:name="_Toc28750"/>
      <w:bookmarkStart w:id="113" w:name="_Toc4774"/>
      <w:r>
        <w:rPr>
          <w:rFonts w:hint="eastAsia" w:ascii="宋体" w:hAnsi="宋体" w:eastAsia="宋体" w:cs="宋体"/>
          <w:b/>
          <w:sz w:val="21"/>
          <w:szCs w:val="21"/>
        </w:rPr>
        <w:t>6.</w:t>
      </w:r>
      <w:r>
        <w:rPr>
          <w:rFonts w:hint="eastAsia" w:ascii="宋体" w:hAnsi="宋体" w:eastAsia="宋体" w:cs="宋体"/>
          <w:b/>
          <w:bCs/>
          <w:sz w:val="21"/>
          <w:szCs w:val="21"/>
        </w:rPr>
        <w:t>磋商</w:t>
      </w:r>
      <w:r>
        <w:rPr>
          <w:rFonts w:hint="eastAsia" w:ascii="宋体" w:hAnsi="宋体" w:eastAsia="宋体" w:cs="宋体"/>
          <w:b/>
          <w:sz w:val="21"/>
          <w:szCs w:val="21"/>
        </w:rPr>
        <w:t>文件构成</w:t>
      </w:r>
      <w:bookmarkEnd w:id="106"/>
      <w:bookmarkEnd w:id="107"/>
      <w:bookmarkEnd w:id="108"/>
      <w:bookmarkEnd w:id="109"/>
      <w:bookmarkEnd w:id="110"/>
      <w:bookmarkEnd w:id="111"/>
      <w:bookmarkEnd w:id="112"/>
      <w:bookmarkEnd w:id="113"/>
    </w:p>
    <w:p>
      <w:pPr>
        <w:spacing w:line="360" w:lineRule="auto"/>
        <w:ind w:firstLine="420" w:firstLineChars="200"/>
        <w:rPr>
          <w:rFonts w:hint="eastAsia" w:ascii="宋体" w:hAnsi="宋体" w:cs="宋体"/>
          <w:szCs w:val="21"/>
        </w:rPr>
      </w:pPr>
      <w:r>
        <w:rPr>
          <w:rFonts w:hint="eastAsia" w:ascii="宋体" w:hAnsi="宋体" w:cs="宋体"/>
          <w:szCs w:val="21"/>
        </w:rPr>
        <w:t>6.1磋商文件有以下部分组成：</w:t>
      </w:r>
    </w:p>
    <w:p>
      <w:pPr>
        <w:spacing w:line="360" w:lineRule="auto"/>
        <w:ind w:firstLine="420" w:firstLineChars="200"/>
        <w:rPr>
          <w:rFonts w:hint="eastAsia" w:ascii="宋体" w:hAnsi="宋体" w:cs="宋体"/>
          <w:szCs w:val="21"/>
        </w:rPr>
      </w:pPr>
      <w:r>
        <w:rPr>
          <w:rFonts w:hint="eastAsia" w:ascii="宋体" w:hAnsi="宋体" w:cs="宋体"/>
          <w:szCs w:val="21"/>
        </w:rPr>
        <w:t>第一章  竞争性磋商公告</w:t>
      </w:r>
    </w:p>
    <w:p>
      <w:pPr>
        <w:spacing w:line="360" w:lineRule="auto"/>
        <w:ind w:firstLine="420" w:firstLineChars="200"/>
        <w:rPr>
          <w:rFonts w:hint="eastAsia" w:ascii="宋体" w:hAnsi="宋体" w:cs="宋体"/>
          <w:szCs w:val="21"/>
        </w:rPr>
      </w:pPr>
      <w:r>
        <w:rPr>
          <w:rFonts w:hint="eastAsia" w:ascii="宋体" w:hAnsi="宋体" w:cs="宋体"/>
          <w:szCs w:val="21"/>
        </w:rPr>
        <w:t>第二章  供应商须知</w:t>
      </w:r>
    </w:p>
    <w:p>
      <w:pPr>
        <w:spacing w:line="360" w:lineRule="auto"/>
        <w:ind w:firstLine="420" w:firstLineChars="200"/>
        <w:rPr>
          <w:rFonts w:hint="eastAsia" w:ascii="宋体" w:hAnsi="宋体" w:cs="宋体"/>
          <w:szCs w:val="21"/>
        </w:rPr>
      </w:pPr>
      <w:r>
        <w:rPr>
          <w:rFonts w:hint="eastAsia" w:ascii="宋体" w:hAnsi="宋体" w:cs="宋体"/>
          <w:szCs w:val="21"/>
        </w:rPr>
        <w:t>第三章  评分标准</w:t>
      </w:r>
    </w:p>
    <w:p>
      <w:pPr>
        <w:spacing w:line="360" w:lineRule="auto"/>
        <w:ind w:firstLine="420" w:firstLineChars="200"/>
        <w:rPr>
          <w:rFonts w:hint="eastAsia" w:ascii="宋体" w:hAnsi="宋体" w:cs="宋体"/>
          <w:szCs w:val="21"/>
        </w:rPr>
      </w:pPr>
      <w:r>
        <w:rPr>
          <w:rFonts w:hint="eastAsia" w:ascii="宋体" w:hAnsi="宋体" w:cs="宋体"/>
          <w:szCs w:val="21"/>
        </w:rPr>
        <w:t>第四章  采购技术规格及服务要求</w:t>
      </w:r>
    </w:p>
    <w:p>
      <w:pPr>
        <w:spacing w:line="360" w:lineRule="auto"/>
        <w:ind w:firstLine="420" w:firstLineChars="200"/>
        <w:rPr>
          <w:rFonts w:hint="eastAsia" w:ascii="宋体" w:hAnsi="宋体" w:cs="宋体"/>
          <w:szCs w:val="21"/>
        </w:rPr>
      </w:pPr>
      <w:r>
        <w:rPr>
          <w:rFonts w:hint="eastAsia" w:ascii="宋体" w:hAnsi="宋体" w:cs="宋体"/>
          <w:szCs w:val="21"/>
        </w:rPr>
        <w:t>第五章  拟签订的合同文本</w:t>
      </w:r>
    </w:p>
    <w:p>
      <w:pPr>
        <w:spacing w:line="360" w:lineRule="auto"/>
        <w:ind w:firstLine="420" w:firstLineChars="200"/>
        <w:rPr>
          <w:rFonts w:hint="eastAsia" w:ascii="宋体" w:hAnsi="宋体" w:cs="宋体"/>
          <w:szCs w:val="21"/>
        </w:rPr>
      </w:pPr>
      <w:r>
        <w:rPr>
          <w:rFonts w:hint="eastAsia" w:ascii="宋体" w:hAnsi="宋体" w:cs="宋体"/>
          <w:szCs w:val="21"/>
        </w:rPr>
        <w:t>第六章  响应文件格式及附件</w:t>
      </w:r>
    </w:p>
    <w:p>
      <w:pPr>
        <w:spacing w:line="360" w:lineRule="auto"/>
        <w:ind w:firstLine="420" w:firstLineChars="200"/>
        <w:rPr>
          <w:rFonts w:hint="eastAsia" w:ascii="宋体" w:hAnsi="宋体" w:cs="宋体"/>
          <w:szCs w:val="21"/>
        </w:rPr>
      </w:pPr>
      <w:r>
        <w:rPr>
          <w:rFonts w:hint="eastAsia" w:ascii="宋体" w:hAnsi="宋体" w:cs="宋体"/>
          <w:szCs w:val="21"/>
        </w:rPr>
        <w:t>6.2</w:t>
      </w:r>
      <w:r>
        <w:rPr>
          <w:rFonts w:hint="eastAsia" w:ascii="宋体" w:hAnsi="宋体" w:cs="宋体"/>
          <w:b/>
          <w:bCs/>
          <w:szCs w:val="21"/>
        </w:rPr>
        <w:t>采购的最小单位是包。磋商技术规格及要求中未分包的，供应商对要求提供的服务不得部分响应；磋商技术规格及要求中已经分包的，以包为单位响应</w:t>
      </w: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6.3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spacing w:line="360" w:lineRule="auto"/>
        <w:ind w:firstLine="420" w:firstLineChars="200"/>
        <w:rPr>
          <w:rFonts w:hint="eastAsia" w:ascii="宋体" w:hAnsi="宋体" w:cs="宋体"/>
          <w:szCs w:val="21"/>
        </w:rPr>
      </w:pPr>
      <w:r>
        <w:rPr>
          <w:rFonts w:hint="eastAsia" w:ascii="宋体" w:hAnsi="宋体" w:cs="宋体"/>
          <w:szCs w:val="21"/>
        </w:rPr>
        <w:t>6.4供应商被视为充分熟悉</w:t>
      </w:r>
      <w:r>
        <w:rPr>
          <w:rFonts w:hint="eastAsia" w:ascii="宋体" w:hAnsi="宋体" w:cs="宋体"/>
          <w:bCs/>
          <w:szCs w:val="21"/>
        </w:rPr>
        <w:t>本磋商项目</w:t>
      </w:r>
      <w:r>
        <w:rPr>
          <w:rFonts w:hint="eastAsia" w:ascii="宋体" w:hAnsi="宋体" w:cs="宋体"/>
          <w:szCs w:val="21"/>
        </w:rPr>
        <w:t>的各种情况以及与履行合同有关的一切其他情况。</w:t>
      </w:r>
    </w:p>
    <w:p>
      <w:pPr>
        <w:pStyle w:val="5"/>
        <w:numPr>
          <w:ilvl w:val="0"/>
          <w:numId w:val="0"/>
        </w:numPr>
        <w:spacing w:line="360" w:lineRule="auto"/>
        <w:ind w:firstLine="422" w:firstLineChars="200"/>
        <w:jc w:val="both"/>
        <w:rPr>
          <w:rFonts w:hint="eastAsia" w:ascii="宋体" w:hAnsi="宋体" w:eastAsia="宋体" w:cs="宋体"/>
          <w:b/>
          <w:sz w:val="21"/>
          <w:szCs w:val="21"/>
        </w:rPr>
      </w:pPr>
      <w:bookmarkStart w:id="114" w:name="_Toc8277"/>
      <w:bookmarkStart w:id="115" w:name="_Toc10301"/>
      <w:bookmarkStart w:id="116" w:name="_Toc7925"/>
      <w:bookmarkStart w:id="117" w:name="_Toc8329"/>
      <w:r>
        <w:rPr>
          <w:rFonts w:hint="eastAsia" w:ascii="宋体" w:hAnsi="宋体" w:eastAsia="宋体" w:cs="宋体"/>
          <w:b/>
          <w:sz w:val="21"/>
          <w:szCs w:val="21"/>
        </w:rPr>
        <w:t>7.</w:t>
      </w:r>
      <w:bookmarkEnd w:id="114"/>
      <w:bookmarkEnd w:id="115"/>
      <w:r>
        <w:rPr>
          <w:rFonts w:hint="eastAsia" w:ascii="宋体" w:hAnsi="宋体" w:eastAsia="宋体" w:cs="宋体"/>
          <w:b/>
          <w:bCs/>
          <w:sz w:val="21"/>
          <w:szCs w:val="21"/>
        </w:rPr>
        <w:t>磋商文件的澄清、补充或修改</w:t>
      </w:r>
      <w:bookmarkEnd w:id="116"/>
      <w:bookmarkEnd w:id="117"/>
    </w:p>
    <w:p>
      <w:pPr>
        <w:spacing w:line="360" w:lineRule="auto"/>
        <w:ind w:firstLine="420" w:firstLineChars="200"/>
        <w:rPr>
          <w:rFonts w:hint="eastAsia" w:ascii="宋体" w:hAnsi="宋体" w:cs="宋体"/>
          <w:bCs/>
          <w:szCs w:val="21"/>
        </w:rPr>
      </w:pPr>
      <w:r>
        <w:rPr>
          <w:rFonts w:hint="eastAsia" w:ascii="宋体" w:hAnsi="宋体" w:cs="宋体"/>
          <w:szCs w:val="21"/>
        </w:rPr>
        <w:t>7.1</w:t>
      </w:r>
      <w:r>
        <w:rPr>
          <w:rFonts w:hint="eastAsia" w:ascii="宋体" w:hAnsi="宋体" w:cs="宋体"/>
          <w:bCs/>
          <w:szCs w:val="21"/>
        </w:rPr>
        <w:t>供应商</w:t>
      </w:r>
      <w:r>
        <w:rPr>
          <w:rFonts w:hint="eastAsia" w:ascii="宋体" w:hAnsi="宋体" w:cs="宋体"/>
          <w:szCs w:val="21"/>
        </w:rPr>
        <w:t>应仔细阅读和检查磋商文件的全部内容。如发现缺页或附件不全，应及时向磋商代理机构提出，以便补齐</w:t>
      </w:r>
      <w:r>
        <w:rPr>
          <w:rFonts w:hint="eastAsia" w:ascii="宋体" w:hAnsi="宋体" w:cs="宋体"/>
          <w:bCs/>
          <w:szCs w:val="21"/>
        </w:rPr>
        <w:t>。供应商</w:t>
      </w:r>
      <w:r>
        <w:rPr>
          <w:rFonts w:hint="eastAsia" w:ascii="宋体" w:hAnsi="宋体" w:cs="宋体"/>
          <w:szCs w:val="21"/>
        </w:rPr>
        <w:t>如须澄清磋商文件的疑点</w:t>
      </w:r>
      <w:r>
        <w:rPr>
          <w:rFonts w:hint="eastAsia" w:ascii="宋体" w:hAnsi="宋体" w:cs="宋体"/>
          <w:bCs/>
          <w:szCs w:val="21"/>
        </w:rPr>
        <w:t>，可用</w:t>
      </w:r>
      <w:r>
        <w:rPr>
          <w:rFonts w:hint="eastAsia" w:ascii="宋体" w:hAnsi="宋体" w:cs="宋体"/>
          <w:szCs w:val="21"/>
        </w:rPr>
        <w:t>用书面形式通知采购代理机构</w:t>
      </w:r>
      <w:r>
        <w:rPr>
          <w:rFonts w:hint="eastAsia" w:ascii="宋体" w:hAnsi="宋体" w:cs="宋体"/>
          <w:bCs/>
          <w:szCs w:val="21"/>
        </w:rPr>
        <w:t>，具体通知时间须按</w:t>
      </w:r>
      <w:r>
        <w:rPr>
          <w:rFonts w:hint="eastAsia" w:ascii="宋体" w:hAnsi="宋体" w:cs="宋体"/>
          <w:szCs w:val="21"/>
        </w:rPr>
        <w:t>法律</w:t>
      </w:r>
      <w:r>
        <w:rPr>
          <w:rFonts w:hint="eastAsia" w:ascii="宋体" w:hAnsi="宋体" w:cs="宋体"/>
          <w:bCs/>
          <w:szCs w:val="21"/>
        </w:rPr>
        <w:t>相关规定执行，如供应商须澄清的疑点超出采购人对采购代理机构委托授权范围的，采购代理机构应当告知供应商向采购人提出。采购代理机构</w:t>
      </w:r>
      <w:r>
        <w:rPr>
          <w:rFonts w:hint="eastAsia" w:ascii="宋体" w:hAnsi="宋体" w:cs="宋体"/>
          <w:szCs w:val="21"/>
        </w:rPr>
        <w:t>将以书面形式作出答复</w:t>
      </w:r>
      <w:r>
        <w:rPr>
          <w:rFonts w:hint="eastAsia" w:ascii="宋体" w:hAnsi="宋体" w:cs="宋体"/>
          <w:bCs/>
          <w:szCs w:val="21"/>
        </w:rPr>
        <w:t>。采购代理机构认为有必要时可将答复内容（包括原提出的问题，但不包括问题的来源）</w:t>
      </w:r>
      <w:r>
        <w:rPr>
          <w:rFonts w:hint="eastAsia" w:ascii="宋体" w:hAnsi="宋体" w:cs="宋体"/>
          <w:szCs w:val="21"/>
        </w:rPr>
        <w:t>分发给所有取得同一磋商文件</w:t>
      </w:r>
      <w:r>
        <w:rPr>
          <w:rFonts w:hint="eastAsia" w:ascii="宋体" w:hAnsi="宋体" w:cs="宋体"/>
          <w:bCs/>
          <w:szCs w:val="21"/>
        </w:rPr>
        <w:t>的供应商。</w:t>
      </w:r>
    </w:p>
    <w:p>
      <w:pPr>
        <w:spacing w:line="360" w:lineRule="auto"/>
        <w:ind w:firstLine="420" w:firstLineChars="200"/>
        <w:rPr>
          <w:rFonts w:hint="eastAsia" w:ascii="宋体" w:hAnsi="宋体" w:cs="宋体"/>
          <w:bCs/>
          <w:szCs w:val="21"/>
        </w:rPr>
      </w:pPr>
      <w:r>
        <w:rPr>
          <w:rFonts w:hint="eastAsia" w:ascii="宋体" w:hAnsi="宋体" w:cs="宋体"/>
          <w:bCs/>
          <w:szCs w:val="21"/>
        </w:rPr>
        <w:t>7.2采购代理机构对已发出的</w:t>
      </w:r>
      <w:r>
        <w:rPr>
          <w:rFonts w:hint="eastAsia" w:ascii="宋体" w:hAnsi="宋体" w:cs="宋体"/>
          <w:szCs w:val="21"/>
        </w:rPr>
        <w:t>磋商文件用更正公告的方式进行必要的澄清或者修改，并以书面形式通</w:t>
      </w:r>
      <w:r>
        <w:rPr>
          <w:rFonts w:hint="eastAsia" w:ascii="宋体" w:hAnsi="宋体" w:cs="宋体"/>
          <w:bCs/>
          <w:szCs w:val="21"/>
        </w:rPr>
        <w:t>知所有获取文件的供应商。</w:t>
      </w:r>
    </w:p>
    <w:p>
      <w:pPr>
        <w:spacing w:line="360" w:lineRule="auto"/>
        <w:ind w:firstLine="420" w:firstLineChars="200"/>
        <w:rPr>
          <w:rFonts w:hint="eastAsia" w:ascii="宋体" w:hAnsi="宋体" w:cs="宋体"/>
          <w:bCs/>
          <w:szCs w:val="21"/>
        </w:rPr>
      </w:pPr>
      <w:r>
        <w:rPr>
          <w:rFonts w:hint="eastAsia" w:ascii="宋体" w:hAnsi="宋体" w:cs="宋体"/>
          <w:bCs/>
          <w:szCs w:val="21"/>
        </w:rPr>
        <w:t>7.3</w:t>
      </w:r>
      <w:r>
        <w:rPr>
          <w:rFonts w:hint="eastAsia" w:ascii="宋体" w:hAnsi="宋体" w:cs="宋体"/>
          <w:szCs w:val="21"/>
        </w:rPr>
        <w:t>采购代理机构发出的以上</w:t>
      </w:r>
      <w:r>
        <w:rPr>
          <w:rFonts w:hint="eastAsia" w:ascii="宋体" w:hAnsi="宋体" w:cs="宋体"/>
          <w:bCs/>
          <w:szCs w:val="21"/>
        </w:rPr>
        <w:t>澄清或修改的内容</w:t>
      </w:r>
      <w:r>
        <w:rPr>
          <w:rFonts w:hint="eastAsia" w:ascii="宋体" w:hAnsi="宋体" w:cs="宋体"/>
          <w:szCs w:val="21"/>
        </w:rPr>
        <w:t>文件均作为磋商文件的组成部分，与磋商文件具有同等法律效力。</w:t>
      </w:r>
      <w:r>
        <w:rPr>
          <w:rFonts w:hint="eastAsia" w:ascii="宋体" w:hAnsi="宋体" w:cs="宋体"/>
          <w:bCs/>
          <w:szCs w:val="21"/>
        </w:rPr>
        <w:t>供应商</w:t>
      </w:r>
      <w:r>
        <w:rPr>
          <w:rFonts w:hint="eastAsia" w:ascii="宋体" w:hAnsi="宋体" w:cs="宋体"/>
          <w:szCs w:val="21"/>
        </w:rPr>
        <w:t>在收到上述通知后，应立即向采购代理机构回函确认。若无书面回函确认，视同已收到磋商文件修改的通知，并受其约束</w:t>
      </w:r>
      <w:r>
        <w:rPr>
          <w:rFonts w:hint="eastAsia" w:ascii="宋体" w:hAnsi="宋体" w:cs="宋体"/>
          <w:bCs/>
          <w:szCs w:val="21"/>
        </w:rPr>
        <w:t>。</w:t>
      </w:r>
    </w:p>
    <w:p>
      <w:pPr>
        <w:widowControl/>
        <w:shd w:val="clear" w:color="auto" w:fill="FFFFFF"/>
        <w:spacing w:line="360" w:lineRule="auto"/>
        <w:ind w:firstLine="420" w:firstLineChars="200"/>
        <w:rPr>
          <w:rFonts w:hint="eastAsia" w:ascii="宋体" w:hAnsi="宋体" w:cs="宋体"/>
          <w:bCs/>
          <w:szCs w:val="21"/>
        </w:rPr>
      </w:pPr>
      <w:r>
        <w:rPr>
          <w:rFonts w:hint="eastAsia" w:ascii="宋体" w:hAnsi="宋体" w:cs="宋体"/>
          <w:bCs/>
          <w:szCs w:val="21"/>
        </w:rPr>
        <w:t>7.4当</w:t>
      </w:r>
      <w:r>
        <w:rPr>
          <w:rFonts w:hint="eastAsia" w:ascii="宋体" w:hAnsi="宋体" w:cs="宋体"/>
          <w:szCs w:val="21"/>
        </w:rPr>
        <w:t>磋商文件</w:t>
      </w:r>
      <w:r>
        <w:rPr>
          <w:rFonts w:hint="eastAsia" w:ascii="宋体" w:hAnsi="宋体" w:cs="宋体"/>
          <w:bCs/>
          <w:szCs w:val="21"/>
        </w:rPr>
        <w:t xml:space="preserve">与以上澄清或修改公告的内容相互矛盾时，以采购代理机构最后发出的澄清或修改为准。 </w:t>
      </w:r>
    </w:p>
    <w:p>
      <w:pPr>
        <w:widowControl/>
        <w:shd w:val="clear" w:color="auto" w:fill="FFFFFF"/>
        <w:spacing w:line="360" w:lineRule="auto"/>
        <w:ind w:firstLine="420" w:firstLineChars="200"/>
        <w:rPr>
          <w:rFonts w:hint="eastAsia" w:ascii="宋体" w:hAnsi="宋体" w:cs="宋体"/>
          <w:bCs/>
          <w:szCs w:val="21"/>
        </w:rPr>
      </w:pPr>
      <w:r>
        <w:rPr>
          <w:rFonts w:hint="eastAsia" w:ascii="宋体" w:hAnsi="宋体" w:cs="宋体"/>
          <w:color w:val="000000"/>
          <w:szCs w:val="21"/>
        </w:rPr>
        <w:t>7.5</w:t>
      </w:r>
      <w:r>
        <w:rPr>
          <w:rFonts w:hint="eastAsia" w:ascii="宋体" w:hAnsi="宋体" w:cs="宋体"/>
          <w:bCs/>
          <w:szCs w:val="21"/>
        </w:rPr>
        <w:t>为使供应商有足够的时间按磋商文件的澄清或修改要求修正响应文件，</w:t>
      </w:r>
      <w:r>
        <w:rPr>
          <w:rFonts w:hint="eastAsia" w:ascii="宋体" w:hAnsi="宋体" w:cs="宋体"/>
          <w:szCs w:val="21"/>
        </w:rPr>
        <w:t>采购代理机构有权决定推迟投标截止时间和开标时间，并按7.2条规定的方式通知供应商。</w:t>
      </w:r>
    </w:p>
    <w:p>
      <w:pPr>
        <w:widowControl/>
        <w:shd w:val="clear" w:color="auto" w:fill="FFFFFF"/>
        <w:spacing w:line="360" w:lineRule="auto"/>
        <w:ind w:firstLine="422" w:firstLineChars="200"/>
        <w:outlineLvl w:val="1"/>
        <w:rPr>
          <w:rFonts w:hint="eastAsia" w:ascii="宋体" w:hAnsi="宋体" w:cs="宋体"/>
          <w:b/>
          <w:bCs/>
          <w:szCs w:val="21"/>
        </w:rPr>
      </w:pPr>
      <w:bookmarkStart w:id="118" w:name="_Toc4143"/>
      <w:bookmarkStart w:id="119" w:name="_Toc31781"/>
      <w:bookmarkStart w:id="120" w:name="_Toc7074"/>
      <w:bookmarkStart w:id="121" w:name="_Toc4938"/>
      <w:r>
        <w:rPr>
          <w:rFonts w:hint="eastAsia" w:ascii="宋体" w:hAnsi="宋体" w:cs="宋体"/>
          <w:b/>
          <w:bCs/>
          <w:szCs w:val="21"/>
        </w:rPr>
        <w:t>三、响应文件的编制</w:t>
      </w:r>
      <w:bookmarkEnd w:id="118"/>
      <w:bookmarkEnd w:id="119"/>
      <w:bookmarkEnd w:id="120"/>
      <w:bookmarkEnd w:id="121"/>
    </w:p>
    <w:p>
      <w:pPr>
        <w:pStyle w:val="5"/>
        <w:numPr>
          <w:ilvl w:val="0"/>
          <w:numId w:val="0"/>
        </w:numPr>
        <w:spacing w:line="360" w:lineRule="auto"/>
        <w:ind w:firstLine="422" w:firstLineChars="200"/>
        <w:jc w:val="both"/>
        <w:rPr>
          <w:rFonts w:hint="eastAsia" w:ascii="宋体" w:hAnsi="宋体" w:eastAsia="宋体" w:cs="宋体"/>
          <w:b/>
          <w:sz w:val="21"/>
          <w:szCs w:val="21"/>
        </w:rPr>
      </w:pPr>
      <w:bookmarkStart w:id="122" w:name="_Toc9600"/>
      <w:bookmarkStart w:id="123" w:name="_Toc27055"/>
      <w:bookmarkStart w:id="124" w:name="_Toc21270"/>
      <w:bookmarkStart w:id="125" w:name="_Toc18940"/>
      <w:bookmarkStart w:id="126" w:name="_Toc31387"/>
      <w:r>
        <w:rPr>
          <w:rFonts w:hint="eastAsia" w:ascii="宋体" w:hAnsi="宋体" w:eastAsia="宋体" w:cs="宋体"/>
          <w:b/>
          <w:sz w:val="21"/>
          <w:szCs w:val="21"/>
        </w:rPr>
        <w:t>8.响应文件的语言、计量单位、货币</w:t>
      </w:r>
      <w:bookmarkEnd w:id="122"/>
      <w:bookmarkEnd w:id="123"/>
      <w:bookmarkEnd w:id="124"/>
      <w:bookmarkEnd w:id="125"/>
      <w:bookmarkEnd w:id="126"/>
    </w:p>
    <w:p>
      <w:pPr>
        <w:spacing w:line="360" w:lineRule="auto"/>
        <w:ind w:firstLine="420" w:firstLineChars="200"/>
        <w:rPr>
          <w:rFonts w:hint="eastAsia" w:ascii="宋体" w:hAnsi="宋体" w:cs="宋体"/>
          <w:bCs/>
          <w:szCs w:val="21"/>
        </w:rPr>
      </w:pPr>
      <w:r>
        <w:rPr>
          <w:rFonts w:hint="eastAsia" w:ascii="宋体" w:hAnsi="宋体" w:cs="宋体"/>
          <w:bCs/>
          <w:szCs w:val="21"/>
        </w:rPr>
        <w:t>8.1 提交的响应文件（包括技术文件和资料、图纸中的说明）以及供应商与采购代理机构就有关</w:t>
      </w:r>
      <w:r>
        <w:rPr>
          <w:rFonts w:hint="eastAsia" w:ascii="宋体" w:hAnsi="宋体" w:cs="宋体"/>
          <w:szCs w:val="21"/>
        </w:rPr>
        <w:t>采购</w:t>
      </w:r>
      <w:r>
        <w:rPr>
          <w:rFonts w:hint="eastAsia" w:ascii="宋体" w:hAnsi="宋体" w:cs="宋体"/>
          <w:bCs/>
          <w:szCs w:val="21"/>
        </w:rPr>
        <w:t>的所有来往函电均应以简体中文书写。</w:t>
      </w:r>
    </w:p>
    <w:p>
      <w:pPr>
        <w:spacing w:line="360" w:lineRule="auto"/>
        <w:ind w:firstLine="420" w:firstLineChars="200"/>
        <w:rPr>
          <w:rFonts w:hint="eastAsia" w:ascii="宋体" w:hAnsi="宋体" w:cs="宋体"/>
          <w:bCs/>
          <w:szCs w:val="21"/>
        </w:rPr>
      </w:pPr>
      <w:r>
        <w:rPr>
          <w:rFonts w:hint="eastAsia" w:ascii="宋体" w:hAnsi="宋体" w:cs="宋体"/>
          <w:bCs/>
          <w:szCs w:val="21"/>
        </w:rPr>
        <w:t>8.2 供应商已印刷好的资料如产品样本、说明书等可以用其他语言，但其中要点应附有中文译文。对不同文本响应文件的解释发生异议的，以中文翻译文本为准。</w:t>
      </w:r>
    </w:p>
    <w:p>
      <w:pPr>
        <w:spacing w:line="360" w:lineRule="auto"/>
        <w:ind w:firstLine="420" w:firstLineChars="200"/>
        <w:rPr>
          <w:rFonts w:hint="eastAsia" w:ascii="宋体" w:hAnsi="宋体" w:cs="宋体"/>
          <w:bCs/>
          <w:szCs w:val="21"/>
        </w:rPr>
      </w:pPr>
      <w:r>
        <w:rPr>
          <w:rFonts w:hint="eastAsia" w:ascii="宋体" w:hAnsi="宋体" w:cs="宋体"/>
          <w:bCs/>
          <w:szCs w:val="21"/>
        </w:rPr>
        <w:t>8.3 除</w:t>
      </w:r>
      <w:r>
        <w:rPr>
          <w:rFonts w:hint="eastAsia" w:ascii="宋体" w:hAnsi="宋体" w:cs="宋体"/>
          <w:szCs w:val="21"/>
        </w:rPr>
        <w:t>采购</w:t>
      </w:r>
      <w:r>
        <w:rPr>
          <w:rFonts w:hint="eastAsia" w:ascii="宋体" w:hAnsi="宋体" w:cs="宋体"/>
          <w:bCs/>
          <w:szCs w:val="21"/>
        </w:rPr>
        <w:t>文件中有特殊要求外，</w:t>
      </w:r>
      <w:r>
        <w:rPr>
          <w:rFonts w:hint="eastAsia" w:ascii="宋体" w:hAnsi="宋体" w:cs="宋体"/>
          <w:szCs w:val="21"/>
        </w:rPr>
        <w:t>采购</w:t>
      </w:r>
      <w:r>
        <w:rPr>
          <w:rFonts w:hint="eastAsia" w:ascii="宋体" w:hAnsi="宋体" w:cs="宋体"/>
          <w:bCs/>
          <w:szCs w:val="21"/>
        </w:rPr>
        <w:t>文件中所使用的计量单位应为国家法定计量单位。</w:t>
      </w:r>
    </w:p>
    <w:p>
      <w:pPr>
        <w:spacing w:line="360" w:lineRule="auto"/>
        <w:ind w:firstLine="420" w:firstLineChars="200"/>
        <w:rPr>
          <w:rFonts w:hint="eastAsia" w:ascii="宋体" w:hAnsi="宋体" w:cs="宋体"/>
          <w:bCs/>
          <w:szCs w:val="21"/>
        </w:rPr>
      </w:pPr>
      <w:r>
        <w:rPr>
          <w:rFonts w:hint="eastAsia" w:ascii="宋体" w:hAnsi="宋体" w:cs="宋体"/>
          <w:bCs/>
          <w:szCs w:val="21"/>
        </w:rPr>
        <w:t>8.4 本</w:t>
      </w:r>
      <w:r>
        <w:rPr>
          <w:rFonts w:hint="eastAsia" w:ascii="宋体" w:hAnsi="宋体" w:cs="宋体"/>
          <w:szCs w:val="21"/>
        </w:rPr>
        <w:t>采购</w:t>
      </w:r>
      <w:r>
        <w:rPr>
          <w:rFonts w:hint="eastAsia" w:ascii="宋体" w:hAnsi="宋体" w:cs="宋体"/>
          <w:bCs/>
          <w:szCs w:val="21"/>
        </w:rPr>
        <w:t>文件所表述的时间均为北京时间。</w:t>
      </w:r>
    </w:p>
    <w:p>
      <w:pPr>
        <w:spacing w:line="360" w:lineRule="auto"/>
        <w:ind w:firstLine="420" w:firstLineChars="200"/>
        <w:rPr>
          <w:rFonts w:hint="eastAsia" w:ascii="宋体" w:hAnsi="宋体" w:cs="宋体"/>
          <w:bCs/>
          <w:szCs w:val="21"/>
        </w:rPr>
      </w:pPr>
      <w:r>
        <w:rPr>
          <w:rFonts w:hint="eastAsia" w:ascii="宋体" w:hAnsi="宋体" w:cs="宋体"/>
          <w:bCs/>
          <w:szCs w:val="21"/>
        </w:rPr>
        <w:t xml:space="preserve">8.5 </w:t>
      </w:r>
      <w:r>
        <w:rPr>
          <w:rFonts w:hint="eastAsia" w:ascii="宋体" w:hAnsi="宋体" w:cs="宋体"/>
          <w:b/>
          <w:szCs w:val="21"/>
        </w:rPr>
        <w:t>所有响应报价具体详见供应商须知前附表。</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27" w:name="_Toc23556"/>
      <w:bookmarkStart w:id="128" w:name="_Toc25653"/>
      <w:bookmarkStart w:id="129" w:name="_Toc30708"/>
      <w:r>
        <w:rPr>
          <w:rFonts w:hint="eastAsia" w:ascii="宋体" w:hAnsi="宋体" w:eastAsia="宋体" w:cs="宋体"/>
          <w:b/>
          <w:bCs/>
          <w:sz w:val="21"/>
          <w:szCs w:val="21"/>
        </w:rPr>
        <w:t>9.响应文件的组成</w:t>
      </w:r>
      <w:bookmarkEnd w:id="127"/>
      <w:bookmarkEnd w:id="128"/>
      <w:bookmarkEnd w:id="129"/>
    </w:p>
    <w:p>
      <w:pPr>
        <w:spacing w:line="360" w:lineRule="auto"/>
        <w:ind w:firstLine="420" w:firstLineChars="200"/>
        <w:rPr>
          <w:rFonts w:hint="eastAsia" w:ascii="宋体" w:hAnsi="宋体" w:cs="宋体"/>
          <w:bCs/>
          <w:szCs w:val="21"/>
        </w:rPr>
      </w:pPr>
      <w:r>
        <w:rPr>
          <w:rFonts w:hint="eastAsia" w:ascii="宋体" w:hAnsi="宋体" w:cs="宋体"/>
          <w:bCs/>
          <w:szCs w:val="21"/>
        </w:rPr>
        <w:t>9.1 供应商应当根据采购文件要求编制响应文件，并根据自己的商务能力、技术水平对采购文件提出的要求和条件逐条标明是否响应。若供应商未按采购文件的要求提供资料，或未对采购文件做出实质性响应，将导致响应文件被视为无效。</w:t>
      </w:r>
    </w:p>
    <w:p>
      <w:pPr>
        <w:spacing w:line="360" w:lineRule="auto"/>
        <w:ind w:firstLine="420" w:firstLineChars="200"/>
        <w:rPr>
          <w:rFonts w:hint="eastAsia" w:ascii="宋体" w:hAnsi="宋体" w:cs="宋体"/>
          <w:bCs/>
          <w:szCs w:val="21"/>
        </w:rPr>
      </w:pPr>
      <w:r>
        <w:rPr>
          <w:rFonts w:hint="eastAsia" w:ascii="宋体" w:hAnsi="宋体" w:cs="宋体"/>
          <w:bCs/>
          <w:szCs w:val="21"/>
        </w:rPr>
        <w:t>9.2 响应文件</w:t>
      </w:r>
      <w:r>
        <w:rPr>
          <w:rFonts w:hint="eastAsia" w:ascii="宋体" w:hAnsi="宋体" w:cs="宋体"/>
          <w:szCs w:val="21"/>
        </w:rPr>
        <w:t>由商务、技术、价格及其他部分组成，应包括但不限于下列文件，其中加※项目不得有缺失或无效</w:t>
      </w:r>
      <w:r>
        <w:rPr>
          <w:rFonts w:hint="eastAsia" w:ascii="宋体" w:hAnsi="宋体" w:cs="宋体"/>
          <w:bCs/>
          <w:szCs w:val="21"/>
        </w:rPr>
        <w:t>：</w:t>
      </w:r>
    </w:p>
    <w:p>
      <w:pPr>
        <w:spacing w:line="360" w:lineRule="auto"/>
        <w:ind w:firstLine="420" w:firstLineChars="200"/>
        <w:rPr>
          <w:rFonts w:hint="eastAsia" w:ascii="宋体" w:hAnsi="宋体" w:cs="宋体"/>
          <w:bCs/>
          <w:szCs w:val="21"/>
        </w:rPr>
      </w:pPr>
      <w:r>
        <w:rPr>
          <w:rFonts w:hint="eastAsia" w:ascii="宋体" w:hAnsi="宋体" w:cs="宋体"/>
          <w:bCs/>
          <w:szCs w:val="21"/>
        </w:rPr>
        <w:t>（1）※采购申请及声明</w:t>
      </w:r>
    </w:p>
    <w:p>
      <w:pPr>
        <w:spacing w:line="360" w:lineRule="auto"/>
        <w:ind w:firstLine="420" w:firstLineChars="200"/>
        <w:rPr>
          <w:rFonts w:hint="eastAsia" w:ascii="宋体" w:hAnsi="宋体" w:cs="宋体"/>
          <w:bCs/>
          <w:szCs w:val="21"/>
        </w:rPr>
      </w:pPr>
      <w:r>
        <w:rPr>
          <w:rFonts w:hint="eastAsia" w:ascii="宋体" w:hAnsi="宋体" w:cs="宋体"/>
          <w:bCs/>
          <w:szCs w:val="21"/>
        </w:rPr>
        <w:t xml:space="preserve">（2）※响应一览表 </w:t>
      </w:r>
    </w:p>
    <w:p>
      <w:pPr>
        <w:spacing w:line="360" w:lineRule="auto"/>
        <w:ind w:firstLine="420" w:firstLineChars="200"/>
        <w:rPr>
          <w:rFonts w:hint="eastAsia" w:ascii="宋体" w:hAnsi="宋体" w:cs="宋体"/>
          <w:bCs/>
          <w:szCs w:val="21"/>
        </w:rPr>
      </w:pPr>
      <w:r>
        <w:rPr>
          <w:rFonts w:hint="eastAsia" w:ascii="宋体" w:hAnsi="宋体" w:cs="宋体"/>
          <w:bCs/>
          <w:szCs w:val="21"/>
        </w:rPr>
        <w:t>（3）※分项报价表</w:t>
      </w:r>
    </w:p>
    <w:p>
      <w:pPr>
        <w:spacing w:line="360" w:lineRule="auto"/>
        <w:ind w:firstLine="420" w:firstLineChars="200"/>
        <w:rPr>
          <w:rFonts w:hint="eastAsia" w:ascii="宋体" w:hAnsi="宋体" w:cs="宋体"/>
          <w:bCs/>
          <w:szCs w:val="21"/>
        </w:rPr>
      </w:pPr>
      <w:r>
        <w:rPr>
          <w:rFonts w:hint="eastAsia" w:ascii="宋体" w:hAnsi="宋体" w:cs="宋体"/>
          <w:bCs/>
          <w:szCs w:val="21"/>
        </w:rPr>
        <w:t>（4）</w:t>
      </w:r>
      <w:r>
        <w:rPr>
          <w:rFonts w:hint="eastAsia" w:ascii="宋体" w:hAnsi="宋体" w:cs="宋体"/>
          <w:szCs w:val="21"/>
        </w:rPr>
        <w:t>※</w:t>
      </w:r>
      <w:r>
        <w:rPr>
          <w:rFonts w:hint="eastAsia" w:ascii="宋体" w:hAnsi="宋体" w:cs="宋体"/>
          <w:bCs/>
          <w:szCs w:val="21"/>
        </w:rPr>
        <w:t>《商务条款偏离表》</w:t>
      </w:r>
    </w:p>
    <w:p>
      <w:pPr>
        <w:spacing w:line="360" w:lineRule="auto"/>
        <w:ind w:firstLine="420" w:firstLineChars="200"/>
        <w:rPr>
          <w:rFonts w:hint="eastAsia" w:ascii="宋体" w:hAnsi="宋体" w:cs="宋体"/>
          <w:bCs/>
          <w:szCs w:val="21"/>
        </w:rPr>
      </w:pPr>
      <w:r>
        <w:rPr>
          <w:rFonts w:hint="eastAsia" w:ascii="宋体" w:hAnsi="宋体" w:cs="宋体"/>
          <w:bCs/>
          <w:szCs w:val="21"/>
        </w:rPr>
        <w:t>（5）※《技术条款偏离表》</w:t>
      </w:r>
    </w:p>
    <w:p>
      <w:pPr>
        <w:spacing w:line="360" w:lineRule="auto"/>
        <w:ind w:firstLine="420" w:firstLineChars="200"/>
        <w:rPr>
          <w:rFonts w:hint="eastAsia" w:ascii="宋体" w:hAnsi="宋体" w:cs="宋体"/>
          <w:bCs/>
          <w:szCs w:val="21"/>
        </w:rPr>
      </w:pPr>
      <w:r>
        <w:rPr>
          <w:rFonts w:hint="eastAsia" w:ascii="宋体" w:hAnsi="宋体" w:cs="宋体"/>
          <w:bCs/>
          <w:szCs w:val="21"/>
        </w:rPr>
        <w:t>（6）供应商基本情况表</w:t>
      </w:r>
    </w:p>
    <w:p>
      <w:pPr>
        <w:spacing w:line="360" w:lineRule="auto"/>
        <w:ind w:firstLine="420" w:firstLineChars="200"/>
        <w:rPr>
          <w:rFonts w:hint="eastAsia" w:ascii="宋体" w:hAnsi="宋体" w:cs="宋体"/>
          <w:bCs/>
          <w:szCs w:val="21"/>
        </w:rPr>
      </w:pPr>
      <w:r>
        <w:rPr>
          <w:rFonts w:hint="eastAsia" w:ascii="宋体" w:hAnsi="宋体" w:cs="宋体"/>
          <w:bCs/>
          <w:szCs w:val="21"/>
        </w:rPr>
        <w:t>（7）※资格证明文件</w:t>
      </w:r>
    </w:p>
    <w:p>
      <w:pPr>
        <w:spacing w:line="360" w:lineRule="auto"/>
        <w:ind w:firstLine="420" w:firstLineChars="200"/>
        <w:rPr>
          <w:rFonts w:hint="eastAsia" w:ascii="宋体" w:hAnsi="宋体" w:cs="宋体"/>
          <w:bCs/>
          <w:szCs w:val="21"/>
        </w:rPr>
      </w:pPr>
      <w:r>
        <w:rPr>
          <w:rFonts w:hint="eastAsia" w:ascii="宋体" w:hAnsi="宋体" w:cs="宋体"/>
          <w:bCs/>
          <w:szCs w:val="21"/>
        </w:rPr>
        <w:t>（8）供应商认为需要提供的其他资料</w:t>
      </w:r>
    </w:p>
    <w:p>
      <w:pPr>
        <w:widowControl/>
        <w:spacing w:line="360" w:lineRule="auto"/>
        <w:ind w:firstLine="420" w:firstLineChars="200"/>
        <w:rPr>
          <w:rFonts w:hint="eastAsia" w:ascii="宋体" w:hAnsi="宋体" w:cs="宋体"/>
          <w:bCs/>
          <w:szCs w:val="21"/>
        </w:rPr>
      </w:pPr>
      <w:r>
        <w:rPr>
          <w:rFonts w:hint="eastAsia" w:ascii="宋体" w:hAnsi="宋体" w:cs="宋体"/>
          <w:bCs/>
          <w:szCs w:val="21"/>
        </w:rPr>
        <w:t>9.3</w:t>
      </w:r>
      <w:r>
        <w:rPr>
          <w:rFonts w:hint="eastAsia" w:ascii="宋体" w:hAnsi="宋体" w:cs="宋体"/>
          <w:szCs w:val="21"/>
        </w:rPr>
        <w:t>响应文件的商务部分：是证明</w:t>
      </w:r>
      <w:r>
        <w:rPr>
          <w:rFonts w:hint="eastAsia" w:ascii="宋体" w:hAnsi="宋体" w:cs="宋体"/>
          <w:bCs/>
          <w:szCs w:val="21"/>
        </w:rPr>
        <w:t>供应商</w:t>
      </w:r>
      <w:r>
        <w:rPr>
          <w:rFonts w:hint="eastAsia" w:ascii="宋体" w:hAnsi="宋体" w:cs="宋体"/>
          <w:szCs w:val="21"/>
        </w:rPr>
        <w:t>有资格参加采购和成交后有能力履行合同的文件，这些文件应能满足采购的要求</w:t>
      </w:r>
      <w:r>
        <w:rPr>
          <w:rFonts w:hint="eastAsia" w:ascii="宋体" w:hAnsi="宋体" w:cs="宋体"/>
          <w:bCs/>
          <w:szCs w:val="21"/>
        </w:rPr>
        <w:t>。</w:t>
      </w:r>
    </w:p>
    <w:p>
      <w:pPr>
        <w:widowControl/>
        <w:spacing w:line="360" w:lineRule="auto"/>
        <w:ind w:firstLine="420" w:firstLineChars="200"/>
        <w:rPr>
          <w:rFonts w:hint="eastAsia" w:ascii="宋体" w:hAnsi="宋体" w:cs="宋体"/>
          <w:szCs w:val="21"/>
        </w:rPr>
      </w:pPr>
      <w:r>
        <w:rPr>
          <w:rFonts w:hint="eastAsia" w:ascii="宋体" w:hAnsi="宋体" w:cs="宋体"/>
          <w:szCs w:val="21"/>
        </w:rPr>
        <w:t>9.4响应文件的技术部分：是证明供应商提供的产品/服务是合格的、并符合采购文件要求的证明文件，以及对产品/服务的详细说明，这些文件可以是文字资料、图纸和数据等。提供的产品/服务如与采购文件要求有不符之处，应说明其差别之所在。</w:t>
      </w:r>
    </w:p>
    <w:p>
      <w:pPr>
        <w:widowControl/>
        <w:spacing w:line="360" w:lineRule="auto"/>
        <w:ind w:firstLine="420" w:firstLineChars="200"/>
        <w:rPr>
          <w:rFonts w:hint="eastAsia" w:ascii="宋体" w:hAnsi="宋体" w:cs="宋体"/>
          <w:szCs w:val="21"/>
        </w:rPr>
      </w:pPr>
      <w:r>
        <w:rPr>
          <w:rFonts w:hint="eastAsia" w:ascii="宋体" w:hAnsi="宋体" w:cs="宋体"/>
          <w:szCs w:val="21"/>
        </w:rPr>
        <w:t>9.5响应文件的价格部分：</w:t>
      </w:r>
    </w:p>
    <w:p>
      <w:pPr>
        <w:widowControl/>
        <w:spacing w:line="360" w:lineRule="auto"/>
        <w:ind w:firstLine="420" w:firstLineChars="200"/>
        <w:rPr>
          <w:rFonts w:hint="eastAsia" w:ascii="宋体" w:hAnsi="宋体" w:cs="宋体"/>
          <w:szCs w:val="21"/>
        </w:rPr>
      </w:pPr>
      <w:r>
        <w:rPr>
          <w:rFonts w:hint="eastAsia" w:ascii="宋体" w:hAnsi="宋体" w:cs="宋体"/>
          <w:szCs w:val="21"/>
        </w:rPr>
        <w:t>（1）磋商文件如没有特别说明的话，对每一项货物和服务仅接受一个价格。</w:t>
      </w:r>
    </w:p>
    <w:p>
      <w:pPr>
        <w:widowControl/>
        <w:spacing w:line="360" w:lineRule="auto"/>
        <w:ind w:firstLine="420" w:firstLineChars="200"/>
        <w:rPr>
          <w:rFonts w:hint="eastAsia" w:ascii="宋体" w:hAnsi="宋体" w:cs="宋体"/>
          <w:szCs w:val="21"/>
        </w:rPr>
      </w:pPr>
      <w:r>
        <w:rPr>
          <w:rFonts w:hint="eastAsia" w:ascii="宋体" w:hAnsi="宋体" w:cs="宋体"/>
          <w:szCs w:val="21"/>
        </w:rPr>
        <w:t>（2）报价时应充分考虑所有可能影响到报价的因素，一旦采购结束最终成交，如发生漏、缺、少项，都将被认为是成交人的报价让利行为，损失自负。</w:t>
      </w:r>
    </w:p>
    <w:p>
      <w:pPr>
        <w:widowControl/>
        <w:spacing w:line="360" w:lineRule="auto"/>
        <w:ind w:firstLine="420" w:firstLineChars="200"/>
        <w:rPr>
          <w:rFonts w:hint="eastAsia" w:ascii="宋体" w:hAnsi="宋体" w:cs="宋体"/>
          <w:szCs w:val="21"/>
        </w:rPr>
      </w:pPr>
      <w:r>
        <w:rPr>
          <w:rFonts w:hint="eastAsia" w:ascii="宋体" w:hAnsi="宋体" w:cs="宋体"/>
          <w:szCs w:val="21"/>
        </w:rPr>
        <w:t>（3）供应商的报价包括但不仅限于人员费用（工资、福利、培训、体检、社会保险、加班费）、服务所用设备工具购置及维修费用、服务所用材料消耗费用、管理费用、利润、税金等费用，以及供应商认为需要的其他费用等。</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rPr>
        <w:t>9</w:t>
      </w:r>
      <w:r>
        <w:rPr>
          <w:rFonts w:hint="eastAsia" w:ascii="宋体" w:hAnsi="宋体" w:cs="宋体"/>
          <w:szCs w:val="21"/>
          <w:lang w:val="zh-CN"/>
        </w:rPr>
        <w:t>.6 响应文件的其他部分：</w:t>
      </w:r>
    </w:p>
    <w:p>
      <w:pPr>
        <w:widowControl/>
        <w:spacing w:line="360" w:lineRule="auto"/>
        <w:ind w:firstLine="420" w:firstLineChars="200"/>
        <w:rPr>
          <w:rFonts w:hint="eastAsia" w:ascii="宋体" w:hAnsi="宋体" w:cs="宋体"/>
          <w:szCs w:val="21"/>
          <w:lang w:val="zh-CN"/>
        </w:rPr>
      </w:pPr>
      <w:r>
        <w:rPr>
          <w:rFonts w:hint="eastAsia" w:ascii="宋体" w:hAnsi="宋体" w:cs="宋体"/>
          <w:szCs w:val="21"/>
          <w:lang w:val="zh-CN"/>
        </w:rPr>
        <w:t>其他部分由</w:t>
      </w:r>
      <w:r>
        <w:rPr>
          <w:rFonts w:hint="eastAsia" w:ascii="宋体" w:hAnsi="宋体" w:cs="宋体"/>
          <w:bCs/>
          <w:szCs w:val="21"/>
        </w:rPr>
        <w:t>供应商</w:t>
      </w:r>
      <w:r>
        <w:rPr>
          <w:rFonts w:hint="eastAsia" w:ascii="宋体" w:hAnsi="宋体" w:cs="宋体"/>
          <w:szCs w:val="21"/>
          <w:lang w:val="zh-CN"/>
        </w:rPr>
        <w:t>根据编制响应文件需要提供的其他相关文件。</w:t>
      </w:r>
    </w:p>
    <w:p>
      <w:pPr>
        <w:spacing w:line="360" w:lineRule="auto"/>
        <w:ind w:firstLine="422" w:firstLineChars="200"/>
        <w:rPr>
          <w:rFonts w:hint="eastAsia" w:ascii="宋体" w:hAnsi="宋体" w:cs="宋体"/>
          <w:b/>
          <w:szCs w:val="21"/>
        </w:rPr>
      </w:pPr>
      <w:r>
        <w:rPr>
          <w:rFonts w:hint="eastAsia" w:ascii="宋体" w:hAnsi="宋体" w:cs="宋体"/>
          <w:b/>
          <w:szCs w:val="21"/>
        </w:rPr>
        <w:t>注：供应商递交的响应文件，所有内容均应真实有效；供应商所提供的产品或服务，必须满足国家相关强制性规定要求（如CCC认证、医疗器械注册证、电器电子产品有害物质限制使用标识等）；如果供应商违反国家相关强制性规定给采购人造成损失，一切责任和后果均由供应商承担。</w:t>
      </w:r>
    </w:p>
    <w:p>
      <w:pPr>
        <w:spacing w:line="360" w:lineRule="auto"/>
        <w:ind w:firstLine="422" w:firstLineChars="200"/>
        <w:outlineLvl w:val="2"/>
        <w:rPr>
          <w:rFonts w:hint="eastAsia" w:ascii="宋体" w:hAnsi="宋体" w:cs="宋体"/>
          <w:b/>
          <w:bCs/>
          <w:szCs w:val="21"/>
        </w:rPr>
      </w:pPr>
      <w:bookmarkStart w:id="130" w:name="_Toc115"/>
      <w:bookmarkStart w:id="131" w:name="_Toc1336"/>
      <w:bookmarkStart w:id="132" w:name="_Toc194"/>
      <w:r>
        <w:rPr>
          <w:rFonts w:hint="eastAsia" w:ascii="宋体" w:hAnsi="宋体" w:cs="宋体"/>
          <w:b/>
          <w:bCs/>
          <w:szCs w:val="21"/>
        </w:rPr>
        <w:t>10.磋商保证金</w:t>
      </w:r>
      <w:bookmarkEnd w:id="130"/>
      <w:bookmarkEnd w:id="131"/>
      <w:r>
        <w:rPr>
          <w:rFonts w:hint="eastAsia" w:ascii="宋体" w:hAnsi="宋体" w:cs="宋体"/>
          <w:b/>
          <w:bCs/>
          <w:szCs w:val="21"/>
        </w:rPr>
        <w:t>（如有）</w:t>
      </w:r>
      <w:bookmarkEnd w:id="132"/>
    </w:p>
    <w:p>
      <w:pPr>
        <w:spacing w:line="360" w:lineRule="auto"/>
        <w:ind w:firstLine="420" w:firstLineChars="200"/>
        <w:rPr>
          <w:rFonts w:hint="eastAsia" w:ascii="宋体" w:hAnsi="宋体" w:cs="宋体"/>
          <w:bCs/>
          <w:szCs w:val="21"/>
          <w:lang w:val="zh-CN"/>
        </w:rPr>
      </w:pPr>
      <w:r>
        <w:rPr>
          <w:rFonts w:hint="eastAsia" w:ascii="宋体" w:hAnsi="宋体" w:cs="宋体"/>
          <w:szCs w:val="21"/>
        </w:rPr>
        <w:t>10</w:t>
      </w:r>
      <w:r>
        <w:rPr>
          <w:rFonts w:hint="eastAsia" w:ascii="宋体" w:hAnsi="宋体" w:cs="宋体"/>
          <w:szCs w:val="21"/>
          <w:lang w:val="zh-CN"/>
        </w:rPr>
        <w:t>.1作为响应文件的一部分，供应商应按照采购文件要求的数额和办法缴纳磋商保证金；磋商保证金</w:t>
      </w:r>
      <w:r>
        <w:rPr>
          <w:rFonts w:hint="eastAsia" w:ascii="宋体" w:hAnsi="宋体" w:cs="宋体"/>
          <w:bCs/>
          <w:szCs w:val="21"/>
          <w:lang w:val="zh-CN"/>
        </w:rPr>
        <w:t>有效期应当与响应文件有效期一致。</w:t>
      </w:r>
    </w:p>
    <w:p>
      <w:pPr>
        <w:spacing w:line="360" w:lineRule="auto"/>
        <w:ind w:firstLine="422" w:firstLineChars="200"/>
        <w:rPr>
          <w:rFonts w:hint="eastAsia" w:ascii="宋体" w:hAnsi="宋体" w:cs="宋体"/>
          <w:b/>
          <w:szCs w:val="21"/>
        </w:rPr>
      </w:pPr>
      <w:r>
        <w:rPr>
          <w:rFonts w:hint="eastAsia" w:ascii="宋体" w:hAnsi="宋体" w:cs="宋体"/>
          <w:b/>
          <w:szCs w:val="21"/>
        </w:rPr>
        <w:t>磋商保证金金额及形式：详见供应商须知前附表；</w:t>
      </w:r>
    </w:p>
    <w:p>
      <w:pPr>
        <w:spacing w:line="360" w:lineRule="auto"/>
        <w:ind w:firstLine="422" w:firstLineChars="200"/>
        <w:rPr>
          <w:rFonts w:hint="eastAsia" w:ascii="宋体" w:hAnsi="宋体" w:cs="宋体"/>
          <w:b/>
          <w:szCs w:val="21"/>
        </w:rPr>
      </w:pPr>
      <w:r>
        <w:rPr>
          <w:rFonts w:hint="eastAsia" w:ascii="宋体" w:hAnsi="宋体" w:cs="宋体"/>
          <w:b/>
          <w:szCs w:val="21"/>
        </w:rPr>
        <w:t>10.2未成交的供应商，其磋商保证金将在成交通知书发出后五个工作日内无息退还。未成交供应商应主动与响应文件接收人联系办理磋商保证金退还事宜，以及办理退还手续，由于供应商的自身原因未及时办理磋商保证金退还的，其责任和由此造成的后果由供应商自行承担。</w:t>
      </w:r>
    </w:p>
    <w:p>
      <w:pPr>
        <w:spacing w:line="360" w:lineRule="auto"/>
        <w:ind w:firstLine="420" w:firstLineChars="200"/>
        <w:rPr>
          <w:rFonts w:hint="eastAsia" w:ascii="宋体" w:hAnsi="宋体" w:cs="宋体"/>
          <w:bCs/>
          <w:szCs w:val="21"/>
        </w:rPr>
      </w:pPr>
      <w:r>
        <w:rPr>
          <w:rFonts w:hint="eastAsia" w:ascii="宋体" w:hAnsi="宋体" w:cs="宋体"/>
          <w:bCs/>
          <w:szCs w:val="21"/>
        </w:rPr>
        <w:t>10.3成交供应商的磋商保证金将按要求提供招标代理服务费后并在采购合同签订后五个工作日内退还。</w:t>
      </w:r>
    </w:p>
    <w:p>
      <w:pPr>
        <w:spacing w:line="360" w:lineRule="auto"/>
        <w:ind w:firstLine="420" w:firstLineChars="200"/>
        <w:rPr>
          <w:rFonts w:hint="eastAsia" w:ascii="宋体" w:hAnsi="宋体" w:cs="宋体"/>
          <w:bCs/>
          <w:szCs w:val="21"/>
        </w:rPr>
      </w:pPr>
      <w:r>
        <w:rPr>
          <w:rFonts w:hint="eastAsia" w:ascii="宋体" w:hAnsi="宋体" w:cs="宋体"/>
          <w:bCs/>
          <w:szCs w:val="21"/>
        </w:rPr>
        <w:t>10.4发生下列情况之一，磋商保证金将被没收：</w:t>
      </w:r>
    </w:p>
    <w:p>
      <w:pPr>
        <w:spacing w:line="360" w:lineRule="auto"/>
        <w:ind w:firstLine="420" w:firstLineChars="200"/>
        <w:rPr>
          <w:rFonts w:hint="eastAsia" w:ascii="宋体" w:hAnsi="宋体" w:cs="宋体"/>
          <w:bCs/>
          <w:szCs w:val="21"/>
        </w:rPr>
      </w:pPr>
      <w:r>
        <w:rPr>
          <w:rFonts w:hint="eastAsia" w:ascii="宋体" w:hAnsi="宋体" w:cs="宋体"/>
          <w:bCs/>
          <w:szCs w:val="21"/>
        </w:rPr>
        <w:t>（1）成交供应商在成交后无正当理由不与采购人或者采购代理机构签订合同的；</w:t>
      </w:r>
    </w:p>
    <w:p>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val="zh-CN"/>
        </w:rPr>
        <w:t>响应有效期内撤回其响应文件的；</w:t>
      </w:r>
    </w:p>
    <w:p>
      <w:pPr>
        <w:spacing w:line="360" w:lineRule="auto"/>
        <w:ind w:firstLine="420" w:firstLineChars="200"/>
        <w:rPr>
          <w:rFonts w:hint="eastAsia" w:ascii="宋体" w:hAnsi="宋体" w:cs="宋体"/>
          <w:bCs/>
          <w:szCs w:val="21"/>
        </w:rPr>
      </w:pPr>
      <w:r>
        <w:rPr>
          <w:rFonts w:hint="eastAsia" w:ascii="宋体" w:hAnsi="宋体" w:cs="宋体"/>
          <w:bCs/>
          <w:szCs w:val="21"/>
        </w:rPr>
        <w:t>（3）提供虚假材料谋取成交的；</w:t>
      </w:r>
    </w:p>
    <w:p>
      <w:pPr>
        <w:spacing w:line="360" w:lineRule="auto"/>
        <w:ind w:firstLine="420" w:firstLineChars="200"/>
        <w:rPr>
          <w:rFonts w:hint="eastAsia" w:ascii="宋体" w:hAnsi="宋体" w:cs="宋体"/>
          <w:bCs/>
          <w:szCs w:val="21"/>
        </w:rPr>
      </w:pPr>
      <w:r>
        <w:rPr>
          <w:rFonts w:hint="eastAsia" w:ascii="宋体" w:hAnsi="宋体" w:cs="宋体"/>
          <w:bCs/>
          <w:szCs w:val="21"/>
        </w:rPr>
        <w:t>（4）采取不正当手段诋毁、排挤其他供应商的；</w:t>
      </w:r>
    </w:p>
    <w:p>
      <w:pPr>
        <w:spacing w:line="360" w:lineRule="auto"/>
        <w:ind w:firstLine="420" w:firstLineChars="200"/>
        <w:rPr>
          <w:rFonts w:hint="eastAsia" w:ascii="宋体" w:hAnsi="宋体" w:cs="宋体"/>
          <w:bCs/>
          <w:szCs w:val="21"/>
        </w:rPr>
      </w:pPr>
      <w:r>
        <w:rPr>
          <w:rFonts w:hint="eastAsia" w:ascii="宋体" w:hAnsi="宋体" w:cs="宋体"/>
          <w:bCs/>
          <w:szCs w:val="21"/>
        </w:rPr>
        <w:t>（5）与采购人、采购代理机构或者其他供应商恶意串通的；</w:t>
      </w:r>
    </w:p>
    <w:p>
      <w:pPr>
        <w:spacing w:line="360" w:lineRule="auto"/>
        <w:ind w:firstLine="420" w:firstLineChars="200"/>
        <w:rPr>
          <w:rFonts w:hint="eastAsia" w:ascii="宋体" w:hAnsi="宋体" w:cs="宋体"/>
          <w:bCs/>
          <w:szCs w:val="21"/>
        </w:rPr>
      </w:pPr>
      <w:r>
        <w:rPr>
          <w:rFonts w:hint="eastAsia" w:ascii="宋体" w:hAnsi="宋体" w:cs="宋体"/>
          <w:bCs/>
          <w:szCs w:val="21"/>
        </w:rPr>
        <w:t>（6）成交供应商在成交后将成交项目转让给他人，或者在响应文件中未说明，且未经采购人同意，将成交项目分包给他人的；</w:t>
      </w:r>
    </w:p>
    <w:p>
      <w:pPr>
        <w:spacing w:line="360" w:lineRule="auto"/>
        <w:ind w:firstLine="420" w:firstLineChars="200"/>
        <w:rPr>
          <w:rFonts w:hint="eastAsia" w:ascii="宋体" w:hAnsi="宋体" w:cs="宋体"/>
          <w:szCs w:val="21"/>
        </w:rPr>
      </w:pPr>
      <w:r>
        <w:rPr>
          <w:rFonts w:hint="eastAsia" w:ascii="宋体" w:hAnsi="宋体" w:cs="宋体"/>
          <w:bCs/>
          <w:szCs w:val="21"/>
        </w:rPr>
        <w:t>（7）成交供应商在成交后拒绝履行合同义务的。</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33" w:name="_Toc30361"/>
      <w:bookmarkStart w:id="134" w:name="_Toc8828"/>
      <w:bookmarkStart w:id="135" w:name="_Toc22016"/>
      <w:r>
        <w:rPr>
          <w:rFonts w:hint="eastAsia" w:ascii="宋体" w:hAnsi="宋体" w:eastAsia="宋体" w:cs="宋体"/>
          <w:b/>
          <w:bCs/>
          <w:sz w:val="21"/>
          <w:szCs w:val="21"/>
        </w:rPr>
        <w:t>11.响应文件的有效期</w:t>
      </w:r>
      <w:bookmarkEnd w:id="133"/>
      <w:bookmarkEnd w:id="134"/>
      <w:bookmarkEnd w:id="135"/>
    </w:p>
    <w:p>
      <w:pPr>
        <w:spacing w:line="360" w:lineRule="auto"/>
        <w:ind w:firstLine="420" w:firstLineChars="200"/>
        <w:jc w:val="left"/>
        <w:rPr>
          <w:rFonts w:hint="eastAsia" w:ascii="宋体" w:hAnsi="宋体" w:cs="宋体"/>
          <w:bCs/>
          <w:szCs w:val="21"/>
        </w:rPr>
      </w:pPr>
      <w:r>
        <w:rPr>
          <w:rFonts w:hint="eastAsia" w:ascii="宋体" w:hAnsi="宋体" w:cs="宋体"/>
          <w:bCs/>
          <w:szCs w:val="21"/>
        </w:rPr>
        <w:t>11.1</w:t>
      </w:r>
      <w:r>
        <w:rPr>
          <w:rFonts w:hint="eastAsia" w:ascii="宋体" w:hAnsi="宋体" w:cs="宋体"/>
          <w:szCs w:val="21"/>
        </w:rPr>
        <w:t>供应商提交响应文件截止之日起90天</w:t>
      </w:r>
      <w:r>
        <w:rPr>
          <w:rFonts w:hint="eastAsia" w:ascii="宋体" w:hAnsi="宋体" w:cs="宋体"/>
          <w:bCs/>
          <w:szCs w:val="21"/>
        </w:rPr>
        <w:t>内，响应文件应保持有效，有效期短于此规定的响应文件将被拒绝或视为无效。</w:t>
      </w:r>
    </w:p>
    <w:p>
      <w:pPr>
        <w:spacing w:line="360" w:lineRule="auto"/>
        <w:ind w:firstLine="420" w:firstLineChars="200"/>
        <w:rPr>
          <w:rFonts w:hint="eastAsia" w:ascii="宋体" w:hAnsi="宋体" w:cs="宋体"/>
          <w:bCs/>
          <w:szCs w:val="21"/>
        </w:rPr>
      </w:pPr>
      <w:r>
        <w:rPr>
          <w:rFonts w:hint="eastAsia" w:ascii="宋体" w:hAnsi="宋体" w:cs="宋体"/>
          <w:bCs/>
          <w:szCs w:val="21"/>
        </w:rPr>
        <w:t>11.2在特殊情况下，采购代理机构可根据实际情况，在原响应文件有效期截止时间前，与供应商协商延长有效期，此类要求和答复都应以书面形式进行。供应商可以拒绝接受延期的要求而放弃投标，保证金将尽快无息退还。同意这一要求的供应商，无需也不允许修改其响应文件，但须相应延长保证金的有效期。受响应文件有效期制约的所有权利和义务均应延长至新的有效期。</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36" w:name="_Toc4470"/>
      <w:bookmarkStart w:id="137" w:name="_Toc29202"/>
      <w:bookmarkStart w:id="138" w:name="_Toc11634"/>
      <w:r>
        <w:rPr>
          <w:rFonts w:hint="eastAsia" w:ascii="宋体" w:hAnsi="宋体" w:eastAsia="宋体" w:cs="宋体"/>
          <w:b/>
          <w:bCs/>
          <w:sz w:val="21"/>
          <w:szCs w:val="21"/>
        </w:rPr>
        <w:t>12.响应文件的签署及其形式</w:t>
      </w:r>
      <w:bookmarkEnd w:id="136"/>
      <w:bookmarkEnd w:id="137"/>
      <w:bookmarkEnd w:id="138"/>
    </w:p>
    <w:p>
      <w:pPr>
        <w:spacing w:line="360" w:lineRule="auto"/>
        <w:ind w:firstLine="420" w:firstLineChars="200"/>
        <w:rPr>
          <w:rFonts w:hint="eastAsia" w:ascii="宋体" w:hAnsi="宋体" w:cs="宋体"/>
          <w:bCs/>
          <w:szCs w:val="21"/>
        </w:rPr>
      </w:pPr>
      <w:r>
        <w:rPr>
          <w:rFonts w:hint="eastAsia" w:ascii="宋体" w:hAnsi="宋体" w:cs="宋体"/>
          <w:bCs/>
          <w:szCs w:val="21"/>
        </w:rPr>
        <w:t>12.1响应文件的正本应用打印机或不褪色墨水书写，且经法定代表人或授权代表签署。</w:t>
      </w:r>
    </w:p>
    <w:p>
      <w:pPr>
        <w:spacing w:line="360" w:lineRule="auto"/>
        <w:ind w:firstLine="420" w:firstLineChars="200"/>
        <w:rPr>
          <w:rFonts w:hint="eastAsia" w:ascii="宋体" w:hAnsi="宋体" w:cs="宋体"/>
          <w:bCs/>
          <w:szCs w:val="21"/>
        </w:rPr>
      </w:pPr>
      <w:r>
        <w:rPr>
          <w:rFonts w:hint="eastAsia" w:ascii="宋体" w:hAnsi="宋体" w:cs="宋体"/>
          <w:bCs/>
          <w:szCs w:val="21"/>
        </w:rPr>
        <w:t>12.2响应文件应字迹清楚、内容齐全、不得涂改或增删。如有修改和增删，必须有供应商公章或法定代表人或其授权代表签字。因响应文件字迹潦草或表达不清所引起的不利后果由供应商承担。</w:t>
      </w:r>
    </w:p>
    <w:p>
      <w:pPr>
        <w:widowControl/>
        <w:shd w:val="clear" w:color="auto" w:fill="FFFFFF"/>
        <w:spacing w:line="360" w:lineRule="auto"/>
        <w:ind w:firstLine="420" w:firstLineChars="200"/>
        <w:rPr>
          <w:rFonts w:hint="eastAsia" w:ascii="宋体" w:hAnsi="宋体" w:cs="宋体"/>
          <w:szCs w:val="21"/>
        </w:rPr>
      </w:pPr>
      <w:r>
        <w:rPr>
          <w:rFonts w:hint="eastAsia" w:ascii="宋体" w:hAnsi="宋体" w:cs="宋体"/>
          <w:bCs/>
          <w:szCs w:val="21"/>
        </w:rPr>
        <w:t>12.3供应商应按照磋商文件所规定的内容顺序，</w:t>
      </w:r>
      <w:r>
        <w:rPr>
          <w:rFonts w:hint="eastAsia" w:ascii="宋体" w:hAnsi="宋体" w:cs="宋体"/>
          <w:b/>
          <w:szCs w:val="21"/>
        </w:rPr>
        <w:t>编制目录，逐页编码。</w:t>
      </w:r>
      <w:r>
        <w:rPr>
          <w:rFonts w:hint="eastAsia" w:ascii="宋体" w:hAnsi="宋体" w:cs="宋体"/>
          <w:bCs/>
          <w:szCs w:val="21"/>
        </w:rPr>
        <w:t>由于编排混乱导致响应文件被误读或查找不到，责任由供应商承担。</w:t>
      </w:r>
    </w:p>
    <w:p>
      <w:pPr>
        <w:widowControl/>
        <w:shd w:val="clear" w:color="auto" w:fill="FFFFFF"/>
        <w:spacing w:line="360" w:lineRule="auto"/>
        <w:ind w:firstLine="422" w:firstLineChars="200"/>
        <w:outlineLvl w:val="1"/>
        <w:rPr>
          <w:rFonts w:hint="eastAsia" w:ascii="宋体" w:hAnsi="宋体" w:cs="宋体"/>
          <w:b/>
          <w:bCs/>
          <w:szCs w:val="21"/>
        </w:rPr>
      </w:pPr>
      <w:r>
        <w:rPr>
          <w:rFonts w:hint="eastAsia" w:ascii="宋体" w:hAnsi="宋体" w:cs="宋体"/>
          <w:b/>
          <w:bCs/>
          <w:szCs w:val="21"/>
        </w:rPr>
        <w:t xml:space="preserve"> </w:t>
      </w:r>
      <w:bookmarkStart w:id="139" w:name="_Toc3356"/>
      <w:r>
        <w:rPr>
          <w:rFonts w:hint="eastAsia" w:ascii="宋体" w:hAnsi="宋体" w:cs="宋体"/>
          <w:b/>
          <w:bCs/>
          <w:szCs w:val="21"/>
        </w:rPr>
        <w:t>四、响应文件的递交</w:t>
      </w:r>
      <w:bookmarkEnd w:id="139"/>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40" w:name="_Toc26192"/>
      <w:bookmarkStart w:id="141" w:name="_Toc28480"/>
      <w:bookmarkStart w:id="142" w:name="_Toc22822"/>
      <w:r>
        <w:rPr>
          <w:rFonts w:hint="eastAsia" w:ascii="宋体" w:hAnsi="宋体" w:eastAsia="宋体" w:cs="宋体"/>
          <w:b/>
          <w:bCs/>
          <w:sz w:val="21"/>
          <w:szCs w:val="21"/>
        </w:rPr>
        <w:t>13.响应文件的密封及标记</w:t>
      </w:r>
      <w:bookmarkEnd w:id="140"/>
      <w:bookmarkEnd w:id="141"/>
      <w:bookmarkEnd w:id="142"/>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13.1 电子响应文件的递交：供应商应当按照《操作手册》规定，在响应截止时间前制作并上传电子响应文件。</w:t>
      </w:r>
    </w:p>
    <w:p>
      <w:pPr>
        <w:tabs>
          <w:tab w:val="left" w:pos="480"/>
        </w:tabs>
        <w:spacing w:line="360" w:lineRule="auto"/>
        <w:ind w:firstLine="420" w:firstLineChars="200"/>
        <w:rPr>
          <w:rFonts w:hint="eastAsia" w:ascii="宋体" w:hAnsi="宋体" w:cs="宋体"/>
          <w:bCs/>
          <w:szCs w:val="21"/>
        </w:rPr>
      </w:pPr>
      <w:r>
        <w:rPr>
          <w:rFonts w:hint="eastAsia" w:ascii="宋体" w:hAnsi="宋体" w:cs="宋体"/>
          <w:szCs w:val="21"/>
        </w:rPr>
        <w:t>13.2 响应文件的解密：磋商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43" w:name="_Toc9135"/>
      <w:bookmarkStart w:id="144" w:name="_Toc18793"/>
      <w:bookmarkStart w:id="145" w:name="_Toc8218"/>
      <w:r>
        <w:rPr>
          <w:rFonts w:hint="eastAsia" w:ascii="宋体" w:hAnsi="宋体" w:eastAsia="宋体" w:cs="宋体"/>
          <w:b/>
          <w:bCs/>
          <w:sz w:val="21"/>
          <w:szCs w:val="21"/>
        </w:rPr>
        <w:t>14.磋商的截止日期</w:t>
      </w:r>
      <w:bookmarkEnd w:id="143"/>
      <w:bookmarkEnd w:id="144"/>
      <w:bookmarkEnd w:id="145"/>
    </w:p>
    <w:p>
      <w:pPr>
        <w:tabs>
          <w:tab w:val="left" w:pos="480"/>
        </w:tabs>
        <w:spacing w:line="360" w:lineRule="auto"/>
        <w:ind w:firstLine="420" w:firstLineChars="200"/>
        <w:rPr>
          <w:rFonts w:hint="eastAsia" w:ascii="宋体" w:hAnsi="宋体" w:cs="宋体"/>
          <w:szCs w:val="21"/>
        </w:rPr>
      </w:pPr>
      <w:bookmarkStart w:id="146" w:name="_Toc10702"/>
      <w:bookmarkStart w:id="147" w:name="_Toc21277"/>
      <w:bookmarkStart w:id="148" w:name="_Toc32430"/>
      <w:bookmarkStart w:id="149" w:name="_Toc851"/>
      <w:r>
        <w:rPr>
          <w:rFonts w:hint="eastAsia" w:ascii="宋体" w:hAnsi="宋体" w:cs="宋体"/>
          <w:szCs w:val="21"/>
        </w:rPr>
        <w:t>14.1 供应商上传电子响应文件的时间不得迟于磋商公告中规定的响应截止时间。</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供应商应充分考虑到网络环境、网络带宽等风险因素，如因供应商自身原因造成的电子响应文件上传不成功的做无效响应处理。</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14.2 采购人可以按照规定，通过修改磋商文件酌情延长响应截止时间，在此情况下，供应商的所有权利和义务以及供应商受制的截止时间均应以延长后新的截止时间为准。</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50" w:name="_Toc30926"/>
      <w:r>
        <w:rPr>
          <w:rFonts w:hint="eastAsia" w:ascii="宋体" w:hAnsi="宋体" w:eastAsia="宋体" w:cs="宋体"/>
          <w:b/>
          <w:bCs/>
          <w:sz w:val="21"/>
          <w:szCs w:val="21"/>
        </w:rPr>
        <w:t>15.</w:t>
      </w:r>
      <w:bookmarkEnd w:id="146"/>
      <w:r>
        <w:rPr>
          <w:rFonts w:hint="eastAsia" w:ascii="宋体" w:hAnsi="宋体" w:eastAsia="宋体" w:cs="宋体"/>
          <w:b/>
          <w:bCs/>
          <w:sz w:val="21"/>
          <w:szCs w:val="21"/>
        </w:rPr>
        <w:t>迟交的响应文件</w:t>
      </w:r>
      <w:bookmarkEnd w:id="147"/>
      <w:bookmarkEnd w:id="148"/>
      <w:bookmarkEnd w:id="149"/>
      <w:bookmarkEnd w:id="150"/>
    </w:p>
    <w:p>
      <w:pPr>
        <w:spacing w:line="360" w:lineRule="auto"/>
        <w:ind w:firstLine="420" w:firstLineChars="200"/>
        <w:rPr>
          <w:rFonts w:hint="eastAsia" w:ascii="宋体" w:hAnsi="宋体" w:cs="宋体"/>
          <w:bCs/>
          <w:szCs w:val="21"/>
        </w:rPr>
      </w:pPr>
      <w:r>
        <w:rPr>
          <w:rFonts w:hint="eastAsia" w:ascii="宋体" w:hAnsi="宋体" w:cs="宋体"/>
          <w:szCs w:val="21"/>
        </w:rPr>
        <w:t>15.1</w:t>
      </w:r>
      <w:r>
        <w:rPr>
          <w:rFonts w:hint="eastAsia" w:ascii="宋体" w:hAnsi="宋体" w:cs="宋体"/>
          <w:bCs/>
          <w:szCs w:val="21"/>
        </w:rPr>
        <w:t xml:space="preserve"> 采购人拒绝接收在其规定的响应截止时间后上传的任何响应文件。</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51" w:name="_Toc21432"/>
      <w:bookmarkStart w:id="152" w:name="_Toc21821"/>
      <w:bookmarkStart w:id="153" w:name="_Toc22830"/>
      <w:r>
        <w:rPr>
          <w:rFonts w:hint="eastAsia" w:ascii="宋体" w:hAnsi="宋体" w:eastAsia="宋体" w:cs="宋体"/>
          <w:b/>
          <w:bCs/>
          <w:sz w:val="21"/>
          <w:szCs w:val="21"/>
        </w:rPr>
        <w:t>16.响应文件的修改或撤回</w:t>
      </w:r>
      <w:bookmarkEnd w:id="151"/>
      <w:bookmarkEnd w:id="152"/>
      <w:bookmarkEnd w:id="153"/>
    </w:p>
    <w:p>
      <w:pPr>
        <w:spacing w:line="360" w:lineRule="auto"/>
        <w:ind w:firstLine="420" w:firstLineChars="200"/>
        <w:rPr>
          <w:rFonts w:hint="eastAsia" w:ascii="宋体" w:hAnsi="宋体" w:cs="宋体"/>
          <w:bCs/>
          <w:szCs w:val="21"/>
        </w:rPr>
      </w:pPr>
      <w:r>
        <w:rPr>
          <w:rFonts w:hint="eastAsia" w:ascii="宋体" w:hAnsi="宋体" w:cs="宋体"/>
          <w:bCs/>
          <w:szCs w:val="21"/>
        </w:rPr>
        <w:t>供应商在提交响应文件后可对其进行补充、修改或撤回，但必须使采购代理机构能在提交响应文件截止时间前（不考虑不可抗力原因）收到该补充、修改的书面内容或撤回的书面通知，该书面文件须由法定代表人或其授权代表签署。</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16.1 响应文件的撤回</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16.1.1 电子响应文件的撤回</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供应商可在响应截止时间前，撤回其电子响应文件，具体操作方法见《操作手册》。</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16.1.2 供应商撤回电子响应文件，则认为其不再参与本项目投标活动。</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16.2 响应文件的修改</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16.2.1供应商可在响应截止时间前，对其电子响应文件进行修改，具体操作方法见《操作手册》。</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16.2.2 在响应截止时间之后，供应商不得对其电子响应文件作任何修改。</w:t>
      </w:r>
    </w:p>
    <w:p>
      <w:pPr>
        <w:spacing w:line="360" w:lineRule="auto"/>
        <w:ind w:firstLine="420" w:firstLineChars="200"/>
        <w:rPr>
          <w:rFonts w:hint="eastAsia" w:ascii="宋体" w:hAnsi="宋体" w:cs="宋体"/>
          <w:bCs/>
          <w:szCs w:val="21"/>
        </w:rPr>
      </w:pPr>
      <w:r>
        <w:rPr>
          <w:rFonts w:hint="eastAsia" w:ascii="宋体" w:hAnsi="宋体" w:cs="宋体"/>
          <w:szCs w:val="21"/>
        </w:rPr>
        <w:t>16.3 在响应截止时间至响应文件中规定的投标有效期满之间的这段时间内，供应商不得撤回其响应。</w:t>
      </w:r>
    </w:p>
    <w:p>
      <w:pPr>
        <w:widowControl/>
        <w:shd w:val="clear" w:color="auto" w:fill="FFFFFF"/>
        <w:spacing w:line="360" w:lineRule="auto"/>
        <w:ind w:firstLine="422" w:firstLineChars="200"/>
        <w:outlineLvl w:val="1"/>
        <w:rPr>
          <w:rFonts w:hint="eastAsia" w:ascii="宋体" w:hAnsi="宋体" w:cs="宋体"/>
          <w:b/>
          <w:bCs/>
          <w:szCs w:val="21"/>
        </w:rPr>
      </w:pPr>
      <w:bookmarkStart w:id="154" w:name="_Toc20823301"/>
      <w:bookmarkStart w:id="155" w:name="_Toc513029229"/>
      <w:bookmarkStart w:id="156" w:name="_Toc16938545"/>
      <w:bookmarkStart w:id="157" w:name="_Toc120614218"/>
      <w:bookmarkStart w:id="158" w:name="_Toc9494"/>
      <w:bookmarkStart w:id="159" w:name="_Toc17027"/>
      <w:r>
        <w:rPr>
          <w:rFonts w:hint="eastAsia" w:ascii="宋体" w:hAnsi="宋体" w:cs="宋体"/>
          <w:b/>
          <w:bCs/>
          <w:szCs w:val="21"/>
        </w:rPr>
        <w:t>五、</w:t>
      </w:r>
      <w:bookmarkEnd w:id="154"/>
      <w:bookmarkEnd w:id="155"/>
      <w:bookmarkEnd w:id="156"/>
      <w:bookmarkEnd w:id="157"/>
      <w:r>
        <w:rPr>
          <w:rFonts w:hint="eastAsia" w:ascii="宋体" w:hAnsi="宋体" w:cs="宋体"/>
          <w:b/>
          <w:bCs/>
          <w:szCs w:val="21"/>
        </w:rPr>
        <w:t>磋商程序及</w:t>
      </w:r>
      <w:bookmarkEnd w:id="158"/>
      <w:r>
        <w:rPr>
          <w:rFonts w:hint="eastAsia" w:ascii="宋体" w:hAnsi="宋体" w:cs="宋体"/>
          <w:b/>
          <w:bCs/>
          <w:szCs w:val="21"/>
        </w:rPr>
        <w:t>评标</w:t>
      </w:r>
      <w:bookmarkEnd w:id="159"/>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60" w:name="OLE_LINK7"/>
      <w:bookmarkStart w:id="161" w:name="_Toc22282"/>
      <w:bookmarkStart w:id="162" w:name="_Toc10776"/>
      <w:bookmarkStart w:id="163" w:name="OLE_LINK3"/>
      <w:bookmarkStart w:id="164" w:name="_Toc30135"/>
      <w:r>
        <w:rPr>
          <w:rFonts w:hint="eastAsia" w:ascii="宋体" w:hAnsi="宋体" w:eastAsia="宋体" w:cs="宋体"/>
          <w:b/>
          <w:bCs/>
          <w:sz w:val="21"/>
          <w:szCs w:val="21"/>
        </w:rPr>
        <w:t>17.磋商</w:t>
      </w:r>
      <w:bookmarkEnd w:id="160"/>
      <w:bookmarkEnd w:id="161"/>
      <w:bookmarkEnd w:id="162"/>
      <w:bookmarkEnd w:id="163"/>
      <w:bookmarkEnd w:id="164"/>
    </w:p>
    <w:p>
      <w:pPr>
        <w:spacing w:line="360" w:lineRule="auto"/>
        <w:ind w:firstLine="420" w:firstLineChars="200"/>
        <w:rPr>
          <w:rFonts w:hint="eastAsia" w:ascii="宋体" w:hAnsi="宋体" w:cs="宋体"/>
          <w:bCs/>
          <w:szCs w:val="21"/>
        </w:rPr>
      </w:pPr>
      <w:r>
        <w:rPr>
          <w:rFonts w:hint="eastAsia" w:ascii="宋体" w:hAnsi="宋体" w:cs="宋体"/>
          <w:bCs/>
          <w:szCs w:val="21"/>
        </w:rPr>
        <w:t>17.1</w:t>
      </w:r>
      <w:r>
        <w:rPr>
          <w:rFonts w:hint="eastAsia" w:ascii="宋体" w:hAnsi="宋体" w:cs="宋体"/>
          <w:szCs w:val="21"/>
          <w:lang w:val="zh-CN"/>
        </w:rPr>
        <w:t>采购</w:t>
      </w:r>
      <w:r>
        <w:rPr>
          <w:rFonts w:hint="eastAsia" w:ascii="宋体" w:hAnsi="宋体" w:cs="宋体"/>
          <w:bCs/>
          <w:szCs w:val="21"/>
        </w:rPr>
        <w:t>代理机构将在磋商公告中规定的时间和地点组织磋商。供应商应当按照《操作手册》规定，参加磋商活动和在苏采云系统规定的时间内对响应文件进行解密。</w:t>
      </w:r>
    </w:p>
    <w:p>
      <w:pPr>
        <w:spacing w:line="360" w:lineRule="auto"/>
        <w:ind w:firstLine="420" w:firstLineChars="200"/>
        <w:rPr>
          <w:rFonts w:hint="eastAsia" w:ascii="宋体" w:hAnsi="宋体" w:cs="宋体"/>
          <w:bCs/>
          <w:szCs w:val="21"/>
        </w:rPr>
      </w:pPr>
      <w:r>
        <w:rPr>
          <w:rFonts w:hint="eastAsia" w:ascii="宋体" w:hAnsi="宋体" w:cs="宋体"/>
          <w:bCs/>
          <w:szCs w:val="21"/>
        </w:rPr>
        <w:t>17.2供应商在采购过程中涉及到的响应文件解密、磋商结果确认等工作，应按照《操作手册》规定执行。</w:t>
      </w:r>
    </w:p>
    <w:p>
      <w:pPr>
        <w:spacing w:line="360" w:lineRule="auto"/>
        <w:ind w:firstLine="420" w:firstLineChars="200"/>
        <w:rPr>
          <w:rFonts w:hint="eastAsia" w:ascii="宋体" w:hAnsi="宋体" w:cs="宋体"/>
          <w:bCs/>
          <w:szCs w:val="21"/>
        </w:rPr>
      </w:pPr>
      <w:r>
        <w:rPr>
          <w:rFonts w:hint="eastAsia" w:ascii="宋体" w:hAnsi="宋体" w:cs="宋体"/>
          <w:bCs/>
          <w:szCs w:val="21"/>
        </w:rPr>
        <w:t>17.3供应商如果对磋商过程有疑义，应当根据《操作手册》规定提出。</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65" w:name="_Toc12324"/>
      <w:bookmarkStart w:id="166" w:name="_Toc32716"/>
      <w:bookmarkStart w:id="167" w:name="_Toc4627"/>
      <w:r>
        <w:rPr>
          <w:rFonts w:hint="eastAsia" w:ascii="宋体" w:hAnsi="宋体" w:eastAsia="宋体" w:cs="宋体"/>
          <w:b/>
          <w:bCs/>
          <w:sz w:val="21"/>
          <w:szCs w:val="21"/>
        </w:rPr>
        <w:t>18.磋商小组</w:t>
      </w:r>
      <w:bookmarkEnd w:id="165"/>
      <w:bookmarkEnd w:id="166"/>
      <w:bookmarkEnd w:id="167"/>
    </w:p>
    <w:p>
      <w:pPr>
        <w:spacing w:line="360" w:lineRule="auto"/>
        <w:ind w:firstLine="420" w:firstLineChars="200"/>
        <w:rPr>
          <w:rFonts w:hint="eastAsia" w:ascii="宋体" w:hAnsi="宋体" w:cs="宋体"/>
          <w:bCs/>
          <w:szCs w:val="21"/>
        </w:rPr>
      </w:pPr>
      <w:r>
        <w:rPr>
          <w:rFonts w:hint="eastAsia" w:ascii="宋体" w:hAnsi="宋体" w:cs="宋体"/>
          <w:bCs/>
          <w:szCs w:val="21"/>
        </w:rPr>
        <w:t>18.1</w:t>
      </w:r>
      <w:r>
        <w:rPr>
          <w:rFonts w:hint="eastAsia" w:ascii="宋体" w:hAnsi="宋体" w:cs="宋体"/>
          <w:szCs w:val="21"/>
          <w:lang w:val="zh-CN"/>
        </w:rPr>
        <w:t>采购代理机构在规定的时间和地点组织磋商小组分别与供应商进行磋商。</w:t>
      </w:r>
    </w:p>
    <w:p>
      <w:pPr>
        <w:spacing w:line="360" w:lineRule="auto"/>
        <w:ind w:firstLine="420" w:firstLineChars="200"/>
        <w:rPr>
          <w:rFonts w:hint="eastAsia" w:ascii="宋体" w:hAnsi="宋体" w:cs="宋体"/>
          <w:bCs/>
          <w:szCs w:val="21"/>
        </w:rPr>
      </w:pPr>
      <w:r>
        <w:rPr>
          <w:rFonts w:hint="eastAsia" w:ascii="宋体" w:hAnsi="宋体" w:cs="宋体"/>
          <w:bCs/>
          <w:szCs w:val="21"/>
        </w:rPr>
        <w:t>18.2磋商小组由采购人代表和有关技术、经济等方面的专家组成，独立开展评审工作且磋商小组人员构成符合采购有关规定。</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68" w:name="_Toc13685"/>
      <w:bookmarkStart w:id="169" w:name="_Toc17642"/>
      <w:bookmarkStart w:id="170" w:name="_Toc13254"/>
      <w:bookmarkStart w:id="171" w:name="_Toc7590"/>
      <w:r>
        <w:rPr>
          <w:rFonts w:hint="eastAsia" w:ascii="宋体" w:hAnsi="宋体" w:eastAsia="宋体" w:cs="宋体"/>
          <w:b/>
          <w:bCs/>
          <w:sz w:val="21"/>
          <w:szCs w:val="21"/>
        </w:rPr>
        <w:t>19.</w:t>
      </w:r>
      <w:bookmarkEnd w:id="168"/>
      <w:r>
        <w:rPr>
          <w:rFonts w:hint="eastAsia" w:ascii="宋体" w:hAnsi="宋体" w:eastAsia="宋体" w:cs="宋体"/>
          <w:b/>
          <w:bCs/>
          <w:sz w:val="21"/>
          <w:szCs w:val="21"/>
        </w:rPr>
        <w:t>磋商程序</w:t>
      </w:r>
      <w:bookmarkEnd w:id="169"/>
      <w:bookmarkEnd w:id="170"/>
      <w:bookmarkEnd w:id="171"/>
    </w:p>
    <w:p>
      <w:pPr>
        <w:spacing w:line="360" w:lineRule="auto"/>
        <w:ind w:firstLine="420" w:firstLineChars="200"/>
        <w:rPr>
          <w:rFonts w:hint="eastAsia" w:ascii="宋体" w:hAnsi="宋体" w:cs="宋体"/>
          <w:bCs/>
          <w:szCs w:val="21"/>
        </w:rPr>
      </w:pPr>
      <w:r>
        <w:rPr>
          <w:rFonts w:hint="eastAsia" w:ascii="宋体" w:hAnsi="宋体" w:cs="宋体"/>
          <w:bCs/>
          <w:szCs w:val="21"/>
        </w:rPr>
        <w:t>19.1响应文件初审分为资格性检查和符合性检查，未通过审查的响应文件按无效处理。</w:t>
      </w:r>
    </w:p>
    <w:p>
      <w:pPr>
        <w:spacing w:line="360" w:lineRule="auto"/>
        <w:ind w:firstLine="420" w:firstLineChars="200"/>
        <w:rPr>
          <w:rFonts w:hint="eastAsia" w:ascii="宋体" w:hAnsi="宋体" w:cs="宋体"/>
          <w:bCs/>
          <w:szCs w:val="21"/>
        </w:rPr>
      </w:pPr>
      <w:r>
        <w:rPr>
          <w:rFonts w:hint="eastAsia" w:ascii="宋体" w:hAnsi="宋体" w:cs="宋体"/>
          <w:bCs/>
          <w:szCs w:val="21"/>
        </w:rPr>
        <w:t>资格性检查：依据法律法规和采购文件的规定，对响应文件中的资格证明文件、磋商保证金（如有）等进行审查，以确定供应商是否具备磋商资格。</w:t>
      </w:r>
    </w:p>
    <w:p>
      <w:pPr>
        <w:spacing w:line="360" w:lineRule="auto"/>
        <w:ind w:firstLine="420" w:firstLineChars="200"/>
        <w:rPr>
          <w:rFonts w:hint="eastAsia" w:ascii="宋体" w:hAnsi="宋体" w:cs="宋体"/>
          <w:bCs/>
          <w:szCs w:val="21"/>
        </w:rPr>
      </w:pPr>
      <w:r>
        <w:rPr>
          <w:rFonts w:hint="eastAsia" w:ascii="宋体" w:hAnsi="宋体" w:cs="宋体"/>
          <w:bCs/>
          <w:szCs w:val="21"/>
        </w:rPr>
        <w:t>符合性检查：依据采购文件的规定，从响应文件的有效性（签署情况等）、完整性（正本和副本数量、内容等）和对采购文件的响应程度（是否存在重大负偏离等）进行审查，以确定是否对采购文件的实质性要求作出响应。</w:t>
      </w:r>
    </w:p>
    <w:p>
      <w:pPr>
        <w:spacing w:line="360" w:lineRule="auto"/>
        <w:ind w:firstLine="420" w:firstLineChars="200"/>
        <w:rPr>
          <w:rFonts w:hint="eastAsia" w:ascii="宋体" w:hAnsi="宋体" w:cs="宋体"/>
          <w:bCs/>
          <w:szCs w:val="21"/>
        </w:rPr>
      </w:pPr>
      <w:r>
        <w:rPr>
          <w:rFonts w:hint="eastAsia" w:ascii="宋体" w:hAnsi="宋体" w:cs="宋体"/>
          <w:bCs/>
          <w:szCs w:val="21"/>
        </w:rPr>
        <w:t>凡响应文件的实质性内容和关键格式严重不符合磋商文件规定或不响应磋商文件要求的，经磋商小组认定作无效响应文件处理。供应商不得通过修改或撤销不合要求的偏离或保留而使其成为实质性响应的磋商。磋商小组决定响应文件的响应性只根据响应文件本身的内容，而不寻求外部的证据。</w:t>
      </w:r>
    </w:p>
    <w:p>
      <w:pPr>
        <w:spacing w:line="360" w:lineRule="auto"/>
        <w:ind w:firstLine="420" w:firstLineChars="200"/>
        <w:rPr>
          <w:rFonts w:hint="eastAsia" w:ascii="宋体" w:hAnsi="宋体" w:cs="宋体"/>
          <w:bCs/>
          <w:szCs w:val="21"/>
          <w:lang w:val="zh-CN"/>
        </w:rPr>
      </w:pPr>
      <w:r>
        <w:rPr>
          <w:rFonts w:hint="eastAsia" w:ascii="宋体" w:hAnsi="宋体" w:cs="宋体"/>
          <w:bCs/>
          <w:szCs w:val="21"/>
        </w:rPr>
        <w:t>19.2</w:t>
      </w:r>
      <w:r>
        <w:rPr>
          <w:rFonts w:hint="eastAsia" w:ascii="宋体" w:hAnsi="宋体" w:cs="宋体"/>
          <w:bCs/>
          <w:szCs w:val="21"/>
          <w:lang w:val="zh-CN"/>
        </w:rPr>
        <w:t>磋商小组所有成员集中与单一供应商分别进行磋商，所有参加磋商的供应商均有同等的磋商机会。</w:t>
      </w:r>
    </w:p>
    <w:p>
      <w:pPr>
        <w:spacing w:line="360" w:lineRule="auto"/>
        <w:ind w:firstLine="420" w:firstLineChars="200"/>
        <w:rPr>
          <w:rFonts w:hint="eastAsia" w:ascii="宋体" w:hAnsi="宋体" w:cs="宋体"/>
          <w:bCs/>
          <w:szCs w:val="21"/>
        </w:rPr>
      </w:pPr>
      <w:r>
        <w:rPr>
          <w:rFonts w:hint="eastAsia" w:ascii="宋体" w:hAnsi="宋体" w:cs="宋体"/>
          <w:bCs/>
          <w:szCs w:val="21"/>
        </w:rPr>
        <w:t>19.3</w:t>
      </w:r>
      <w:r>
        <w:rPr>
          <w:rFonts w:hint="eastAsia" w:ascii="宋体" w:hAnsi="宋体" w:cs="宋体"/>
          <w:szCs w:val="21"/>
          <w:lang w:val="zh-CN"/>
        </w:rPr>
        <w:t>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szCs w:val="21"/>
          <w:lang w:val="zh-CN"/>
        </w:rPr>
        <w:t>用“★”加注或特别说明的内容为实质性要求。</w:t>
      </w:r>
    </w:p>
    <w:p>
      <w:pPr>
        <w:spacing w:line="360" w:lineRule="auto"/>
        <w:ind w:firstLine="420" w:firstLineChars="200"/>
        <w:rPr>
          <w:rFonts w:hint="eastAsia" w:ascii="宋体" w:hAnsi="宋体" w:cs="宋体"/>
          <w:bCs/>
          <w:szCs w:val="21"/>
          <w:lang w:val="zh-CN"/>
        </w:rPr>
      </w:pPr>
      <w:r>
        <w:rPr>
          <w:rFonts w:hint="eastAsia" w:ascii="宋体" w:hAnsi="宋体" w:cs="宋体"/>
          <w:bCs/>
          <w:szCs w:val="21"/>
        </w:rPr>
        <w:t>19.4</w:t>
      </w:r>
      <w:r>
        <w:rPr>
          <w:rFonts w:hint="eastAsia" w:ascii="宋体" w:hAnsi="宋体" w:cs="宋体"/>
          <w:bCs/>
          <w:szCs w:val="21"/>
          <w:lang w:val="zh-CN"/>
        </w:rPr>
        <w:t>供应商应当按照磋商文件的变动情况和磋商小组的要求重新提交响应文件，并由其法定代表人或授权代表签字或者加盖公章。</w:t>
      </w:r>
    </w:p>
    <w:p>
      <w:pPr>
        <w:spacing w:line="360" w:lineRule="auto"/>
        <w:ind w:firstLine="420" w:firstLineChars="200"/>
        <w:rPr>
          <w:rFonts w:hint="eastAsia" w:ascii="宋体" w:hAnsi="宋体" w:cs="宋体"/>
          <w:bCs/>
          <w:szCs w:val="21"/>
          <w:lang w:val="zh-CN"/>
        </w:rPr>
      </w:pPr>
      <w:r>
        <w:rPr>
          <w:rFonts w:hint="eastAsia" w:ascii="宋体" w:hAnsi="宋体" w:cs="宋体"/>
          <w:bCs/>
          <w:szCs w:val="21"/>
        </w:rPr>
        <w:t>19.5</w:t>
      </w:r>
      <w:r>
        <w:rPr>
          <w:rFonts w:hint="eastAsia" w:ascii="宋体" w:hAnsi="宋体" w:cs="宋体"/>
          <w:bCs/>
          <w:szCs w:val="21"/>
          <w:lang w:val="zh-CN"/>
        </w:rPr>
        <w:t>磋商结束后，磋商小组将要求所有继续参加磋商的供应商在规定时间内提交最后报价。最后报价由其法定代表人或授权代表签字或者加盖公章，最后报价是供应商响应文件的有效组成部分，作为评审的依据，同时为最终成交价。</w:t>
      </w:r>
    </w:p>
    <w:p>
      <w:pPr>
        <w:spacing w:line="360" w:lineRule="auto"/>
        <w:ind w:firstLine="420" w:firstLineChars="200"/>
        <w:rPr>
          <w:rFonts w:hint="eastAsia" w:ascii="宋体" w:hAnsi="宋体" w:cs="宋体"/>
          <w:bCs/>
          <w:szCs w:val="21"/>
          <w:lang w:val="zh-CN"/>
        </w:rPr>
      </w:pPr>
      <w:bookmarkStart w:id="172" w:name="_Toc26838"/>
      <w:r>
        <w:rPr>
          <w:rFonts w:hint="eastAsia" w:ascii="宋体" w:hAnsi="宋体" w:cs="宋体"/>
          <w:bCs/>
          <w:szCs w:val="21"/>
        </w:rPr>
        <w:t>19.6</w:t>
      </w:r>
      <w:r>
        <w:rPr>
          <w:rFonts w:hint="eastAsia" w:ascii="宋体" w:hAnsi="宋体" w:cs="宋体"/>
          <w:bCs/>
          <w:szCs w:val="21"/>
          <w:lang w:val="zh-CN"/>
        </w:rPr>
        <w:t>在采购内容和采购需求不变的情况下，</w:t>
      </w:r>
      <w:r>
        <w:rPr>
          <w:rFonts w:hint="eastAsia" w:ascii="宋体" w:hAnsi="宋体" w:cs="宋体"/>
          <w:b/>
          <w:szCs w:val="21"/>
          <w:lang w:val="zh-CN"/>
        </w:rPr>
        <w:t>供应商次轮报价及最后报价均不得高于首轮报价、</w:t>
      </w:r>
      <w:r>
        <w:rPr>
          <w:rFonts w:hint="eastAsia" w:ascii="宋体" w:hAnsi="宋体" w:cs="宋体"/>
          <w:b/>
          <w:szCs w:val="21"/>
        </w:rPr>
        <w:t>次轮以及最后优惠措施承诺均不得低于首轮承诺</w:t>
      </w:r>
      <w:r>
        <w:rPr>
          <w:rFonts w:hint="eastAsia" w:ascii="宋体" w:hAnsi="宋体" w:cs="宋体"/>
          <w:b/>
          <w:szCs w:val="21"/>
          <w:lang w:val="zh-CN"/>
        </w:rPr>
        <w:t>，否则作无效标处理</w:t>
      </w:r>
      <w:r>
        <w:rPr>
          <w:rFonts w:hint="eastAsia" w:ascii="宋体" w:hAnsi="宋体" w:cs="宋体"/>
          <w:bCs/>
          <w:szCs w:val="21"/>
          <w:lang w:val="zh-CN"/>
        </w:rPr>
        <w:t>。成交后，成交供应商须按总价下调比例，调整各分项价格（不可竞争费用除外）。</w:t>
      </w:r>
    </w:p>
    <w:p>
      <w:pPr>
        <w:spacing w:line="360" w:lineRule="auto"/>
        <w:ind w:firstLine="420" w:firstLineChars="200"/>
        <w:rPr>
          <w:rFonts w:hint="eastAsia" w:ascii="宋体" w:hAnsi="宋体" w:cs="宋体"/>
          <w:b/>
          <w:szCs w:val="21"/>
        </w:rPr>
      </w:pPr>
      <w:r>
        <w:rPr>
          <w:rFonts w:hint="eastAsia" w:ascii="宋体" w:hAnsi="宋体" w:cs="宋体"/>
          <w:bCs/>
          <w:szCs w:val="21"/>
        </w:rPr>
        <w:t>19.7</w:t>
      </w:r>
      <w:r>
        <w:rPr>
          <w:rFonts w:hint="eastAsia" w:ascii="宋体" w:hAnsi="宋体" w:cs="宋体"/>
          <w:b/>
          <w:szCs w:val="21"/>
        </w:rPr>
        <w:t>磋商文件注“★”的内容为实质性要求，有一项不符合的，作无效响应处理</w:t>
      </w:r>
      <w:r>
        <w:rPr>
          <w:rFonts w:hint="eastAsia" w:ascii="宋体" w:hAnsi="宋体" w:cs="宋体"/>
          <w:b/>
          <w:bCs/>
          <w:szCs w:val="21"/>
        </w:rPr>
        <w:t>（具体以第三章评标标准要求为准）</w:t>
      </w:r>
      <w:r>
        <w:rPr>
          <w:rFonts w:hint="eastAsia" w:ascii="宋体" w:hAnsi="宋体" w:cs="宋体"/>
          <w:b/>
          <w:szCs w:val="21"/>
        </w:rPr>
        <w:t>。</w:t>
      </w:r>
    </w:p>
    <w:p>
      <w:pPr>
        <w:spacing w:line="360" w:lineRule="auto"/>
        <w:ind w:firstLine="420" w:firstLineChars="200"/>
        <w:rPr>
          <w:rFonts w:hint="eastAsia" w:ascii="宋体" w:hAnsi="宋体" w:cs="宋体"/>
          <w:b/>
          <w:color w:val="000000"/>
          <w:szCs w:val="21"/>
        </w:rPr>
      </w:pPr>
      <w:r>
        <w:rPr>
          <w:rFonts w:hint="eastAsia" w:ascii="宋体" w:hAnsi="宋体" w:cs="宋体"/>
          <w:bCs/>
          <w:szCs w:val="21"/>
        </w:rPr>
        <w:t>19</w:t>
      </w:r>
      <w:r>
        <w:rPr>
          <w:rFonts w:hint="eastAsia" w:ascii="宋体" w:hAnsi="宋体" w:cs="宋体"/>
          <w:b/>
          <w:szCs w:val="21"/>
        </w:rPr>
        <w:t>.</w:t>
      </w:r>
      <w:r>
        <w:rPr>
          <w:rFonts w:hint="eastAsia" w:ascii="宋体" w:hAnsi="宋体" w:cs="宋体"/>
          <w:bCs/>
          <w:szCs w:val="21"/>
        </w:rPr>
        <w:t>8</w:t>
      </w:r>
      <w:r>
        <w:rPr>
          <w:rFonts w:hint="eastAsia" w:ascii="宋体" w:hAnsi="宋体" w:cs="宋体"/>
          <w:b/>
          <w:szCs w:val="21"/>
        </w:rPr>
        <w:t>异常低价投标（响应）审查：</w:t>
      </w:r>
    </w:p>
    <w:p>
      <w:pPr>
        <w:spacing w:line="360" w:lineRule="auto"/>
        <w:ind w:firstLine="420" w:firstLineChars="200"/>
        <w:rPr>
          <w:rFonts w:hint="eastAsia" w:ascii="宋体" w:hAnsi="宋体" w:cs="宋体"/>
          <w:bCs/>
          <w:szCs w:val="21"/>
        </w:rPr>
      </w:pPr>
      <w:r>
        <w:rPr>
          <w:rFonts w:hint="eastAsia" w:ascii="宋体" w:hAnsi="宋体" w:cs="宋体"/>
          <w:bCs/>
          <w:szCs w:val="21"/>
        </w:rPr>
        <w:t>（1）评标过程中出现下列情形之一的，评标委员会应当启动异常低价投标（响应）审查程序：</w:t>
      </w:r>
    </w:p>
    <w:p>
      <w:pPr>
        <w:spacing w:line="360" w:lineRule="auto"/>
        <w:ind w:firstLine="420" w:firstLineChars="200"/>
        <w:rPr>
          <w:rFonts w:hint="eastAsia" w:ascii="宋体" w:hAnsi="宋体" w:cs="宋体"/>
          <w:bCs/>
          <w:szCs w:val="21"/>
        </w:rPr>
      </w:pPr>
      <w:r>
        <w:rPr>
          <w:rFonts w:hint="eastAsia" w:ascii="宋体" w:hAnsi="宋体" w:cs="宋体"/>
          <w:bCs/>
          <w:szCs w:val="21"/>
        </w:rPr>
        <w:t>①投标（响应）报价低于全部通过符合性审查供应商投标（响应）报价平均值50%的，即投标（响应）报价&lt;全部通过符合性审查供应商投标（响应）报价平均值×50%；</w:t>
      </w:r>
    </w:p>
    <w:p>
      <w:pPr>
        <w:spacing w:line="360" w:lineRule="auto"/>
        <w:ind w:firstLine="420" w:firstLineChars="200"/>
        <w:rPr>
          <w:rFonts w:hint="eastAsia" w:ascii="宋体" w:hAnsi="宋体" w:cs="宋体"/>
          <w:bCs/>
          <w:szCs w:val="21"/>
        </w:rPr>
      </w:pPr>
      <w:r>
        <w:rPr>
          <w:rFonts w:hint="eastAsia" w:ascii="宋体" w:hAnsi="宋体" w:cs="宋体"/>
          <w:bCs/>
          <w:szCs w:val="21"/>
        </w:rPr>
        <w:t>②投标（响应）报价低于通过符合性审查的次低报价供应商投标（响应）报价50%的，即投标（响应）报价&lt;通过符合性审查的次低报价供应商投标（响应）报价×50%；</w:t>
      </w:r>
    </w:p>
    <w:p>
      <w:pPr>
        <w:spacing w:line="360" w:lineRule="auto"/>
        <w:ind w:firstLine="420" w:firstLineChars="200"/>
        <w:rPr>
          <w:rFonts w:hint="eastAsia" w:ascii="宋体" w:hAnsi="宋体" w:cs="宋体"/>
          <w:bCs/>
          <w:szCs w:val="21"/>
        </w:rPr>
      </w:pPr>
      <w:r>
        <w:rPr>
          <w:rFonts w:hint="eastAsia" w:ascii="宋体" w:hAnsi="宋体" w:cs="宋体"/>
          <w:bCs/>
          <w:szCs w:val="21"/>
        </w:rPr>
        <w:t>③投标（响应）报价低于采购项目最高限价45%的，即投标（响应）报价&lt;采购项目最高限价×45%；</w:t>
      </w:r>
    </w:p>
    <w:p>
      <w:pPr>
        <w:spacing w:line="360" w:lineRule="auto"/>
        <w:ind w:firstLine="420" w:firstLineChars="200"/>
        <w:rPr>
          <w:rFonts w:hint="eastAsia" w:ascii="宋体" w:hAnsi="宋体" w:cs="宋体"/>
          <w:bCs/>
          <w:szCs w:val="21"/>
        </w:rPr>
      </w:pPr>
      <w:r>
        <w:rPr>
          <w:rFonts w:hint="eastAsia" w:ascii="宋体" w:hAnsi="宋体" w:cs="宋体"/>
          <w:bCs/>
          <w:szCs w:val="21"/>
        </w:rPr>
        <w:t>④评标委员会基于专业判断，认为供应商报价过低，有可能影响产品质量或者不能诚信履约的其他情形。</w:t>
      </w:r>
    </w:p>
    <w:p>
      <w:pPr>
        <w:spacing w:line="360" w:lineRule="auto"/>
        <w:ind w:firstLine="420" w:firstLineChars="200"/>
        <w:rPr>
          <w:rFonts w:hint="eastAsia" w:ascii="宋体" w:hAnsi="宋体" w:cs="宋体"/>
          <w:bCs/>
          <w:szCs w:val="21"/>
        </w:rPr>
      </w:pPr>
      <w:r>
        <w:rPr>
          <w:rFonts w:hint="eastAsia" w:ascii="宋体" w:hAnsi="宋体" w:cs="宋体"/>
          <w:bCs/>
          <w:szCs w:val="21"/>
        </w:rPr>
        <w:t>（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pPr>
        <w:spacing w:line="360" w:lineRule="auto"/>
        <w:ind w:firstLine="420" w:firstLineChars="200"/>
        <w:rPr>
          <w:rFonts w:hint="eastAsia" w:ascii="宋体" w:hAnsi="宋体" w:cs="宋体"/>
          <w:bCs/>
          <w:szCs w:val="21"/>
        </w:rPr>
      </w:pPr>
      <w:r>
        <w:rPr>
          <w:rFonts w:hint="eastAsia" w:ascii="宋体" w:hAnsi="宋体" w:cs="宋体"/>
          <w:bCs/>
          <w:szCs w:val="21"/>
        </w:rPr>
        <w:t>（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pPr>
        <w:spacing w:line="360" w:lineRule="auto"/>
        <w:ind w:firstLine="420" w:firstLineChars="200"/>
        <w:rPr>
          <w:rFonts w:hint="eastAsia" w:ascii="宋体" w:hAnsi="宋体" w:cs="宋体"/>
          <w:bCs/>
          <w:szCs w:val="21"/>
        </w:rPr>
      </w:pPr>
      <w:r>
        <w:rPr>
          <w:rFonts w:hint="eastAsia" w:ascii="宋体" w:hAnsi="宋体" w:cs="宋体"/>
          <w:bCs/>
          <w:szCs w:val="21"/>
        </w:rPr>
        <w:t>（4）异常低价投标（响应）审查的启动原因、审查意见和审查结果应当在评审报告中记录，并随供应商提供的相关书面说明及证明材料，以及评标委员会有关互联网浏览、查询历史一并归档。</w:t>
      </w:r>
    </w:p>
    <w:p>
      <w:pPr>
        <w:spacing w:line="360" w:lineRule="auto"/>
        <w:ind w:firstLine="420" w:firstLineChars="200"/>
        <w:rPr>
          <w:rFonts w:hint="eastAsia" w:ascii="宋体" w:hAnsi="宋体" w:cs="宋体"/>
          <w:b/>
          <w:szCs w:val="21"/>
        </w:rPr>
      </w:pPr>
      <w:r>
        <w:rPr>
          <w:rFonts w:hint="eastAsia" w:ascii="宋体" w:hAnsi="宋体" w:cs="宋体"/>
          <w:bCs/>
          <w:szCs w:val="21"/>
        </w:rPr>
        <w:t>20.磋商小组在评标时只能依据磋商文件规定的办法进行评审,不得寻求外部的证据。</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73" w:name="_Toc10571"/>
      <w:bookmarkStart w:id="174" w:name="_Toc22946"/>
      <w:bookmarkStart w:id="175" w:name="_Toc10196"/>
      <w:r>
        <w:rPr>
          <w:rFonts w:hint="eastAsia" w:ascii="宋体" w:hAnsi="宋体" w:eastAsia="宋体" w:cs="宋体"/>
          <w:b/>
          <w:bCs/>
          <w:sz w:val="21"/>
          <w:szCs w:val="21"/>
        </w:rPr>
        <w:t>21.无效</w:t>
      </w:r>
      <w:bookmarkEnd w:id="172"/>
      <w:r>
        <w:rPr>
          <w:rFonts w:hint="eastAsia" w:ascii="宋体" w:hAnsi="宋体" w:eastAsia="宋体" w:cs="宋体"/>
          <w:b/>
          <w:bCs/>
          <w:sz w:val="21"/>
          <w:szCs w:val="21"/>
        </w:rPr>
        <w:t>响应文件与终止磋商</w:t>
      </w:r>
      <w:bookmarkEnd w:id="173"/>
      <w:bookmarkEnd w:id="174"/>
      <w:bookmarkEnd w:id="175"/>
    </w:p>
    <w:p>
      <w:pPr>
        <w:spacing w:line="360" w:lineRule="auto"/>
        <w:ind w:firstLine="420" w:firstLineChars="200"/>
        <w:rPr>
          <w:rFonts w:hint="eastAsia" w:ascii="宋体" w:hAnsi="宋体" w:cs="宋体"/>
          <w:bCs/>
          <w:szCs w:val="21"/>
        </w:rPr>
      </w:pPr>
      <w:r>
        <w:rPr>
          <w:rFonts w:hint="eastAsia" w:ascii="宋体" w:hAnsi="宋体" w:cs="宋体"/>
          <w:bCs/>
          <w:szCs w:val="21"/>
        </w:rPr>
        <w:t>21.1</w:t>
      </w:r>
      <w:r>
        <w:rPr>
          <w:rFonts w:hint="eastAsia" w:ascii="宋体" w:hAnsi="宋体" w:cs="宋体"/>
          <w:bCs/>
          <w:szCs w:val="21"/>
          <w:lang w:val="zh-CN"/>
        </w:rPr>
        <w:t>出现下列情形之一的响应文件按照无效处理：</w:t>
      </w:r>
    </w:p>
    <w:p>
      <w:pPr>
        <w:spacing w:line="360" w:lineRule="auto"/>
        <w:ind w:firstLine="420" w:firstLineChars="200"/>
        <w:rPr>
          <w:rFonts w:hint="eastAsia" w:ascii="宋体" w:hAnsi="宋体" w:cs="宋体"/>
          <w:bCs/>
          <w:szCs w:val="21"/>
        </w:rPr>
      </w:pPr>
      <w:r>
        <w:rPr>
          <w:rFonts w:hint="eastAsia" w:ascii="宋体" w:hAnsi="宋体" w:cs="宋体"/>
          <w:bCs/>
          <w:szCs w:val="21"/>
        </w:rPr>
        <w:t>（1）供应商在苏采云系统规定的时间内未成功解密电子响应文件的。</w:t>
      </w:r>
    </w:p>
    <w:p>
      <w:pPr>
        <w:spacing w:line="360" w:lineRule="auto"/>
        <w:ind w:firstLine="420" w:firstLineChars="200"/>
        <w:rPr>
          <w:rFonts w:hint="eastAsia" w:ascii="宋体" w:hAnsi="宋体" w:cs="宋体"/>
          <w:bCs/>
          <w:szCs w:val="21"/>
        </w:rPr>
      </w:pPr>
      <w:r>
        <w:rPr>
          <w:rFonts w:hint="eastAsia" w:ascii="宋体" w:hAnsi="宋体" w:cs="宋体"/>
          <w:bCs/>
          <w:szCs w:val="21"/>
        </w:rPr>
        <w:t>（2）未按照磋商文件规定要求签署、加盖CA电子公章的；</w:t>
      </w:r>
    </w:p>
    <w:p>
      <w:pPr>
        <w:spacing w:line="360" w:lineRule="auto"/>
        <w:ind w:firstLine="420" w:firstLineChars="200"/>
        <w:rPr>
          <w:rFonts w:hint="eastAsia" w:ascii="宋体" w:hAnsi="宋体" w:cs="宋体"/>
          <w:bCs/>
          <w:szCs w:val="21"/>
        </w:rPr>
      </w:pPr>
      <w:r>
        <w:rPr>
          <w:rFonts w:hint="eastAsia" w:ascii="宋体" w:hAnsi="宋体" w:cs="宋体"/>
          <w:bCs/>
          <w:szCs w:val="21"/>
        </w:rPr>
        <w:t>（3）供应商在报价时采用选择性报价；</w:t>
      </w:r>
    </w:p>
    <w:p>
      <w:pPr>
        <w:spacing w:line="360" w:lineRule="auto"/>
        <w:ind w:firstLine="420" w:firstLineChars="200"/>
        <w:rPr>
          <w:rFonts w:hint="eastAsia" w:ascii="宋体" w:hAnsi="宋体" w:cs="宋体"/>
          <w:bCs/>
          <w:szCs w:val="21"/>
        </w:rPr>
      </w:pPr>
      <w:r>
        <w:rPr>
          <w:rFonts w:hint="eastAsia" w:ascii="宋体" w:hAnsi="宋体" w:cs="宋体"/>
          <w:bCs/>
          <w:szCs w:val="21"/>
        </w:rPr>
        <w:t>（4）供应商不具备磋商文件中规定资格要求的；</w:t>
      </w:r>
    </w:p>
    <w:p>
      <w:pPr>
        <w:spacing w:line="360" w:lineRule="auto"/>
        <w:ind w:firstLine="420" w:firstLineChars="200"/>
        <w:rPr>
          <w:rFonts w:hint="eastAsia" w:ascii="宋体" w:hAnsi="宋体" w:cs="宋体"/>
          <w:bCs/>
          <w:szCs w:val="21"/>
        </w:rPr>
      </w:pPr>
      <w:r>
        <w:rPr>
          <w:rFonts w:hint="eastAsia" w:ascii="宋体" w:hAnsi="宋体" w:cs="宋体"/>
          <w:bCs/>
          <w:szCs w:val="21"/>
        </w:rPr>
        <w:t>（5）供应商的报价超过了采购预算的；</w:t>
      </w:r>
    </w:p>
    <w:p>
      <w:pPr>
        <w:spacing w:line="360" w:lineRule="auto"/>
        <w:ind w:firstLine="420" w:firstLineChars="200"/>
        <w:rPr>
          <w:rFonts w:hint="eastAsia" w:ascii="宋体" w:hAnsi="宋体" w:cs="宋体"/>
          <w:bCs/>
          <w:szCs w:val="21"/>
        </w:rPr>
      </w:pPr>
      <w:r>
        <w:rPr>
          <w:rFonts w:hint="eastAsia" w:ascii="宋体" w:hAnsi="宋体" w:cs="宋体"/>
          <w:bCs/>
          <w:szCs w:val="21"/>
        </w:rPr>
        <w:t>（6）未通过符合性检查的；</w:t>
      </w:r>
    </w:p>
    <w:p>
      <w:pPr>
        <w:spacing w:line="360" w:lineRule="auto"/>
        <w:ind w:firstLine="420" w:firstLineChars="200"/>
        <w:rPr>
          <w:rFonts w:hint="eastAsia" w:ascii="宋体" w:hAnsi="宋体" w:cs="宋体"/>
          <w:bCs/>
          <w:szCs w:val="21"/>
        </w:rPr>
      </w:pPr>
      <w:r>
        <w:rPr>
          <w:rFonts w:hint="eastAsia" w:ascii="宋体" w:hAnsi="宋体" w:cs="宋体"/>
          <w:bCs/>
          <w:szCs w:val="21"/>
        </w:rPr>
        <w:t>（7）</w:t>
      </w:r>
      <w:r>
        <w:rPr>
          <w:rFonts w:hint="eastAsia" w:ascii="宋体" w:hAnsi="宋体" w:cs="宋体"/>
          <w:bCs/>
          <w:szCs w:val="21"/>
          <w:lang w:val="zh-CN"/>
        </w:rPr>
        <w:t>报价低于完成本项目发生的所有含税费用、支付给员工的工资（不得低于供应商所在地最低工资标准）和国家强制缴纳的各种社会保障资金</w:t>
      </w:r>
      <w:r>
        <w:rPr>
          <w:rFonts w:hint="eastAsia" w:ascii="宋体" w:hAnsi="宋体" w:cs="宋体"/>
          <w:bCs/>
          <w:szCs w:val="21"/>
        </w:rPr>
        <w:t>、公积金，以及供应商认为需要的其他费用等。</w:t>
      </w:r>
    </w:p>
    <w:p>
      <w:pPr>
        <w:spacing w:line="360" w:lineRule="auto"/>
        <w:ind w:firstLine="420" w:firstLineChars="200"/>
        <w:rPr>
          <w:rFonts w:hint="eastAsia" w:ascii="宋体" w:hAnsi="宋体" w:cs="宋体"/>
          <w:bCs/>
          <w:szCs w:val="21"/>
        </w:rPr>
      </w:pPr>
      <w:r>
        <w:rPr>
          <w:rFonts w:hint="eastAsia" w:ascii="宋体" w:hAnsi="宋体" w:cs="宋体"/>
          <w:bCs/>
          <w:szCs w:val="21"/>
        </w:rPr>
        <w:t>（8）不符合磋商文件中规定的其他实质性要求和条件的；</w:t>
      </w:r>
    </w:p>
    <w:p>
      <w:pPr>
        <w:spacing w:line="360" w:lineRule="auto"/>
        <w:ind w:firstLine="420" w:firstLineChars="200"/>
        <w:rPr>
          <w:rFonts w:hint="eastAsia" w:ascii="宋体" w:hAnsi="宋体" w:cs="宋体"/>
          <w:bCs/>
          <w:szCs w:val="21"/>
        </w:rPr>
      </w:pPr>
      <w:r>
        <w:rPr>
          <w:rFonts w:hint="eastAsia" w:ascii="宋体" w:hAnsi="宋体" w:cs="宋体"/>
          <w:bCs/>
          <w:szCs w:val="21"/>
        </w:rPr>
        <w:t>（9）其他法律、法规及本磋商文件规定的属无效响应的情形。</w:t>
      </w:r>
    </w:p>
    <w:p>
      <w:pPr>
        <w:spacing w:line="360" w:lineRule="auto"/>
        <w:ind w:firstLine="420" w:firstLineChars="200"/>
        <w:rPr>
          <w:rFonts w:hint="eastAsia" w:ascii="宋体" w:hAnsi="宋体" w:cs="宋体"/>
          <w:bCs/>
          <w:szCs w:val="21"/>
        </w:rPr>
      </w:pPr>
      <w:r>
        <w:rPr>
          <w:rFonts w:hint="eastAsia" w:ascii="宋体" w:hAnsi="宋体" w:cs="宋体"/>
          <w:bCs/>
          <w:szCs w:val="21"/>
        </w:rPr>
        <w:t>21.2出现下列情形之一的，磋商终止：</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（1）因情况变化，不再符合规定的竞争性磋商采购方式适用情形的；</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（2）所有供应商的响应文件被磋商小组认定为无效的；</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（3）出现影响采购公正的违法、违规行为的；</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4</w:t>
      </w:r>
      <w:r>
        <w:rPr>
          <w:rFonts w:hint="eastAsia" w:ascii="宋体" w:hAnsi="宋体" w:cs="宋体"/>
          <w:bCs/>
          <w:szCs w:val="21"/>
          <w:lang w:val="zh-CN"/>
        </w:rPr>
        <w:t>）因重大变故，采购任务取消的；</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w:t>
      </w:r>
      <w:r>
        <w:rPr>
          <w:rFonts w:hint="eastAsia" w:ascii="宋体" w:hAnsi="宋体" w:cs="宋体"/>
          <w:bCs/>
          <w:szCs w:val="21"/>
        </w:rPr>
        <w:t>5</w:t>
      </w:r>
      <w:r>
        <w:rPr>
          <w:rFonts w:hint="eastAsia" w:ascii="宋体" w:hAnsi="宋体" w:cs="宋体"/>
          <w:bCs/>
          <w:szCs w:val="21"/>
          <w:lang w:val="zh-CN"/>
        </w:rPr>
        <w:t>）采购人需求发生重大变化暂时不能确定或供应商提供的货物和服务不能满足需求等。</w:t>
      </w:r>
    </w:p>
    <w:p>
      <w:pPr>
        <w:spacing w:line="360" w:lineRule="auto"/>
        <w:ind w:firstLine="420" w:firstLineChars="200"/>
        <w:rPr>
          <w:rFonts w:hint="eastAsia" w:ascii="宋体" w:hAnsi="宋体" w:cs="宋体"/>
          <w:bCs/>
          <w:szCs w:val="21"/>
          <w:lang w:val="zh-CN"/>
        </w:rPr>
      </w:pPr>
      <w:r>
        <w:rPr>
          <w:rFonts w:hint="eastAsia" w:ascii="宋体" w:hAnsi="宋体" w:cs="宋体"/>
          <w:bCs/>
          <w:szCs w:val="21"/>
        </w:rPr>
        <w:t>（6）因苏采云系统故障原因造成开标不成功的。</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76" w:name="_Toc16979"/>
      <w:bookmarkStart w:id="177" w:name="_Toc2901"/>
      <w:r>
        <w:rPr>
          <w:rFonts w:hint="eastAsia" w:ascii="宋体" w:hAnsi="宋体" w:eastAsia="宋体" w:cs="宋体"/>
          <w:b/>
          <w:bCs/>
          <w:sz w:val="21"/>
          <w:szCs w:val="21"/>
        </w:rPr>
        <w:t>22.首次磋商失败，重新组织磋商后供应商不足的处理</w:t>
      </w:r>
      <w:bookmarkEnd w:id="176"/>
      <w:bookmarkEnd w:id="177"/>
    </w:p>
    <w:p>
      <w:pPr>
        <w:spacing w:line="360" w:lineRule="auto"/>
        <w:ind w:firstLine="420" w:firstLineChars="200"/>
        <w:rPr>
          <w:rFonts w:hint="eastAsia" w:ascii="宋体" w:hAnsi="宋体" w:cs="宋体"/>
          <w:bCs/>
          <w:szCs w:val="21"/>
        </w:rPr>
      </w:pPr>
      <w:r>
        <w:rPr>
          <w:rFonts w:hint="eastAsia" w:ascii="宋体" w:hAnsi="宋体" w:cs="宋体"/>
          <w:bCs/>
          <w:szCs w:val="21"/>
          <w:lang w:val="zh-CN"/>
        </w:rPr>
        <w:t>2</w:t>
      </w:r>
      <w:r>
        <w:rPr>
          <w:rFonts w:hint="eastAsia" w:ascii="宋体" w:hAnsi="宋体" w:cs="宋体"/>
          <w:bCs/>
          <w:szCs w:val="21"/>
        </w:rPr>
        <w:t>2</w:t>
      </w:r>
      <w:r>
        <w:rPr>
          <w:rFonts w:hint="eastAsia" w:ascii="宋体" w:hAnsi="宋体" w:cs="宋体"/>
          <w:bCs/>
          <w:szCs w:val="21"/>
          <w:lang w:val="zh-CN"/>
        </w:rPr>
        <w:t>.1如果需要采用其他方式采购，根据需要，应当在采购活动开始前获得设区的市、自治州以上人民政府采购监督管理部门或者政府有关部门批准（不需要获得批准的除外）。</w:t>
      </w:r>
    </w:p>
    <w:p>
      <w:pPr>
        <w:widowControl/>
        <w:shd w:val="clear" w:color="auto" w:fill="FFFFFF"/>
        <w:spacing w:line="360" w:lineRule="auto"/>
        <w:ind w:firstLine="422" w:firstLineChars="200"/>
        <w:outlineLvl w:val="1"/>
        <w:rPr>
          <w:rFonts w:hint="eastAsia" w:ascii="宋体" w:hAnsi="宋体" w:cs="宋体"/>
          <w:b/>
          <w:bCs/>
          <w:szCs w:val="21"/>
        </w:rPr>
      </w:pPr>
      <w:bookmarkStart w:id="178" w:name="_Toc11193"/>
      <w:bookmarkStart w:id="179" w:name="_Toc16546"/>
      <w:bookmarkStart w:id="180" w:name="_Toc29096"/>
      <w:bookmarkStart w:id="181" w:name="_Toc4921"/>
      <w:bookmarkStart w:id="182" w:name="_Toc10785"/>
      <w:bookmarkStart w:id="183" w:name="_Toc4537"/>
      <w:bookmarkStart w:id="184" w:name="_Toc23774"/>
      <w:bookmarkStart w:id="185" w:name="_Toc27938"/>
      <w:r>
        <w:rPr>
          <w:rFonts w:hint="eastAsia" w:ascii="宋体" w:hAnsi="宋体" w:cs="宋体"/>
          <w:b/>
          <w:bCs/>
          <w:szCs w:val="21"/>
        </w:rPr>
        <w:t>六、成交</w:t>
      </w:r>
      <w:bookmarkEnd w:id="178"/>
      <w:bookmarkEnd w:id="179"/>
      <w:bookmarkEnd w:id="180"/>
      <w:bookmarkEnd w:id="181"/>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86" w:name="_Toc16718"/>
      <w:bookmarkStart w:id="187" w:name="_Toc1772"/>
      <w:bookmarkStart w:id="188" w:name="_Toc3816"/>
      <w:bookmarkStart w:id="189" w:name="_Toc8621"/>
      <w:bookmarkStart w:id="190" w:name="_Toc14026"/>
      <w:r>
        <w:rPr>
          <w:rFonts w:hint="eastAsia" w:ascii="宋体" w:hAnsi="宋体" w:eastAsia="宋体" w:cs="宋体"/>
          <w:b/>
          <w:bCs/>
          <w:sz w:val="21"/>
          <w:szCs w:val="21"/>
        </w:rPr>
        <w:t>23.</w:t>
      </w:r>
      <w:r>
        <w:rPr>
          <w:rFonts w:hint="eastAsia" w:ascii="宋体" w:hAnsi="宋体" w:eastAsia="宋体" w:cs="宋体"/>
          <w:b/>
          <w:bCs/>
          <w:sz w:val="21"/>
          <w:szCs w:val="21"/>
          <w:lang w:val="zh-CN"/>
        </w:rPr>
        <w:t>评定成交方法和标准</w:t>
      </w:r>
      <w:bookmarkEnd w:id="186"/>
      <w:bookmarkEnd w:id="187"/>
      <w:bookmarkEnd w:id="188"/>
      <w:bookmarkEnd w:id="189"/>
      <w:bookmarkEnd w:id="190"/>
    </w:p>
    <w:p>
      <w:pPr>
        <w:spacing w:line="360" w:lineRule="auto"/>
        <w:ind w:firstLine="420" w:firstLineChars="200"/>
        <w:rPr>
          <w:rFonts w:hint="eastAsia" w:ascii="宋体" w:hAnsi="宋体" w:cs="宋体"/>
          <w:szCs w:val="21"/>
        </w:rPr>
      </w:pPr>
      <w:r>
        <w:rPr>
          <w:rFonts w:hint="eastAsia" w:ascii="宋体" w:hAnsi="宋体" w:cs="宋体"/>
          <w:bCs/>
          <w:szCs w:val="21"/>
          <w:lang w:val="zh-CN"/>
        </w:rPr>
        <w:t>2</w:t>
      </w:r>
      <w:r>
        <w:rPr>
          <w:rFonts w:hint="eastAsia" w:ascii="宋体" w:hAnsi="宋体" w:cs="宋体"/>
          <w:bCs/>
          <w:szCs w:val="21"/>
        </w:rPr>
        <w:t>3</w:t>
      </w:r>
      <w:r>
        <w:rPr>
          <w:rFonts w:hint="eastAsia" w:ascii="宋体" w:hAnsi="宋体" w:cs="宋体"/>
          <w:bCs/>
          <w:szCs w:val="21"/>
          <w:lang w:val="zh-CN"/>
        </w:rPr>
        <w:t>.1</w:t>
      </w:r>
      <w:r>
        <w:rPr>
          <w:rFonts w:hint="eastAsia" w:ascii="宋体" w:hAnsi="宋体" w:cs="宋体"/>
          <w:szCs w:val="21"/>
          <w:lang w:val="zh-CN"/>
        </w:rPr>
        <w:t>采用综合评分法。</w:t>
      </w:r>
      <w:r>
        <w:rPr>
          <w:rFonts w:hint="eastAsia" w:ascii="宋体" w:hAnsi="宋体" w:cs="宋体"/>
          <w:bCs/>
          <w:szCs w:val="21"/>
          <w:lang w:val="zh-CN"/>
        </w:rPr>
        <w:t>磋商小组在最大限度地满足竞争性磋商文件实质性要求前提下，按照磋商文件中规定的各项因素进行综合评审后，</w:t>
      </w:r>
      <w:r>
        <w:rPr>
          <w:rFonts w:hint="eastAsia" w:ascii="宋体" w:hAnsi="宋体" w:cs="宋体"/>
          <w:szCs w:val="21"/>
        </w:rPr>
        <w:t>按评审得分由高到低顺序推荐前3名成交候选供应商，并编写评审报告。得分相同的，按最后报价从低到高顺序推荐。评审得分且最后报价相同的，按技术指标优劣顺序推荐。</w:t>
      </w:r>
    </w:p>
    <w:p>
      <w:pPr>
        <w:spacing w:line="360" w:lineRule="auto"/>
        <w:ind w:firstLine="420" w:firstLineChars="200"/>
        <w:rPr>
          <w:rFonts w:hint="eastAsia" w:ascii="宋体" w:hAnsi="宋体" w:cs="宋体"/>
          <w:szCs w:val="21"/>
          <w:lang w:val="zh-CN"/>
        </w:rPr>
      </w:pPr>
      <w:r>
        <w:rPr>
          <w:rFonts w:hint="eastAsia" w:ascii="宋体" w:hAnsi="宋体" w:cs="宋体"/>
          <w:szCs w:val="21"/>
        </w:rPr>
        <w:t>23.2</w:t>
      </w:r>
      <w:r>
        <w:rPr>
          <w:rFonts w:hint="eastAsia" w:ascii="宋体" w:hAnsi="宋体" w:cs="宋体"/>
          <w:b/>
          <w:szCs w:val="21"/>
        </w:rPr>
        <w:t>评审标准详见文件第三章。</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91" w:name="_Toc27341"/>
      <w:bookmarkStart w:id="192" w:name="_Toc4191"/>
      <w:bookmarkStart w:id="193" w:name="_Toc8238"/>
      <w:bookmarkStart w:id="194" w:name="_Toc22555"/>
      <w:bookmarkStart w:id="195" w:name="_Toc518356760"/>
      <w:bookmarkStart w:id="196" w:name="_Toc20226"/>
      <w:r>
        <w:rPr>
          <w:rFonts w:hint="eastAsia" w:ascii="宋体" w:hAnsi="宋体" w:eastAsia="宋体" w:cs="宋体"/>
          <w:b/>
          <w:bCs/>
          <w:sz w:val="21"/>
          <w:szCs w:val="21"/>
        </w:rPr>
        <w:t>24.磋商过程保密</w:t>
      </w:r>
      <w:bookmarkEnd w:id="191"/>
      <w:bookmarkEnd w:id="192"/>
      <w:bookmarkEnd w:id="193"/>
      <w:bookmarkEnd w:id="194"/>
      <w:bookmarkEnd w:id="195"/>
      <w:bookmarkEnd w:id="196"/>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.1在宣布成交结果之前，凡属于审查、澄清、评价、比较响应文件和成交意向等有关信息，均不得泄露给任何供应商或与磋商工作无关的人员。</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.2采购代理机构和磋商小组不得向未成交的供应商解释未成交原因，也不公布磋商过程中的相关细节。</w:t>
      </w:r>
    </w:p>
    <w:p>
      <w:pPr>
        <w:spacing w:line="360" w:lineRule="auto"/>
        <w:ind w:firstLine="420" w:firstLineChars="200"/>
        <w:rPr>
          <w:rFonts w:hint="eastAsia" w:ascii="宋体" w:hAnsi="宋体" w:cs="宋体"/>
          <w:bCs/>
          <w:szCs w:val="21"/>
          <w:lang w:val="zh-CN"/>
        </w:rPr>
      </w:pPr>
      <w:r>
        <w:rPr>
          <w:rFonts w:hint="eastAsia" w:ascii="宋体" w:hAnsi="宋体" w:cs="宋体"/>
          <w:bCs/>
          <w:szCs w:val="21"/>
          <w:lang w:val="zh-CN"/>
        </w:rPr>
        <w:t>2</w:t>
      </w:r>
      <w:r>
        <w:rPr>
          <w:rFonts w:hint="eastAsia" w:ascii="宋体" w:hAnsi="宋体" w:cs="宋体"/>
          <w:bCs/>
          <w:szCs w:val="21"/>
        </w:rPr>
        <w:t>4</w:t>
      </w:r>
      <w:r>
        <w:rPr>
          <w:rFonts w:hint="eastAsia" w:ascii="宋体" w:hAnsi="宋体" w:cs="宋体"/>
          <w:bCs/>
          <w:szCs w:val="21"/>
          <w:lang w:val="zh-CN"/>
        </w:rPr>
        <w:t>.3在磋商期间，采购代理机构将指定联络员与供应商进行联络。</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197" w:name="_Toc23140"/>
      <w:bookmarkStart w:id="198" w:name="_Toc16721"/>
      <w:bookmarkStart w:id="199" w:name="_Toc343"/>
      <w:r>
        <w:rPr>
          <w:rFonts w:hint="eastAsia" w:ascii="宋体" w:hAnsi="宋体" w:eastAsia="宋体" w:cs="宋体"/>
          <w:b/>
          <w:bCs/>
          <w:sz w:val="21"/>
          <w:szCs w:val="21"/>
        </w:rPr>
        <w:t>25.确认成交供应商</w:t>
      </w:r>
      <w:bookmarkEnd w:id="197"/>
      <w:bookmarkEnd w:id="198"/>
      <w:bookmarkEnd w:id="199"/>
    </w:p>
    <w:p>
      <w:pPr>
        <w:spacing w:line="360" w:lineRule="auto"/>
        <w:ind w:firstLine="420" w:firstLineChars="200"/>
        <w:rPr>
          <w:rFonts w:hint="eastAsia" w:ascii="宋体" w:hAnsi="宋体" w:cs="宋体"/>
          <w:bCs/>
          <w:szCs w:val="21"/>
        </w:rPr>
      </w:pPr>
      <w:r>
        <w:rPr>
          <w:rFonts w:hint="eastAsia" w:ascii="宋体" w:hAnsi="宋体" w:cs="宋体"/>
          <w:bCs/>
          <w:szCs w:val="21"/>
        </w:rPr>
        <w:t>采购人应当自收到评审报告之日起5个工作日内，在评审报告推荐的成交候选供应商中，按照排序由高到低的原则确定成交供应商，也可书面授权磋商小组直接确定成交供应商。采购人逾期未确定成交供应商且不提出异议的，视为确定评审报告提出的排序第一的供应商为成交供应商。</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200" w:name="_Toc20370"/>
      <w:bookmarkStart w:id="201" w:name="_Toc21629"/>
      <w:bookmarkStart w:id="202" w:name="_Toc12470"/>
      <w:r>
        <w:rPr>
          <w:rFonts w:hint="eastAsia" w:ascii="宋体" w:hAnsi="宋体" w:eastAsia="宋体" w:cs="宋体"/>
          <w:b/>
          <w:bCs/>
          <w:sz w:val="21"/>
          <w:szCs w:val="21"/>
        </w:rPr>
        <w:t>26.成交的通知</w:t>
      </w:r>
      <w:bookmarkEnd w:id="200"/>
      <w:bookmarkEnd w:id="201"/>
      <w:bookmarkEnd w:id="202"/>
    </w:p>
    <w:p>
      <w:pPr>
        <w:spacing w:line="360" w:lineRule="auto"/>
        <w:ind w:firstLine="420" w:firstLineChars="200"/>
        <w:rPr>
          <w:rFonts w:hint="eastAsia" w:ascii="宋体" w:hAnsi="宋体" w:cs="宋体"/>
          <w:szCs w:val="21"/>
        </w:rPr>
      </w:pPr>
      <w:r>
        <w:rPr>
          <w:rFonts w:hint="eastAsia" w:ascii="宋体" w:hAnsi="宋体" w:cs="宋体"/>
          <w:szCs w:val="21"/>
        </w:rPr>
        <w:t>26.1成交结果在指定信息媒体上发布后，采购代理机构将向成交供应商发出成交通知书，成交通知书是签订合同的依据和组成部分。</w:t>
      </w:r>
    </w:p>
    <w:p>
      <w:pPr>
        <w:spacing w:line="360" w:lineRule="auto"/>
        <w:ind w:firstLine="420" w:firstLineChars="200"/>
        <w:rPr>
          <w:rFonts w:hint="eastAsia" w:ascii="宋体" w:hAnsi="宋体" w:cs="宋体"/>
          <w:bCs/>
          <w:szCs w:val="21"/>
        </w:rPr>
      </w:pPr>
      <w:r>
        <w:rPr>
          <w:rFonts w:hint="eastAsia" w:ascii="宋体" w:hAnsi="宋体" w:cs="宋体"/>
          <w:bCs/>
          <w:szCs w:val="21"/>
        </w:rPr>
        <w:t>26.2</w:t>
      </w:r>
      <w:r>
        <w:rPr>
          <w:rFonts w:hint="eastAsia" w:ascii="宋体" w:hAnsi="宋体" w:cs="宋体"/>
          <w:szCs w:val="21"/>
        </w:rPr>
        <w:t>成交供应商</w:t>
      </w:r>
      <w:r>
        <w:rPr>
          <w:rFonts w:hint="eastAsia" w:ascii="宋体" w:hAnsi="宋体" w:cs="宋体"/>
          <w:bCs/>
          <w:szCs w:val="21"/>
        </w:rPr>
        <w:t>在收到</w:t>
      </w:r>
      <w:r>
        <w:rPr>
          <w:rFonts w:hint="eastAsia" w:ascii="宋体" w:hAnsi="宋体" w:cs="宋体"/>
          <w:szCs w:val="21"/>
        </w:rPr>
        <w:t>成交通知书</w:t>
      </w:r>
      <w:r>
        <w:rPr>
          <w:rFonts w:hint="eastAsia" w:ascii="宋体" w:hAnsi="宋体" w:cs="宋体"/>
          <w:bCs/>
          <w:szCs w:val="21"/>
        </w:rPr>
        <w:t>，应郑重保证履行中标供应商应履行的，含招标代理服务费在内的一切义务和责任。</w:t>
      </w:r>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203" w:name="_Toc17041"/>
      <w:bookmarkStart w:id="204" w:name="_Toc16111"/>
      <w:bookmarkStart w:id="205" w:name="_Toc29462"/>
      <w:r>
        <w:rPr>
          <w:rFonts w:hint="eastAsia" w:ascii="宋体" w:hAnsi="宋体" w:eastAsia="宋体" w:cs="宋体"/>
          <w:b/>
          <w:bCs/>
          <w:sz w:val="21"/>
          <w:szCs w:val="21"/>
        </w:rPr>
        <w:t>27.签订合同</w:t>
      </w:r>
      <w:bookmarkEnd w:id="203"/>
      <w:bookmarkEnd w:id="204"/>
      <w:bookmarkEnd w:id="205"/>
    </w:p>
    <w:p>
      <w:pPr>
        <w:spacing w:line="360" w:lineRule="auto"/>
        <w:ind w:firstLine="420" w:firstLineChars="200"/>
        <w:rPr>
          <w:rFonts w:hint="eastAsia" w:ascii="宋体" w:hAnsi="宋体" w:cs="宋体"/>
          <w:szCs w:val="21"/>
          <w:lang w:val="zh-CN"/>
        </w:rPr>
      </w:pPr>
      <w:r>
        <w:rPr>
          <w:rFonts w:hint="eastAsia" w:ascii="宋体" w:hAnsi="宋体" w:cs="宋体"/>
          <w:szCs w:val="21"/>
        </w:rPr>
        <w:t>27</w:t>
      </w:r>
      <w:r>
        <w:rPr>
          <w:rFonts w:hint="eastAsia" w:ascii="宋体" w:hAnsi="宋体" w:cs="宋体"/>
          <w:szCs w:val="21"/>
          <w:lang w:val="zh-CN"/>
        </w:rPr>
        <w:t>.</w:t>
      </w:r>
      <w:r>
        <w:rPr>
          <w:rFonts w:hint="eastAsia" w:ascii="宋体" w:hAnsi="宋体" w:cs="宋体"/>
          <w:szCs w:val="21"/>
        </w:rPr>
        <w:t>1成交供应商应当</w:t>
      </w:r>
      <w:r>
        <w:rPr>
          <w:rFonts w:hint="eastAsia" w:ascii="宋体" w:hAnsi="宋体" w:cs="宋体"/>
          <w:szCs w:val="21"/>
          <w:lang w:val="zh-CN"/>
        </w:rPr>
        <w:t>自成交通知书发出之日起三十日内，</w:t>
      </w:r>
      <w:r>
        <w:rPr>
          <w:rFonts w:hint="eastAsia" w:ascii="宋体" w:hAnsi="宋体" w:cs="宋体"/>
          <w:szCs w:val="21"/>
        </w:rPr>
        <w:t>与采购人签订采购合同，所签订的合同不得对磋商文件和响应文件作实质性修改。</w:t>
      </w:r>
    </w:p>
    <w:p>
      <w:pPr>
        <w:spacing w:line="360" w:lineRule="auto"/>
        <w:ind w:firstLine="420" w:firstLineChars="200"/>
        <w:rPr>
          <w:rFonts w:hint="eastAsia" w:ascii="宋体" w:hAnsi="宋体" w:cs="宋体"/>
          <w:bCs/>
          <w:szCs w:val="21"/>
          <w:lang w:val="zh-CN"/>
        </w:rPr>
      </w:pPr>
      <w:r>
        <w:rPr>
          <w:rFonts w:hint="eastAsia" w:ascii="宋体" w:hAnsi="宋体" w:cs="宋体"/>
          <w:bCs/>
          <w:szCs w:val="21"/>
        </w:rPr>
        <w:t>27</w:t>
      </w:r>
      <w:r>
        <w:rPr>
          <w:rFonts w:hint="eastAsia" w:ascii="宋体" w:hAnsi="宋体" w:cs="宋体"/>
          <w:bCs/>
          <w:szCs w:val="21"/>
          <w:lang w:val="zh-CN"/>
        </w:rPr>
        <w:t>.</w:t>
      </w:r>
      <w:r>
        <w:rPr>
          <w:rFonts w:hint="eastAsia" w:ascii="宋体" w:hAnsi="宋体" w:cs="宋体"/>
          <w:bCs/>
          <w:szCs w:val="21"/>
        </w:rPr>
        <w:t>2</w:t>
      </w:r>
      <w:r>
        <w:rPr>
          <w:rFonts w:hint="eastAsia" w:ascii="宋体" w:hAnsi="宋体" w:cs="宋体"/>
          <w:bCs/>
          <w:szCs w:val="21"/>
          <w:lang w:val="zh-CN"/>
        </w:rPr>
        <w:t>成交供应商拒绝签订政府采购合同的，</w:t>
      </w:r>
      <w:r>
        <w:rPr>
          <w:rFonts w:hint="eastAsia" w:ascii="宋体" w:hAnsi="宋体" w:cs="宋体"/>
          <w:bCs/>
          <w:szCs w:val="21"/>
        </w:rPr>
        <w:t>或因不可抗力或者自身原因不能履行政府采购合同的，</w:t>
      </w:r>
      <w:r>
        <w:rPr>
          <w:rFonts w:hint="eastAsia" w:ascii="宋体" w:hAnsi="宋体" w:cs="宋体"/>
          <w:bCs/>
          <w:szCs w:val="21"/>
          <w:lang w:val="zh-CN"/>
        </w:rPr>
        <w:t>采购人可以视情与排位在成交供应商之后第一位的成交候选供应商签订政府采购合同，也可以重新开展采购活动。</w:t>
      </w:r>
    </w:p>
    <w:p>
      <w:pPr>
        <w:spacing w:line="360" w:lineRule="auto"/>
        <w:ind w:firstLine="420" w:firstLineChars="200"/>
        <w:rPr>
          <w:rFonts w:hint="eastAsia" w:ascii="宋体" w:hAnsi="宋体" w:cs="宋体"/>
          <w:bCs/>
          <w:szCs w:val="21"/>
        </w:rPr>
      </w:pPr>
      <w:r>
        <w:rPr>
          <w:rFonts w:hint="eastAsia" w:ascii="宋体" w:hAnsi="宋体" w:cs="宋体"/>
          <w:bCs/>
          <w:szCs w:val="21"/>
        </w:rPr>
        <w:t>27.3采购合同履行中，</w:t>
      </w:r>
      <w:r>
        <w:rPr>
          <w:rFonts w:hint="eastAsia" w:ascii="宋体" w:hAnsi="宋体" w:cs="宋体"/>
          <w:szCs w:val="21"/>
        </w:rPr>
        <w:t>采购</w:t>
      </w:r>
      <w:r>
        <w:rPr>
          <w:rFonts w:hint="eastAsia" w:ascii="宋体" w:hAnsi="宋体" w:cs="宋体"/>
          <w:bCs/>
          <w:szCs w:val="21"/>
        </w:rPr>
        <w:t>人需追加与合同标的相同的货物的，在不改变合同其他条款的前提下，可以与成交</w:t>
      </w:r>
      <w:r>
        <w:rPr>
          <w:rFonts w:hint="eastAsia" w:ascii="宋体" w:hAnsi="宋体" w:cs="宋体"/>
          <w:szCs w:val="21"/>
        </w:rPr>
        <w:t>供应商</w:t>
      </w:r>
      <w:r>
        <w:rPr>
          <w:rFonts w:hint="eastAsia" w:ascii="宋体" w:hAnsi="宋体" w:cs="宋体"/>
          <w:bCs/>
          <w:szCs w:val="21"/>
        </w:rPr>
        <w:t>协商签订补充合同，但所有补充合同的采购金额不得超过原合同采购金额的百分之十。</w:t>
      </w:r>
    </w:p>
    <w:p>
      <w:pPr>
        <w:pStyle w:val="209"/>
        <w:spacing w:line="360" w:lineRule="auto"/>
        <w:ind w:firstLine="422" w:firstLineChars="200"/>
        <w:rPr>
          <w:rFonts w:hint="eastAsia" w:ascii="宋体" w:hAnsi="宋体" w:cs="宋体"/>
          <w:b/>
          <w:bCs/>
          <w:szCs w:val="21"/>
        </w:rPr>
      </w:pPr>
      <w:r>
        <w:rPr>
          <w:rFonts w:hint="eastAsia" w:ascii="宋体" w:hAnsi="宋体" w:cs="宋体"/>
          <w:b/>
          <w:bCs/>
          <w:szCs w:val="21"/>
        </w:rPr>
        <w:t>28.招标代理服务费</w:t>
      </w:r>
    </w:p>
    <w:p>
      <w:pPr>
        <w:tabs>
          <w:tab w:val="left" w:pos="480"/>
        </w:tabs>
        <w:spacing w:line="360" w:lineRule="auto"/>
        <w:ind w:firstLine="420" w:firstLineChars="200"/>
        <w:rPr>
          <w:rFonts w:hint="eastAsia" w:ascii="宋体" w:hAnsi="宋体" w:cs="宋体"/>
          <w:szCs w:val="21"/>
        </w:rPr>
      </w:pPr>
      <w:r>
        <w:rPr>
          <w:rFonts w:hint="eastAsia" w:ascii="宋体" w:hAnsi="宋体" w:cs="宋体"/>
          <w:szCs w:val="21"/>
        </w:rPr>
        <w:t>详见供应商须知前附表。</w:t>
      </w:r>
    </w:p>
    <w:p>
      <w:pPr>
        <w:widowControl/>
        <w:shd w:val="clear" w:color="auto" w:fill="FFFFFF"/>
        <w:spacing w:line="360" w:lineRule="auto"/>
        <w:ind w:firstLine="422" w:firstLineChars="200"/>
        <w:outlineLvl w:val="1"/>
        <w:rPr>
          <w:rFonts w:hint="eastAsia" w:ascii="宋体" w:hAnsi="宋体" w:cs="宋体"/>
          <w:b/>
          <w:bCs/>
          <w:color w:val="000000"/>
          <w:szCs w:val="21"/>
        </w:rPr>
      </w:pPr>
      <w:bookmarkStart w:id="206" w:name="_Toc26518"/>
      <w:bookmarkStart w:id="207" w:name="_Toc8861"/>
      <w:bookmarkStart w:id="208" w:name="_Toc25078"/>
      <w:bookmarkStart w:id="209" w:name="_Toc7032"/>
      <w:bookmarkStart w:id="210" w:name="_Toc4630"/>
      <w:r>
        <w:rPr>
          <w:rFonts w:hint="eastAsia" w:ascii="宋体" w:hAnsi="宋体" w:cs="宋体"/>
          <w:b/>
          <w:bCs/>
          <w:color w:val="000000"/>
          <w:szCs w:val="21"/>
        </w:rPr>
        <w:t>七、质疑</w:t>
      </w:r>
      <w:bookmarkEnd w:id="206"/>
      <w:bookmarkEnd w:id="207"/>
      <w:bookmarkEnd w:id="208"/>
      <w:bookmarkEnd w:id="209"/>
      <w:bookmarkEnd w:id="210"/>
    </w:p>
    <w:p>
      <w:pPr>
        <w:pStyle w:val="5"/>
        <w:numPr>
          <w:ilvl w:val="0"/>
          <w:numId w:val="0"/>
        </w:numPr>
        <w:spacing w:line="360" w:lineRule="auto"/>
        <w:ind w:firstLine="422" w:firstLineChars="200"/>
        <w:jc w:val="both"/>
        <w:rPr>
          <w:rFonts w:hint="eastAsia" w:ascii="宋体" w:hAnsi="宋体" w:eastAsia="宋体" w:cs="宋体"/>
          <w:b/>
          <w:bCs/>
          <w:sz w:val="21"/>
          <w:szCs w:val="21"/>
        </w:rPr>
      </w:pPr>
      <w:bookmarkStart w:id="211" w:name="_Toc25206"/>
      <w:bookmarkStart w:id="212" w:name="_Toc19917"/>
      <w:bookmarkStart w:id="213" w:name="_Toc4696422"/>
      <w:bookmarkStart w:id="214" w:name="_Toc25741"/>
      <w:bookmarkStart w:id="215" w:name="_Toc29529"/>
      <w:bookmarkStart w:id="216" w:name="_Toc19303"/>
      <w:bookmarkStart w:id="217" w:name="_Toc11462"/>
      <w:bookmarkStart w:id="218" w:name="_Toc21097"/>
      <w:bookmarkStart w:id="219" w:name="_Toc16085"/>
      <w:r>
        <w:rPr>
          <w:rFonts w:hint="eastAsia" w:ascii="宋体" w:hAnsi="宋体" w:eastAsia="宋体" w:cs="宋体"/>
          <w:b/>
          <w:bCs/>
          <w:sz w:val="21"/>
          <w:szCs w:val="21"/>
        </w:rPr>
        <w:t>29.质疑</w:t>
      </w:r>
      <w:bookmarkEnd w:id="211"/>
      <w:bookmarkEnd w:id="212"/>
      <w:bookmarkEnd w:id="213"/>
      <w:bookmarkEnd w:id="214"/>
      <w:bookmarkEnd w:id="215"/>
      <w:bookmarkEnd w:id="216"/>
      <w:bookmarkEnd w:id="217"/>
      <w:bookmarkEnd w:id="218"/>
      <w:bookmarkEnd w:id="219"/>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29.1 供应商对招标活动事项有疑问的，可以向采购代理机构提出询问，采购代理机构将依法作出答复，但答复的内容不涉及商业秘密。</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29.2 供应商认为采购文件、采购过程和中标结果使自己的合法权益受到损害的，可以在知道或者应当知道其权益受到损害之日起七个工作日内，将质疑函以</w:t>
      </w:r>
      <w:r>
        <w:rPr>
          <w:rFonts w:hint="eastAsia" w:ascii="宋体" w:hAnsi="宋体" w:cs="宋体"/>
          <w:b/>
          <w:color w:val="000000"/>
          <w:szCs w:val="21"/>
        </w:rPr>
        <w:t>书面形式（原件）</w:t>
      </w:r>
      <w:r>
        <w:rPr>
          <w:rFonts w:hint="eastAsia" w:ascii="宋体" w:hAnsi="宋体" w:cs="宋体"/>
          <w:bCs/>
          <w:color w:val="000000"/>
          <w:szCs w:val="21"/>
        </w:rPr>
        <w:t>送达代理机构，质疑期外提出的质疑，采购代理机构将不予受理。</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29.3供应商须在法定质疑期内</w:t>
      </w:r>
      <w:r>
        <w:rPr>
          <w:rFonts w:hint="eastAsia" w:ascii="宋体" w:hAnsi="宋体" w:cs="宋体"/>
          <w:b/>
          <w:color w:val="000000"/>
          <w:szCs w:val="21"/>
        </w:rPr>
        <w:t>一次性提出</w:t>
      </w:r>
      <w:r>
        <w:rPr>
          <w:rFonts w:hint="eastAsia" w:ascii="宋体" w:hAnsi="宋体" w:cs="宋体"/>
          <w:bCs/>
          <w:color w:val="000000"/>
          <w:szCs w:val="21"/>
        </w:rPr>
        <w:t>针对本项目同一采购程序环节的质疑。</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29.5质疑供应商若对项目的某一分包进行质疑，质疑函中应列明具体分包号。</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29.6质疑函应包括以下主要内容，并按照“谁主张、谁举证”的原则，附上相关证明材料。质疑函的质疑事项应具体、明确，并有必要的事实依据和法律依据。质疑函的质疑请求应与质疑事项相关。否则，代理机构不予受理：</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（1）供应商的姓名或者名称、地址、邮编、联系人及联系电话；</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（2）质疑项目的名称、编号；</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（3）具体、明确的质疑事项和与质疑事项相关的请求；</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（4）事实依据；</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（5）必要的法律依据</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（6）提出质疑的日期</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质疑人为自然人的，应当由本人签字并附有效身份证明；质疑人为法人或其他组织的，应当由法定代表人、主要负责人，或者其授权代表签署本人姓名或印盖本人姓名章并加盖单位公章。</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29.7质疑人是指直接参加本项目采购活动的供应商，未参加投标活动的供应商或在投标活动中自身权益未受到损害的供应商所提出的质疑不予受理。对采购文件提出质疑的，自供应商收到响应文件之日起或响应文件公告期限届满之日计算；对采购过程提出质疑的，自采购程序环节结束之日起计算；对中标结果提出质疑的，自中标结果公告期限届满之日计算。</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29.9</w:t>
      </w:r>
      <w:r>
        <w:rPr>
          <w:rFonts w:hint="eastAsia" w:ascii="宋体" w:hAnsi="宋体" w:cs="宋体"/>
          <w:b/>
          <w:szCs w:val="21"/>
        </w:rPr>
        <w:t>本项目质疑函的联系部门、联系电话和通讯地址详见第二章供应商须知前附表</w:t>
      </w:r>
      <w:r>
        <w:rPr>
          <w:rFonts w:hint="eastAsia" w:ascii="宋体" w:hAnsi="宋体" w:cs="宋体"/>
          <w:bCs/>
          <w:color w:val="000000"/>
          <w:szCs w:val="21"/>
        </w:rPr>
        <w:t>。</w:t>
      </w:r>
    </w:p>
    <w:p>
      <w:pPr>
        <w:spacing w:line="360" w:lineRule="auto"/>
        <w:ind w:firstLine="420" w:firstLineChars="200"/>
        <w:rPr>
          <w:rFonts w:hint="eastAsia" w:ascii="宋体" w:hAnsi="宋体" w:cs="宋体"/>
          <w:bCs/>
          <w:szCs w:val="21"/>
        </w:rPr>
      </w:pPr>
      <w:r>
        <w:rPr>
          <w:rFonts w:hint="eastAsia" w:ascii="宋体" w:hAnsi="宋体" w:cs="宋体"/>
          <w:bCs/>
          <w:color w:val="000000"/>
          <w:szCs w:val="21"/>
        </w:rPr>
        <w:t>29.10 采购代理机构在收到书面质疑后七个工作日内作出答复，并以书面形式通知质疑供应商和其他有关供应商，答复的内容不涉及商业秘密。</w:t>
      </w:r>
    </w:p>
    <w:bookmarkEnd w:id="182"/>
    <w:bookmarkEnd w:id="183"/>
    <w:bookmarkEnd w:id="184"/>
    <w:bookmarkEnd w:id="185"/>
    <w:p>
      <w:pPr>
        <w:spacing w:line="440" w:lineRule="exact"/>
        <w:ind w:firstLine="420"/>
        <w:rPr>
          <w:bCs/>
          <w:color w:val="000000"/>
        </w:rPr>
      </w:pPr>
    </w:p>
    <w:p>
      <w:pPr>
        <w:spacing w:line="440" w:lineRule="exact"/>
        <w:jc w:val="center"/>
        <w:outlineLvl w:val="0"/>
        <w:rPr>
          <w:rFonts w:hint="eastAsia" w:ascii="宋体" w:hAnsi="宋体" w:cs="宋体"/>
          <w:b/>
          <w:sz w:val="28"/>
          <w:szCs w:val="28"/>
        </w:rPr>
      </w:pPr>
      <w:bookmarkStart w:id="220" w:name="_Toc3973"/>
      <w:bookmarkStart w:id="221" w:name="_Toc9840"/>
      <w:bookmarkStart w:id="222" w:name="_Toc8608"/>
      <w:r>
        <w:rPr>
          <w:rFonts w:hint="eastAsia" w:ascii="宋体" w:hAnsi="宋体" w:cs="宋体"/>
          <w:b/>
          <w:sz w:val="28"/>
          <w:szCs w:val="28"/>
        </w:rPr>
        <w:t>第三章 评分标准</w:t>
      </w:r>
      <w:bookmarkEnd w:id="220"/>
      <w:bookmarkEnd w:id="221"/>
      <w:bookmarkEnd w:id="222"/>
    </w:p>
    <w:p/>
    <w:p>
      <w:pPr>
        <w:widowControl/>
        <w:spacing w:line="360" w:lineRule="auto"/>
        <w:ind w:left="632" w:hanging="632"/>
        <w:rPr>
          <w:rFonts w:hint="eastAsia" w:ascii="宋体" w:hAnsi="宋体" w:cs="宋体"/>
          <w:b/>
          <w:bCs/>
          <w:szCs w:val="21"/>
        </w:rPr>
      </w:pPr>
      <w:bookmarkStart w:id="223" w:name="_Toc47452172"/>
      <w:bookmarkStart w:id="224" w:name="_Toc35877236"/>
      <w:bookmarkStart w:id="225" w:name="_Toc22999"/>
      <w:bookmarkStart w:id="226" w:name="_Toc11641"/>
      <w:r>
        <w:rPr>
          <w:rFonts w:hint="eastAsia" w:ascii="宋体" w:hAnsi="宋体" w:cs="宋体"/>
          <w:b/>
          <w:bCs/>
          <w:szCs w:val="21"/>
        </w:rPr>
        <w:t>（一）评审方法</w:t>
      </w:r>
    </w:p>
    <w:p>
      <w:pPr>
        <w:spacing w:line="360" w:lineRule="auto"/>
        <w:ind w:firstLine="422"/>
        <w:rPr>
          <w:rFonts w:hint="eastAsia" w:ascii="宋体" w:hAnsi="宋体" w:cs="宋体"/>
          <w:b/>
          <w:bCs/>
        </w:rPr>
      </w:pPr>
      <w:r>
        <w:rPr>
          <w:rFonts w:hint="eastAsia" w:ascii="宋体" w:hAnsi="宋体" w:cs="宋体"/>
          <w:b/>
          <w:bCs/>
        </w:rPr>
        <w:t>本项目采用综合评分法。</w:t>
      </w:r>
    </w:p>
    <w:p>
      <w:pPr>
        <w:spacing w:line="360" w:lineRule="auto"/>
        <w:rPr>
          <w:rFonts w:hint="eastAsia" w:ascii="宋体" w:hAnsi="宋体" w:cs="宋体"/>
          <w:b/>
          <w:bCs/>
          <w:szCs w:val="21"/>
        </w:rPr>
      </w:pPr>
      <w:r>
        <w:rPr>
          <w:rFonts w:hint="eastAsia" w:ascii="宋体" w:hAnsi="宋体" w:cs="宋体"/>
          <w:b/>
          <w:bCs/>
          <w:szCs w:val="21"/>
        </w:rPr>
        <w:t>（二）评审标准</w:t>
      </w:r>
    </w:p>
    <w:p>
      <w:pPr>
        <w:spacing w:line="360" w:lineRule="auto"/>
        <w:ind w:firstLine="211"/>
        <w:rPr>
          <w:rFonts w:hint="eastAsia" w:ascii="宋体" w:hAnsi="宋体" w:cs="宋体"/>
          <w:szCs w:val="21"/>
        </w:rPr>
      </w:pPr>
      <w:r>
        <w:rPr>
          <w:rFonts w:hint="eastAsia" w:ascii="宋体" w:hAnsi="宋体" w:cs="宋体"/>
          <w:b/>
          <w:bCs/>
        </w:rPr>
        <w:t>（1）</w:t>
      </w:r>
      <w:r>
        <w:rPr>
          <w:rFonts w:hint="eastAsia" w:ascii="宋体" w:hAnsi="宋体" w:cs="宋体"/>
          <w:b/>
          <w:bCs/>
          <w:szCs w:val="21"/>
        </w:rPr>
        <w:t>国家政策导向</w:t>
      </w:r>
    </w:p>
    <w:p>
      <w:pPr>
        <w:spacing w:line="360" w:lineRule="auto"/>
        <w:ind w:firstLine="422"/>
        <w:rPr>
          <w:rFonts w:hint="eastAsia" w:ascii="宋体" w:hAnsi="宋体" w:cs="宋体"/>
        </w:rPr>
      </w:pPr>
      <w:r>
        <w:rPr>
          <w:rFonts w:hint="eastAsia" w:ascii="宋体" w:hAnsi="宋体" w:cs="宋体"/>
          <w:b/>
          <w:bCs/>
        </w:rPr>
        <w:t>①促进小微企业发展政策</w:t>
      </w:r>
      <w:r>
        <w:rPr>
          <w:rFonts w:hint="eastAsia" w:ascii="宋体" w:hAnsi="宋体" w:cs="宋体"/>
        </w:rPr>
        <w:t>：对于专门面向中小企业或小型、微型企业的项目，只面向中小企业或小型、微型企业采购。对于非专门面向中小企业的项目，对小型和微型企业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本项目为专门面向中小企业采购，供应商应为中小微企业、监狱和戒毒企业、残疾人福利性企业。专门面向中小企业采购的项目或者采购包，只面向中小微企业、监狱和戒毒企业、残疾人福利性企业采购，不再执行价格评审优惠的扶持政策。</w:t>
      </w:r>
    </w:p>
    <w:p>
      <w:pPr>
        <w:spacing w:line="360" w:lineRule="auto"/>
        <w:ind w:firstLine="420"/>
        <w:rPr>
          <w:rFonts w:hint="eastAsia" w:ascii="宋体" w:hAnsi="宋体" w:cs="宋体"/>
        </w:rPr>
      </w:pPr>
      <w:r>
        <w:rPr>
          <w:rFonts w:hint="eastAsia" w:ascii="宋体" w:hAnsi="宋体" w:cs="宋体"/>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rPr>
        <w:t>。</w:t>
      </w:r>
    </w:p>
    <w:p>
      <w:pPr>
        <w:spacing w:line="360" w:lineRule="auto"/>
        <w:ind w:firstLine="422"/>
        <w:rPr>
          <w:rFonts w:hint="eastAsia" w:ascii="宋体" w:hAnsi="宋体" w:cs="宋体"/>
          <w:szCs w:val="22"/>
        </w:rPr>
      </w:pPr>
      <w:r>
        <w:rPr>
          <w:rFonts w:hint="eastAsia" w:ascii="宋体" w:hAnsi="宋体" w:cs="宋体"/>
          <w:b/>
          <w:bCs/>
          <w:szCs w:val="22"/>
        </w:rPr>
        <w:t>②监狱企业扶持政策：</w:t>
      </w:r>
      <w:r>
        <w:rPr>
          <w:rFonts w:hint="eastAsia" w:ascii="宋体" w:hAnsi="宋体" w:cs="宋体"/>
          <w:szCs w:val="22"/>
        </w:rPr>
        <w:t>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pPr>
        <w:spacing w:line="360" w:lineRule="auto"/>
        <w:ind w:firstLine="422"/>
        <w:rPr>
          <w:rFonts w:hint="eastAsia" w:ascii="宋体" w:hAnsi="宋体" w:cs="宋体"/>
          <w:szCs w:val="22"/>
        </w:rPr>
      </w:pPr>
      <w:r>
        <w:rPr>
          <w:rFonts w:hint="eastAsia" w:ascii="宋体" w:hAnsi="宋体" w:cs="宋体"/>
          <w:b/>
          <w:bCs/>
          <w:szCs w:val="22"/>
        </w:rPr>
        <w:t>③残疾人福利性单位扶持政策：</w:t>
      </w:r>
      <w:r>
        <w:rPr>
          <w:rFonts w:hint="eastAsia" w:ascii="宋体" w:hAnsi="宋体" w:cs="宋体"/>
          <w:szCs w:val="22"/>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pPr>
        <w:spacing w:line="360" w:lineRule="auto"/>
        <w:ind w:firstLine="422"/>
        <w:rPr>
          <w:rFonts w:hint="eastAsia" w:ascii="宋体" w:hAnsi="宋体" w:cs="宋体"/>
          <w:szCs w:val="21"/>
        </w:rPr>
      </w:pPr>
      <w:r>
        <w:rPr>
          <w:rFonts w:hint="eastAsia" w:ascii="宋体" w:hAnsi="宋体" w:cs="宋体"/>
          <w:b/>
          <w:bCs/>
          <w:szCs w:val="21"/>
        </w:rPr>
        <w:t>④乡村产业振兴支持政策：</w:t>
      </w:r>
      <w:r>
        <w:rPr>
          <w:rFonts w:hint="eastAsia" w:ascii="宋体" w:hAnsi="宋体" w:cs="宋体"/>
          <w:szCs w:val="21"/>
        </w:rPr>
        <w:t>根据《关于运用政府采购政策支持乡村产业振兴的通知》（财库〔2021〕19号），鼓励采用预留采购份额方式，通过脱贫地区农副产品网络销售平台（原贫困地区农副产品网络销售平台）采购脱贫地区农副产品。</w:t>
      </w:r>
    </w:p>
    <w:p>
      <w:pPr>
        <w:spacing w:line="360" w:lineRule="auto"/>
        <w:ind w:firstLine="422"/>
        <w:rPr>
          <w:rFonts w:hint="eastAsia" w:ascii="宋体" w:hAnsi="宋体" w:cs="宋体"/>
          <w:b/>
          <w:bCs/>
          <w:szCs w:val="21"/>
        </w:rPr>
      </w:pPr>
      <w:r>
        <w:rPr>
          <w:rFonts w:hint="eastAsia" w:ascii="宋体" w:hAnsi="宋体" w:cs="宋体"/>
          <w:b/>
          <w:bCs/>
          <w:szCs w:val="21"/>
        </w:rPr>
        <w:t>⑤采购本国产品的支持政策：</w:t>
      </w:r>
    </w:p>
    <w:p>
      <w:pPr>
        <w:spacing w:line="360" w:lineRule="auto"/>
        <w:ind w:firstLine="422"/>
        <w:rPr>
          <w:rFonts w:hint="eastAsia" w:ascii="宋体" w:hAnsi="宋体" w:cs="宋体"/>
          <w:color w:val="000000"/>
          <w:szCs w:val="21"/>
        </w:rPr>
      </w:pPr>
      <w:r>
        <w:rPr>
          <w:rFonts w:hint="eastAsia" w:ascii="宋体" w:hAnsi="宋体" w:cs="宋体"/>
          <w:color w:val="000000"/>
          <w:szCs w:val="21"/>
        </w:rPr>
        <w:t>①本项目政府采购活动中既有本国产品又有非本国产品参与竞争的，依法对本国产品给予价格评审优惠，对本国产品的报价给予20%的价格扣除，用扣除后的价格参与评审。</w:t>
      </w:r>
    </w:p>
    <w:p>
      <w:pPr>
        <w:spacing w:line="360" w:lineRule="auto"/>
        <w:ind w:firstLine="422"/>
        <w:rPr>
          <w:rFonts w:hint="eastAsia" w:ascii="宋体" w:hAnsi="宋体" w:cs="宋体"/>
          <w:color w:val="000000"/>
          <w:szCs w:val="21"/>
        </w:rPr>
      </w:pPr>
      <w:r>
        <w:rPr>
          <w:rFonts w:hint="eastAsia" w:ascii="宋体" w:hAnsi="宋体" w:cs="宋体"/>
          <w:color w:val="000000"/>
          <w:szCs w:val="21"/>
        </w:rPr>
        <w:t>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pPr>
        <w:spacing w:line="360" w:lineRule="auto"/>
        <w:ind w:firstLine="422"/>
        <w:rPr>
          <w:rFonts w:hint="eastAsia" w:ascii="宋体" w:hAnsi="宋体" w:cs="宋体"/>
          <w:szCs w:val="21"/>
        </w:rPr>
      </w:pPr>
      <w:r>
        <w:rPr>
          <w:rFonts w:hint="eastAsia" w:ascii="宋体" w:hAnsi="宋体" w:cs="宋体"/>
          <w:color w:val="000000"/>
          <w:szCs w:val="21"/>
        </w:rPr>
        <w:t>③供应商需按照招标文件的要求提供《关于符合本国产品标准的声明函》（以下简称《声明函》），如不提供将不享受本国产品价格评</w:t>
      </w:r>
      <w:r>
        <w:rPr>
          <w:rFonts w:hint="eastAsia" w:ascii="宋体" w:hAnsi="宋体" w:cs="宋体"/>
          <w:szCs w:val="21"/>
        </w:rPr>
        <w:t>审优惠。（《关于符合本国产品标准的声明函》格式见投标文件格式部分）</w:t>
      </w:r>
    </w:p>
    <w:p>
      <w:pPr>
        <w:spacing w:line="360" w:lineRule="auto"/>
        <w:ind w:firstLine="422"/>
        <w:rPr>
          <w:rFonts w:hint="eastAsia" w:ascii="宋体" w:hAnsi="宋体" w:cs="宋体"/>
          <w:color w:val="000000"/>
          <w:szCs w:val="21"/>
        </w:rPr>
      </w:pPr>
      <w:r>
        <w:rPr>
          <w:rFonts w:hint="eastAsia" w:ascii="宋体" w:hAnsi="宋体" w:cs="宋体"/>
          <w:color w:val="000000"/>
          <w:szCs w:val="21"/>
        </w:rPr>
        <w:t>④供应商需在《声明函》中逐一、准确填写产品名称、厂名、生产厂址三项信息（《声明函》中用斜线划除的地方无需填写），三项信息中任意一项未填写的视为该项产品不符合本国产品标准，不享受本国产品价格评审优惠。</w:t>
      </w:r>
    </w:p>
    <w:p>
      <w:pPr>
        <w:spacing w:line="360" w:lineRule="auto"/>
        <w:ind w:firstLine="422"/>
        <w:rPr>
          <w:rFonts w:hint="eastAsia" w:ascii="宋体" w:hAnsi="宋体" w:cs="宋体"/>
          <w:color w:val="000000"/>
          <w:szCs w:val="21"/>
        </w:rPr>
      </w:pPr>
      <w:r>
        <w:rPr>
          <w:rFonts w:hint="eastAsia" w:ascii="宋体" w:hAnsi="宋体" w:cs="宋体"/>
          <w:color w:val="000000"/>
          <w:szCs w:val="21"/>
        </w:rPr>
        <w:t>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223"/>
    <w:bookmarkEnd w:id="224"/>
    <w:bookmarkEnd w:id="225"/>
    <w:bookmarkEnd w:id="226"/>
    <w:p>
      <w:pPr>
        <w:numPr>
          <w:ilvl w:val="0"/>
          <w:numId w:val="4"/>
        </w:numPr>
        <w:spacing w:line="360" w:lineRule="auto"/>
        <w:ind w:firstLine="420"/>
      </w:pPr>
      <w:r>
        <w:rPr>
          <w:rFonts w:hint="eastAsia" w:ascii="宋体" w:hAnsi="宋体" w:cs="宋体"/>
          <w:szCs w:val="21"/>
        </w:rPr>
        <w:t>磋商小组将对确定为实质性满足采购文件要求的响应文件进行评分，评审采用综合评分法，总分为100分，分值保留小数点后2位。按评审后得分由高到低顺序排列，得分相同的，按报价由低到高顺序排列，得分且报价相同的，按技术指标优劣顺序排列。本项目由磋商小组推荐3名成交候选人，评审得分最高的供应商为第一成交候选人。最低响应（磋商）价等任何单项因素的最优不是成交的必要条件。具体打分办法如下：</w:t>
      </w:r>
    </w:p>
    <w:tbl>
      <w:tblPr>
        <w:tblStyle w:val="4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1436"/>
        <w:gridCol w:w="6337"/>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hAnsi="宋体"/>
              </w:rPr>
              <w:t>序号</w:t>
            </w:r>
          </w:p>
        </w:tc>
        <w:tc>
          <w:tcPr>
            <w:tcW w:w="1436" w:type="dxa"/>
            <w:vAlign w:val="center"/>
          </w:tcPr>
          <w:p>
            <w:pPr>
              <w:widowControl/>
              <w:jc w:val="center"/>
              <w:rPr>
                <w:rFonts w:hint="eastAsia" w:ascii="宋体" w:hAnsi="宋体"/>
              </w:rPr>
            </w:pPr>
            <w:r>
              <w:rPr>
                <w:rFonts w:hint="eastAsia" w:ascii="宋体" w:hAnsi="宋体"/>
              </w:rPr>
              <w:t>评分因素</w:t>
            </w:r>
          </w:p>
        </w:tc>
        <w:tc>
          <w:tcPr>
            <w:tcW w:w="6337" w:type="dxa"/>
            <w:vAlign w:val="center"/>
          </w:tcPr>
          <w:p>
            <w:pPr>
              <w:widowControl/>
              <w:jc w:val="center"/>
              <w:rPr>
                <w:rFonts w:hint="eastAsia" w:ascii="宋体" w:hAnsi="宋体"/>
              </w:rPr>
            </w:pPr>
            <w:r>
              <w:rPr>
                <w:rFonts w:hint="eastAsia" w:ascii="宋体" w:hAnsi="宋体"/>
              </w:rPr>
              <w:t>评审标准</w:t>
            </w:r>
          </w:p>
        </w:tc>
        <w:tc>
          <w:tcPr>
            <w:tcW w:w="764" w:type="dxa"/>
            <w:vAlign w:val="center"/>
          </w:tcPr>
          <w:p>
            <w:pPr>
              <w:widowControl/>
              <w:jc w:val="center"/>
              <w:rPr>
                <w:rFonts w:hint="eastAsia" w:ascii="宋体" w:hAnsi="宋体"/>
              </w:rPr>
            </w:pPr>
            <w:r>
              <w:rPr>
                <w:rFonts w:hint="eastAsia" w:ascii="宋体" w:hAnsi="宋体"/>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7" w:type="dxa"/>
            <w:gridSpan w:val="4"/>
            <w:vAlign w:val="center"/>
          </w:tcPr>
          <w:p>
            <w:pPr>
              <w:widowControl/>
              <w:jc w:val="center"/>
              <w:rPr>
                <w:rFonts w:hint="eastAsia" w:ascii="宋体" w:hAnsi="宋体"/>
                <w:b/>
                <w:bCs/>
              </w:rPr>
            </w:pPr>
            <w:r>
              <w:rPr>
                <w:rFonts w:hint="eastAsia" w:ascii="宋体" w:hAnsi="宋体"/>
                <w:b/>
                <w:bCs/>
              </w:rPr>
              <w:t>（一）价格（10分）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ascii="宋体" w:hAnsi="宋体"/>
              </w:rPr>
              <w:t>1</w:t>
            </w:r>
          </w:p>
        </w:tc>
        <w:tc>
          <w:tcPr>
            <w:tcW w:w="1436" w:type="dxa"/>
            <w:vAlign w:val="center"/>
          </w:tcPr>
          <w:p>
            <w:pPr>
              <w:widowControl/>
              <w:jc w:val="center"/>
              <w:rPr>
                <w:rFonts w:hint="eastAsia" w:ascii="宋体" w:hAnsi="宋体"/>
              </w:rPr>
            </w:pPr>
            <w:r>
              <w:rPr>
                <w:rFonts w:hint="eastAsia" w:ascii="宋体" w:hAnsi="宋体"/>
              </w:rPr>
              <w:t>价格</w:t>
            </w:r>
            <w:r>
              <w:rPr>
                <w:rFonts w:ascii="宋体" w:hAnsi="宋体"/>
              </w:rPr>
              <w:t xml:space="preserve"> </w:t>
            </w:r>
          </w:p>
          <w:p>
            <w:pPr>
              <w:widowControl/>
              <w:jc w:val="center"/>
              <w:rPr>
                <w:rFonts w:hint="eastAsia" w:ascii="宋体" w:hAnsi="宋体"/>
              </w:rPr>
            </w:pPr>
            <w:r>
              <w:rPr>
                <w:rFonts w:hint="eastAsia" w:ascii="宋体" w:hAnsi="宋体"/>
              </w:rPr>
              <w:t>（10分）</w:t>
            </w:r>
            <w:r>
              <w:rPr>
                <w:rFonts w:ascii="宋体" w:hAnsi="宋体"/>
              </w:rPr>
              <w:t xml:space="preserve">    </w:t>
            </w:r>
          </w:p>
        </w:tc>
        <w:tc>
          <w:tcPr>
            <w:tcW w:w="6337" w:type="dxa"/>
            <w:vAlign w:val="center"/>
          </w:tcPr>
          <w:p>
            <w:pPr>
              <w:widowControl/>
              <w:ind w:firstLine="420" w:firstLineChars="200"/>
              <w:rPr>
                <w:rFonts w:hint="eastAsia" w:ascii="宋体" w:hAnsi="宋体"/>
              </w:rPr>
            </w:pPr>
            <w:r>
              <w:rPr>
                <w:rFonts w:hint="eastAsia" w:ascii="宋体" w:hAnsi="宋体"/>
              </w:rPr>
              <w:t>价格分采用低价优先法计算，即满足磋商文件要求且报价最低的供应商报价为评标基准价，其价格分为满分</w:t>
            </w:r>
            <w:r>
              <w:rPr>
                <w:rFonts w:ascii="宋体" w:hAnsi="宋体"/>
              </w:rPr>
              <w:t>10</w:t>
            </w:r>
            <w:r>
              <w:rPr>
                <w:rFonts w:hint="eastAsia" w:ascii="宋体" w:hAnsi="宋体"/>
              </w:rPr>
              <w:t>分，其他供应商的价格分统一按照以下公式计算：投标报价得分</w:t>
            </w:r>
            <w:r>
              <w:rPr>
                <w:rFonts w:ascii="宋体" w:hAnsi="宋体"/>
              </w:rPr>
              <w:t>=(</w:t>
            </w:r>
            <w:r>
              <w:rPr>
                <w:rFonts w:hint="eastAsia" w:ascii="宋体" w:hAnsi="宋体"/>
              </w:rPr>
              <w:t>最低报价</w:t>
            </w:r>
            <w:r>
              <w:rPr>
                <w:rFonts w:ascii="宋体" w:hAnsi="宋体"/>
              </w:rPr>
              <w:t>/</w:t>
            </w:r>
            <w:r>
              <w:rPr>
                <w:rFonts w:hint="eastAsia" w:ascii="宋体" w:hAnsi="宋体"/>
              </w:rPr>
              <w:t>该投标单位的投标报价</w:t>
            </w:r>
            <w:r>
              <w:rPr>
                <w:rFonts w:ascii="宋体" w:hAnsi="宋体"/>
              </w:rPr>
              <w:t>)*10</w:t>
            </w:r>
            <w:r>
              <w:rPr>
                <w:rFonts w:hint="eastAsia" w:ascii="宋体" w:hAnsi="宋体"/>
              </w:rPr>
              <w:t>。</w:t>
            </w:r>
          </w:p>
          <w:p>
            <w:pPr>
              <w:widowControl/>
              <w:rPr>
                <w:rFonts w:hint="eastAsia" w:ascii="宋体" w:hAnsi="宋体"/>
              </w:rPr>
            </w:pPr>
            <w:r>
              <w:rPr>
                <w:rFonts w:hint="eastAsia" w:ascii="宋体" w:hAnsi="宋体"/>
              </w:rPr>
              <w:t>（投标价得分以四舍五人方法整合到小数点后两位）。</w:t>
            </w:r>
          </w:p>
        </w:tc>
        <w:tc>
          <w:tcPr>
            <w:tcW w:w="764" w:type="dxa"/>
            <w:vAlign w:val="center"/>
          </w:tcPr>
          <w:p>
            <w:pPr>
              <w:widowControl/>
              <w:jc w:val="center"/>
              <w:rPr>
                <w:rFonts w:hint="eastAsia" w:ascii="宋体" w:hAnsi="宋体"/>
              </w:rPr>
            </w:pPr>
            <w:r>
              <w:rPr>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7" w:type="dxa"/>
            <w:gridSpan w:val="4"/>
            <w:vAlign w:val="center"/>
          </w:tcPr>
          <w:p>
            <w:pPr>
              <w:widowControl/>
              <w:jc w:val="center"/>
              <w:rPr>
                <w:rFonts w:hint="eastAsia" w:ascii="宋体" w:hAnsi="宋体"/>
                <w:b/>
                <w:bCs/>
              </w:rPr>
            </w:pPr>
            <w:r>
              <w:rPr>
                <w:rFonts w:hint="eastAsia" w:ascii="宋体" w:hAnsi="宋体"/>
                <w:b/>
                <w:bCs/>
              </w:rPr>
              <w:t>（二）</w:t>
            </w:r>
            <w:r>
              <w:rPr>
                <w:rFonts w:hint="eastAsia"/>
                <w:b/>
                <w:bCs/>
              </w:rPr>
              <w:t>总体运维服务响应（47分）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160" w:type="dxa"/>
            <w:vMerge w:val="restart"/>
            <w:vAlign w:val="center"/>
          </w:tcPr>
          <w:p>
            <w:pPr>
              <w:jc w:val="center"/>
              <w:rPr>
                <w:rFonts w:hint="eastAsia" w:ascii="宋体" w:hAnsi="宋体"/>
              </w:rPr>
            </w:pPr>
            <w:r>
              <w:rPr>
                <w:rFonts w:hint="eastAsia" w:ascii="宋体" w:hAnsi="宋体"/>
              </w:rPr>
              <w:t>2.1</w:t>
            </w:r>
          </w:p>
        </w:tc>
        <w:tc>
          <w:tcPr>
            <w:tcW w:w="1436" w:type="dxa"/>
            <w:vAlign w:val="center"/>
          </w:tcPr>
          <w:p>
            <w:pPr>
              <w:jc w:val="center"/>
              <w:rPr>
                <w:b/>
                <w:bCs/>
              </w:rPr>
            </w:pPr>
            <w:r>
              <w:rPr>
                <w:rFonts w:hint="eastAsia" w:ascii="宋体" w:hAnsi="宋体"/>
                <w:b/>
                <w:bCs/>
              </w:rPr>
              <w:t>运维实施方案（5分）</w:t>
            </w:r>
          </w:p>
        </w:tc>
        <w:tc>
          <w:tcPr>
            <w:tcW w:w="6337" w:type="dxa"/>
            <w:vAlign w:val="center"/>
          </w:tcPr>
          <w:p>
            <w:pPr>
              <w:widowControl/>
              <w:ind w:firstLine="422" w:firstLineChars="200"/>
              <w:rPr>
                <w:rFonts w:hint="eastAsia" w:ascii="宋体" w:hAnsi="宋体"/>
                <w:b/>
                <w:bCs/>
              </w:rPr>
            </w:pPr>
            <w:r>
              <w:rPr>
                <w:rFonts w:hint="eastAsia" w:ascii="宋体" w:hAnsi="宋体"/>
                <w:b/>
                <w:bCs/>
              </w:rPr>
              <w:t>供应商应提供项目运维实施方案，运维实施方案好，符合项目需求的得5分；运维实施方案一般，较符合项目需求的得3分；运维实施方案差，基本符合项目需求的得1分；不符合项目需求不得分。</w:t>
            </w:r>
          </w:p>
        </w:tc>
        <w:tc>
          <w:tcPr>
            <w:tcW w:w="764" w:type="dxa"/>
            <w:vAlign w:val="center"/>
          </w:tcPr>
          <w:p>
            <w:pPr>
              <w:widowControl/>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rPr>
                <w:rFonts w:hint="eastAsia" w:ascii="宋体" w:hAnsi="宋体"/>
              </w:rPr>
            </w:pPr>
            <w:r>
              <w:rPr>
                <w:rFonts w:hint="eastAsia" w:ascii="宋体" w:hAnsi="宋体"/>
              </w:rPr>
              <w:t>备品备件库（3分）</w:t>
            </w:r>
          </w:p>
        </w:tc>
        <w:tc>
          <w:tcPr>
            <w:tcW w:w="6337" w:type="dxa"/>
            <w:vAlign w:val="center"/>
          </w:tcPr>
          <w:p>
            <w:pPr>
              <w:widowControl/>
              <w:ind w:firstLine="420" w:firstLineChars="200"/>
              <w:rPr>
                <w:rFonts w:hint="eastAsia" w:ascii="宋体" w:hAnsi="宋体"/>
              </w:rPr>
            </w:pPr>
            <w:r>
              <w:rPr>
                <w:rFonts w:hint="eastAsia" w:ascii="宋体" w:hAnsi="宋体"/>
              </w:rPr>
              <w:t>供应商在江苏省无线电监测站建立备品备件库，按照清单要求提供省站常用备品备件。供应商提供的常用备品备件种类或数量优于项目需求的得3分，符合项目需求的得2分，不符合项目需求的不得分。（</w:t>
            </w:r>
            <w:r>
              <w:rPr>
                <w:rFonts w:ascii="宋体" w:hAnsi="宋体"/>
              </w:rPr>
              <w:t>供应商须提供承诺函，承诺函格式见后。</w:t>
            </w:r>
            <w:r>
              <w:rPr>
                <w:rFonts w:hint="eastAsia" w:ascii="宋体" w:hAnsi="宋体"/>
              </w:rPr>
              <w:t>）</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rPr>
                <w:b/>
                <w:bCs/>
                <w:sz w:val="21"/>
                <w:szCs w:val="21"/>
              </w:rPr>
            </w:pPr>
            <w:r>
              <w:rPr>
                <w:rFonts w:hint="eastAsia" w:ascii="宋体" w:hAnsi="宋体"/>
                <w:b/>
                <w:bCs/>
                <w:sz w:val="21"/>
                <w:szCs w:val="21"/>
              </w:rPr>
              <w:t>现场巡检服务方案（3分）</w:t>
            </w:r>
          </w:p>
        </w:tc>
        <w:tc>
          <w:tcPr>
            <w:tcW w:w="6337" w:type="dxa"/>
            <w:vAlign w:val="center"/>
          </w:tcPr>
          <w:p>
            <w:pPr>
              <w:widowControl/>
              <w:ind w:firstLine="422" w:firstLineChars="200"/>
              <w:rPr>
                <w:rFonts w:hint="eastAsia" w:ascii="宋体" w:hAnsi="宋体"/>
                <w:b/>
                <w:bCs/>
                <w:sz w:val="21"/>
                <w:szCs w:val="21"/>
              </w:rPr>
            </w:pPr>
            <w:bookmarkStart w:id="227" w:name="OLE_LINK10"/>
            <w:r>
              <w:rPr>
                <w:rFonts w:hint="eastAsia" w:ascii="宋体" w:hAnsi="宋体"/>
                <w:b/>
                <w:bCs/>
                <w:sz w:val="21"/>
                <w:szCs w:val="21"/>
              </w:rPr>
              <w:t>供应商提供江苏省无线电管理专网现场巡检服务方案，巡检频次或内容符合项目需求的，得3分；基本符合项目需求，得2分，不符合项目需求不得分。</w:t>
            </w:r>
            <w:bookmarkEnd w:id="227"/>
          </w:p>
        </w:tc>
        <w:tc>
          <w:tcPr>
            <w:tcW w:w="764" w:type="dxa"/>
            <w:vAlign w:val="center"/>
          </w:tcPr>
          <w:p>
            <w:pPr>
              <w:widowControl/>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restart"/>
            <w:vAlign w:val="center"/>
          </w:tcPr>
          <w:p>
            <w:pPr>
              <w:widowControl/>
              <w:jc w:val="center"/>
              <w:rPr>
                <w:rFonts w:hint="eastAsia" w:ascii="宋体" w:hAnsi="宋体"/>
              </w:rPr>
            </w:pPr>
            <w:r>
              <w:rPr>
                <w:rFonts w:hint="eastAsia" w:ascii="宋体" w:hAnsi="宋体"/>
              </w:rPr>
              <w:t>2.2</w:t>
            </w:r>
          </w:p>
        </w:tc>
        <w:tc>
          <w:tcPr>
            <w:tcW w:w="1436" w:type="dxa"/>
            <w:vAlign w:val="center"/>
          </w:tcPr>
          <w:p>
            <w:pPr>
              <w:widowControl/>
              <w:jc w:val="center"/>
              <w:rPr>
                <w:rFonts w:hint="eastAsia" w:ascii="宋体" w:hAnsi="宋体"/>
                <w:b/>
                <w:bCs/>
              </w:rPr>
            </w:pPr>
            <w:r>
              <w:rPr>
                <w:rFonts w:hint="eastAsia" w:ascii="宋体" w:hAnsi="宋体"/>
                <w:b/>
                <w:bCs/>
              </w:rPr>
              <w:t>故障处理及响应（2分）</w:t>
            </w:r>
          </w:p>
        </w:tc>
        <w:tc>
          <w:tcPr>
            <w:tcW w:w="6337" w:type="dxa"/>
            <w:vAlign w:val="center"/>
          </w:tcPr>
          <w:p>
            <w:pPr>
              <w:widowControl/>
              <w:ind w:firstLine="422" w:firstLineChars="200"/>
              <w:rPr>
                <w:rFonts w:hint="eastAsia" w:ascii="宋体" w:hAnsi="宋体"/>
                <w:b/>
                <w:bCs/>
              </w:rPr>
            </w:pPr>
            <w:r>
              <w:rPr>
                <w:rFonts w:hint="eastAsia" w:ascii="宋体" w:hAnsi="宋体"/>
                <w:b/>
                <w:bCs/>
              </w:rPr>
              <w:t>供应商提供故障处理响应方案，故障处理响应时限优于项目需求的，得2分；基本符合项目需求，得1分，不符合项目需求不得分。</w:t>
            </w:r>
          </w:p>
        </w:tc>
        <w:tc>
          <w:tcPr>
            <w:tcW w:w="764" w:type="dxa"/>
            <w:vAlign w:val="center"/>
          </w:tcPr>
          <w:p>
            <w:pPr>
              <w:widowControl/>
              <w:jc w:val="center"/>
              <w:rPr>
                <w:rFonts w:hint="eastAsia" w:ascii="宋体" w:hAnsi="宋体"/>
              </w:rP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pPr>
            <w:r>
              <w:rPr>
                <w:rFonts w:hint="eastAsia" w:ascii="宋体" w:hAnsi="宋体"/>
              </w:rPr>
              <w:t>应急演练服务（2分）</w:t>
            </w:r>
          </w:p>
        </w:tc>
        <w:tc>
          <w:tcPr>
            <w:tcW w:w="6337" w:type="dxa"/>
            <w:vAlign w:val="center"/>
          </w:tcPr>
          <w:p>
            <w:pPr>
              <w:widowControl/>
              <w:ind w:firstLine="420" w:firstLineChars="200"/>
              <w:rPr>
                <w:rFonts w:hint="eastAsia" w:ascii="宋体" w:hAnsi="宋体"/>
              </w:rPr>
            </w:pPr>
            <w:r>
              <w:rPr>
                <w:rFonts w:hint="eastAsia" w:ascii="宋体" w:hAnsi="宋体"/>
              </w:rPr>
              <w:t>供应商提供应急演练方案，运维期内提供1 次及以上模拟故障演练的服务得2分，不提供的不得分。（</w:t>
            </w:r>
            <w:r>
              <w:rPr>
                <w:rFonts w:ascii="宋体" w:hAnsi="宋体"/>
              </w:rPr>
              <w:t>供应商须提供承诺函，承诺函格式见后</w:t>
            </w:r>
            <w:r>
              <w:rPr>
                <w:rFonts w:hint="eastAsia" w:ascii="宋体" w:hAnsi="宋体"/>
              </w:rPr>
              <w:t>）</w:t>
            </w:r>
          </w:p>
        </w:tc>
        <w:tc>
          <w:tcPr>
            <w:tcW w:w="764" w:type="dxa"/>
            <w:vAlign w:val="center"/>
          </w:tcPr>
          <w:p>
            <w:pPr>
              <w:widowControl/>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pPr>
            <w:r>
              <w:rPr>
                <w:rFonts w:hint="eastAsia" w:ascii="宋体" w:hAnsi="宋体"/>
              </w:rPr>
              <w:t>重要保障及应急保障服务（10分）</w:t>
            </w:r>
          </w:p>
        </w:tc>
        <w:tc>
          <w:tcPr>
            <w:tcW w:w="6337" w:type="dxa"/>
            <w:vAlign w:val="center"/>
          </w:tcPr>
          <w:p>
            <w:pPr>
              <w:widowControl/>
              <w:ind w:firstLine="210" w:firstLineChars="100"/>
              <w:rPr>
                <w:rFonts w:hint="eastAsia" w:ascii="宋体" w:hAnsi="宋体"/>
              </w:rPr>
            </w:pPr>
            <w:r>
              <w:rPr>
                <w:rFonts w:hint="eastAsia" w:ascii="宋体" w:hAnsi="宋体"/>
              </w:rPr>
              <w:t>（1）</w:t>
            </w:r>
            <w:r>
              <w:rPr>
                <w:rFonts w:ascii="宋体" w:hAnsi="宋体"/>
              </w:rPr>
              <w:t>重要</w:t>
            </w:r>
            <w:r>
              <w:rPr>
                <w:rFonts w:hint="eastAsia" w:ascii="宋体" w:hAnsi="宋体"/>
              </w:rPr>
              <w:t>时间段现场保障（3分）</w:t>
            </w:r>
            <w:r>
              <w:rPr>
                <w:rFonts w:ascii="宋体" w:hAnsi="宋体"/>
              </w:rPr>
              <w:t>：供应商提供重要节假日、重要活动、恶劣天气期间的7*24小时现场重要保障服务</w:t>
            </w:r>
            <w:r>
              <w:rPr>
                <w:rFonts w:hint="eastAsia" w:ascii="宋体" w:hAnsi="宋体"/>
              </w:rPr>
              <w:t>方案。服务保障方案的保障内容、保障人员安排等任一优于项目需求的得3分，符合项目需求的得1分。不符合项目需求不得分。          （2）其他非工作时间应急保障（3分）。供应商提供其他非工作时间应急保障服务方案。服务保障方案的保障内容、响应时间、保障人员安排等任一优于项目需求的得3分，符合项目需求的得1分。不符合项目需求不得分。</w:t>
            </w:r>
          </w:p>
          <w:p>
            <w:pPr>
              <w:widowControl/>
              <w:ind w:firstLine="420" w:firstLineChars="200"/>
              <w:rPr>
                <w:rFonts w:hint="eastAsia" w:ascii="宋体" w:hAnsi="宋体"/>
              </w:rPr>
            </w:pPr>
            <w:r>
              <w:rPr>
                <w:rFonts w:hint="eastAsia" w:ascii="宋体" w:hAnsi="宋体"/>
              </w:rPr>
              <w:t>备注：以上重要保障及应急保障服务需同时提供承诺函（格式见附件），不提供的以上两项均不得分。</w:t>
            </w:r>
          </w:p>
          <w:p>
            <w:pPr>
              <w:widowControl/>
              <w:numPr>
                <w:ilvl w:val="255"/>
                <w:numId w:val="0"/>
              </w:numPr>
              <w:ind w:firstLine="210" w:firstLineChars="100"/>
              <w:rPr>
                <w:rFonts w:hint="eastAsia" w:ascii="宋体" w:hAnsi="宋体"/>
              </w:rPr>
            </w:pPr>
            <w:r>
              <w:rPr>
                <w:rFonts w:hint="eastAsia" w:ascii="宋体" w:hAnsi="宋体"/>
              </w:rPr>
              <w:t>（3）提供非工作时间现场应急处置服务响应有效证明材料（可以证明响应时间满足要求、人员安排有效合理的计算数据、参考材料、管理文档等，类型不限）的</w:t>
            </w:r>
            <w:r>
              <w:rPr>
                <w:rFonts w:ascii="宋体" w:hAnsi="宋体"/>
              </w:rPr>
              <w:t>得</w:t>
            </w:r>
            <w:r>
              <w:rPr>
                <w:rFonts w:hint="eastAsia" w:ascii="宋体" w:hAnsi="宋体"/>
              </w:rPr>
              <w:t>4</w:t>
            </w:r>
            <w:r>
              <w:rPr>
                <w:rFonts w:ascii="宋体" w:hAnsi="宋体"/>
              </w:rPr>
              <w:t>分，不提供</w:t>
            </w:r>
            <w:r>
              <w:rPr>
                <w:rFonts w:hint="eastAsia" w:ascii="宋体" w:hAnsi="宋体"/>
              </w:rPr>
              <w:t>或无效材料</w:t>
            </w:r>
            <w:r>
              <w:rPr>
                <w:rFonts w:ascii="宋体" w:hAnsi="宋体"/>
              </w:rPr>
              <w:t>不得分。</w:t>
            </w:r>
          </w:p>
        </w:tc>
        <w:tc>
          <w:tcPr>
            <w:tcW w:w="764" w:type="dxa"/>
            <w:vAlign w:val="center"/>
          </w:tcPr>
          <w:p>
            <w:pPr>
              <w:widowControl/>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restart"/>
            <w:vAlign w:val="center"/>
          </w:tcPr>
          <w:p>
            <w:pPr>
              <w:widowControl/>
              <w:jc w:val="center"/>
              <w:rPr>
                <w:rFonts w:hint="eastAsia" w:ascii="宋体" w:hAnsi="宋体"/>
              </w:rPr>
            </w:pPr>
            <w:r>
              <w:rPr>
                <w:rFonts w:hint="eastAsia" w:ascii="宋体" w:hAnsi="宋体"/>
              </w:rPr>
              <w:t>2.3</w:t>
            </w:r>
          </w:p>
        </w:tc>
        <w:tc>
          <w:tcPr>
            <w:tcW w:w="1436" w:type="dxa"/>
            <w:vAlign w:val="center"/>
          </w:tcPr>
          <w:p>
            <w:pPr>
              <w:widowControl/>
              <w:rPr>
                <w:rFonts w:hint="eastAsia" w:ascii="宋体" w:hAnsi="宋体"/>
              </w:rPr>
            </w:pPr>
            <w:r>
              <w:rPr>
                <w:rFonts w:hint="eastAsia" w:ascii="宋体" w:hAnsi="宋体"/>
              </w:rPr>
              <w:t>供应商实力（8分）</w:t>
            </w:r>
          </w:p>
          <w:p>
            <w:pPr>
              <w:widowControl/>
              <w:jc w:val="center"/>
              <w:rPr>
                <w:rFonts w:hint="eastAsia" w:ascii="宋体" w:hAnsi="宋体"/>
              </w:rPr>
            </w:pPr>
          </w:p>
        </w:tc>
        <w:tc>
          <w:tcPr>
            <w:tcW w:w="6337" w:type="dxa"/>
            <w:vAlign w:val="center"/>
          </w:tcPr>
          <w:p>
            <w:pPr>
              <w:widowControl/>
              <w:ind w:firstLine="210" w:firstLineChars="100"/>
              <w:rPr>
                <w:rFonts w:hint="eastAsia" w:ascii="宋体" w:hAnsi="宋体"/>
              </w:rPr>
            </w:pPr>
            <w:r>
              <w:rPr>
                <w:rFonts w:hint="eastAsia" w:ascii="宋体" w:hAnsi="宋体"/>
                <w:lang w:val="zh-CN"/>
              </w:rPr>
              <w:t>（1）供应商资质：供应商具备有效期内</w:t>
            </w:r>
            <w:r>
              <w:rPr>
                <w:rFonts w:ascii="宋体" w:hAnsi="宋体"/>
                <w:lang w:val="zh-CN"/>
              </w:rPr>
              <w:t>中国电子工业标准化技术协会信息技术服务分会</w:t>
            </w:r>
            <w:r>
              <w:rPr>
                <w:rFonts w:hint="eastAsia" w:ascii="宋体" w:hAnsi="宋体"/>
                <w:lang w:val="zh-CN"/>
              </w:rPr>
              <w:t>颁发的ITSS信息技术服务标准符合性证书（运行维护领域）、中国网络安全审查认证和市场监管大数据中心（CCRC）颁发的信息安全服务资质（信息系统安全运维服务资质）认证证书的，每提供1项加2分，满分4分。以上证书需提供有效期内的证书复印或扫描件并加盖公章。</w:t>
            </w:r>
          </w:p>
          <w:p>
            <w:pPr>
              <w:widowControl/>
              <w:ind w:firstLine="210" w:firstLineChars="100"/>
              <w:rPr>
                <w:rFonts w:hint="eastAsia" w:ascii="宋体" w:hAnsi="宋体"/>
              </w:rPr>
            </w:pPr>
            <w:r>
              <w:rPr>
                <w:rFonts w:hint="eastAsia" w:ascii="宋体" w:hAnsi="宋体"/>
              </w:rPr>
              <w:t>（2）服务案例：投标人提供</w:t>
            </w:r>
            <w:r>
              <w:rPr>
                <w:rFonts w:ascii="宋体" w:hAnsi="宋体"/>
              </w:rPr>
              <w:t>202</w:t>
            </w:r>
            <w:r>
              <w:rPr>
                <w:rFonts w:hint="eastAsia" w:ascii="宋体" w:hAnsi="宋体"/>
              </w:rPr>
              <w:t>3</w:t>
            </w:r>
            <w:r>
              <w:rPr>
                <w:rFonts w:ascii="宋体" w:hAnsi="宋体"/>
              </w:rPr>
              <w:t>年1月1日</w:t>
            </w:r>
            <w:r>
              <w:rPr>
                <w:rFonts w:hint="eastAsia" w:ascii="宋体" w:hAnsi="宋体"/>
              </w:rPr>
              <w:t>（含）以来网络机房及信息系统运维服务项目或类似的成功案例（至少包含软件、机房、网络设备、服务器、安全设备、大屏显示系统等其中一类）。提供相关服务案例，每有1个得1分，最高得4分；未提供不得分。备注：相关案例需提供合同复印或扫描件并加盖公章，时间以合同签订日期为准。</w:t>
            </w:r>
          </w:p>
        </w:tc>
        <w:tc>
          <w:tcPr>
            <w:tcW w:w="764" w:type="dxa"/>
            <w:vAlign w:val="center"/>
          </w:tcPr>
          <w:p>
            <w:pPr>
              <w:widowControl/>
              <w:jc w:val="center"/>
              <w:rPr>
                <w:rFonts w:hint="eastAsia" w:ascii="宋体" w:hAnsi="宋体"/>
              </w:rP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pPr>
            <w:r>
              <w:rPr>
                <w:rFonts w:hint="eastAsia" w:ascii="宋体" w:hAnsi="宋体"/>
              </w:rPr>
              <w:t>运维服务团队资质（8分）</w:t>
            </w:r>
          </w:p>
        </w:tc>
        <w:tc>
          <w:tcPr>
            <w:tcW w:w="6337" w:type="dxa"/>
            <w:vAlign w:val="center"/>
          </w:tcPr>
          <w:p>
            <w:pPr>
              <w:widowControl/>
              <w:rPr>
                <w:rFonts w:hint="eastAsia" w:ascii="宋体" w:hAnsi="宋体"/>
              </w:rPr>
            </w:pPr>
          </w:p>
          <w:p>
            <w:pPr>
              <w:widowControl/>
              <w:rPr>
                <w:rFonts w:hint="eastAsia" w:ascii="宋体" w:hAnsi="宋体"/>
              </w:rPr>
            </w:pPr>
            <w:r>
              <w:rPr>
                <w:rFonts w:hint="eastAsia" w:ascii="宋体" w:hAnsi="宋体"/>
              </w:rPr>
              <w:t>（1）项目经理：供应商应为本项目实施配备项目经理</w:t>
            </w:r>
            <w:r>
              <w:rPr>
                <w:rFonts w:ascii="宋体" w:hAnsi="宋体"/>
              </w:rPr>
              <w:t>1</w:t>
            </w:r>
            <w:r>
              <w:rPr>
                <w:rFonts w:hint="eastAsia" w:ascii="宋体" w:hAnsi="宋体"/>
              </w:rPr>
              <w:t>名，项目经理具有</w:t>
            </w:r>
            <w:r>
              <w:rPr>
                <w:rFonts w:ascii="宋体" w:hAnsi="宋体"/>
              </w:rPr>
              <w:t>ITSS服务</w:t>
            </w:r>
            <w:r>
              <w:rPr>
                <w:rFonts w:hint="eastAsia" w:ascii="宋体" w:hAnsi="宋体"/>
              </w:rPr>
              <w:t>项目经理证书、CISP证书的，每有1个得2</w:t>
            </w:r>
            <w:r>
              <w:rPr>
                <w:rFonts w:ascii="宋体" w:hAnsi="宋体"/>
              </w:rPr>
              <w:t>分，</w:t>
            </w:r>
            <w:r>
              <w:rPr>
                <w:rFonts w:hint="eastAsia" w:ascii="宋体" w:hAnsi="宋体"/>
              </w:rPr>
              <w:t>满分4分。</w:t>
            </w:r>
          </w:p>
          <w:p>
            <w:pPr>
              <w:widowControl/>
              <w:rPr>
                <w:rFonts w:hint="eastAsia" w:ascii="宋体" w:hAnsi="宋体"/>
              </w:rPr>
            </w:pPr>
            <w:r>
              <w:rPr>
                <w:rFonts w:hint="eastAsia" w:ascii="宋体" w:hAnsi="宋体"/>
              </w:rPr>
              <w:t>（2）其他人员：供应商为本项目实施配备的其他人员（除项目经理外），具有中级或以上级别工程师证书（机电、电子信息、计算机、软件等相关专业）、CISAW证书（信息安全保障人员认证）的，每有1个得2分，满分4分。</w:t>
            </w:r>
          </w:p>
          <w:p>
            <w:pPr>
              <w:widowControl/>
              <w:ind w:firstLine="420" w:firstLineChars="200"/>
              <w:rPr>
                <w:rFonts w:hint="eastAsia" w:ascii="宋体" w:hAnsi="宋体"/>
              </w:rPr>
            </w:pPr>
            <w:r>
              <w:rPr>
                <w:rFonts w:hint="eastAsia" w:ascii="宋体" w:hAnsi="宋体"/>
              </w:rPr>
              <w:t>备注：以上人员认证需提供证书或证明文件复印或扫描件及</w:t>
            </w:r>
            <w:r>
              <w:rPr>
                <w:rFonts w:ascii="宋体" w:hAnsi="宋体"/>
              </w:rPr>
              <w:t>供应商为</w:t>
            </w:r>
            <w:r>
              <w:rPr>
                <w:rFonts w:hint="eastAsia" w:ascii="宋体" w:hAnsi="宋体"/>
              </w:rPr>
              <w:t>其</w:t>
            </w:r>
            <w:r>
              <w:rPr>
                <w:rFonts w:ascii="宋体" w:hAnsi="宋体"/>
              </w:rPr>
              <w:t>在距离投标文件递交截止时间前</w:t>
            </w:r>
            <w:r>
              <w:rPr>
                <w:rFonts w:hint="eastAsia" w:ascii="宋体" w:hAnsi="宋体"/>
              </w:rPr>
              <w:t>1年内</w:t>
            </w:r>
            <w:r>
              <w:rPr>
                <w:rFonts w:ascii="宋体" w:hAnsi="宋体"/>
              </w:rPr>
              <w:t>任意一个月缴纳社保的证明文件</w:t>
            </w:r>
            <w:r>
              <w:rPr>
                <w:rFonts w:hint="eastAsia" w:ascii="宋体" w:hAnsi="宋体"/>
              </w:rPr>
              <w:t>，否则不得分。其他人员中</w:t>
            </w:r>
            <w:r>
              <w:rPr>
                <w:rFonts w:ascii="宋体" w:hAnsi="宋体"/>
              </w:rPr>
              <w:t>1</w:t>
            </w:r>
            <w:r>
              <w:rPr>
                <w:rFonts w:hint="eastAsia" w:ascii="宋体" w:hAnsi="宋体"/>
              </w:rPr>
              <w:t>人多证的不可以重复计算。</w:t>
            </w:r>
          </w:p>
        </w:tc>
        <w:tc>
          <w:tcPr>
            <w:tcW w:w="764" w:type="dxa"/>
            <w:vAlign w:val="center"/>
          </w:tcPr>
          <w:p>
            <w:pPr>
              <w:widowControl/>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Merge w:val="continue"/>
            <w:vAlign w:val="center"/>
          </w:tcPr>
          <w:p>
            <w:pPr>
              <w:widowControl/>
              <w:jc w:val="center"/>
              <w:rPr>
                <w:rFonts w:hint="eastAsia" w:ascii="宋体" w:hAnsi="宋体"/>
              </w:rPr>
            </w:pPr>
          </w:p>
        </w:tc>
        <w:tc>
          <w:tcPr>
            <w:tcW w:w="1436" w:type="dxa"/>
            <w:vAlign w:val="center"/>
          </w:tcPr>
          <w:p>
            <w:pPr>
              <w:widowControl/>
              <w:jc w:val="center"/>
            </w:pPr>
            <w:r>
              <w:rPr>
                <w:rFonts w:ascii="宋体" w:hAnsi="宋体"/>
              </w:rPr>
              <w:t>驻场服务</w:t>
            </w:r>
            <w:r>
              <w:rPr>
                <w:rFonts w:hint="eastAsia" w:ascii="宋体" w:hAnsi="宋体"/>
              </w:rPr>
              <w:t>（4分）</w:t>
            </w:r>
          </w:p>
        </w:tc>
        <w:tc>
          <w:tcPr>
            <w:tcW w:w="6337" w:type="dxa"/>
            <w:vAlign w:val="center"/>
          </w:tcPr>
          <w:p>
            <w:pPr>
              <w:widowControl/>
              <w:ind w:firstLine="420" w:firstLineChars="200"/>
              <w:rPr>
                <w:rFonts w:hint="eastAsia" w:ascii="宋体" w:hAnsi="宋体"/>
              </w:rPr>
            </w:pPr>
            <w:r>
              <w:rPr>
                <w:rFonts w:ascii="宋体" w:hAnsi="宋体"/>
              </w:rPr>
              <w:t>投标人需提供至少</w:t>
            </w:r>
            <w:r>
              <w:rPr>
                <w:rFonts w:hint="eastAsia" w:ascii="宋体" w:hAnsi="宋体"/>
              </w:rPr>
              <w:t>3</w:t>
            </w:r>
            <w:r>
              <w:rPr>
                <w:rFonts w:ascii="宋体" w:hAnsi="宋体"/>
              </w:rPr>
              <w:t>名驻场工程师的驻场服务</w:t>
            </w:r>
            <w:r>
              <w:rPr>
                <w:rFonts w:hint="eastAsia" w:ascii="宋体" w:hAnsi="宋体"/>
              </w:rPr>
              <w:t>。提供符合招标要求的驻场人员名单及</w:t>
            </w:r>
            <w:r>
              <w:rPr>
                <w:rFonts w:ascii="宋体" w:hAnsi="宋体"/>
              </w:rPr>
              <w:t>服务承诺函的得</w:t>
            </w:r>
            <w:r>
              <w:rPr>
                <w:rFonts w:hint="eastAsia" w:ascii="宋体" w:hAnsi="宋体"/>
              </w:rPr>
              <w:t>4</w:t>
            </w:r>
            <w:r>
              <w:rPr>
                <w:rFonts w:ascii="宋体" w:hAnsi="宋体"/>
              </w:rPr>
              <w:t>分，未提供的不得分。（由供应商出具驻场服务承诺函，格式见后）</w:t>
            </w:r>
          </w:p>
          <w:p>
            <w:pPr>
              <w:widowControl/>
              <w:ind w:firstLine="420" w:firstLineChars="200"/>
              <w:rPr>
                <w:rFonts w:hint="eastAsia" w:ascii="宋体" w:hAnsi="宋体"/>
              </w:rPr>
            </w:pPr>
            <w:r>
              <w:rPr>
                <w:rFonts w:ascii="宋体" w:hAnsi="宋体"/>
              </w:rPr>
              <w:t>供应商</w:t>
            </w:r>
            <w:r>
              <w:rPr>
                <w:rFonts w:hint="eastAsia" w:ascii="宋体" w:hAnsi="宋体"/>
              </w:rPr>
              <w:t>需提供驻场人员毕业证书等证明文件及</w:t>
            </w:r>
            <w:r>
              <w:rPr>
                <w:rFonts w:ascii="宋体" w:hAnsi="宋体"/>
              </w:rPr>
              <w:t>为</w:t>
            </w:r>
            <w:r>
              <w:rPr>
                <w:rFonts w:hint="eastAsia" w:ascii="宋体" w:hAnsi="宋体"/>
              </w:rPr>
              <w:t>驻场人员</w:t>
            </w:r>
            <w:r>
              <w:rPr>
                <w:rFonts w:ascii="宋体" w:hAnsi="宋体"/>
              </w:rPr>
              <w:t>在距离投标文件递交截止时间前</w:t>
            </w:r>
            <w:r>
              <w:rPr>
                <w:rFonts w:hint="eastAsia" w:ascii="宋体" w:hAnsi="宋体"/>
              </w:rPr>
              <w:t>1年内</w:t>
            </w:r>
            <w:r>
              <w:rPr>
                <w:rFonts w:ascii="宋体" w:hAnsi="宋体"/>
              </w:rPr>
              <w:t>任意一个月缴纳社保的证明文件</w:t>
            </w:r>
            <w:r>
              <w:rPr>
                <w:rFonts w:hint="eastAsia" w:ascii="宋体" w:hAnsi="宋体"/>
              </w:rPr>
              <w:t>，不提供该项不得分。</w:t>
            </w:r>
          </w:p>
        </w:tc>
        <w:tc>
          <w:tcPr>
            <w:tcW w:w="764" w:type="dxa"/>
            <w:vAlign w:val="center"/>
          </w:tcPr>
          <w:p>
            <w:pPr>
              <w:widowControl/>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hAnsi="宋体"/>
              </w:rPr>
              <w:t>2.4</w:t>
            </w:r>
          </w:p>
        </w:tc>
        <w:tc>
          <w:tcPr>
            <w:tcW w:w="1436" w:type="dxa"/>
            <w:vAlign w:val="center"/>
          </w:tcPr>
          <w:p>
            <w:pPr>
              <w:widowControl/>
              <w:jc w:val="center"/>
              <w:rPr>
                <w:rFonts w:hint="eastAsia" w:ascii="宋体" w:hAnsi="宋体"/>
                <w:b/>
                <w:bCs/>
              </w:rPr>
            </w:pPr>
            <w:r>
              <w:rPr>
                <w:rFonts w:hint="eastAsia" w:ascii="宋体" w:hAnsi="宋体"/>
                <w:b/>
                <w:bCs/>
              </w:rPr>
              <w:t>培训服务（2分）</w:t>
            </w:r>
          </w:p>
        </w:tc>
        <w:tc>
          <w:tcPr>
            <w:tcW w:w="6337" w:type="dxa"/>
            <w:vAlign w:val="center"/>
          </w:tcPr>
          <w:p>
            <w:pPr>
              <w:widowControl/>
              <w:ind w:firstLine="422" w:firstLineChars="200"/>
              <w:rPr>
                <w:rFonts w:hint="eastAsia" w:ascii="宋体" w:hAnsi="宋体"/>
                <w:b/>
                <w:bCs/>
              </w:rPr>
            </w:pPr>
            <w:r>
              <w:rPr>
                <w:rFonts w:hint="eastAsia" w:ascii="宋体" w:hAnsi="宋体"/>
                <w:b/>
                <w:bCs/>
              </w:rPr>
              <w:t>投标人提供培训方案，对培训次数、时间、人数等任一优于项目需求的，得2分；符合项目需求得1分；不符合项目需求不得分。</w:t>
            </w:r>
          </w:p>
        </w:tc>
        <w:tc>
          <w:tcPr>
            <w:tcW w:w="764" w:type="dxa"/>
            <w:vAlign w:val="center"/>
          </w:tcPr>
          <w:p>
            <w:pPr>
              <w:widowControl/>
              <w:jc w:val="center"/>
              <w:rPr>
                <w:rFonts w:hint="eastAsia" w:ascii="宋体" w:hAnsi="宋体"/>
              </w:rP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7" w:type="dxa"/>
            <w:gridSpan w:val="4"/>
            <w:vAlign w:val="center"/>
          </w:tcPr>
          <w:p>
            <w:pPr>
              <w:widowControl/>
              <w:jc w:val="center"/>
              <w:rPr>
                <w:rFonts w:hint="eastAsia" w:ascii="宋体" w:hAnsi="宋体"/>
                <w:b/>
                <w:bCs/>
              </w:rPr>
            </w:pPr>
            <w:r>
              <w:rPr>
                <w:rFonts w:hint="eastAsia" w:ascii="宋体" w:hAnsi="宋体"/>
                <w:b/>
                <w:bCs/>
              </w:rPr>
              <w:t>（三）分项运维服务响应（43分）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bookmarkStart w:id="228" w:name="OLE_LINK11" w:colFirst="2" w:colLast="2"/>
            <w:r>
              <w:rPr>
                <w:rFonts w:hint="eastAsia" w:ascii="宋体" w:cs="宋体"/>
                <w:szCs w:val="21"/>
                <w:lang w:val="zh-CN"/>
              </w:rPr>
              <w:t>3.1</w:t>
            </w:r>
          </w:p>
        </w:tc>
        <w:tc>
          <w:tcPr>
            <w:tcW w:w="1436" w:type="dxa"/>
            <w:vAlign w:val="center"/>
          </w:tcPr>
          <w:p>
            <w:pPr>
              <w:widowControl/>
              <w:jc w:val="center"/>
              <w:rPr>
                <w:rFonts w:hint="eastAsia" w:ascii="宋体" w:hAnsi="宋体"/>
              </w:rPr>
            </w:pPr>
            <w:r>
              <w:rPr>
                <w:rFonts w:hint="eastAsia" w:ascii="宋体" w:cs="宋体"/>
                <w:szCs w:val="21"/>
                <w:lang w:val="zh-CN"/>
              </w:rPr>
              <w:t>江苏省无线电管理一体化基础平台运维</w:t>
            </w:r>
            <w:r>
              <w:rPr>
                <w:rFonts w:hint="eastAsia"/>
              </w:rPr>
              <w:t>（3分）</w:t>
            </w:r>
          </w:p>
        </w:tc>
        <w:tc>
          <w:tcPr>
            <w:tcW w:w="6337" w:type="dxa"/>
            <w:vAlign w:val="center"/>
          </w:tcPr>
          <w:p>
            <w:pPr>
              <w:widowControl/>
              <w:ind w:firstLine="420" w:firstLineChars="200"/>
              <w:rPr>
                <w:rFonts w:hint="eastAsia" w:ascii="宋体" w:hAnsi="宋体"/>
              </w:rPr>
            </w:pPr>
            <w:r>
              <w:rPr>
                <w:rFonts w:hint="eastAsia" w:ascii="宋体" w:cs="宋体"/>
                <w:szCs w:val="21"/>
                <w:lang w:val="zh-CN"/>
              </w:rPr>
              <w:t>提供江苏省无线电管理一体化基础平台运维方案，对平台运维内容响应、运维频次响应等优于项目需求的，得3分；符合项目需求得2分；不符合项目需求不得分。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3.2</w:t>
            </w:r>
          </w:p>
        </w:tc>
        <w:tc>
          <w:tcPr>
            <w:tcW w:w="1436" w:type="dxa"/>
            <w:vAlign w:val="center"/>
          </w:tcPr>
          <w:p>
            <w:pPr>
              <w:widowControl/>
              <w:jc w:val="center"/>
              <w:rPr>
                <w:rFonts w:hint="eastAsia" w:ascii="宋体" w:hAnsi="宋体"/>
              </w:rPr>
            </w:pPr>
            <w:bookmarkStart w:id="229" w:name="OLE_LINK12"/>
            <w:r>
              <w:rPr>
                <w:rFonts w:hint="eastAsia" w:ascii="宋体" w:cs="宋体"/>
                <w:szCs w:val="21"/>
                <w:lang w:val="zh-CN"/>
              </w:rPr>
              <w:t>江苏省无线电超短波监测资源调配平台及监测应用系统运维</w:t>
            </w:r>
            <w:bookmarkEnd w:id="229"/>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提供江苏省无线电超短波监测资源调配平台及监测应用系统运维方案，对平台运维内容响应、运维频次响应等优于项目需求的，得3分；符合项目需求得2分；不符合项目需求不得分。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ascii="宋体" w:hAnsi="宋体"/>
              </w:rPr>
              <w:t>3</w:t>
            </w:r>
          </w:p>
        </w:tc>
      </w:tr>
      <w:bookmarkEnd w:id="2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3.3</w:t>
            </w:r>
          </w:p>
        </w:tc>
        <w:tc>
          <w:tcPr>
            <w:tcW w:w="1436" w:type="dxa"/>
            <w:vAlign w:val="center"/>
          </w:tcPr>
          <w:p>
            <w:pPr>
              <w:widowControl/>
              <w:jc w:val="center"/>
              <w:rPr>
                <w:rFonts w:hint="eastAsia" w:ascii="宋体" w:hAnsi="宋体"/>
              </w:rPr>
            </w:pPr>
            <w:r>
              <w:rPr>
                <w:rFonts w:hint="eastAsia" w:ascii="宋体" w:cs="宋体"/>
                <w:szCs w:val="21"/>
                <w:lang w:val="zh-CN"/>
              </w:rPr>
              <w:t>江苏省无线电行政执法系统运维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提供江苏省无线电行政执法系统运维方案，对平台运维内容响应、运维频次响应等优于项目需求的，得3分；符合项目需求得2分；不符合项目需求不得分。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ascii="宋体" w:hAnsi="宋体"/>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3.4</w:t>
            </w:r>
          </w:p>
        </w:tc>
        <w:tc>
          <w:tcPr>
            <w:tcW w:w="1436" w:type="dxa"/>
            <w:vAlign w:val="center"/>
          </w:tcPr>
          <w:p>
            <w:pPr>
              <w:widowControl/>
              <w:jc w:val="center"/>
              <w:rPr>
                <w:rFonts w:hint="eastAsia" w:ascii="宋体" w:hAnsi="宋体"/>
              </w:rPr>
            </w:pPr>
            <w:r>
              <w:rPr>
                <w:rFonts w:hint="eastAsia" w:ascii="宋体" w:cs="宋体"/>
                <w:szCs w:val="21"/>
                <w:lang w:val="zh-CN"/>
              </w:rPr>
              <w:t>江苏省无线电监测站协同办公系统运维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提供江苏省无线电监测站协同办公系统运维方案，对系统运维内容响应、运维频次响应等优于项目需求的，得3分；符合项目需求得2分；不符合项目需求不得分。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3.5</w:t>
            </w:r>
          </w:p>
        </w:tc>
        <w:tc>
          <w:tcPr>
            <w:tcW w:w="1436" w:type="dxa"/>
            <w:vAlign w:val="center"/>
          </w:tcPr>
          <w:p>
            <w:pPr>
              <w:widowControl/>
              <w:jc w:val="center"/>
              <w:rPr>
                <w:rFonts w:hint="eastAsia" w:ascii="宋体" w:hAnsi="宋体"/>
              </w:rPr>
            </w:pPr>
            <w:r>
              <w:rPr>
                <w:rFonts w:hint="eastAsia" w:ascii="宋体" w:cs="宋体"/>
                <w:szCs w:val="21"/>
                <w:lang w:val="zh-CN"/>
              </w:rPr>
              <w:t>江苏省无线电管理专网数据库系统运维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提供江苏省无线电管理专网数据库系统运维方案，对数据库系统运维内容响应、运维频次响应等优于项目需求的，得3分；符合项目需求得2分；不符合项目需求不得分。</w:t>
            </w:r>
            <w:bookmarkStart w:id="323" w:name="_GoBack"/>
            <w:bookmarkEnd w:id="323"/>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3.6</w:t>
            </w:r>
          </w:p>
        </w:tc>
        <w:tc>
          <w:tcPr>
            <w:tcW w:w="1436" w:type="dxa"/>
            <w:vAlign w:val="center"/>
          </w:tcPr>
          <w:p>
            <w:pPr>
              <w:widowControl/>
              <w:jc w:val="center"/>
              <w:rPr>
                <w:rFonts w:hint="eastAsia" w:ascii="宋体" w:hAnsi="宋体"/>
              </w:rPr>
            </w:pPr>
            <w:r>
              <w:rPr>
                <w:rFonts w:hint="eastAsia" w:ascii="宋体" w:cs="宋体"/>
                <w:szCs w:val="21"/>
                <w:lang w:val="zh-CN"/>
              </w:rPr>
              <w:t>江苏省无线电管理专网网络设备运维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提供江苏省无线电管理专网网络设备运维方案，对网络设备运维内容响应、运维频次响应等优于项目需求的，得3分；符合项目需求得2分；不符合项目需求不得分。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3.7</w:t>
            </w:r>
          </w:p>
        </w:tc>
        <w:tc>
          <w:tcPr>
            <w:tcW w:w="1436" w:type="dxa"/>
            <w:vAlign w:val="center"/>
          </w:tcPr>
          <w:p>
            <w:pPr>
              <w:widowControl/>
              <w:jc w:val="center"/>
              <w:rPr>
                <w:rFonts w:hint="eastAsia" w:ascii="宋体" w:hAnsi="宋体"/>
              </w:rPr>
            </w:pPr>
            <w:r>
              <w:rPr>
                <w:rFonts w:hint="eastAsia" w:ascii="宋体" w:cs="宋体"/>
                <w:szCs w:val="21"/>
                <w:lang w:val="zh-CN"/>
              </w:rPr>
              <w:t>江苏省无线电管理专网服务器系统运维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提供江苏省无线电管理专网服务器系统运维方案，对服务器系统运维内容响应、运维频次响应等优于项目需求的，得3分；符合项目需求得2分；不符合项目需求不得分。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3.8</w:t>
            </w:r>
          </w:p>
        </w:tc>
        <w:tc>
          <w:tcPr>
            <w:tcW w:w="1436" w:type="dxa"/>
            <w:vAlign w:val="center"/>
          </w:tcPr>
          <w:p>
            <w:pPr>
              <w:widowControl/>
              <w:jc w:val="center"/>
              <w:rPr>
                <w:rFonts w:hint="eastAsia" w:ascii="宋体" w:hAnsi="宋体"/>
              </w:rPr>
            </w:pPr>
            <w:r>
              <w:rPr>
                <w:rFonts w:hint="eastAsia" w:ascii="宋体" w:cs="宋体"/>
                <w:szCs w:val="21"/>
                <w:lang w:val="zh-CN"/>
              </w:rPr>
              <w:t>江苏省无线电管理专网安全设备运维及服务</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提供江苏省无线电管理专网安全设备运维及服务方案，对安全设备运维内容响应、运维频次响应等优于项目需求的，得3分；符合项目需求得2分；不符合项目需求不得分。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3.9</w:t>
            </w:r>
          </w:p>
        </w:tc>
        <w:tc>
          <w:tcPr>
            <w:tcW w:w="1436" w:type="dxa"/>
            <w:vAlign w:val="center"/>
          </w:tcPr>
          <w:p>
            <w:pPr>
              <w:widowControl/>
              <w:jc w:val="center"/>
              <w:rPr>
                <w:rFonts w:hint="eastAsia" w:ascii="宋体" w:hAnsi="宋体"/>
              </w:rPr>
            </w:pPr>
            <w:r>
              <w:rPr>
                <w:rFonts w:hint="eastAsia" w:ascii="宋体" w:cs="宋体"/>
                <w:szCs w:val="21"/>
                <w:lang w:val="zh-CN"/>
              </w:rPr>
              <w:t>江苏省无线电监测站信息网络机房运维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rPr>
            </w:pPr>
            <w:r>
              <w:rPr>
                <w:rFonts w:hint="eastAsia" w:ascii="宋体" w:cs="宋体"/>
                <w:szCs w:val="21"/>
                <w:lang w:val="zh-CN"/>
              </w:rPr>
              <w:t>提供江苏省无线电监测站信息网络机房运维方案，对机房运维内容响应、运维频次响应等优于项目需求的，得3分；符合项目需求得2分；不符合项目需求不得分。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0" w:type="dxa"/>
            <w:vAlign w:val="center"/>
          </w:tcPr>
          <w:p>
            <w:pPr>
              <w:widowControl/>
              <w:jc w:val="center"/>
              <w:rPr>
                <w:rFonts w:hint="eastAsia" w:ascii="宋体" w:hAnsi="宋体"/>
              </w:rPr>
            </w:pPr>
            <w:r>
              <w:rPr>
                <w:rFonts w:hint="eastAsia" w:ascii="宋体" w:cs="宋体"/>
                <w:szCs w:val="21"/>
                <w:lang w:val="zh-CN"/>
              </w:rPr>
              <w:t>3.10</w:t>
            </w:r>
          </w:p>
        </w:tc>
        <w:tc>
          <w:tcPr>
            <w:tcW w:w="1436" w:type="dxa"/>
            <w:vAlign w:val="center"/>
          </w:tcPr>
          <w:p>
            <w:pPr>
              <w:widowControl/>
              <w:rPr>
                <w:rFonts w:hint="eastAsia" w:ascii="宋体" w:hAnsi="宋体"/>
              </w:rPr>
            </w:pPr>
            <w:r>
              <w:rPr>
                <w:rFonts w:hint="eastAsia" w:ascii="宋体" w:cs="宋体"/>
                <w:szCs w:val="21"/>
                <w:lang w:val="zh-CN"/>
              </w:rPr>
              <w:t>江苏省无线电监测指挥中心大屏会议系统运维</w:t>
            </w:r>
            <w:r>
              <w:rPr>
                <w:rFonts w:hint="eastAsia"/>
              </w:rPr>
              <w:t>（3分）</w:t>
            </w:r>
          </w:p>
        </w:tc>
        <w:tc>
          <w:tcPr>
            <w:tcW w:w="6337" w:type="dxa"/>
            <w:vAlign w:val="center"/>
          </w:tcPr>
          <w:p>
            <w:pPr>
              <w:spacing w:before="120" w:after="120" w:line="0" w:lineRule="atLeast"/>
              <w:ind w:firstLine="420" w:firstLineChars="200"/>
              <w:jc w:val="left"/>
              <w:rPr>
                <w:rFonts w:hint="eastAsia" w:ascii="宋体" w:hAnsi="宋体" w:cs="宋体"/>
                <w:sz w:val="24"/>
              </w:rPr>
            </w:pPr>
            <w:r>
              <w:rPr>
                <w:rFonts w:hint="eastAsia" w:ascii="宋体" w:cs="宋体"/>
                <w:szCs w:val="21"/>
                <w:lang w:val="zh-CN"/>
              </w:rPr>
              <w:t>提供江苏省无线电监测指挥中心大屏会议系统运维方案，对大屏会议系统运维内容响应、运维频次响应等优于项目需求的，得3分；符合项目需求得2分；不符合项目需求不得分。</w:t>
            </w:r>
          </w:p>
        </w:tc>
        <w:tc>
          <w:tcPr>
            <w:tcW w:w="764" w:type="dxa"/>
            <w:vAlign w:val="center"/>
          </w:tcPr>
          <w:p>
            <w:pPr>
              <w:widowControl/>
              <w:jc w:val="center"/>
              <w:rPr>
                <w:rFonts w:hint="eastAsia" w:ascii="宋体" w:hAnsi="宋体"/>
              </w:rP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160" w:type="dxa"/>
            <w:vMerge w:val="restart"/>
            <w:vAlign w:val="center"/>
          </w:tcPr>
          <w:p>
            <w:pPr>
              <w:widowControl/>
              <w:jc w:val="center"/>
              <w:rPr>
                <w:rFonts w:hint="eastAsia" w:ascii="宋体" w:hAnsi="宋体"/>
              </w:rPr>
            </w:pPr>
            <w:r>
              <w:rPr>
                <w:rFonts w:hint="eastAsia" w:ascii="宋体" w:cs="宋体"/>
                <w:szCs w:val="21"/>
                <w:lang w:val="zh-CN"/>
              </w:rPr>
              <w:t>3.11</w:t>
            </w:r>
          </w:p>
        </w:tc>
        <w:tc>
          <w:tcPr>
            <w:tcW w:w="1436" w:type="dxa"/>
            <w:vAlign w:val="center"/>
          </w:tcPr>
          <w:p>
            <w:pPr>
              <w:widowControl/>
              <w:rPr>
                <w:rFonts w:ascii="宋体" w:cs="宋体"/>
                <w:szCs w:val="21"/>
              </w:rPr>
            </w:pPr>
            <w:r>
              <w:rPr>
                <w:rFonts w:hint="eastAsia" w:ascii="宋体" w:cs="宋体"/>
                <w:szCs w:val="21"/>
                <w:lang w:val="zh-CN"/>
              </w:rPr>
              <w:t>其他需求内容</w:t>
            </w:r>
            <w:r>
              <w:rPr>
                <w:rFonts w:hint="eastAsia" w:ascii="宋体" w:cs="宋体"/>
                <w:szCs w:val="21"/>
              </w:rPr>
              <w:t>1</w:t>
            </w:r>
          </w:p>
          <w:p>
            <w:pPr>
              <w:widowControl/>
              <w:rPr>
                <w:rFonts w:hint="eastAsia" w:ascii="宋体" w:hAnsi="宋体"/>
              </w:rPr>
            </w:pPr>
            <w:r>
              <w:rPr>
                <w:rFonts w:hint="eastAsia"/>
              </w:rPr>
              <w:t>（5分）</w:t>
            </w:r>
          </w:p>
        </w:tc>
        <w:tc>
          <w:tcPr>
            <w:tcW w:w="6337" w:type="dxa"/>
            <w:vAlign w:val="center"/>
          </w:tcPr>
          <w:p>
            <w:pPr>
              <w:ind w:firstLine="420" w:firstLineChars="200"/>
              <w:jc w:val="left"/>
              <w:rPr>
                <w:rFonts w:ascii="宋体" w:cs="宋体"/>
                <w:szCs w:val="21"/>
                <w:lang w:val="zh-CN"/>
              </w:rPr>
            </w:pPr>
            <w:r>
              <w:rPr>
                <w:rFonts w:hint="eastAsia" w:ascii="宋体" w:cs="宋体"/>
                <w:szCs w:val="21"/>
                <w:lang w:val="zh-CN"/>
              </w:rPr>
              <w:t>投标人提供商用密码改造服务方案，优于项目需求的且密码改造提供的设备是全新设备的（提供相关证明材料）得5分；优于项目需求的且密码改造提供的设备非全新设备的得3分；符合项目需求得2分；不符合项目需求不得分。</w:t>
            </w:r>
          </w:p>
        </w:tc>
        <w:tc>
          <w:tcPr>
            <w:tcW w:w="764" w:type="dxa"/>
            <w:vMerge w:val="restart"/>
            <w:vAlign w:val="center"/>
          </w:tcPr>
          <w:p>
            <w:pPr>
              <w:widowControl/>
              <w:jc w:val="center"/>
              <w:rPr>
                <w:rFonts w:hint="eastAsia" w:ascii="宋体" w:hAnsi="宋体"/>
              </w:rPr>
            </w:pPr>
            <w:r>
              <w:rPr>
                <w:rFonts w:hint="eastAsi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160" w:type="dxa"/>
            <w:vMerge w:val="continue"/>
            <w:vAlign w:val="center"/>
          </w:tcPr>
          <w:p>
            <w:pPr>
              <w:widowControl/>
            </w:pPr>
          </w:p>
        </w:tc>
        <w:tc>
          <w:tcPr>
            <w:tcW w:w="1436" w:type="dxa"/>
            <w:vAlign w:val="center"/>
          </w:tcPr>
          <w:p>
            <w:pPr>
              <w:widowControl/>
              <w:rPr>
                <w:rFonts w:ascii="宋体" w:cs="宋体"/>
                <w:szCs w:val="21"/>
              </w:rPr>
            </w:pPr>
            <w:r>
              <w:rPr>
                <w:rFonts w:hint="eastAsia" w:ascii="宋体" w:cs="宋体"/>
                <w:szCs w:val="21"/>
                <w:lang w:val="zh-CN"/>
              </w:rPr>
              <w:t>其他需求内容</w:t>
            </w:r>
            <w:r>
              <w:rPr>
                <w:rFonts w:hint="eastAsia" w:ascii="宋体" w:cs="宋体"/>
                <w:szCs w:val="21"/>
              </w:rPr>
              <w:t>2</w:t>
            </w:r>
          </w:p>
          <w:p>
            <w:pPr>
              <w:widowControl/>
              <w:rPr>
                <w:rFonts w:ascii="宋体" w:cs="宋体"/>
                <w:szCs w:val="21"/>
              </w:rPr>
            </w:pPr>
            <w:r>
              <w:rPr>
                <w:rFonts w:hint="eastAsia" w:ascii="宋体" w:cs="宋体"/>
                <w:szCs w:val="21"/>
                <w:lang w:val="zh-CN"/>
              </w:rPr>
              <w:t>（</w:t>
            </w:r>
            <w:r>
              <w:rPr>
                <w:rFonts w:hint="eastAsia" w:ascii="宋体" w:cs="宋体"/>
                <w:szCs w:val="21"/>
              </w:rPr>
              <w:t>4</w:t>
            </w:r>
            <w:r>
              <w:rPr>
                <w:rFonts w:hint="eastAsia" w:ascii="宋体" w:cs="宋体"/>
                <w:szCs w:val="21"/>
                <w:lang w:val="zh-CN"/>
              </w:rPr>
              <w:t>分）</w:t>
            </w:r>
          </w:p>
          <w:p>
            <w:pPr>
              <w:widowControl/>
            </w:pPr>
          </w:p>
        </w:tc>
        <w:tc>
          <w:tcPr>
            <w:tcW w:w="6337" w:type="dxa"/>
            <w:vAlign w:val="center"/>
          </w:tcPr>
          <w:p>
            <w:pPr>
              <w:ind w:firstLine="420" w:firstLineChars="200"/>
              <w:jc w:val="left"/>
            </w:pPr>
            <w:r>
              <w:rPr>
                <w:rFonts w:hint="eastAsia" w:ascii="宋体" w:cs="宋体"/>
                <w:szCs w:val="21"/>
                <w:lang w:val="zh-CN"/>
              </w:rPr>
              <w:t>投标人提供风险评估及网络安全服务方案，优于项目需求的，得</w:t>
            </w:r>
            <w:r>
              <w:rPr>
                <w:rFonts w:hint="eastAsia" w:ascii="宋体" w:cs="宋体"/>
                <w:szCs w:val="21"/>
              </w:rPr>
              <w:t>4</w:t>
            </w:r>
            <w:r>
              <w:rPr>
                <w:rFonts w:hint="eastAsia" w:ascii="宋体" w:cs="宋体"/>
                <w:szCs w:val="21"/>
                <w:lang w:val="zh-CN"/>
              </w:rPr>
              <w:t>分；符合项目需求得</w:t>
            </w:r>
            <w:r>
              <w:rPr>
                <w:rFonts w:hint="eastAsia" w:ascii="宋体" w:cs="宋体"/>
                <w:szCs w:val="21"/>
              </w:rPr>
              <w:t>2</w:t>
            </w:r>
            <w:r>
              <w:rPr>
                <w:rFonts w:hint="eastAsia" w:ascii="宋体" w:cs="宋体"/>
                <w:szCs w:val="21"/>
                <w:lang w:val="zh-CN"/>
              </w:rPr>
              <w:t>分；不符合项目需求不得分。</w:t>
            </w:r>
          </w:p>
        </w:tc>
        <w:tc>
          <w:tcPr>
            <w:tcW w:w="764" w:type="dxa"/>
            <w:vMerge w:val="continue"/>
            <w:vAlign w:val="center"/>
          </w:tcPr>
          <w:p>
            <w:pPr>
              <w:widowControl/>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160" w:type="dxa"/>
            <w:vMerge w:val="continue"/>
            <w:vAlign w:val="center"/>
          </w:tcPr>
          <w:p>
            <w:pPr>
              <w:widowControl/>
            </w:pPr>
          </w:p>
        </w:tc>
        <w:tc>
          <w:tcPr>
            <w:tcW w:w="1436" w:type="dxa"/>
            <w:vAlign w:val="center"/>
          </w:tcPr>
          <w:p>
            <w:pPr>
              <w:widowControl/>
              <w:rPr>
                <w:rFonts w:ascii="宋体" w:cs="宋体"/>
                <w:szCs w:val="21"/>
              </w:rPr>
            </w:pPr>
            <w:r>
              <w:rPr>
                <w:rFonts w:hint="eastAsia" w:ascii="宋体" w:cs="宋体"/>
                <w:szCs w:val="21"/>
                <w:lang w:val="zh-CN"/>
              </w:rPr>
              <w:t>其他需求内容</w:t>
            </w:r>
            <w:r>
              <w:rPr>
                <w:rFonts w:hint="eastAsia" w:ascii="宋体" w:cs="宋体"/>
                <w:szCs w:val="21"/>
              </w:rPr>
              <w:t>3</w:t>
            </w:r>
          </w:p>
          <w:p>
            <w:pPr>
              <w:widowControl/>
            </w:pPr>
            <w:r>
              <w:rPr>
                <w:rFonts w:hint="eastAsia" w:ascii="宋体" w:cs="宋体"/>
                <w:szCs w:val="21"/>
                <w:lang w:val="zh-CN"/>
              </w:rPr>
              <w:t>（</w:t>
            </w:r>
            <w:r>
              <w:rPr>
                <w:rFonts w:hint="eastAsia" w:ascii="宋体" w:cs="宋体"/>
                <w:szCs w:val="21"/>
              </w:rPr>
              <w:t>4</w:t>
            </w:r>
            <w:r>
              <w:rPr>
                <w:rFonts w:hint="eastAsia" w:ascii="宋体" w:cs="宋体"/>
                <w:szCs w:val="21"/>
                <w:lang w:val="zh-CN"/>
              </w:rPr>
              <w:t>分）</w:t>
            </w:r>
          </w:p>
        </w:tc>
        <w:tc>
          <w:tcPr>
            <w:tcW w:w="6337" w:type="dxa"/>
            <w:vAlign w:val="center"/>
          </w:tcPr>
          <w:p>
            <w:pPr>
              <w:widowControl/>
            </w:pPr>
            <w:r>
              <w:rPr>
                <w:rFonts w:hint="eastAsia" w:ascii="宋体" w:cs="宋体"/>
                <w:szCs w:val="21"/>
                <w:lang w:val="zh-CN"/>
              </w:rPr>
              <w:t>投标人提供机房PDU及消防系统升级改造方案，优于项目需求的，得</w:t>
            </w:r>
            <w:r>
              <w:rPr>
                <w:rFonts w:hint="eastAsia" w:ascii="宋体" w:cs="宋体"/>
                <w:szCs w:val="21"/>
              </w:rPr>
              <w:t>4</w:t>
            </w:r>
            <w:r>
              <w:rPr>
                <w:rFonts w:hint="eastAsia" w:ascii="宋体" w:cs="宋体"/>
                <w:szCs w:val="21"/>
                <w:lang w:val="zh-CN"/>
              </w:rPr>
              <w:t>分；符合项目需求得</w:t>
            </w:r>
            <w:r>
              <w:rPr>
                <w:rFonts w:hint="eastAsia" w:ascii="宋体" w:cs="宋体"/>
                <w:szCs w:val="21"/>
              </w:rPr>
              <w:t>2</w:t>
            </w:r>
            <w:r>
              <w:rPr>
                <w:rFonts w:hint="eastAsia" w:ascii="宋体" w:cs="宋体"/>
                <w:szCs w:val="21"/>
                <w:lang w:val="zh-CN"/>
              </w:rPr>
              <w:t>分；不符合项目需求不得分。</w:t>
            </w:r>
          </w:p>
        </w:tc>
        <w:tc>
          <w:tcPr>
            <w:tcW w:w="764" w:type="dxa"/>
            <w:vMerge w:val="continue"/>
            <w:vAlign w:val="center"/>
          </w:tcPr>
          <w:p>
            <w:pPr>
              <w:widowControl/>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933" w:type="dxa"/>
            <w:gridSpan w:val="3"/>
            <w:vAlign w:val="center"/>
          </w:tcPr>
          <w:p>
            <w:pPr>
              <w:widowControl/>
              <w:jc w:val="center"/>
              <w:rPr>
                <w:rFonts w:hint="eastAsia" w:ascii="宋体" w:hAnsi="宋体"/>
              </w:rPr>
            </w:pPr>
            <w:r>
              <w:rPr>
                <w:rFonts w:hint="eastAsia" w:ascii="宋体" w:hAnsi="宋体"/>
              </w:rPr>
              <w:t>合计</w:t>
            </w:r>
          </w:p>
        </w:tc>
        <w:tc>
          <w:tcPr>
            <w:tcW w:w="764" w:type="dxa"/>
            <w:vAlign w:val="center"/>
          </w:tcPr>
          <w:p>
            <w:pPr>
              <w:widowControl/>
              <w:jc w:val="center"/>
              <w:rPr>
                <w:rFonts w:hint="eastAsia" w:ascii="宋体" w:hAnsi="宋体"/>
              </w:rPr>
            </w:pPr>
            <w:r>
              <w:rPr>
                <w:rFonts w:ascii="宋体" w:hAnsi="宋体"/>
              </w:rPr>
              <w:t>100</w:t>
            </w:r>
          </w:p>
        </w:tc>
      </w:tr>
    </w:tbl>
    <w:p>
      <w:pPr>
        <w:spacing w:line="360" w:lineRule="auto"/>
      </w:pPr>
    </w:p>
    <w:p>
      <w:pPr>
        <w:spacing w:line="440" w:lineRule="exact"/>
        <w:rPr>
          <w:rFonts w:ascii="Arial" w:hAnsi="Arial" w:cs="Arial"/>
          <w:szCs w:val="21"/>
        </w:rPr>
        <w:sectPr>
          <w:footerReference r:id="rId10" w:type="default"/>
          <w:pgSz w:w="11906" w:h="16838"/>
          <w:pgMar w:top="1134" w:right="1134" w:bottom="1134" w:left="1134" w:header="851" w:footer="992" w:gutter="0"/>
          <w:cols w:space="720" w:num="1"/>
          <w:titlePg/>
          <w:docGrid w:linePitch="360" w:charSpace="0"/>
        </w:sectPr>
      </w:pPr>
      <w:r>
        <w:rPr>
          <w:b/>
          <w:bCs/>
          <w:szCs w:val="21"/>
        </w:rPr>
        <w:t>注：</w:t>
      </w:r>
      <w:r>
        <w:rPr>
          <w:b/>
        </w:rPr>
        <w:t>评审标准中涉及的</w:t>
      </w:r>
      <w:r>
        <w:rPr>
          <w:b/>
          <w:bCs/>
          <w:szCs w:val="21"/>
        </w:rPr>
        <w:t>证明材料均需附入</w:t>
      </w:r>
      <w:r>
        <w:rPr>
          <w:rFonts w:hint="eastAsia"/>
          <w:b/>
          <w:bCs/>
          <w:szCs w:val="21"/>
        </w:rPr>
        <w:t>响应</w:t>
      </w:r>
      <w:r>
        <w:rPr>
          <w:b/>
          <w:bCs/>
          <w:szCs w:val="21"/>
        </w:rPr>
        <w:t>文件内</w:t>
      </w:r>
      <w:r>
        <w:rPr>
          <w:b/>
        </w:rPr>
        <w:t>。</w:t>
      </w:r>
    </w:p>
    <w:p>
      <w:pPr>
        <w:spacing w:line="440" w:lineRule="exact"/>
        <w:jc w:val="center"/>
        <w:outlineLvl w:val="0"/>
        <w:rPr>
          <w:rFonts w:hint="eastAsia" w:ascii="宋体" w:hAnsi="宋体" w:cs="宋体"/>
          <w:b/>
          <w:sz w:val="28"/>
          <w:szCs w:val="28"/>
        </w:rPr>
      </w:pPr>
      <w:bookmarkStart w:id="230" w:name="_Toc17249"/>
      <w:r>
        <w:rPr>
          <w:rFonts w:hint="eastAsia" w:ascii="宋体" w:hAnsi="宋体" w:cs="宋体"/>
          <w:b/>
          <w:sz w:val="28"/>
          <w:szCs w:val="28"/>
        </w:rPr>
        <w:t>第四章 采购技术规格及要求</w:t>
      </w:r>
      <w:bookmarkEnd w:id="230"/>
      <w:bookmarkStart w:id="231" w:name="_Toc12474"/>
      <w:bookmarkStart w:id="232" w:name="_Toc11349"/>
    </w:p>
    <w:bookmarkEnd w:id="231"/>
    <w:bookmarkEnd w:id="232"/>
    <w:p>
      <w:pPr>
        <w:spacing w:line="240" w:lineRule="atLeast"/>
        <w:ind w:firstLine="482"/>
        <w:rPr>
          <w:rFonts w:ascii="宋体" w:cs="宋体"/>
          <w:b/>
          <w:bCs/>
          <w:sz w:val="24"/>
          <w:szCs w:val="24"/>
          <w:lang w:val="zh-CN"/>
        </w:rPr>
      </w:pPr>
      <w:bookmarkStart w:id="233" w:name="_Toc229703041"/>
      <w:r>
        <w:rPr>
          <w:rFonts w:hint="eastAsia" w:ascii="宋体" w:cs="宋体"/>
          <w:b/>
          <w:bCs/>
          <w:sz w:val="24"/>
          <w:szCs w:val="24"/>
          <w:lang w:val="zh-CN"/>
        </w:rPr>
        <w:t>一、采购标的清单</w:t>
      </w:r>
    </w:p>
    <w:tbl>
      <w:tblPr>
        <w:tblStyle w:val="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1381"/>
        <w:gridCol w:w="3291"/>
        <w:gridCol w:w="28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1" w:hRule="atLeast"/>
          <w:jc w:val="center"/>
        </w:trPr>
        <w:tc>
          <w:tcPr>
            <w:tcW w:w="1381" w:type="dxa"/>
            <w:shd w:val="clear" w:color="000000" w:fill="auto"/>
            <w:vAlign w:val="center"/>
          </w:tcPr>
          <w:p>
            <w:pPr>
              <w:spacing w:line="240" w:lineRule="atLeast"/>
              <w:jc w:val="center"/>
              <w:rPr>
                <w:rFonts w:ascii="宋体" w:cs="宋体"/>
                <w:sz w:val="22"/>
                <w:lang w:val="zh-CN"/>
              </w:rPr>
            </w:pPr>
            <w:r>
              <w:rPr>
                <w:rFonts w:hint="eastAsia" w:ascii="宋体" w:cs="宋体"/>
                <w:sz w:val="24"/>
                <w:szCs w:val="24"/>
                <w:lang w:val="zh-CN"/>
              </w:rPr>
              <w:t>分包</w:t>
            </w:r>
          </w:p>
        </w:tc>
        <w:tc>
          <w:tcPr>
            <w:tcW w:w="3291" w:type="dxa"/>
            <w:shd w:val="clear" w:color="000000" w:fill="auto"/>
            <w:vAlign w:val="center"/>
          </w:tcPr>
          <w:p>
            <w:pPr>
              <w:spacing w:line="240" w:lineRule="atLeast"/>
              <w:jc w:val="center"/>
              <w:rPr>
                <w:rFonts w:ascii="宋体" w:cs="宋体"/>
                <w:sz w:val="22"/>
                <w:lang w:val="zh-CN"/>
              </w:rPr>
            </w:pPr>
            <w:r>
              <w:rPr>
                <w:rFonts w:hint="eastAsia" w:ascii="宋体" w:cs="宋体"/>
                <w:sz w:val="24"/>
                <w:szCs w:val="24"/>
                <w:lang w:val="zh-CN"/>
              </w:rPr>
              <w:t>采购标的</w:t>
            </w:r>
          </w:p>
        </w:tc>
        <w:tc>
          <w:tcPr>
            <w:tcW w:w="2852" w:type="dxa"/>
            <w:shd w:val="clear" w:color="000000" w:fill="auto"/>
            <w:vAlign w:val="center"/>
          </w:tcPr>
          <w:p>
            <w:pPr>
              <w:spacing w:line="240" w:lineRule="atLeast"/>
              <w:jc w:val="center"/>
              <w:rPr>
                <w:rFonts w:ascii="宋体" w:cs="宋体"/>
                <w:sz w:val="22"/>
                <w:lang w:val="zh-CN"/>
              </w:rPr>
            </w:pPr>
            <w:r>
              <w:rPr>
                <w:rFonts w:hint="eastAsia" w:ascii="宋体" w:cs="宋体"/>
                <w:sz w:val="24"/>
                <w:szCs w:val="24"/>
                <w:lang w:val="zh-CN"/>
              </w:rPr>
              <w:t>对应中小企业划分标准所属行业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91" w:hRule="atLeast"/>
          <w:jc w:val="center"/>
        </w:trPr>
        <w:tc>
          <w:tcPr>
            <w:tcW w:w="1381" w:type="dxa"/>
            <w:shd w:val="clear" w:color="000000" w:fill="auto"/>
            <w:vAlign w:val="center"/>
          </w:tcPr>
          <w:p>
            <w:pPr>
              <w:spacing w:line="240" w:lineRule="atLeast"/>
              <w:jc w:val="center"/>
              <w:rPr>
                <w:rFonts w:ascii="宋体" w:cs="宋体"/>
                <w:sz w:val="22"/>
                <w:lang w:val="zh-CN"/>
              </w:rPr>
            </w:pPr>
            <w:r>
              <w:rPr>
                <w:rFonts w:ascii="宋体" w:cs="宋体"/>
                <w:sz w:val="24"/>
                <w:szCs w:val="24"/>
                <w:lang w:val="zh-CN"/>
              </w:rPr>
              <w:t>1</w:t>
            </w:r>
          </w:p>
        </w:tc>
        <w:tc>
          <w:tcPr>
            <w:tcW w:w="3291" w:type="dxa"/>
            <w:shd w:val="clear" w:color="000000" w:fill="auto"/>
            <w:vAlign w:val="center"/>
          </w:tcPr>
          <w:p>
            <w:pPr>
              <w:rPr>
                <w:rFonts w:ascii="宋体" w:cs="宋体"/>
                <w:sz w:val="22"/>
                <w:lang w:val="zh-CN"/>
              </w:rPr>
            </w:pPr>
            <w:r>
              <w:rPr>
                <w:rFonts w:hint="eastAsia" w:ascii="宋体" w:cs="宋体"/>
                <w:sz w:val="24"/>
                <w:szCs w:val="24"/>
                <w:lang w:val="zh-CN"/>
              </w:rPr>
              <w:t>江苏省无线电监测站2026-2027年无线电管理信息专网设备和系统运维服务</w:t>
            </w:r>
          </w:p>
        </w:tc>
        <w:tc>
          <w:tcPr>
            <w:tcW w:w="2852" w:type="dxa"/>
            <w:shd w:val="clear" w:color="000000" w:fill="auto"/>
            <w:vAlign w:val="center"/>
          </w:tcPr>
          <w:p>
            <w:pPr>
              <w:spacing w:line="560" w:lineRule="atLeast"/>
              <w:rPr>
                <w:rFonts w:ascii="宋体" w:cs="宋体"/>
                <w:sz w:val="22"/>
                <w:lang w:val="zh-CN"/>
              </w:rPr>
            </w:pPr>
            <w:r>
              <w:fldChar w:fldCharType="begin"/>
            </w:r>
            <w:r>
              <w:instrText xml:space="preserve"> HYPERLINK "https://baike.baidu.com/item/%E8%BD%AF%E4%BB%B6%E5%92%8C%E4%BF%A1%E6%81%AF%E6%8A%80%E6%9C%AF%E6%9C%8D%E5%8A%A1%E4%B8%9A/60200450?fromModule=lemma_inlink" </w:instrText>
            </w:r>
            <w:r>
              <w:fldChar w:fldCharType="separate"/>
            </w:r>
            <w:r>
              <w:rPr>
                <w:rFonts w:hint="eastAsia" w:ascii="宋体" w:cs="宋体"/>
                <w:sz w:val="24"/>
                <w:szCs w:val="24"/>
                <w:lang w:val="zh-CN"/>
              </w:rPr>
              <w:t>软件和信息技术服务业</w:t>
            </w:r>
            <w:r>
              <w:rPr>
                <w:rFonts w:hint="eastAsia" w:ascii="宋体" w:cs="宋体"/>
                <w:sz w:val="24"/>
                <w:szCs w:val="24"/>
                <w:lang w:val="zh-CN"/>
              </w:rPr>
              <w:fldChar w:fldCharType="end"/>
            </w:r>
          </w:p>
        </w:tc>
      </w:tr>
    </w:tbl>
    <w:p>
      <w:pPr>
        <w:spacing w:line="520" w:lineRule="exact"/>
        <w:ind w:firstLine="482"/>
        <w:rPr>
          <w:rFonts w:ascii="宋体" w:cs="宋体"/>
          <w:b/>
          <w:bCs/>
          <w:sz w:val="24"/>
          <w:szCs w:val="24"/>
          <w:lang w:val="zh-CN"/>
        </w:rPr>
      </w:pPr>
      <w:r>
        <w:rPr>
          <w:rFonts w:hint="eastAsia" w:ascii="宋体" w:cs="宋体"/>
          <w:b/>
          <w:bCs/>
          <w:sz w:val="24"/>
          <w:szCs w:val="24"/>
          <w:lang w:val="zh-CN"/>
        </w:rPr>
        <w:t>二、项目背景介绍</w:t>
      </w:r>
    </w:p>
    <w:p>
      <w:pPr>
        <w:spacing w:line="520" w:lineRule="exact"/>
        <w:ind w:firstLine="482"/>
        <w:rPr>
          <w:rFonts w:cs="Calibri"/>
          <w:b/>
          <w:bCs/>
          <w:sz w:val="24"/>
          <w:szCs w:val="24"/>
        </w:rPr>
      </w:pPr>
      <w:r>
        <w:rPr>
          <w:rFonts w:hint="eastAsia" w:ascii="宋体" w:cs="宋体"/>
          <w:sz w:val="24"/>
          <w:szCs w:val="24"/>
          <w:lang w:val="zh-CN"/>
        </w:rPr>
        <w:t>江苏省无线电管理专网为典型星型组网结构，整个网络结构分为国家无线电监测中心、国家区域中心、江苏省无线电监测站、各地市无线电监测站四级。</w:t>
      </w:r>
    </w:p>
    <w:p>
      <w:pPr>
        <w:spacing w:line="520" w:lineRule="exact"/>
        <w:ind w:firstLine="482"/>
        <w:rPr>
          <w:rFonts w:ascii="宋体" w:cs="宋体"/>
          <w:sz w:val="24"/>
          <w:szCs w:val="24"/>
          <w:lang w:val="zh-CN"/>
        </w:rPr>
      </w:pPr>
      <w:r>
        <w:rPr>
          <w:rFonts w:hint="eastAsia" w:ascii="宋体" w:cs="宋体"/>
          <w:sz w:val="24"/>
          <w:szCs w:val="24"/>
          <w:lang w:val="zh-CN"/>
        </w:rPr>
        <w:t>江苏省无线电管理专网主要在用的设备及系统包括：省中心主要使用星辰天合超融合服务器、</w:t>
      </w:r>
      <w:r>
        <w:rPr>
          <w:rFonts w:cs="Calibri"/>
          <w:sz w:val="24"/>
          <w:szCs w:val="24"/>
        </w:rPr>
        <w:t>HP C70000</w:t>
      </w:r>
      <w:r>
        <w:rPr>
          <w:rFonts w:hint="eastAsia" w:ascii="宋体" w:cs="宋体"/>
          <w:sz w:val="24"/>
          <w:szCs w:val="24"/>
          <w:lang w:val="zh-CN"/>
        </w:rPr>
        <w:t>刀片服务器等，地市主要使用</w:t>
      </w:r>
      <w:r>
        <w:rPr>
          <w:rFonts w:cs="Calibri"/>
          <w:sz w:val="24"/>
          <w:szCs w:val="24"/>
        </w:rPr>
        <w:t>HP380</w:t>
      </w:r>
      <w:r>
        <w:rPr>
          <w:rFonts w:hint="eastAsia" w:ascii="宋体" w:cs="宋体"/>
          <w:sz w:val="24"/>
          <w:szCs w:val="24"/>
          <w:lang w:val="zh-CN"/>
        </w:rPr>
        <w:t>、</w:t>
      </w:r>
      <w:r>
        <w:rPr>
          <w:rFonts w:cs="Calibri"/>
          <w:sz w:val="24"/>
          <w:szCs w:val="24"/>
        </w:rPr>
        <w:t>HP388</w:t>
      </w:r>
      <w:r>
        <w:rPr>
          <w:rFonts w:hint="eastAsia" w:ascii="宋体" w:cs="宋体"/>
          <w:sz w:val="24"/>
          <w:szCs w:val="24"/>
          <w:lang w:val="zh-CN"/>
        </w:rPr>
        <w:t>、</w:t>
      </w:r>
      <w:r>
        <w:rPr>
          <w:rFonts w:cs="Calibri"/>
          <w:sz w:val="24"/>
          <w:szCs w:val="24"/>
        </w:rPr>
        <w:t>HP580</w:t>
      </w:r>
      <w:r>
        <w:rPr>
          <w:rFonts w:hint="eastAsia" w:ascii="宋体" w:cs="宋体"/>
          <w:sz w:val="24"/>
          <w:szCs w:val="24"/>
          <w:lang w:val="zh-CN"/>
        </w:rPr>
        <w:t>等服务器；在省中心机房和各地市机房均部署了华三防火墙，省中心部署了堡垒机、日志审计设备、网闸、终端安全管理系统等安全设备；网络设备方面省中心采用</w:t>
      </w:r>
      <w:r>
        <w:rPr>
          <w:rFonts w:hint="eastAsia" w:cs="Calibri"/>
          <w:sz w:val="24"/>
          <w:szCs w:val="24"/>
        </w:rPr>
        <w:t>华三MSR56-60</w:t>
      </w:r>
      <w:r>
        <w:rPr>
          <w:rFonts w:hint="eastAsia" w:ascii="宋体" w:cs="宋体"/>
          <w:sz w:val="24"/>
          <w:szCs w:val="24"/>
          <w:lang w:val="zh-CN"/>
        </w:rPr>
        <w:t>上联国家区域中心，采用华三S7503作为各市广域网接入交换设备，各市采用了华三S5130既作为广域网设备连接省中心，同时也作为局域网设备连接终端；在应用系统方面，涉及的主要应用为无线电管理一体化基础平台、协同办公系统、超短波监测资源调配平台及监测应用系统、无线电频率台站系统、无线电行政执法系统等。</w:t>
      </w:r>
    </w:p>
    <w:p>
      <w:pPr>
        <w:spacing w:line="520" w:lineRule="exact"/>
        <w:ind w:firstLine="482"/>
        <w:rPr>
          <w:rFonts w:ascii="宋体" w:cs="宋体"/>
          <w:sz w:val="24"/>
          <w:szCs w:val="24"/>
          <w:lang w:val="zh-CN"/>
        </w:rPr>
      </w:pPr>
      <w:r>
        <w:rPr>
          <w:rFonts w:hint="eastAsia" w:ascii="宋体" w:cs="宋体"/>
          <w:sz w:val="24"/>
          <w:szCs w:val="24"/>
          <w:lang w:val="zh-CN"/>
        </w:rPr>
        <w:t>通过本项目的建设，对江苏省无线电管理专网相关网络、安全、服务器、数据库、应用系统、机房和大屏会议系统等各类设备与系统的维保、备品备件、设备巡检、系统运行状况记录、故障处理、应急演练、重要保障等提供专业的运行维护保障服务，确保我省各类无线电管理信息系统的高效、稳定、可靠运行。</w:t>
      </w:r>
    </w:p>
    <w:p>
      <w:pPr>
        <w:spacing w:line="520" w:lineRule="exact"/>
        <w:ind w:firstLine="482"/>
        <w:rPr>
          <w:rFonts w:ascii="宋体" w:cs="宋体"/>
          <w:b/>
          <w:bCs/>
          <w:sz w:val="24"/>
          <w:szCs w:val="24"/>
          <w:lang w:val="zh-CN"/>
        </w:rPr>
      </w:pPr>
      <w:r>
        <w:rPr>
          <w:rFonts w:hint="eastAsia" w:ascii="宋体" w:cs="宋体"/>
          <w:b/>
          <w:bCs/>
          <w:sz w:val="24"/>
          <w:szCs w:val="24"/>
          <w:lang w:val="zh-CN"/>
        </w:rPr>
        <w:t>三、运维服务内容</w:t>
      </w:r>
    </w:p>
    <w:p>
      <w:pPr>
        <w:spacing w:line="520" w:lineRule="exact"/>
        <w:ind w:firstLine="482"/>
        <w:rPr>
          <w:rFonts w:ascii="宋体" w:cs="宋体"/>
          <w:sz w:val="24"/>
          <w:szCs w:val="24"/>
          <w:lang w:val="zh-CN"/>
        </w:rPr>
      </w:pPr>
      <w:r>
        <w:rPr>
          <w:rFonts w:hint="eastAsia" w:ascii="宋体" w:cs="宋体"/>
          <w:sz w:val="24"/>
          <w:szCs w:val="24"/>
          <w:lang w:val="zh-CN"/>
        </w:rPr>
        <w:t>本次招标采购的服务对象及范围包括但不限于江苏省无线电监测站及省内13个地市监测站无线电管理专网相关的部分软、硬件系统。主要涉及的设备及系统包含：江苏省无线电管理一体化基础平台、江苏省无线电超短波监测资源调配平台及监测应用系统运维、江苏省无线电行政执法系统、江苏省无线电监测站协同办公系统、江苏省无线电管理专网数据库系统、江苏省无线电管理专网网络设备、江苏省无线电管理专网服务器系统、江苏省无线电管理专网安全设备、江苏省无线电监测站信息网络机房、江苏省无线电监测指挥中心大屏会议系统等。</w:t>
      </w:r>
    </w:p>
    <w:p>
      <w:pPr>
        <w:spacing w:line="520" w:lineRule="exact"/>
        <w:ind w:firstLine="482"/>
        <w:rPr>
          <w:rFonts w:ascii="宋体" w:cs="宋体"/>
          <w:sz w:val="24"/>
          <w:szCs w:val="24"/>
          <w:lang w:val="zh-CN"/>
        </w:rPr>
      </w:pPr>
      <w:r>
        <w:rPr>
          <w:rFonts w:hint="eastAsia" w:ascii="宋体" w:cs="宋体"/>
          <w:sz w:val="24"/>
          <w:szCs w:val="24"/>
          <w:lang w:val="zh-CN"/>
        </w:rPr>
        <w:t>运维主要服务包含如下内容：</w:t>
      </w:r>
    </w:p>
    <w:p>
      <w:pPr>
        <w:spacing w:line="520" w:lineRule="exact"/>
        <w:ind w:firstLine="480"/>
        <w:rPr>
          <w:rFonts w:ascii="楷体_GB2312" w:eastAsia="楷体_GB2312" w:cs="楷体_GB2312"/>
          <w:sz w:val="24"/>
          <w:szCs w:val="24"/>
          <w:lang w:val="zh-CN"/>
        </w:rPr>
      </w:pPr>
      <w:r>
        <w:rPr>
          <w:rFonts w:hint="eastAsia" w:ascii="宋体" w:cs="宋体"/>
          <w:sz w:val="24"/>
          <w:szCs w:val="24"/>
          <w:lang w:val="zh-CN"/>
        </w:rPr>
        <w:t>（1）总体运维服务：运维实施（包含运维实施方案、运维资料编制服务、运维工具服务、设备维保及备品备件服务、现场巡检服务），应急故障响应及重保服务（包含故障响应及应急处置、重要保障服务），运维团队服务（包含属地化服务、供应商实力、运维团队人员），其他服务（包含风险评估服务、资产管理服务、培训服务、新系统上线技术支持及保障服务、服务质量考核）等。</w:t>
      </w:r>
    </w:p>
    <w:p>
      <w:pPr>
        <w:spacing w:line="520" w:lineRule="exact"/>
        <w:ind w:firstLine="482"/>
        <w:rPr>
          <w:rFonts w:ascii="宋体" w:cs="宋体"/>
          <w:sz w:val="24"/>
          <w:szCs w:val="24"/>
          <w:lang w:val="zh-CN"/>
        </w:rPr>
      </w:pPr>
      <w:r>
        <w:rPr>
          <w:rFonts w:hint="eastAsia" w:ascii="宋体" w:cs="宋体"/>
          <w:sz w:val="24"/>
          <w:szCs w:val="24"/>
          <w:lang w:val="zh-CN"/>
        </w:rPr>
        <w:t>（2）具体分项运维内容：包含江苏省无线电管理一体化基础平台运维、江苏省无线电超短波监测资源调配平台及监测应用系统、江苏省无线电行政执法系统、江苏省无线电监测站协同办公系统运维、江苏省无线电管理专网数据库系统运维、江苏省无线电管理专网网络设备运维、江苏省无线电管理专网服务器系统运维、江苏省无线电管理专网安全设备运维及服务、江苏省无线电监测站信息网络机房运维、江苏省无线电监测指挥中心大屏会议系统运维等。</w:t>
      </w:r>
    </w:p>
    <w:p>
      <w:pPr>
        <w:spacing w:line="520" w:lineRule="exact"/>
        <w:ind w:firstLine="482"/>
        <w:rPr>
          <w:rFonts w:ascii="宋体" w:cs="宋体"/>
          <w:sz w:val="24"/>
          <w:szCs w:val="24"/>
          <w:lang w:val="zh-CN"/>
        </w:rPr>
      </w:pPr>
      <w:r>
        <w:rPr>
          <w:rFonts w:hint="eastAsia" w:ascii="宋体" w:cs="宋体"/>
          <w:sz w:val="24"/>
          <w:szCs w:val="24"/>
          <w:lang w:val="zh-CN"/>
        </w:rPr>
        <w:t>详细运维要求见本章节四、技术要求。</w:t>
      </w:r>
    </w:p>
    <w:p>
      <w:pPr>
        <w:spacing w:line="520" w:lineRule="exact"/>
        <w:ind w:firstLine="482"/>
        <w:rPr>
          <w:rFonts w:ascii="宋体" w:cs="宋体"/>
          <w:b/>
          <w:bCs/>
          <w:sz w:val="24"/>
          <w:szCs w:val="24"/>
          <w:lang w:val="zh-CN"/>
        </w:rPr>
      </w:pPr>
      <w:r>
        <w:rPr>
          <w:rFonts w:hint="eastAsia" w:ascii="宋体" w:cs="宋体"/>
          <w:b/>
          <w:bCs/>
          <w:sz w:val="24"/>
          <w:szCs w:val="24"/>
          <w:lang w:val="zh-CN"/>
        </w:rPr>
        <w:t>四、技术要求</w:t>
      </w:r>
    </w:p>
    <w:p>
      <w:pPr>
        <w:spacing w:line="520" w:lineRule="exact"/>
        <w:ind w:firstLine="482"/>
        <w:rPr>
          <w:rFonts w:ascii="宋体" w:cs="宋体"/>
          <w:b/>
          <w:bCs/>
          <w:sz w:val="24"/>
          <w:szCs w:val="24"/>
          <w:lang w:val="zh-CN"/>
        </w:rPr>
      </w:pPr>
      <w:r>
        <w:rPr>
          <w:rFonts w:hint="eastAsia" w:ascii="宋体" w:cs="宋体"/>
          <w:b/>
          <w:bCs/>
          <w:sz w:val="24"/>
          <w:szCs w:val="24"/>
          <w:lang w:val="zh-CN"/>
        </w:rPr>
        <w:t>（一）总体运维服务要求</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1、运维实施要求</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（1）运维实施方案</w:t>
      </w:r>
    </w:p>
    <w:p>
      <w:pPr>
        <w:spacing w:line="520" w:lineRule="exact"/>
        <w:ind w:firstLine="480"/>
        <w:rPr>
          <w:rFonts w:ascii="宋体" w:cs="宋体"/>
          <w:sz w:val="24"/>
          <w:szCs w:val="24"/>
          <w:lang w:val="zh-CN"/>
        </w:rPr>
      </w:pPr>
      <w:r>
        <w:rPr>
          <w:rFonts w:hint="eastAsia" w:ascii="宋体" w:cs="宋体"/>
          <w:sz w:val="24"/>
          <w:szCs w:val="24"/>
          <w:lang w:val="zh-CN"/>
        </w:rPr>
        <w:t>针对采购人业务技术需求，投标人应提供内容全面、具有可操作性的运维实施方案。包括但不限于现状分析、运维实施计划、运维质量管理等，所有方案必须具备实际可操作性。具体要求如下：</w:t>
      </w:r>
    </w:p>
    <w:p>
      <w:pPr>
        <w:spacing w:line="520" w:lineRule="exact"/>
        <w:ind w:firstLine="480"/>
        <w:rPr>
          <w:rFonts w:ascii="宋体" w:cs="宋体"/>
          <w:sz w:val="24"/>
          <w:szCs w:val="24"/>
          <w:lang w:val="zh-CN"/>
        </w:rPr>
      </w:pPr>
      <w:r>
        <w:rPr>
          <w:rFonts w:hint="eastAsia" w:ascii="宋体" w:hAnsi="宋体" w:cs="宋体"/>
          <w:sz w:val="24"/>
          <w:szCs w:val="24"/>
          <w:lang w:val="zh-CN"/>
        </w:rPr>
        <w:t>①</w:t>
      </w:r>
      <w:r>
        <w:rPr>
          <w:rFonts w:hint="eastAsia" w:ascii="宋体" w:cs="宋体"/>
          <w:sz w:val="24"/>
          <w:szCs w:val="24"/>
          <w:lang w:val="zh-CN"/>
        </w:rPr>
        <w:t>现状分析要充分结合江苏省无线电管理专网使用实际情况，充分理解用户需求；</w:t>
      </w:r>
    </w:p>
    <w:p>
      <w:pPr>
        <w:spacing w:line="520" w:lineRule="exact"/>
        <w:ind w:firstLine="480"/>
        <w:rPr>
          <w:rFonts w:ascii="宋体" w:cs="宋体"/>
          <w:sz w:val="24"/>
          <w:szCs w:val="24"/>
          <w:lang w:val="zh-CN"/>
        </w:rPr>
      </w:pPr>
      <w:r>
        <w:rPr>
          <w:rFonts w:hint="eastAsia" w:ascii="宋体" w:hAnsi="宋体" w:cs="宋体"/>
          <w:sz w:val="24"/>
          <w:szCs w:val="24"/>
          <w:lang w:val="zh-CN"/>
        </w:rPr>
        <w:t>②</w:t>
      </w:r>
      <w:r>
        <w:rPr>
          <w:rFonts w:hint="eastAsia" w:ascii="宋体" w:cs="宋体"/>
          <w:sz w:val="24"/>
          <w:szCs w:val="24"/>
          <w:lang w:val="zh-CN"/>
        </w:rPr>
        <w:t>提供符合现场实际的运维实施计划，包括组织架构、岗位设置和岗位职责、各阶段工作计划、完善的制度和工作流程等内容。</w:t>
      </w:r>
    </w:p>
    <w:p>
      <w:pPr>
        <w:spacing w:line="520" w:lineRule="exact"/>
        <w:ind w:firstLine="480"/>
        <w:rPr>
          <w:rFonts w:hint="eastAsia" w:ascii="宋体" w:hAnsi="宋体" w:cs="宋体"/>
          <w:sz w:val="24"/>
          <w:szCs w:val="24"/>
          <w:lang w:val="zh-CN"/>
        </w:rPr>
      </w:pPr>
      <w:r>
        <w:rPr>
          <w:rFonts w:hint="eastAsia" w:ascii="宋体" w:hAnsi="宋体" w:cs="宋体"/>
          <w:sz w:val="24"/>
          <w:szCs w:val="24"/>
          <w:lang w:val="zh-CN"/>
        </w:rPr>
        <w:t>③制定满足磋商需求的服务质量计划，包括服务质量保证措施、考核措施、持续改进措施。</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（2）运维资料编制服务</w:t>
      </w:r>
    </w:p>
    <w:p>
      <w:pPr>
        <w:spacing w:line="520" w:lineRule="exact"/>
        <w:ind w:firstLine="480"/>
        <w:rPr>
          <w:rFonts w:ascii="宋体" w:cs="宋体"/>
          <w:sz w:val="24"/>
          <w:szCs w:val="24"/>
          <w:lang w:val="zh-CN"/>
        </w:rPr>
      </w:pPr>
      <w:r>
        <w:rPr>
          <w:rFonts w:hint="eastAsia" w:ascii="宋体" w:cs="宋体"/>
          <w:sz w:val="24"/>
          <w:szCs w:val="24"/>
          <w:lang w:val="zh-CN"/>
        </w:rPr>
        <w:t>运维资料至少应包含运维手册、运维服务维护技术档案等。项目完成按照相关要求装订成册，出具总结报告。具体要求如下：</w:t>
      </w:r>
    </w:p>
    <w:p>
      <w:pPr>
        <w:spacing w:line="520" w:lineRule="exact"/>
        <w:ind w:firstLine="480"/>
        <w:rPr>
          <w:rFonts w:ascii="宋体" w:cs="宋体"/>
          <w:sz w:val="24"/>
          <w:szCs w:val="24"/>
          <w:lang w:val="zh-CN"/>
        </w:rPr>
      </w:pPr>
      <w:r>
        <w:rPr>
          <w:rFonts w:hint="eastAsia" w:ascii="宋体" w:hAnsi="宋体" w:cs="宋体"/>
          <w:sz w:val="24"/>
          <w:szCs w:val="24"/>
          <w:lang w:val="zh-CN"/>
        </w:rPr>
        <w:t>①</w:t>
      </w:r>
      <w:r>
        <w:rPr>
          <w:rFonts w:hint="eastAsia" w:ascii="宋体" w:cs="宋体"/>
          <w:sz w:val="24"/>
          <w:szCs w:val="24"/>
          <w:lang w:val="zh-CN"/>
        </w:rPr>
        <w:t>运维手册：协助使用单位对手册的维护，并提供年度流程评估、改进服务等建议；</w:t>
      </w:r>
    </w:p>
    <w:p>
      <w:pPr>
        <w:spacing w:line="520" w:lineRule="exact"/>
        <w:ind w:firstLine="480"/>
        <w:rPr>
          <w:rFonts w:cs="Calibri"/>
          <w:b/>
          <w:bCs/>
          <w:sz w:val="24"/>
          <w:szCs w:val="24"/>
        </w:rPr>
      </w:pPr>
      <w:r>
        <w:rPr>
          <w:rFonts w:hint="eastAsia" w:ascii="宋体" w:hAnsi="宋体" w:cs="宋体"/>
          <w:sz w:val="24"/>
          <w:szCs w:val="24"/>
          <w:lang w:val="zh-CN"/>
        </w:rPr>
        <w:t>②</w:t>
      </w:r>
      <w:r>
        <w:rPr>
          <w:rFonts w:hint="eastAsia" w:ascii="宋体" w:cs="宋体"/>
          <w:sz w:val="24"/>
          <w:szCs w:val="24"/>
          <w:lang w:val="zh-CN"/>
        </w:rPr>
        <w:t>运维服务维护技术档案：填写运维服务记录，做好运行维护服务过程中的所有文档的记录和归档工作，至少包括巡检维护评估报告、工作汇报、技术方案等。</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（3）运维工具服务</w:t>
      </w:r>
    </w:p>
    <w:p>
      <w:pPr>
        <w:spacing w:line="520" w:lineRule="exact"/>
        <w:ind w:firstLine="480"/>
        <w:rPr>
          <w:rFonts w:ascii="宋体" w:cs="宋体"/>
          <w:sz w:val="24"/>
          <w:szCs w:val="24"/>
          <w:lang w:val="zh-CN"/>
        </w:rPr>
      </w:pPr>
      <w:r>
        <w:rPr>
          <w:rFonts w:hint="eastAsia" w:ascii="宋体" w:cs="宋体"/>
          <w:sz w:val="24"/>
          <w:szCs w:val="24"/>
          <w:lang w:val="zh-CN"/>
        </w:rPr>
        <w:t>本项目运维服务中所需用到的工具或耗材，如运维电脑、打印机、</w:t>
      </w:r>
      <w:r>
        <w:rPr>
          <w:rFonts w:cs="Calibri"/>
          <w:sz w:val="24"/>
          <w:szCs w:val="24"/>
        </w:rPr>
        <w:t>A4</w:t>
      </w:r>
      <w:r>
        <w:rPr>
          <w:rFonts w:hint="eastAsia" w:ascii="宋体" w:cs="宋体"/>
          <w:sz w:val="24"/>
          <w:szCs w:val="24"/>
          <w:lang w:val="zh-CN"/>
        </w:rPr>
        <w:t>纸、标签机、网络测试仪、网线、远程维护工具等，应由投标人免费提供。</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（4）备品备件服务</w:t>
      </w:r>
    </w:p>
    <w:p>
      <w:pPr>
        <w:spacing w:line="520" w:lineRule="exact"/>
        <w:ind w:firstLine="480"/>
        <w:rPr>
          <w:rFonts w:ascii="宋体" w:cs="宋体"/>
          <w:sz w:val="24"/>
          <w:szCs w:val="24"/>
          <w:lang w:val="zh-CN"/>
        </w:rPr>
      </w:pPr>
      <w:r>
        <w:rPr>
          <w:rFonts w:hint="eastAsia" w:ascii="宋体" w:cs="宋体"/>
          <w:sz w:val="24"/>
          <w:szCs w:val="24"/>
          <w:lang w:val="zh-CN"/>
        </w:rPr>
        <w:t>投标人应为本项目涉及的设备及系统（具体设备及系统清单见本章节（二）具体分项运维要求）提供维保和备品备件支持服务，在最短的时间内恢复正常运行。投标人应提供 7×24小时备品备件更换服务，完整可行的设备维保和备品备件方案，在服务响应时间内解决备件更换问题, 确保提供支持的硬件设备恢复正常运行，主要要求如下：</w:t>
      </w:r>
    </w:p>
    <w:p>
      <w:pPr>
        <w:spacing w:line="520" w:lineRule="exact"/>
        <w:ind w:firstLine="480"/>
        <w:rPr>
          <w:rFonts w:ascii="宋体" w:cs="宋体"/>
          <w:sz w:val="24"/>
          <w:szCs w:val="24"/>
          <w:lang w:val="zh-CN"/>
        </w:rPr>
      </w:pPr>
      <w:r>
        <w:rPr>
          <w:rFonts w:hint="eastAsia" w:ascii="宋体" w:cs="宋体"/>
          <w:sz w:val="24"/>
          <w:szCs w:val="24"/>
          <w:lang w:val="zh-CN"/>
        </w:rPr>
        <w:t>①备品备件管理体系：投标人应具有完善的备品备件管理体系，有清晰的备件库分级、备件渠道补充、出入库管理以及具备完善的备件调拨系统。</w:t>
      </w:r>
    </w:p>
    <w:p>
      <w:pPr>
        <w:spacing w:line="520" w:lineRule="exact"/>
        <w:ind w:firstLine="480"/>
        <w:rPr>
          <w:rFonts w:ascii="宋体" w:cs="宋体"/>
          <w:sz w:val="24"/>
          <w:szCs w:val="24"/>
          <w:lang w:val="zh-CN"/>
        </w:rPr>
      </w:pPr>
      <w:r>
        <w:rPr>
          <w:rFonts w:hint="eastAsia" w:ascii="宋体" w:cs="宋体"/>
          <w:sz w:val="24"/>
          <w:szCs w:val="24"/>
          <w:lang w:val="zh-CN"/>
        </w:rPr>
        <w:t>②江苏省无线电监测站备品备件库：投标人应在江苏省无线电监测站建立备品备件库，至少应包含如下清单所列的常用备品备件，该部分备品备件存放在江苏省无线电监测站5楼设备库房，地点为南京，以方便快速、及时解决相关设备及系统硬件故障。</w:t>
      </w:r>
    </w:p>
    <w:p>
      <w:pPr>
        <w:spacing w:line="520" w:lineRule="exact"/>
        <w:ind w:firstLine="480"/>
        <w:rPr>
          <w:rFonts w:ascii="宋体" w:cs="宋体"/>
          <w:sz w:val="24"/>
          <w:szCs w:val="24"/>
          <w:lang w:val="zh-CN"/>
        </w:rPr>
      </w:pPr>
      <w:r>
        <w:rPr>
          <w:rFonts w:hint="eastAsia" w:ascii="宋体" w:cs="宋体"/>
          <w:sz w:val="24"/>
          <w:szCs w:val="24"/>
          <w:lang w:val="zh-CN"/>
        </w:rPr>
        <w:t>常用备品备件清单如下：</w:t>
      </w:r>
    </w:p>
    <w:tbl>
      <w:tblPr>
        <w:tblStyle w:val="49"/>
        <w:tblW w:w="83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992"/>
        <w:gridCol w:w="1164"/>
        <w:gridCol w:w="4657"/>
        <w:gridCol w:w="15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1" w:hRule="atLeast"/>
          <w:jc w:val="center"/>
        </w:trPr>
        <w:tc>
          <w:tcPr>
            <w:tcW w:w="992" w:type="dxa"/>
            <w:shd w:val="clear" w:color="000000" w:fill="auto"/>
            <w:vAlign w:val="center"/>
          </w:tcPr>
          <w:p>
            <w:pPr>
              <w:jc w:val="center"/>
              <w:rPr>
                <w:rFonts w:ascii="宋体" w:cs="宋体"/>
                <w:szCs w:val="21"/>
                <w:lang w:val="zh-CN"/>
              </w:rPr>
            </w:pPr>
            <w:r>
              <w:rPr>
                <w:rFonts w:hint="eastAsia" w:ascii="宋体" w:cs="宋体"/>
                <w:szCs w:val="21"/>
                <w:lang w:val="zh-CN"/>
              </w:rPr>
              <w:t>序号</w:t>
            </w:r>
          </w:p>
        </w:tc>
        <w:tc>
          <w:tcPr>
            <w:tcW w:w="1164" w:type="dxa"/>
            <w:shd w:val="clear" w:color="000000" w:fill="auto"/>
            <w:vAlign w:val="center"/>
          </w:tcPr>
          <w:p>
            <w:pPr>
              <w:jc w:val="center"/>
              <w:rPr>
                <w:rFonts w:ascii="宋体" w:cs="宋体"/>
                <w:szCs w:val="21"/>
                <w:lang w:val="zh-CN"/>
              </w:rPr>
            </w:pPr>
            <w:r>
              <w:rPr>
                <w:rFonts w:hint="eastAsia" w:ascii="宋体" w:cs="宋体"/>
                <w:szCs w:val="21"/>
                <w:lang w:val="zh-CN"/>
              </w:rPr>
              <w:t>备品备件类型</w:t>
            </w:r>
          </w:p>
        </w:tc>
        <w:tc>
          <w:tcPr>
            <w:tcW w:w="4657" w:type="dxa"/>
            <w:shd w:val="clear" w:color="000000" w:fill="auto"/>
            <w:vAlign w:val="center"/>
          </w:tcPr>
          <w:p>
            <w:pPr>
              <w:jc w:val="center"/>
              <w:rPr>
                <w:rFonts w:ascii="宋体" w:cs="宋体"/>
                <w:szCs w:val="21"/>
                <w:lang w:val="zh-CN"/>
              </w:rPr>
            </w:pPr>
            <w:r>
              <w:rPr>
                <w:rFonts w:hint="eastAsia" w:ascii="宋体" w:cs="宋体"/>
                <w:szCs w:val="21"/>
                <w:lang w:val="zh-CN"/>
              </w:rPr>
              <w:t>备品备件设备名称</w:t>
            </w:r>
          </w:p>
        </w:tc>
        <w:tc>
          <w:tcPr>
            <w:tcW w:w="1566" w:type="dxa"/>
            <w:shd w:val="clear" w:color="000000" w:fill="auto"/>
            <w:vAlign w:val="center"/>
          </w:tcPr>
          <w:p>
            <w:pPr>
              <w:jc w:val="center"/>
              <w:rPr>
                <w:rFonts w:ascii="宋体" w:cs="宋体"/>
                <w:szCs w:val="21"/>
                <w:lang w:val="zh-CN"/>
              </w:rPr>
            </w:pPr>
            <w:r>
              <w:rPr>
                <w:rFonts w:hint="eastAsia" w:ascii="宋体" w:cs="宋体"/>
                <w:szCs w:val="21"/>
                <w:lang w:val="zh-CN"/>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ascii="宋体" w:cs="宋体"/>
                <w:szCs w:val="21"/>
                <w:lang w:val="zh-CN"/>
              </w:rPr>
            </w:pPr>
            <w:r>
              <w:rPr>
                <w:rFonts w:hint="eastAsia" w:cs="Calibri"/>
                <w:szCs w:val="21"/>
              </w:rPr>
              <w:t>1</w:t>
            </w:r>
          </w:p>
        </w:tc>
        <w:tc>
          <w:tcPr>
            <w:tcW w:w="1164" w:type="dxa"/>
            <w:vMerge w:val="restart"/>
            <w:shd w:val="clear" w:color="000000" w:fill="auto"/>
            <w:vAlign w:val="center"/>
          </w:tcPr>
          <w:p>
            <w:pPr>
              <w:jc w:val="center"/>
              <w:rPr>
                <w:rFonts w:ascii="宋体" w:cs="宋体"/>
                <w:color w:val="FF0000"/>
                <w:szCs w:val="21"/>
                <w:lang w:val="zh-CN"/>
              </w:rPr>
            </w:pPr>
            <w:r>
              <w:rPr>
                <w:rFonts w:hint="eastAsia" w:ascii="宋体" w:cs="宋体"/>
                <w:color w:val="FF0000"/>
                <w:szCs w:val="21"/>
                <w:lang w:val="zh-CN"/>
              </w:rPr>
              <w:t>网络及服务器设备</w:t>
            </w:r>
          </w:p>
        </w:tc>
        <w:tc>
          <w:tcPr>
            <w:tcW w:w="4657" w:type="dxa"/>
            <w:shd w:val="clear" w:color="000000" w:fill="auto"/>
            <w:vAlign w:val="center"/>
          </w:tcPr>
          <w:p>
            <w:pPr>
              <w:jc w:val="center"/>
              <w:rPr>
                <w:szCs w:val="21"/>
                <w:lang w:val="zh-CN"/>
              </w:rPr>
            </w:pPr>
            <w:r>
              <w:rPr>
                <w:rFonts w:hint="eastAsia" w:ascii="宋体" w:cs="宋体"/>
                <w:szCs w:val="21"/>
                <w:lang w:val="zh-CN"/>
              </w:rPr>
              <w:t>华三</w:t>
            </w:r>
            <w:r>
              <w:rPr>
                <w:rFonts w:cs="Calibri"/>
                <w:szCs w:val="21"/>
              </w:rPr>
              <w:t>ER8300G2</w:t>
            </w:r>
            <w:r>
              <w:rPr>
                <w:rFonts w:hint="eastAsia" w:cs="Calibri"/>
                <w:szCs w:val="21"/>
              </w:rPr>
              <w:t>路由器</w:t>
            </w:r>
          </w:p>
        </w:tc>
        <w:tc>
          <w:tcPr>
            <w:tcW w:w="1566"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ascii="宋体" w:cs="宋体"/>
                <w:szCs w:val="21"/>
                <w:lang w:val="zh-CN"/>
              </w:rPr>
            </w:pPr>
            <w:r>
              <w:rPr>
                <w:rFonts w:hint="eastAsia" w:cs="Calibri"/>
                <w:szCs w:val="21"/>
              </w:rPr>
              <w:t>2</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szCs w:val="21"/>
                <w:lang w:val="zh-CN"/>
              </w:rPr>
              <w:t>二层交换机</w:t>
            </w:r>
            <w:r>
              <w:rPr>
                <w:rFonts w:hint="eastAsia"/>
                <w:szCs w:val="21"/>
                <w:lang w:val="zh-CN"/>
              </w:rPr>
              <w:t>（8口以上）</w:t>
            </w:r>
          </w:p>
        </w:tc>
        <w:tc>
          <w:tcPr>
            <w:tcW w:w="1566" w:type="dxa"/>
            <w:shd w:val="clear" w:color="000000" w:fill="auto"/>
            <w:vAlign w:val="center"/>
          </w:tcPr>
          <w:p>
            <w:pPr>
              <w:jc w:val="center"/>
              <w:rPr>
                <w:rFonts w:ascii="宋体" w:cs="宋体"/>
                <w:szCs w:val="21"/>
                <w:lang w:val="zh-CN"/>
              </w:rPr>
            </w:pPr>
            <w:r>
              <w:rPr>
                <w:rFonts w:hint="eastAsia" w:cs="Calibri"/>
                <w:szCs w:val="21"/>
              </w:rPr>
              <w:t>3</w:t>
            </w:r>
            <w:r>
              <w:rPr>
                <w:rFonts w:hint="eastAsia" w:ascii="宋体" w:cs="宋体"/>
                <w:szCs w:val="21"/>
                <w:lang w:val="zh-CN"/>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3</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szCs w:val="21"/>
                <w:lang w:val="zh-CN"/>
              </w:rPr>
              <w:t>XSKY超融合服务器</w:t>
            </w:r>
            <w:r>
              <w:rPr>
                <w:rFonts w:cs="Calibri"/>
                <w:szCs w:val="21"/>
              </w:rPr>
              <w:t>XE31</w:t>
            </w:r>
            <w:r>
              <w:rPr>
                <w:rFonts w:hint="eastAsia" w:cs="Calibri"/>
                <w:szCs w:val="21"/>
              </w:rPr>
              <w:t>80</w:t>
            </w:r>
            <w:r>
              <w:rPr>
                <w:rFonts w:cs="Calibri"/>
                <w:szCs w:val="21"/>
              </w:rPr>
              <w:t>-H</w:t>
            </w:r>
            <w:r>
              <w:rPr>
                <w:szCs w:val="21"/>
                <w:lang w:val="zh-CN"/>
              </w:rPr>
              <w:t>硬盘4T</w:t>
            </w:r>
          </w:p>
        </w:tc>
        <w:tc>
          <w:tcPr>
            <w:tcW w:w="1566" w:type="dxa"/>
            <w:shd w:val="clear" w:color="000000" w:fill="auto"/>
            <w:vAlign w:val="center"/>
          </w:tcPr>
          <w:p>
            <w:pPr>
              <w:jc w:val="center"/>
              <w:rPr>
                <w:rFonts w:cs="Calibri"/>
                <w:szCs w:val="21"/>
              </w:rPr>
            </w:pPr>
            <w:r>
              <w:rPr>
                <w:rFonts w:cs="Calibri"/>
                <w:szCs w:val="21"/>
              </w:rPr>
              <w:t>2</w:t>
            </w:r>
            <w:r>
              <w:rPr>
                <w:rFonts w:hint="eastAsia" w:cs="Calibri"/>
                <w:szCs w:val="21"/>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4</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szCs w:val="21"/>
                <w:lang w:val="zh-CN"/>
              </w:rPr>
              <w:t>XSKY超融合服务器</w:t>
            </w:r>
            <w:r>
              <w:rPr>
                <w:rFonts w:cs="Calibri"/>
                <w:szCs w:val="21"/>
              </w:rPr>
              <w:t>XE31</w:t>
            </w:r>
            <w:r>
              <w:rPr>
                <w:rFonts w:hint="eastAsia" w:cs="Calibri"/>
                <w:szCs w:val="21"/>
              </w:rPr>
              <w:t>5</w:t>
            </w:r>
            <w:r>
              <w:rPr>
                <w:rFonts w:cs="Calibri"/>
                <w:szCs w:val="21"/>
              </w:rPr>
              <w:t>0-H</w:t>
            </w:r>
            <w:r>
              <w:rPr>
                <w:szCs w:val="21"/>
                <w:lang w:val="zh-CN"/>
              </w:rPr>
              <w:t>硬盘6T</w:t>
            </w:r>
          </w:p>
        </w:tc>
        <w:tc>
          <w:tcPr>
            <w:tcW w:w="1566" w:type="dxa"/>
            <w:shd w:val="clear" w:color="000000" w:fill="auto"/>
            <w:vAlign w:val="center"/>
          </w:tcPr>
          <w:p>
            <w:pPr>
              <w:jc w:val="center"/>
              <w:rPr>
                <w:rFonts w:cs="Calibri"/>
                <w:szCs w:val="21"/>
              </w:rPr>
            </w:pPr>
            <w:r>
              <w:rPr>
                <w:rFonts w:cs="Calibri"/>
                <w:szCs w:val="21"/>
              </w:rPr>
              <w:t>2</w:t>
            </w:r>
            <w:r>
              <w:rPr>
                <w:rFonts w:hint="eastAsia" w:cs="Calibri"/>
                <w:szCs w:val="21"/>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5</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szCs w:val="21"/>
                <w:lang w:val="zh-CN"/>
              </w:rPr>
              <w:t>XSKY超融合服务器</w:t>
            </w:r>
            <w:r>
              <w:rPr>
                <w:rFonts w:cs="Calibri"/>
                <w:szCs w:val="21"/>
              </w:rPr>
              <w:t>XE31</w:t>
            </w:r>
            <w:r>
              <w:rPr>
                <w:rFonts w:hint="eastAsia" w:cs="Calibri"/>
                <w:szCs w:val="21"/>
              </w:rPr>
              <w:t>80</w:t>
            </w:r>
            <w:r>
              <w:rPr>
                <w:rFonts w:cs="Calibri"/>
                <w:szCs w:val="21"/>
              </w:rPr>
              <w:t>-H</w:t>
            </w:r>
            <w:r>
              <w:rPr>
                <w:szCs w:val="21"/>
                <w:lang w:val="zh-CN"/>
              </w:rPr>
              <w:t>电源模块</w:t>
            </w:r>
          </w:p>
        </w:tc>
        <w:tc>
          <w:tcPr>
            <w:tcW w:w="1566" w:type="dxa"/>
            <w:shd w:val="clear" w:color="000000" w:fill="auto"/>
            <w:vAlign w:val="center"/>
          </w:tcPr>
          <w:p>
            <w:pPr>
              <w:jc w:val="center"/>
              <w:rPr>
                <w:rFonts w:cs="Calibri"/>
                <w:szCs w:val="21"/>
              </w:rPr>
            </w:pPr>
            <w:r>
              <w:rPr>
                <w:rFonts w:cs="Calibri"/>
                <w:szCs w:val="21"/>
              </w:rPr>
              <w:t>1</w:t>
            </w:r>
            <w:r>
              <w:rPr>
                <w:rFonts w:hint="eastAsia" w:cs="Calibri"/>
                <w:szCs w:val="21"/>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6</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szCs w:val="21"/>
                <w:lang w:val="zh-CN"/>
              </w:rPr>
              <w:t>XSKY超融合服务器</w:t>
            </w:r>
            <w:r>
              <w:rPr>
                <w:rFonts w:cs="Calibri"/>
                <w:szCs w:val="21"/>
              </w:rPr>
              <w:t>XE31</w:t>
            </w:r>
            <w:r>
              <w:rPr>
                <w:rFonts w:hint="eastAsia" w:cs="Calibri"/>
                <w:szCs w:val="21"/>
              </w:rPr>
              <w:t>5</w:t>
            </w:r>
            <w:r>
              <w:rPr>
                <w:rFonts w:cs="Calibri"/>
                <w:szCs w:val="21"/>
              </w:rPr>
              <w:t>0-H</w:t>
            </w:r>
            <w:r>
              <w:rPr>
                <w:rFonts w:hint="eastAsia" w:cs="Calibri"/>
                <w:szCs w:val="21"/>
              </w:rPr>
              <w:t>电源模块</w:t>
            </w:r>
          </w:p>
        </w:tc>
        <w:tc>
          <w:tcPr>
            <w:tcW w:w="1566" w:type="dxa"/>
            <w:shd w:val="clear" w:color="000000" w:fill="auto"/>
            <w:vAlign w:val="center"/>
          </w:tcPr>
          <w:p>
            <w:pPr>
              <w:jc w:val="center"/>
              <w:rPr>
                <w:rFonts w:cs="Calibri"/>
                <w:szCs w:val="21"/>
              </w:rPr>
            </w:pPr>
            <w:r>
              <w:rPr>
                <w:rFonts w:hint="eastAsia" w:cs="Calibri"/>
                <w:szCs w:val="21"/>
              </w:rPr>
              <w:t>1个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7</w:t>
            </w:r>
          </w:p>
        </w:tc>
        <w:tc>
          <w:tcPr>
            <w:tcW w:w="1164" w:type="dxa"/>
            <w:vMerge w:val="restart"/>
            <w:shd w:val="clear" w:color="000000" w:fill="auto"/>
            <w:vAlign w:val="center"/>
          </w:tcPr>
          <w:p>
            <w:pPr>
              <w:jc w:val="center"/>
              <w:rPr>
                <w:szCs w:val="21"/>
                <w:lang w:val="zh-CN"/>
              </w:rPr>
            </w:pPr>
            <w:r>
              <w:rPr>
                <w:rFonts w:hint="eastAsia" w:cs="Calibri"/>
                <w:szCs w:val="21"/>
              </w:rPr>
              <w:t>大屏会议系统设备</w:t>
            </w:r>
          </w:p>
        </w:tc>
        <w:tc>
          <w:tcPr>
            <w:tcW w:w="4657" w:type="dxa"/>
            <w:shd w:val="clear" w:color="000000" w:fill="auto"/>
            <w:vAlign w:val="center"/>
          </w:tcPr>
          <w:p>
            <w:pPr>
              <w:jc w:val="center"/>
              <w:rPr>
                <w:rFonts w:cs="Calibri"/>
                <w:b/>
                <w:bCs/>
                <w:szCs w:val="21"/>
              </w:rPr>
            </w:pPr>
            <w:r>
              <w:rPr>
                <w:rFonts w:hint="eastAsia"/>
                <w:szCs w:val="21"/>
                <w:lang w:val="zh-CN"/>
              </w:rPr>
              <w:t>艾比森大屏液晶显示单元(CP1.2)</w:t>
            </w:r>
          </w:p>
        </w:tc>
        <w:tc>
          <w:tcPr>
            <w:tcW w:w="1566" w:type="dxa"/>
            <w:shd w:val="clear" w:color="000000" w:fill="auto"/>
            <w:vAlign w:val="center"/>
          </w:tcPr>
          <w:p>
            <w:pPr>
              <w:jc w:val="center"/>
              <w:rPr>
                <w:rFonts w:cs="Calibri"/>
                <w:szCs w:val="21"/>
              </w:rPr>
            </w:pPr>
            <w:r>
              <w:rPr>
                <w:rFonts w:hint="eastAsia" w:cs="Calibri"/>
                <w:szCs w:val="21"/>
              </w:rPr>
              <w:t>5块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8</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rFonts w:cs="Calibri"/>
                <w:b/>
                <w:bCs/>
                <w:szCs w:val="21"/>
              </w:rPr>
            </w:pPr>
            <w:r>
              <w:rPr>
                <w:rFonts w:hint="eastAsia" w:ascii="宋体" w:cs="宋体"/>
                <w:szCs w:val="21"/>
                <w:lang w:val="zh-CN"/>
              </w:rPr>
              <w:t>无线数字短杆会议代表单元（</w:t>
            </w:r>
            <w:r>
              <w:rPr>
                <w:rFonts w:cs="Calibri"/>
                <w:szCs w:val="21"/>
              </w:rPr>
              <w:t xml:space="preserve">TENDZONE </w:t>
            </w:r>
          </w:p>
          <w:p>
            <w:pPr>
              <w:jc w:val="center"/>
              <w:rPr>
                <w:szCs w:val="21"/>
                <w:lang w:val="zh-CN"/>
              </w:rPr>
            </w:pPr>
            <w:r>
              <w:rPr>
                <w:rFonts w:cs="Calibri"/>
                <w:szCs w:val="21"/>
              </w:rPr>
              <w:t>Z-3101 D</w:t>
            </w:r>
            <w:r>
              <w:rPr>
                <w:rFonts w:hint="eastAsia" w:ascii="宋体" w:cs="宋体"/>
                <w:szCs w:val="21"/>
                <w:lang w:val="zh-CN"/>
              </w:rPr>
              <w:t>）</w:t>
            </w:r>
          </w:p>
        </w:tc>
        <w:tc>
          <w:tcPr>
            <w:tcW w:w="1566" w:type="dxa"/>
            <w:shd w:val="clear" w:color="000000" w:fill="auto"/>
            <w:vAlign w:val="center"/>
          </w:tcPr>
          <w:p>
            <w:pPr>
              <w:jc w:val="center"/>
              <w:rPr>
                <w:rFonts w:cs="Calibri"/>
                <w:szCs w:val="21"/>
              </w:rPr>
            </w:pPr>
            <w:r>
              <w:rPr>
                <w:rFonts w:hint="eastAsia" w:cs="Calibri"/>
                <w:szCs w:val="21"/>
              </w:rPr>
              <w:t>1个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9</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szCs w:val="21"/>
                <w:lang w:val="zh-CN"/>
              </w:rPr>
            </w:pPr>
            <w:r>
              <w:rPr>
                <w:rFonts w:hint="eastAsia" w:ascii="宋体" w:cs="宋体"/>
                <w:szCs w:val="21"/>
                <w:lang w:val="zh-CN"/>
              </w:rPr>
              <w:t>分布式</w:t>
            </w:r>
            <w:r>
              <w:rPr>
                <w:rFonts w:cs="Calibri"/>
                <w:szCs w:val="21"/>
              </w:rPr>
              <w:t>HDMI</w:t>
            </w:r>
            <w:r>
              <w:rPr>
                <w:rFonts w:hint="eastAsia" w:ascii="宋体" w:cs="宋体"/>
                <w:szCs w:val="21"/>
                <w:lang w:val="zh-CN"/>
              </w:rPr>
              <w:t>输入节点（创凯</w:t>
            </w:r>
            <w:r>
              <w:rPr>
                <w:rFonts w:cs="Calibri"/>
                <w:szCs w:val="21"/>
              </w:rPr>
              <w:t>CK6I-HI2KHGF</w:t>
            </w:r>
            <w:r>
              <w:rPr>
                <w:rFonts w:hint="eastAsia" w:ascii="宋体" w:cs="宋体"/>
                <w:szCs w:val="21"/>
                <w:lang w:val="zh-CN"/>
              </w:rPr>
              <w:t>）</w:t>
            </w:r>
          </w:p>
        </w:tc>
        <w:tc>
          <w:tcPr>
            <w:tcW w:w="1566" w:type="dxa"/>
            <w:shd w:val="clear" w:color="000000" w:fill="auto"/>
            <w:vAlign w:val="center"/>
          </w:tcPr>
          <w:p>
            <w:pPr>
              <w:jc w:val="center"/>
              <w:rPr>
                <w:rFonts w:cs="Calibri"/>
                <w:szCs w:val="21"/>
              </w:rPr>
            </w:pPr>
            <w:r>
              <w:rPr>
                <w:rFonts w:hint="eastAsia" w:cs="Calibri"/>
                <w:szCs w:val="21"/>
              </w:rPr>
              <w:t>1台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10</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rFonts w:cs="Calibri"/>
                <w:b/>
                <w:bCs/>
                <w:szCs w:val="21"/>
              </w:rPr>
            </w:pPr>
            <w:r>
              <w:rPr>
                <w:rFonts w:hint="eastAsia" w:ascii="宋体" w:cs="宋体"/>
                <w:szCs w:val="21"/>
                <w:lang w:val="zh-CN"/>
              </w:rPr>
              <w:t>分布式</w:t>
            </w:r>
            <w:r>
              <w:rPr>
                <w:rFonts w:cs="Calibri"/>
                <w:szCs w:val="21"/>
              </w:rPr>
              <w:t>HDMI</w:t>
            </w:r>
            <w:r>
              <w:rPr>
                <w:rFonts w:hint="eastAsia" w:ascii="宋体" w:cs="宋体"/>
                <w:szCs w:val="21"/>
                <w:lang w:val="zh-CN"/>
              </w:rPr>
              <w:t>输出节点（</w:t>
            </w:r>
            <w:r>
              <w:rPr>
                <w:rFonts w:cs="Calibri"/>
                <w:szCs w:val="21"/>
              </w:rPr>
              <w:t>CK6I-H02KHGF</w:t>
            </w:r>
            <w:r>
              <w:rPr>
                <w:rFonts w:hint="eastAsia" w:ascii="宋体" w:cs="宋体"/>
                <w:szCs w:val="21"/>
                <w:lang w:val="zh-CN"/>
              </w:rPr>
              <w:t>）</w:t>
            </w:r>
          </w:p>
        </w:tc>
        <w:tc>
          <w:tcPr>
            <w:tcW w:w="1566" w:type="dxa"/>
            <w:shd w:val="clear" w:color="000000" w:fill="auto"/>
            <w:vAlign w:val="center"/>
          </w:tcPr>
          <w:p>
            <w:pPr>
              <w:jc w:val="center"/>
              <w:rPr>
                <w:rFonts w:cs="Calibri"/>
                <w:szCs w:val="21"/>
              </w:rPr>
            </w:pPr>
            <w:r>
              <w:rPr>
                <w:rFonts w:hint="eastAsia" w:cs="Calibri"/>
                <w:szCs w:val="21"/>
              </w:rPr>
              <w:t>1台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1" w:hRule="atLeast"/>
          <w:jc w:val="center"/>
        </w:trPr>
        <w:tc>
          <w:tcPr>
            <w:tcW w:w="992" w:type="dxa"/>
            <w:shd w:val="clear" w:color="000000" w:fill="auto"/>
            <w:vAlign w:val="center"/>
          </w:tcPr>
          <w:p>
            <w:pPr>
              <w:jc w:val="center"/>
              <w:rPr>
                <w:rFonts w:cs="Calibri"/>
                <w:szCs w:val="21"/>
              </w:rPr>
            </w:pPr>
            <w:r>
              <w:rPr>
                <w:rFonts w:hint="eastAsia" w:cs="Calibri"/>
                <w:szCs w:val="21"/>
              </w:rPr>
              <w:t>11</w:t>
            </w:r>
          </w:p>
        </w:tc>
        <w:tc>
          <w:tcPr>
            <w:tcW w:w="1164" w:type="dxa"/>
            <w:vMerge w:val="continue"/>
            <w:shd w:val="clear" w:color="000000" w:fill="auto"/>
            <w:vAlign w:val="center"/>
          </w:tcPr>
          <w:p>
            <w:pPr>
              <w:jc w:val="center"/>
              <w:rPr>
                <w:szCs w:val="21"/>
                <w:lang w:val="zh-CN"/>
              </w:rPr>
            </w:pPr>
          </w:p>
        </w:tc>
        <w:tc>
          <w:tcPr>
            <w:tcW w:w="4657" w:type="dxa"/>
            <w:shd w:val="clear" w:color="000000" w:fill="auto"/>
            <w:vAlign w:val="center"/>
          </w:tcPr>
          <w:p>
            <w:pPr>
              <w:jc w:val="center"/>
              <w:rPr>
                <w:rFonts w:ascii="宋体" w:cs="宋体"/>
                <w:szCs w:val="21"/>
                <w:lang w:val="zh-CN"/>
              </w:rPr>
            </w:pPr>
            <w:r>
              <w:rPr>
                <w:rFonts w:hint="eastAsia"/>
                <w:szCs w:val="21"/>
                <w:lang w:val="zh-CN"/>
              </w:rPr>
              <w:t>墨水屏电子铭牌</w:t>
            </w:r>
            <w:r>
              <w:rPr>
                <w:rFonts w:hint="eastAsia"/>
                <w:szCs w:val="21"/>
              </w:rPr>
              <w:t>（</w:t>
            </w:r>
            <w:r>
              <w:rPr>
                <w:rFonts w:cs="Calibri"/>
                <w:szCs w:val="21"/>
              </w:rPr>
              <w:t>TENDZONE DW-7N-S</w:t>
            </w:r>
            <w:r>
              <w:rPr>
                <w:rFonts w:hint="eastAsia"/>
                <w:szCs w:val="21"/>
              </w:rPr>
              <w:t>）</w:t>
            </w:r>
          </w:p>
        </w:tc>
        <w:tc>
          <w:tcPr>
            <w:tcW w:w="1566" w:type="dxa"/>
            <w:shd w:val="clear" w:color="000000" w:fill="auto"/>
            <w:vAlign w:val="center"/>
          </w:tcPr>
          <w:p>
            <w:pPr>
              <w:jc w:val="center"/>
              <w:rPr>
                <w:rFonts w:cs="Calibri"/>
                <w:szCs w:val="21"/>
              </w:rPr>
            </w:pPr>
            <w:r>
              <w:rPr>
                <w:rFonts w:hint="eastAsia" w:cs="Calibri"/>
                <w:szCs w:val="21"/>
              </w:rPr>
              <w:t>3台</w:t>
            </w:r>
          </w:p>
        </w:tc>
      </w:tr>
    </w:tbl>
    <w:p>
      <w:pPr>
        <w:spacing w:line="520" w:lineRule="exact"/>
        <w:ind w:firstLine="482"/>
        <w:rPr>
          <w:rFonts w:ascii="宋体" w:cs="宋体"/>
          <w:sz w:val="24"/>
          <w:szCs w:val="24"/>
          <w:lang w:val="zh-CN"/>
        </w:rPr>
      </w:pPr>
      <w:r>
        <w:rPr>
          <w:rFonts w:hint="eastAsia" w:ascii="宋体" w:cs="宋体"/>
          <w:sz w:val="24"/>
          <w:szCs w:val="24"/>
          <w:lang w:val="zh-CN"/>
        </w:rPr>
        <w:t>③备品备件响应要求：在采购人维保设备发生硬件故障后，投标人工程师应在15 分钟内响应，按照故障处理响应时间解决设备故障。如在服务响应时限内不能解决设备硬件类故障问题，投标人应在 48 小时内免费提供备品备件对故障设备进行替换，顶替运行，并完成原设备上系统及应用的转移工作。投标人所提供的备品备件应为原厂全新备件，如因备件停产等原因无法提供，可使用相同或相近型号的良品备件进行替代，提供的备品备件</w:t>
      </w:r>
      <w:bookmarkStart w:id="234" w:name="_Hlk237955707"/>
      <w:r>
        <w:rPr>
          <w:rFonts w:hint="eastAsia" w:ascii="宋体" w:cs="宋体"/>
          <w:sz w:val="24"/>
          <w:szCs w:val="24"/>
          <w:lang w:val="zh-CN"/>
        </w:rPr>
        <w:t>技术性能不能低于</w:t>
      </w:r>
      <w:bookmarkEnd w:id="234"/>
      <w:r>
        <w:rPr>
          <w:rFonts w:hint="eastAsia" w:ascii="宋体" w:cs="宋体"/>
          <w:sz w:val="24"/>
          <w:szCs w:val="24"/>
          <w:lang w:val="zh-CN"/>
        </w:rPr>
        <w:t>原设备。更换所使用的全部零部件或整机，产权或使用权归采购人所有（根据采购人要求确定）。</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（5）江苏省无线电管理专网现场巡检服务</w:t>
      </w:r>
    </w:p>
    <w:p>
      <w:pPr>
        <w:spacing w:line="520" w:lineRule="exact"/>
        <w:ind w:firstLine="482"/>
        <w:rPr>
          <w:rFonts w:ascii="宋体" w:cs="宋体"/>
          <w:sz w:val="24"/>
          <w:szCs w:val="24"/>
          <w:lang w:val="zh-CN"/>
        </w:rPr>
      </w:pPr>
      <w:r>
        <w:rPr>
          <w:rFonts w:hint="eastAsia" w:ascii="宋体" w:cs="宋体"/>
          <w:sz w:val="24"/>
          <w:szCs w:val="24"/>
          <w:lang w:val="zh-CN"/>
        </w:rPr>
        <w:t>投标人制定满足磋商需求的巡检方案，包括机房设备的巡检计划、人员安排、巡检频次、巡检内容、巡检报告等。具体要求如下：</w:t>
      </w:r>
    </w:p>
    <w:p>
      <w:pPr>
        <w:numPr>
          <w:ilvl w:val="0"/>
          <w:numId w:val="5"/>
        </w:numPr>
        <w:spacing w:line="520" w:lineRule="exact"/>
        <w:rPr>
          <w:rFonts w:ascii="宋体" w:cs="宋体"/>
          <w:sz w:val="24"/>
          <w:szCs w:val="24"/>
          <w:lang w:val="zh-CN"/>
        </w:rPr>
      </w:pPr>
      <w:r>
        <w:rPr>
          <w:rFonts w:hint="eastAsia" w:ascii="宋体" w:cs="宋体"/>
          <w:sz w:val="24"/>
          <w:szCs w:val="24"/>
          <w:lang w:val="zh-CN"/>
        </w:rPr>
        <w:t>每季度至少开展一次全省范围（含省站及13个地市站）的现场巡检服务。</w:t>
      </w:r>
    </w:p>
    <w:p>
      <w:pPr>
        <w:numPr>
          <w:ilvl w:val="0"/>
          <w:numId w:val="5"/>
        </w:numPr>
        <w:spacing w:line="520" w:lineRule="exact"/>
        <w:rPr>
          <w:rFonts w:ascii="宋体" w:cs="宋体"/>
          <w:sz w:val="24"/>
          <w:szCs w:val="24"/>
          <w:lang w:val="zh-CN"/>
        </w:rPr>
      </w:pPr>
      <w:r>
        <w:rPr>
          <w:rFonts w:hint="eastAsia" w:ascii="宋体" w:cs="宋体"/>
          <w:sz w:val="24"/>
          <w:szCs w:val="24"/>
          <w:lang w:val="zh-CN"/>
        </w:rPr>
        <w:t>现场巡检至少应包含以下内容：</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w:t>
      </w:r>
      <w:r>
        <w:rPr>
          <w:rFonts w:hint="eastAsia" w:ascii="宋体" w:cs="宋体"/>
          <w:sz w:val="24"/>
          <w:szCs w:val="24"/>
          <w:lang w:val="zh-CN"/>
        </w:rPr>
        <w:t>数据库系统：江苏省无线电管理一体化基础平台数据库、江苏省无线电超短波监测一体化平台数据库、省站及</w:t>
      </w:r>
      <w:r>
        <w:rPr>
          <w:rFonts w:ascii="宋体" w:cs="宋体"/>
          <w:sz w:val="24"/>
          <w:szCs w:val="24"/>
          <w:lang w:val="zh-CN"/>
        </w:rPr>
        <w:t>13</w:t>
      </w:r>
      <w:r>
        <w:rPr>
          <w:rFonts w:hint="eastAsia" w:ascii="宋体" w:cs="宋体"/>
          <w:sz w:val="24"/>
          <w:szCs w:val="24"/>
          <w:lang w:val="zh-CN"/>
        </w:rPr>
        <w:t>个地市站无线电监测应用数据库、无线电频率台站系统数据库、无线电行政执法系统数据库、江苏省无线电监测站协同办公系统数据库系统等。</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w:t>
      </w:r>
      <w:r>
        <w:rPr>
          <w:rFonts w:hint="eastAsia" w:ascii="宋体" w:cs="宋体"/>
          <w:sz w:val="24"/>
          <w:szCs w:val="24"/>
          <w:lang w:val="zh-CN"/>
        </w:rPr>
        <w:t>江苏省无线电管理专网网络设备（详细清单见后）。</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w:t>
      </w:r>
      <w:r>
        <w:rPr>
          <w:rFonts w:hint="eastAsia" w:ascii="宋体" w:cs="宋体"/>
          <w:sz w:val="24"/>
          <w:szCs w:val="24"/>
          <w:lang w:val="zh-CN"/>
        </w:rPr>
        <w:t>江苏省无线电管理专网服务器系统设备（详细清单见后）。</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w:t>
      </w:r>
      <w:r>
        <w:rPr>
          <w:rFonts w:hint="eastAsia" w:ascii="宋体" w:cs="宋体"/>
          <w:sz w:val="24"/>
          <w:szCs w:val="24"/>
          <w:lang w:val="zh-CN"/>
        </w:rPr>
        <w:t>江苏省无线电管理专网安全设备（详细清单见后）。</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w:t>
      </w:r>
      <w:r>
        <w:rPr>
          <w:rFonts w:hint="eastAsia" w:ascii="宋体" w:cs="宋体"/>
          <w:sz w:val="24"/>
          <w:szCs w:val="24"/>
          <w:lang w:val="zh-CN"/>
        </w:rPr>
        <w:t>江苏省无线电行政执法系统执法套装(各地市)。</w:t>
      </w:r>
    </w:p>
    <w:p>
      <w:pPr>
        <w:spacing w:line="520" w:lineRule="exact"/>
        <w:ind w:firstLine="480"/>
        <w:rPr>
          <w:rFonts w:ascii="宋体" w:cs="宋体"/>
          <w:sz w:val="24"/>
          <w:szCs w:val="24"/>
          <w:lang w:val="zh-CN"/>
        </w:rPr>
      </w:pPr>
      <w:r>
        <w:rPr>
          <w:rFonts w:hint="eastAsia" w:ascii="宋体" w:hAnsi="宋体" w:cs="宋体"/>
          <w:sz w:val="24"/>
          <w:szCs w:val="24"/>
          <w:lang w:val="zh-CN"/>
        </w:rPr>
        <w:t>③</w:t>
      </w:r>
      <w:r>
        <w:rPr>
          <w:rFonts w:hint="eastAsia" w:ascii="宋体" w:cs="宋体"/>
          <w:sz w:val="24"/>
          <w:szCs w:val="24"/>
          <w:lang w:val="zh-CN"/>
        </w:rPr>
        <w:t>现场巡检动作要规范，开展系统状态检查、维护、诊断等，要对各类设备及系统运行状态拍照留存，分析设备及系统运行状况，并出具巡检报告。巡检过程中，如投标人因工作要求，需要运输存放在地市的相关设备，由投标人承担相关运输责任。</w:t>
      </w:r>
    </w:p>
    <w:p>
      <w:pPr>
        <w:spacing w:line="520" w:lineRule="exact"/>
        <w:ind w:firstLine="480"/>
        <w:rPr>
          <w:rFonts w:ascii="宋体" w:cs="宋体"/>
          <w:sz w:val="24"/>
          <w:szCs w:val="24"/>
          <w:lang w:val="zh-CN"/>
        </w:rPr>
      </w:pPr>
      <w:r>
        <w:rPr>
          <w:rFonts w:hint="eastAsia" w:ascii="宋体" w:hAnsi="宋体" w:cs="宋体"/>
          <w:sz w:val="24"/>
          <w:szCs w:val="24"/>
          <w:lang w:val="zh-CN"/>
        </w:rPr>
        <w:t>④</w:t>
      </w:r>
      <w:r>
        <w:rPr>
          <w:rFonts w:hint="eastAsia" w:ascii="宋体" w:cs="宋体"/>
          <w:sz w:val="24"/>
          <w:szCs w:val="24"/>
          <w:lang w:val="zh-CN"/>
        </w:rPr>
        <w:t>开展现场巡检过程中涉及的所有费用均由投标人承担。</w:t>
      </w:r>
    </w:p>
    <w:p>
      <w:pPr>
        <w:spacing w:line="520" w:lineRule="exact"/>
        <w:ind w:firstLine="482"/>
        <w:rPr>
          <w:rFonts w:ascii="楷体_GB2312" w:eastAsia="楷体_GB2312" w:cs="楷体_GB2312"/>
          <w:sz w:val="24"/>
          <w:szCs w:val="24"/>
          <w:lang w:val="zh-CN"/>
        </w:rPr>
      </w:pPr>
      <w:r>
        <w:rPr>
          <w:rFonts w:hint="eastAsia" w:ascii="楷体_GB2312" w:eastAsia="楷体_GB2312" w:cs="楷体_GB2312"/>
          <w:sz w:val="24"/>
          <w:szCs w:val="24"/>
          <w:lang w:val="zh-CN"/>
        </w:rPr>
        <w:t>2、应急故障响应及重保服务</w:t>
      </w:r>
    </w:p>
    <w:p>
      <w:pPr>
        <w:spacing w:line="520" w:lineRule="exact"/>
        <w:ind w:firstLine="482"/>
        <w:rPr>
          <w:rFonts w:ascii="楷体_GB2312" w:eastAsia="楷体_GB2312" w:cs="楷体_GB2312"/>
          <w:sz w:val="24"/>
          <w:szCs w:val="24"/>
          <w:lang w:val="zh-CN"/>
        </w:rPr>
      </w:pPr>
      <w:r>
        <w:rPr>
          <w:rFonts w:hint="eastAsia" w:ascii="楷体_GB2312" w:eastAsia="楷体_GB2312" w:cs="楷体_GB2312"/>
          <w:sz w:val="24"/>
          <w:szCs w:val="24"/>
          <w:lang w:val="zh-CN"/>
        </w:rPr>
        <w:t>（1）故障响应及处理服务要求</w:t>
      </w:r>
    </w:p>
    <w:p>
      <w:pPr>
        <w:spacing w:line="520" w:lineRule="exact"/>
        <w:ind w:firstLine="482"/>
        <w:rPr>
          <w:rFonts w:ascii="宋体" w:cs="宋体"/>
          <w:sz w:val="24"/>
          <w:szCs w:val="24"/>
          <w:lang w:val="zh-CN"/>
        </w:rPr>
      </w:pPr>
      <w:r>
        <w:rPr>
          <w:rFonts w:hint="eastAsia" w:ascii="宋体" w:cs="宋体"/>
          <w:sz w:val="24"/>
          <w:szCs w:val="24"/>
          <w:lang w:val="zh-CN"/>
        </w:rPr>
        <w:t>投标人应提供故障处理响应方案，包括但不限于响应时限、处理团队、故障处理流程等。投标人应根据采购人的故障级别，采取必要的措施尽快修复故障，保证满足双方约定的服务等级中相应故障级别所规定的时限。具体要求如下：</w:t>
      </w:r>
    </w:p>
    <w:p>
      <w:pPr>
        <w:spacing w:line="520" w:lineRule="exact"/>
        <w:ind w:firstLine="482"/>
        <w:rPr>
          <w:rFonts w:ascii="宋体" w:cs="宋体"/>
          <w:sz w:val="24"/>
          <w:szCs w:val="24"/>
          <w:lang w:val="zh-CN"/>
        </w:rPr>
      </w:pPr>
      <w:r>
        <w:rPr>
          <w:rFonts w:hint="eastAsia" w:ascii="仿宋" w:hAnsi="仿宋" w:eastAsia="仿宋" w:cs="宋体"/>
          <w:sz w:val="24"/>
          <w:szCs w:val="24"/>
          <w:lang w:val="zh-CN"/>
        </w:rPr>
        <w:t>①</w:t>
      </w:r>
      <w:r>
        <w:rPr>
          <w:rFonts w:hint="eastAsia" w:ascii="宋体" w:cs="宋体"/>
          <w:sz w:val="24"/>
          <w:szCs w:val="24"/>
          <w:lang w:val="zh-CN"/>
        </w:rPr>
        <w:t>根据故障的严重程度和影响程度的不同，故障级别由低到高分为三级故障、二级故障、一级故障。当故障没有在规定时限内恢复或解决时，故障级别将自动升级，故障级别分类如下：</w:t>
      </w:r>
    </w:p>
    <w:p>
      <w:pPr>
        <w:spacing w:line="520" w:lineRule="exact"/>
        <w:ind w:firstLine="482"/>
        <w:rPr>
          <w:rFonts w:ascii="宋体" w:cs="宋体"/>
          <w:sz w:val="24"/>
          <w:szCs w:val="24"/>
          <w:lang w:val="zh-CN"/>
        </w:rPr>
      </w:pPr>
      <w:r>
        <w:rPr>
          <w:rFonts w:hint="eastAsia" w:ascii="宋体" w:cs="宋体"/>
          <w:sz w:val="24"/>
          <w:szCs w:val="24"/>
          <w:lang w:val="zh-CN"/>
        </w:rPr>
        <w:t>一级故障(重大故障)：指系统出现瘫痪、系统运行中断、性能全面退化、关键功能丧失或者导致关键业务数据丢失，导致大范围监测业务不能正常开展，情况紧急。</w:t>
      </w:r>
    </w:p>
    <w:p>
      <w:pPr>
        <w:spacing w:line="520" w:lineRule="exact"/>
        <w:ind w:firstLine="482"/>
        <w:rPr>
          <w:rFonts w:ascii="宋体" w:cs="宋体"/>
          <w:sz w:val="24"/>
          <w:szCs w:val="24"/>
          <w:lang w:val="zh-CN"/>
        </w:rPr>
      </w:pPr>
      <w:r>
        <w:rPr>
          <w:rFonts w:hint="eastAsia" w:ascii="宋体" w:cs="宋体"/>
          <w:sz w:val="24"/>
          <w:szCs w:val="24"/>
          <w:lang w:val="zh-CN"/>
        </w:rPr>
        <w:t>二级故障(主要故障)：指系统出现的影响系统正常运行、系统性能部分退化、系统丧失部分重要的服务功能的故障以及可能造成系统瘫痪或业务中断的重大隐患。</w:t>
      </w:r>
    </w:p>
    <w:p>
      <w:pPr>
        <w:spacing w:line="520" w:lineRule="exact"/>
        <w:ind w:firstLine="482"/>
        <w:rPr>
          <w:rFonts w:ascii="宋体" w:cs="宋体"/>
          <w:sz w:val="24"/>
          <w:szCs w:val="24"/>
          <w:lang w:val="zh-CN"/>
        </w:rPr>
      </w:pPr>
      <w:r>
        <w:rPr>
          <w:rFonts w:hint="eastAsia" w:ascii="宋体" w:cs="宋体"/>
          <w:sz w:val="24"/>
          <w:szCs w:val="24"/>
          <w:lang w:val="zh-CN"/>
        </w:rPr>
        <w:t>三级故障(次要故障)：指影响系统功能和性能，但业务系统不受影响的故障。</w:t>
      </w:r>
    </w:p>
    <w:p>
      <w:pPr>
        <w:spacing w:line="520" w:lineRule="exact"/>
        <w:ind w:firstLine="482"/>
        <w:rPr>
          <w:rFonts w:cs="Calibri"/>
          <w:b/>
          <w:bCs/>
          <w:sz w:val="24"/>
          <w:szCs w:val="24"/>
        </w:rPr>
      </w:pPr>
      <w:r>
        <w:rPr>
          <w:rFonts w:hint="eastAsia" w:ascii="宋体" w:cs="宋体"/>
          <w:sz w:val="24"/>
          <w:szCs w:val="24"/>
          <w:lang w:val="zh-CN"/>
        </w:rPr>
        <w:t>②服务响应实现、故障解决实现要求如下：</w:t>
      </w:r>
    </w:p>
    <w:tbl>
      <w:tblPr>
        <w:tblStyle w:val="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1902"/>
        <w:gridCol w:w="1842"/>
        <w:gridCol w:w="1701"/>
        <w:gridCol w:w="16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34" w:hRule="atLeast"/>
          <w:jc w:val="center"/>
        </w:trPr>
        <w:tc>
          <w:tcPr>
            <w:tcW w:w="1902" w:type="dxa"/>
            <w:shd w:val="clear" w:color="000000" w:fill="auto"/>
            <w:vAlign w:val="center"/>
          </w:tcPr>
          <w:p>
            <w:pPr>
              <w:spacing w:line="400" w:lineRule="atLeast"/>
              <w:jc w:val="center"/>
              <w:rPr>
                <w:rFonts w:ascii="宋体" w:cs="宋体"/>
                <w:sz w:val="22"/>
                <w:lang w:val="zh-CN"/>
              </w:rPr>
            </w:pPr>
            <w:r>
              <w:rPr>
                <w:rFonts w:hint="eastAsia" w:ascii="宋体" w:cs="宋体"/>
                <w:sz w:val="24"/>
                <w:szCs w:val="24"/>
                <w:lang w:val="zh-CN"/>
              </w:rPr>
              <w:t>故障级别</w:t>
            </w:r>
          </w:p>
        </w:tc>
        <w:tc>
          <w:tcPr>
            <w:tcW w:w="1842" w:type="dxa"/>
            <w:shd w:val="clear" w:color="000000" w:fill="auto"/>
            <w:vAlign w:val="center"/>
          </w:tcPr>
          <w:p>
            <w:pPr>
              <w:spacing w:line="400" w:lineRule="atLeast"/>
              <w:ind w:firstLine="200"/>
              <w:jc w:val="center"/>
              <w:rPr>
                <w:rFonts w:ascii="宋体" w:cs="宋体"/>
                <w:sz w:val="22"/>
                <w:lang w:val="zh-CN"/>
              </w:rPr>
            </w:pPr>
            <w:r>
              <w:rPr>
                <w:rFonts w:hint="eastAsia" w:ascii="宋体" w:cs="宋体"/>
                <w:sz w:val="24"/>
                <w:szCs w:val="24"/>
                <w:lang w:val="zh-CN"/>
              </w:rPr>
              <w:t>电话、远程响应实现</w:t>
            </w:r>
          </w:p>
        </w:tc>
        <w:tc>
          <w:tcPr>
            <w:tcW w:w="1701" w:type="dxa"/>
            <w:shd w:val="clear" w:color="000000" w:fill="auto"/>
            <w:vAlign w:val="center"/>
          </w:tcPr>
          <w:p>
            <w:pPr>
              <w:spacing w:line="400" w:lineRule="atLeast"/>
              <w:jc w:val="center"/>
              <w:rPr>
                <w:rFonts w:ascii="宋体" w:cs="宋体"/>
                <w:sz w:val="22"/>
                <w:lang w:val="zh-CN"/>
              </w:rPr>
            </w:pPr>
            <w:r>
              <w:rPr>
                <w:rFonts w:hint="eastAsia" w:ascii="宋体" w:cs="宋体"/>
                <w:sz w:val="24"/>
                <w:szCs w:val="24"/>
                <w:lang w:val="zh-CN"/>
              </w:rPr>
              <w:t>故障解决时限</w:t>
            </w:r>
          </w:p>
        </w:tc>
        <w:tc>
          <w:tcPr>
            <w:tcW w:w="1617" w:type="dxa"/>
            <w:shd w:val="clear" w:color="000000" w:fill="auto"/>
            <w:vAlign w:val="center"/>
          </w:tcPr>
          <w:p>
            <w:pPr>
              <w:spacing w:line="400" w:lineRule="atLeast"/>
              <w:jc w:val="center"/>
              <w:rPr>
                <w:rFonts w:ascii="宋体" w:cs="宋体"/>
                <w:sz w:val="24"/>
                <w:szCs w:val="24"/>
                <w:lang w:val="zh-CN"/>
              </w:rPr>
            </w:pPr>
            <w:r>
              <w:rPr>
                <w:rFonts w:hint="eastAsia" w:ascii="宋体" w:cs="宋体"/>
                <w:sz w:val="24"/>
                <w:szCs w:val="24"/>
                <w:lang w:val="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12" w:hRule="atLeast"/>
          <w:jc w:val="center"/>
        </w:trPr>
        <w:tc>
          <w:tcPr>
            <w:tcW w:w="1902" w:type="dxa"/>
            <w:shd w:val="clear" w:color="000000" w:fill="auto"/>
            <w:vAlign w:val="center"/>
          </w:tcPr>
          <w:p>
            <w:pPr>
              <w:spacing w:line="400" w:lineRule="atLeast"/>
              <w:jc w:val="center"/>
              <w:rPr>
                <w:rFonts w:ascii="宋体" w:cs="宋体"/>
                <w:sz w:val="22"/>
                <w:lang w:val="zh-CN"/>
              </w:rPr>
            </w:pPr>
            <w:r>
              <w:rPr>
                <w:rFonts w:hint="eastAsia" w:ascii="宋体" w:cs="宋体"/>
                <w:sz w:val="24"/>
                <w:szCs w:val="24"/>
                <w:lang w:val="zh-CN"/>
              </w:rPr>
              <w:t>一级故障</w:t>
            </w:r>
          </w:p>
        </w:tc>
        <w:tc>
          <w:tcPr>
            <w:tcW w:w="1842" w:type="dxa"/>
            <w:vMerge w:val="restart"/>
            <w:shd w:val="clear" w:color="000000" w:fill="auto"/>
            <w:vAlign w:val="center"/>
          </w:tcPr>
          <w:p>
            <w:pPr>
              <w:spacing w:line="400" w:lineRule="atLeast"/>
              <w:ind w:firstLine="240"/>
              <w:rPr>
                <w:b/>
                <w:bCs/>
                <w:sz w:val="24"/>
                <w:szCs w:val="24"/>
              </w:rPr>
            </w:pPr>
            <w:r>
              <w:rPr>
                <w:sz w:val="24"/>
                <w:szCs w:val="24"/>
              </w:rPr>
              <w:t>7</w:t>
            </w:r>
            <w:r>
              <w:rPr>
                <w:sz w:val="24"/>
                <w:szCs w:val="24"/>
                <w:lang w:val="zh-CN"/>
              </w:rPr>
              <w:t>×</w:t>
            </w:r>
            <w:r>
              <w:rPr>
                <w:sz w:val="24"/>
                <w:szCs w:val="24"/>
              </w:rPr>
              <w:t>24</w:t>
            </w:r>
            <w:r>
              <w:rPr>
                <w:sz w:val="24"/>
                <w:szCs w:val="24"/>
                <w:lang w:val="zh-CN"/>
              </w:rPr>
              <w:t>小时</w:t>
            </w:r>
          </w:p>
          <w:p>
            <w:pPr>
              <w:spacing w:line="400" w:lineRule="atLeast"/>
              <w:jc w:val="center"/>
              <w:rPr>
                <w:b/>
                <w:bCs/>
                <w:sz w:val="24"/>
                <w:szCs w:val="24"/>
              </w:rPr>
            </w:pPr>
            <w:r>
              <w:rPr>
                <w:sz w:val="24"/>
                <w:szCs w:val="24"/>
                <w:lang w:val="zh-CN"/>
              </w:rPr>
              <w:t>立即响应</w:t>
            </w:r>
          </w:p>
        </w:tc>
        <w:tc>
          <w:tcPr>
            <w:tcW w:w="1701" w:type="dxa"/>
            <w:shd w:val="clear" w:color="000000" w:fill="auto"/>
            <w:vAlign w:val="center"/>
          </w:tcPr>
          <w:p>
            <w:pPr>
              <w:spacing w:line="400" w:lineRule="atLeast"/>
              <w:jc w:val="center"/>
              <w:rPr>
                <w:b/>
                <w:bCs/>
                <w:sz w:val="24"/>
                <w:szCs w:val="24"/>
              </w:rPr>
            </w:pPr>
            <w:r>
              <w:rPr>
                <w:sz w:val="24"/>
                <w:szCs w:val="24"/>
              </w:rPr>
              <w:t>6</w:t>
            </w:r>
            <w:r>
              <w:rPr>
                <w:sz w:val="24"/>
                <w:szCs w:val="24"/>
                <w:lang w:val="zh-CN"/>
              </w:rPr>
              <w:t>小时</w:t>
            </w:r>
          </w:p>
        </w:tc>
        <w:tc>
          <w:tcPr>
            <w:tcW w:w="1617" w:type="dxa"/>
            <w:vMerge w:val="restart"/>
            <w:shd w:val="clear" w:color="000000" w:fill="auto"/>
            <w:vAlign w:val="center"/>
          </w:tcPr>
          <w:p>
            <w:pPr>
              <w:spacing w:line="400" w:lineRule="atLeast"/>
              <w:jc w:val="center"/>
              <w:rPr>
                <w:sz w:val="24"/>
                <w:szCs w:val="24"/>
              </w:rPr>
            </w:pPr>
            <w:r>
              <w:rPr>
                <w:rFonts w:hint="eastAsia"/>
                <w:sz w:val="24"/>
                <w:szCs w:val="24"/>
              </w:rPr>
              <w:t>特殊情况，双方协商解决。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289" w:hRule="atLeast"/>
          <w:jc w:val="center"/>
        </w:trPr>
        <w:tc>
          <w:tcPr>
            <w:tcW w:w="1902" w:type="dxa"/>
            <w:shd w:val="clear" w:color="000000" w:fill="auto"/>
            <w:vAlign w:val="center"/>
          </w:tcPr>
          <w:p>
            <w:pPr>
              <w:spacing w:line="400" w:lineRule="atLeast"/>
              <w:jc w:val="center"/>
              <w:rPr>
                <w:rFonts w:ascii="宋体" w:cs="宋体"/>
                <w:sz w:val="22"/>
                <w:lang w:val="zh-CN"/>
              </w:rPr>
            </w:pPr>
            <w:r>
              <w:rPr>
                <w:rFonts w:hint="eastAsia" w:ascii="宋体" w:cs="宋体"/>
                <w:sz w:val="24"/>
                <w:szCs w:val="24"/>
                <w:lang w:val="zh-CN"/>
              </w:rPr>
              <w:t>二级故障</w:t>
            </w:r>
          </w:p>
        </w:tc>
        <w:tc>
          <w:tcPr>
            <w:tcW w:w="1842" w:type="dxa"/>
            <w:vMerge w:val="continue"/>
            <w:shd w:val="clear" w:color="000000" w:fill="auto"/>
            <w:vAlign w:val="center"/>
          </w:tcPr>
          <w:p>
            <w:pPr>
              <w:spacing w:before="120" w:after="120" w:line="360" w:lineRule="auto"/>
              <w:jc w:val="left"/>
              <w:rPr>
                <w:sz w:val="22"/>
                <w:lang w:val="zh-CN"/>
              </w:rPr>
            </w:pPr>
          </w:p>
        </w:tc>
        <w:tc>
          <w:tcPr>
            <w:tcW w:w="1701" w:type="dxa"/>
            <w:shd w:val="clear" w:color="000000" w:fill="auto"/>
            <w:vAlign w:val="center"/>
          </w:tcPr>
          <w:p>
            <w:pPr>
              <w:spacing w:line="400" w:lineRule="atLeast"/>
              <w:jc w:val="center"/>
              <w:rPr>
                <w:sz w:val="22"/>
                <w:lang w:val="zh-CN"/>
              </w:rPr>
            </w:pPr>
            <w:r>
              <w:rPr>
                <w:sz w:val="24"/>
                <w:szCs w:val="24"/>
              </w:rPr>
              <w:t>48</w:t>
            </w:r>
            <w:r>
              <w:rPr>
                <w:sz w:val="24"/>
                <w:szCs w:val="24"/>
                <w:lang w:val="zh-CN"/>
              </w:rPr>
              <w:t>小时</w:t>
            </w:r>
          </w:p>
        </w:tc>
        <w:tc>
          <w:tcPr>
            <w:tcW w:w="1617" w:type="dxa"/>
            <w:vMerge w:val="continue"/>
            <w:shd w:val="clear" w:color="000000" w:fill="auto"/>
            <w:vAlign w:val="center"/>
          </w:tcPr>
          <w:p>
            <w:pPr>
              <w:spacing w:line="400" w:lineRule="atLeast"/>
              <w:jc w:val="center"/>
              <w:rPr>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166" w:hRule="atLeast"/>
          <w:jc w:val="center"/>
        </w:trPr>
        <w:tc>
          <w:tcPr>
            <w:tcW w:w="1902" w:type="dxa"/>
            <w:shd w:val="clear" w:color="000000" w:fill="auto"/>
            <w:vAlign w:val="center"/>
          </w:tcPr>
          <w:p>
            <w:pPr>
              <w:spacing w:line="400" w:lineRule="atLeast"/>
              <w:jc w:val="center"/>
              <w:rPr>
                <w:rFonts w:ascii="宋体" w:cs="宋体"/>
                <w:sz w:val="22"/>
                <w:lang w:val="zh-CN"/>
              </w:rPr>
            </w:pPr>
            <w:r>
              <w:rPr>
                <w:rFonts w:hint="eastAsia" w:ascii="宋体" w:cs="宋体"/>
                <w:sz w:val="24"/>
                <w:szCs w:val="24"/>
                <w:lang w:val="zh-CN"/>
              </w:rPr>
              <w:t>三级故障</w:t>
            </w:r>
          </w:p>
        </w:tc>
        <w:tc>
          <w:tcPr>
            <w:tcW w:w="1842" w:type="dxa"/>
            <w:vMerge w:val="continue"/>
            <w:shd w:val="clear" w:color="000000" w:fill="auto"/>
            <w:vAlign w:val="center"/>
          </w:tcPr>
          <w:p>
            <w:pPr>
              <w:spacing w:before="120" w:after="120" w:line="360" w:lineRule="auto"/>
              <w:jc w:val="left"/>
              <w:rPr>
                <w:sz w:val="22"/>
                <w:lang w:val="zh-CN"/>
              </w:rPr>
            </w:pPr>
          </w:p>
        </w:tc>
        <w:tc>
          <w:tcPr>
            <w:tcW w:w="1701" w:type="dxa"/>
            <w:shd w:val="clear" w:color="000000" w:fill="auto"/>
            <w:vAlign w:val="center"/>
          </w:tcPr>
          <w:p>
            <w:pPr>
              <w:spacing w:line="400" w:lineRule="atLeast"/>
              <w:jc w:val="center"/>
              <w:rPr>
                <w:sz w:val="22"/>
                <w:lang w:val="zh-CN"/>
              </w:rPr>
            </w:pPr>
            <w:r>
              <w:rPr>
                <w:sz w:val="24"/>
                <w:szCs w:val="24"/>
              </w:rPr>
              <w:t>72</w:t>
            </w:r>
            <w:r>
              <w:rPr>
                <w:sz w:val="24"/>
                <w:szCs w:val="24"/>
                <w:lang w:val="zh-CN"/>
              </w:rPr>
              <w:t>小时</w:t>
            </w:r>
          </w:p>
        </w:tc>
        <w:tc>
          <w:tcPr>
            <w:tcW w:w="1617" w:type="dxa"/>
            <w:vMerge w:val="continue"/>
            <w:shd w:val="clear" w:color="000000" w:fill="auto"/>
            <w:vAlign w:val="center"/>
          </w:tcPr>
          <w:p>
            <w:pPr>
              <w:spacing w:line="400" w:lineRule="atLeast"/>
              <w:jc w:val="center"/>
              <w:rPr>
                <w:sz w:val="24"/>
                <w:szCs w:val="24"/>
              </w:rPr>
            </w:pPr>
          </w:p>
        </w:tc>
      </w:tr>
    </w:tbl>
    <w:p>
      <w:pPr>
        <w:spacing w:line="520" w:lineRule="exact"/>
        <w:ind w:firstLine="480"/>
        <w:rPr>
          <w:rFonts w:ascii="宋体" w:cs="宋体"/>
          <w:sz w:val="24"/>
          <w:szCs w:val="24"/>
          <w:lang w:val="zh-CN"/>
        </w:rPr>
      </w:pPr>
      <w:r>
        <w:rPr>
          <w:rFonts w:hint="eastAsia" w:ascii="宋体" w:cs="宋体"/>
          <w:sz w:val="24"/>
          <w:szCs w:val="24"/>
          <w:lang w:val="zh-CN"/>
        </w:rPr>
        <w:t>③投标人在故障修复后应做好详细的故障记录，以备采购人事后查询。记录至少包括以下内容：故障时间、修复时间、故障现象、处理过程、处理结果等内容。必要时提供故障原因分析和预防性维护建议。</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（2）应急演练服务</w:t>
      </w:r>
    </w:p>
    <w:p>
      <w:pPr>
        <w:spacing w:line="520" w:lineRule="exact"/>
        <w:ind w:firstLine="480"/>
        <w:rPr>
          <w:rFonts w:ascii="宋体" w:cs="宋体"/>
          <w:sz w:val="24"/>
          <w:szCs w:val="24"/>
          <w:lang w:val="zh-CN"/>
        </w:rPr>
      </w:pPr>
      <w:r>
        <w:rPr>
          <w:rFonts w:hint="eastAsia" w:ascii="宋体" w:cs="宋体"/>
          <w:sz w:val="24"/>
          <w:szCs w:val="24"/>
          <w:lang w:val="zh-CN"/>
        </w:rPr>
        <w:t>除对突发故障的应急支持外，投标人要充分保障日常对业务系统软硬件的应急灾备恢复预案，制定应急演练方案，并通过定期的演练加强应对突发事故的意识和流程。具体要求如下：</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①</w:t>
      </w:r>
      <w:r>
        <w:rPr>
          <w:rFonts w:hint="eastAsia" w:ascii="宋体" w:cs="宋体"/>
          <w:sz w:val="24"/>
          <w:szCs w:val="24"/>
          <w:lang w:val="zh-CN"/>
        </w:rPr>
        <w:t>投标人应提供应急恢复方案与预演服务，确保采购人设备发生故障或面对意外灾难时，相关服务能在最短的时间内得以恢复以使正常的运行继续进行，将损失降低到最小限度。</w:t>
      </w:r>
    </w:p>
    <w:p>
      <w:pPr>
        <w:spacing w:line="520" w:lineRule="exact"/>
        <w:ind w:firstLine="480"/>
        <w:rPr>
          <w:rFonts w:ascii="宋体" w:cs="宋体"/>
          <w:sz w:val="24"/>
          <w:szCs w:val="24"/>
          <w:lang w:val="zh-CN"/>
        </w:rPr>
      </w:pPr>
      <w:r>
        <w:rPr>
          <w:rFonts w:hint="eastAsia" w:ascii="仿宋" w:hAnsi="仿宋" w:eastAsia="仿宋" w:cs="宋体"/>
          <w:sz w:val="24"/>
          <w:szCs w:val="24"/>
          <w:lang w:val="zh-CN"/>
        </w:rPr>
        <w:t>②</w:t>
      </w:r>
      <w:r>
        <w:rPr>
          <w:rFonts w:hint="eastAsia" w:ascii="宋体" w:cs="宋体"/>
          <w:sz w:val="24"/>
          <w:szCs w:val="24"/>
          <w:lang w:val="zh-CN"/>
        </w:rPr>
        <w:t>根据采购人业务需求和服务质量要求，投标人配合采购人确定应急恢复计划的范围与目标，设计提供应急恢复方案，以保证采购人业务的持续性和可用性；</w:t>
      </w:r>
    </w:p>
    <w:p>
      <w:pPr>
        <w:spacing w:line="520" w:lineRule="exact"/>
        <w:ind w:firstLine="480"/>
        <w:rPr>
          <w:rFonts w:ascii="宋体" w:cs="宋体"/>
          <w:sz w:val="24"/>
          <w:szCs w:val="24"/>
          <w:lang w:val="zh-CN"/>
        </w:rPr>
      </w:pPr>
      <w:r>
        <w:rPr>
          <w:rFonts w:hint="eastAsia" w:ascii="宋体" w:cs="宋体"/>
          <w:sz w:val="24"/>
          <w:szCs w:val="24"/>
          <w:lang w:val="zh-CN"/>
        </w:rPr>
        <w:t>③应急恢复方案设计完成后，双方应共同参与、完成应急恢复方案的测试预演，以确定其是否满足采购人业务需要和达到设定的恢复目标；</w:t>
      </w:r>
    </w:p>
    <w:p>
      <w:pPr>
        <w:spacing w:line="520" w:lineRule="exact"/>
        <w:ind w:firstLine="480"/>
        <w:rPr>
          <w:rFonts w:ascii="宋体" w:cs="宋体"/>
          <w:sz w:val="24"/>
          <w:szCs w:val="24"/>
          <w:lang w:val="zh-CN"/>
        </w:rPr>
      </w:pPr>
      <w:r>
        <w:rPr>
          <w:rFonts w:hint="eastAsia" w:ascii="宋体" w:cs="宋体"/>
          <w:sz w:val="24"/>
          <w:szCs w:val="24"/>
          <w:lang w:val="zh-CN"/>
        </w:rPr>
        <w:t>④投标人应负责对采购人的技术人员进行应急方案操作培训以确保需要时可以立即启动；</w:t>
      </w:r>
    </w:p>
    <w:p>
      <w:pPr>
        <w:spacing w:line="520" w:lineRule="exact"/>
        <w:ind w:firstLine="480"/>
        <w:rPr>
          <w:rFonts w:ascii="宋体" w:cs="宋体"/>
          <w:sz w:val="24"/>
          <w:szCs w:val="24"/>
          <w:lang w:val="zh-CN"/>
        </w:rPr>
      </w:pPr>
      <w:r>
        <w:rPr>
          <w:rFonts w:hint="eastAsia" w:ascii="宋体" w:cs="宋体"/>
          <w:sz w:val="24"/>
          <w:szCs w:val="24"/>
          <w:lang w:val="zh-CN"/>
        </w:rPr>
        <w:t>⑤投标人运维周期内须至少开展 1 次模拟故障演练。制定演练计划，并派出技术人员到演练现场进行模拟故障演练，以检验和提高相应的服务水平。</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（3）重要保障服务</w:t>
      </w:r>
    </w:p>
    <w:p>
      <w:pPr>
        <w:spacing w:line="520" w:lineRule="exact"/>
        <w:ind w:firstLine="480"/>
        <w:rPr>
          <w:rFonts w:ascii="宋体" w:cs="宋体"/>
          <w:sz w:val="24"/>
          <w:szCs w:val="24"/>
          <w:lang w:val="zh-CN"/>
        </w:rPr>
      </w:pPr>
      <w:r>
        <w:rPr>
          <w:rFonts w:hint="eastAsia" w:ascii="宋体" w:cs="宋体"/>
          <w:sz w:val="24"/>
          <w:szCs w:val="24"/>
          <w:lang w:val="zh-CN"/>
        </w:rPr>
        <w:t>投标人在运维期间应为采购方提供重要时间段现场业务保障及其他非工作时间应急保障服务，</w:t>
      </w:r>
      <w:r>
        <w:rPr>
          <w:rFonts w:hint="eastAsia" w:ascii="宋体" w:cs="宋体"/>
          <w:sz w:val="24"/>
          <w:szCs w:val="24"/>
        </w:rPr>
        <w:t>并在投标文件中提供切实可行的保障服务方案，</w:t>
      </w:r>
      <w:r>
        <w:rPr>
          <w:rFonts w:ascii="宋体" w:cs="宋体"/>
          <w:sz w:val="24"/>
          <w:szCs w:val="24"/>
        </w:rPr>
        <w:t>提供</w:t>
      </w:r>
      <w:r>
        <w:rPr>
          <w:rFonts w:hint="eastAsia" w:ascii="宋体" w:cs="宋体"/>
          <w:sz w:val="24"/>
          <w:szCs w:val="24"/>
        </w:rPr>
        <w:t>的</w:t>
      </w:r>
      <w:r>
        <w:rPr>
          <w:rFonts w:ascii="宋体" w:cs="宋体"/>
          <w:sz w:val="24"/>
          <w:szCs w:val="24"/>
        </w:rPr>
        <w:t>服务</w:t>
      </w:r>
      <w:r>
        <w:rPr>
          <w:rFonts w:hint="eastAsia" w:ascii="宋体" w:cs="宋体"/>
          <w:sz w:val="24"/>
          <w:szCs w:val="24"/>
        </w:rPr>
        <w:t>保障方案必须有明确的实施计划和切实可行的保障措施，重点要体现保障人员安排、响应时间、保障内容、保障方式、保障资源支撑等。服务方案要切实可行，提供相关测算依据或证明材料。</w:t>
      </w:r>
      <w:r>
        <w:rPr>
          <w:rFonts w:hint="eastAsia" w:ascii="宋体" w:cs="宋体"/>
          <w:sz w:val="24"/>
          <w:szCs w:val="24"/>
          <w:lang w:val="zh-CN"/>
        </w:rPr>
        <w:t>此外，要提供承诺函（格式见附件）。具体要求如下：</w:t>
      </w:r>
    </w:p>
    <w:p>
      <w:pPr>
        <w:spacing w:line="520" w:lineRule="exact"/>
        <w:ind w:firstLine="480" w:firstLineChars="200"/>
        <w:rPr>
          <w:rFonts w:ascii="宋体" w:cs="宋体"/>
          <w:sz w:val="24"/>
          <w:szCs w:val="24"/>
          <w:lang w:val="zh-CN"/>
        </w:rPr>
      </w:pPr>
      <w:r>
        <w:rPr>
          <w:rFonts w:hint="eastAsia" w:ascii="宋体" w:hAnsi="宋体" w:cs="宋体"/>
          <w:sz w:val="24"/>
          <w:szCs w:val="24"/>
        </w:rPr>
        <w:t>①重要时间段现场保障：</w:t>
      </w:r>
      <w:r>
        <w:rPr>
          <w:rFonts w:hint="eastAsia" w:ascii="宋体" w:cs="宋体"/>
          <w:sz w:val="24"/>
          <w:szCs w:val="24"/>
          <w:lang w:val="zh-CN"/>
        </w:rPr>
        <w:t>根据采购人的具体要求提供重要时间段，包含节假日（包括春节、五一、国庆以及其他法定节日</w:t>
      </w:r>
      <w:r>
        <w:rPr>
          <w:rFonts w:hint="eastAsia" w:ascii="宋体" w:cs="宋体"/>
          <w:sz w:val="24"/>
          <w:szCs w:val="24"/>
        </w:rPr>
        <w:t>等</w:t>
      </w:r>
      <w:r>
        <w:rPr>
          <w:rFonts w:hint="eastAsia" w:ascii="宋体" w:cs="宋体"/>
          <w:sz w:val="24"/>
          <w:szCs w:val="24"/>
          <w:lang w:val="zh-CN"/>
        </w:rPr>
        <w:t>）、重要活动保障、恶劣天气保障期间的</w:t>
      </w:r>
      <w:r>
        <w:rPr>
          <w:sz w:val="24"/>
          <w:szCs w:val="24"/>
          <w:lang w:val="zh-CN"/>
        </w:rPr>
        <w:t>7*</w:t>
      </w:r>
      <w:r>
        <w:rPr>
          <w:sz w:val="24"/>
          <w:szCs w:val="24"/>
        </w:rPr>
        <w:t>24</w:t>
      </w:r>
      <w:r>
        <w:rPr>
          <w:rFonts w:hint="eastAsia" w:ascii="宋体" w:cs="宋体"/>
          <w:sz w:val="24"/>
          <w:szCs w:val="24"/>
          <w:lang w:val="zh-CN"/>
        </w:rPr>
        <w:t>小时至少1名人员现场值班值守服务。保障前服从统一指挥和调度，调用有关应急保障资源。对相关系统、相关设备进行全面体检，及时发现并排除隐患。保障期间全天候监控系统运行状况，第一时间发现故障、解决故障、恢复业务。</w:t>
      </w:r>
    </w:p>
    <w:p>
      <w:pPr>
        <w:spacing w:line="520" w:lineRule="exact"/>
        <w:ind w:firstLine="480"/>
        <w:rPr>
          <w:rFonts w:hint="eastAsia" w:ascii="宋体" w:hAnsi="宋体" w:cs="宋体"/>
          <w:sz w:val="24"/>
          <w:szCs w:val="24"/>
          <w:lang w:val="zh-CN"/>
        </w:rPr>
      </w:pPr>
      <w:r>
        <w:rPr>
          <w:rFonts w:hint="eastAsia" w:ascii="宋体" w:hAnsi="宋体" w:cs="宋体"/>
          <w:sz w:val="24"/>
          <w:szCs w:val="24"/>
          <w:lang w:val="zh-CN"/>
        </w:rPr>
        <w:t>②其他非工作时间应急保障：日常5*8工作时间及重要时间段7*24小时保障时间之外的其他非工作时间，投标人仍应做好驻场人员值班值守安排，确保</w:t>
      </w:r>
      <w:r>
        <w:rPr>
          <w:rFonts w:hint="eastAsia" w:ascii="宋体" w:hAnsi="宋体" w:cs="宋体"/>
          <w:sz w:val="24"/>
          <w:szCs w:val="24"/>
        </w:rPr>
        <w:t>在任何情况下</w:t>
      </w:r>
      <w:r>
        <w:rPr>
          <w:rFonts w:hint="eastAsia" w:ascii="宋体" w:hAnsi="宋体" w:cs="宋体"/>
          <w:sz w:val="24"/>
          <w:szCs w:val="24"/>
          <w:lang w:val="zh-CN"/>
        </w:rPr>
        <w:t>，至少有1名人员</w:t>
      </w:r>
      <w:r>
        <w:rPr>
          <w:rFonts w:hint="eastAsia" w:ascii="宋体" w:hAnsi="宋体" w:cs="宋体"/>
          <w:sz w:val="24"/>
          <w:szCs w:val="24"/>
        </w:rPr>
        <w:t>必须能够在</w:t>
      </w:r>
      <w:r>
        <w:rPr>
          <w:rFonts w:hint="eastAsia" w:ascii="宋体" w:hAnsi="宋体" w:cs="宋体"/>
          <w:sz w:val="24"/>
          <w:szCs w:val="24"/>
          <w:lang w:val="zh-CN"/>
        </w:rPr>
        <w:t>10分钟之内到达</w:t>
      </w:r>
      <w:r>
        <w:rPr>
          <w:rFonts w:hint="eastAsia" w:ascii="宋体" w:hAnsi="宋体" w:cs="宋体"/>
          <w:sz w:val="24"/>
          <w:szCs w:val="24"/>
        </w:rPr>
        <w:t>省站信息网络</w:t>
      </w:r>
      <w:r>
        <w:rPr>
          <w:rFonts w:hint="eastAsia" w:ascii="宋体" w:hAnsi="宋体" w:cs="宋体"/>
          <w:sz w:val="24"/>
          <w:szCs w:val="24"/>
          <w:lang w:val="zh-CN"/>
        </w:rPr>
        <w:t>机房，现场进行</w:t>
      </w:r>
      <w:r>
        <w:rPr>
          <w:rFonts w:hint="eastAsia" w:ascii="宋体" w:hAnsi="宋体" w:cs="宋体"/>
          <w:sz w:val="24"/>
          <w:szCs w:val="24"/>
        </w:rPr>
        <w:t>各类</w:t>
      </w:r>
      <w:r>
        <w:rPr>
          <w:rFonts w:hint="eastAsia" w:ascii="宋体" w:hAnsi="宋体" w:cs="宋体"/>
          <w:sz w:val="24"/>
          <w:szCs w:val="24"/>
          <w:lang w:val="zh-CN"/>
        </w:rPr>
        <w:t>应急处置</w:t>
      </w:r>
      <w:r>
        <w:rPr>
          <w:rFonts w:hint="eastAsia" w:ascii="宋体" w:hAnsi="宋体" w:cs="宋体"/>
          <w:sz w:val="24"/>
          <w:szCs w:val="24"/>
        </w:rPr>
        <w:t>和按照采购人要求开展具体保障工作</w:t>
      </w:r>
      <w:r>
        <w:rPr>
          <w:rFonts w:hint="eastAsia" w:ascii="宋体" w:hAnsi="宋体" w:cs="宋体"/>
          <w:sz w:val="24"/>
          <w:szCs w:val="24"/>
          <w:lang w:val="zh-CN"/>
        </w:rPr>
        <w:t>。该时间段要求运维人员仍需做好信息网络机房相关告警远程监控工作，及时发现并处置相关告警及故障。</w:t>
      </w:r>
    </w:p>
    <w:p>
      <w:pPr>
        <w:spacing w:line="520" w:lineRule="exact"/>
        <w:ind w:firstLine="480"/>
        <w:rPr>
          <w:rFonts w:ascii="楷体_GB2312" w:eastAsia="楷体_GB2312" w:cs="楷体_GB2312"/>
          <w:b/>
          <w:bCs/>
          <w:sz w:val="24"/>
          <w:szCs w:val="24"/>
          <w:lang w:val="zh-CN"/>
        </w:rPr>
      </w:pPr>
      <w:r>
        <w:rPr>
          <w:rFonts w:hint="eastAsia" w:ascii="楷体_GB2312" w:eastAsia="楷体_GB2312" w:cs="楷体_GB2312"/>
          <w:b/>
          <w:bCs/>
          <w:sz w:val="24"/>
          <w:szCs w:val="24"/>
          <w:lang w:val="zh-CN"/>
        </w:rPr>
        <w:t>3、运维团队服务</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（1）属地化服务要求</w:t>
      </w:r>
    </w:p>
    <w:p>
      <w:pPr>
        <w:spacing w:line="520" w:lineRule="exact"/>
        <w:ind w:firstLine="480"/>
        <w:rPr>
          <w:rFonts w:ascii="宋体" w:cs="宋体"/>
          <w:sz w:val="24"/>
          <w:szCs w:val="24"/>
          <w:lang w:val="zh-CN"/>
        </w:rPr>
      </w:pPr>
      <w:r>
        <w:rPr>
          <w:rFonts w:hint="eastAsia" w:ascii="宋体" w:cs="宋体"/>
          <w:sz w:val="24"/>
          <w:szCs w:val="24"/>
          <w:lang w:val="zh-CN"/>
        </w:rPr>
        <w:t>针对采购人运维任务，投标人必须在南京本地安排有正式稳定的技术服务团队，能为采购人提供</w:t>
      </w:r>
      <w:r>
        <w:rPr>
          <w:sz w:val="24"/>
          <w:szCs w:val="24"/>
        </w:rPr>
        <w:t>7</w:t>
      </w:r>
      <w:r>
        <w:rPr>
          <w:sz w:val="24"/>
          <w:szCs w:val="24"/>
          <w:lang w:val="zh-CN"/>
        </w:rPr>
        <w:t>天×</w:t>
      </w:r>
      <w:r>
        <w:rPr>
          <w:sz w:val="24"/>
          <w:szCs w:val="24"/>
        </w:rPr>
        <w:t>24</w:t>
      </w:r>
      <w:r>
        <w:rPr>
          <w:sz w:val="24"/>
          <w:szCs w:val="24"/>
          <w:lang w:val="zh-CN"/>
        </w:rPr>
        <w:t>小时</w:t>
      </w:r>
      <w:r>
        <w:rPr>
          <w:rFonts w:hint="eastAsia" w:ascii="宋体" w:cs="宋体"/>
          <w:sz w:val="24"/>
          <w:szCs w:val="24"/>
          <w:lang w:val="zh-CN"/>
        </w:rPr>
        <w:t>的技术支持服务（含国家法定假日），随时提供有效的技术服务与技术支持。未经采购人同意，中标方不得随意调动、调换人员。</w:t>
      </w:r>
    </w:p>
    <w:p>
      <w:pPr>
        <w:spacing w:line="520" w:lineRule="exact"/>
        <w:ind w:firstLine="480"/>
        <w:rPr>
          <w:rFonts w:ascii="楷体_GB2312" w:eastAsia="楷体_GB2312" w:cs="楷体_GB2312"/>
          <w:b/>
          <w:bCs/>
          <w:sz w:val="24"/>
          <w:szCs w:val="24"/>
          <w:lang w:val="zh-CN"/>
        </w:rPr>
      </w:pPr>
      <w:r>
        <w:rPr>
          <w:rFonts w:hint="eastAsia" w:ascii="楷体_GB2312" w:eastAsia="楷体_GB2312" w:cs="楷体_GB2312"/>
          <w:b/>
          <w:bCs/>
          <w:sz w:val="24"/>
          <w:szCs w:val="24"/>
          <w:lang w:val="zh-CN"/>
        </w:rPr>
        <w:t>（2）供应商实力要求</w:t>
      </w:r>
    </w:p>
    <w:p>
      <w:pPr>
        <w:spacing w:line="520" w:lineRule="exact"/>
        <w:ind w:firstLine="480"/>
        <w:rPr>
          <w:rFonts w:ascii="宋体" w:cs="宋体"/>
          <w:sz w:val="24"/>
          <w:szCs w:val="24"/>
          <w:lang w:val="zh-CN"/>
        </w:rPr>
      </w:pPr>
      <w:r>
        <w:rPr>
          <w:rFonts w:hint="eastAsia" w:ascii="宋体" w:cs="宋体"/>
          <w:sz w:val="24"/>
          <w:szCs w:val="24"/>
          <w:lang w:val="zh-CN"/>
        </w:rPr>
        <w:t>投标人应具备承接本项目所需的专业技术能力及实力。具体要求如下：</w:t>
      </w:r>
    </w:p>
    <w:p>
      <w:pPr>
        <w:spacing w:line="520" w:lineRule="exact"/>
        <w:ind w:firstLine="480"/>
        <w:rPr>
          <w:rFonts w:hint="eastAsia" w:ascii="宋体" w:hAnsi="宋体" w:cs="宋体"/>
          <w:sz w:val="24"/>
          <w:szCs w:val="24"/>
          <w:lang w:val="zh-CN"/>
        </w:rPr>
      </w:pPr>
      <w:r>
        <w:rPr>
          <w:rFonts w:hint="eastAsia" w:ascii="宋体" w:hAnsi="宋体" w:cs="宋体"/>
          <w:sz w:val="24"/>
          <w:szCs w:val="24"/>
          <w:lang w:val="zh-CN"/>
        </w:rPr>
        <w:t>①</w:t>
      </w:r>
      <w:r>
        <w:rPr>
          <w:rFonts w:hint="eastAsia" w:ascii="宋体" w:cs="宋体"/>
          <w:sz w:val="24"/>
          <w:szCs w:val="24"/>
          <w:lang w:val="zh-CN"/>
        </w:rPr>
        <w:t>投标人</w:t>
      </w:r>
      <w:r>
        <w:rPr>
          <w:rFonts w:hint="eastAsia" w:ascii="宋体" w:hAnsi="宋体" w:cs="宋体"/>
          <w:sz w:val="24"/>
          <w:szCs w:val="24"/>
          <w:lang w:val="zh-CN"/>
        </w:rPr>
        <w:t>具备有效期内</w:t>
      </w:r>
      <w:r>
        <w:rPr>
          <w:rFonts w:ascii="宋体" w:hAnsi="宋体" w:cs="宋体"/>
          <w:sz w:val="24"/>
          <w:szCs w:val="24"/>
          <w:lang w:val="zh-CN"/>
        </w:rPr>
        <w:t>中国电子工业标准化技术协会信息技术服务分会</w:t>
      </w:r>
      <w:r>
        <w:rPr>
          <w:rFonts w:hint="eastAsia" w:ascii="宋体" w:hAnsi="宋体" w:cs="宋体"/>
          <w:sz w:val="24"/>
          <w:szCs w:val="24"/>
          <w:lang w:val="zh-CN"/>
        </w:rPr>
        <w:t>颁发的ITSS信息技术服务标准符合性证书（运行维护领域）、中国网络安全审查认证和市场监管大数据中心（CCRC）颁发的信息安全服务资质（信息系统安全运维服务资质）认证证书。</w:t>
      </w:r>
    </w:p>
    <w:p>
      <w:pPr>
        <w:spacing w:line="520" w:lineRule="exact"/>
        <w:ind w:firstLine="480" w:firstLineChars="200"/>
        <w:rPr>
          <w:rFonts w:ascii="宋体" w:cs="宋体"/>
          <w:sz w:val="24"/>
          <w:szCs w:val="24"/>
          <w:lang w:val="zh-CN"/>
        </w:rPr>
      </w:pPr>
      <w:r>
        <w:rPr>
          <w:rFonts w:hint="eastAsia" w:ascii="宋体" w:hAnsi="宋体" w:cs="宋体"/>
          <w:sz w:val="24"/>
          <w:szCs w:val="24"/>
          <w:lang w:val="zh-CN"/>
        </w:rPr>
        <w:t>②</w:t>
      </w:r>
      <w:r>
        <w:rPr>
          <w:rFonts w:hint="eastAsia" w:ascii="宋体" w:cs="宋体"/>
          <w:sz w:val="24"/>
          <w:szCs w:val="24"/>
          <w:lang w:val="zh-CN"/>
        </w:rPr>
        <w:t>投标人需具备对</w:t>
      </w:r>
      <w:r>
        <w:rPr>
          <w:sz w:val="24"/>
          <w:szCs w:val="24"/>
        </w:rPr>
        <w:t>JAVA</w:t>
      </w:r>
      <w:r>
        <w:rPr>
          <w:sz w:val="24"/>
          <w:szCs w:val="24"/>
          <w:lang w:val="zh-CN"/>
        </w:rPr>
        <w:t>、</w:t>
      </w:r>
      <w:r>
        <w:rPr>
          <w:sz w:val="24"/>
          <w:szCs w:val="24"/>
        </w:rPr>
        <w:t>C++</w:t>
      </w:r>
      <w:r>
        <w:rPr>
          <w:sz w:val="24"/>
          <w:szCs w:val="24"/>
          <w:lang w:val="zh-CN"/>
        </w:rPr>
        <w:t>、</w:t>
      </w:r>
      <w:r>
        <w:rPr>
          <w:sz w:val="24"/>
          <w:szCs w:val="24"/>
        </w:rPr>
        <w:t>Mysql、</w:t>
      </w:r>
      <w:r>
        <w:rPr>
          <w:rFonts w:hint="eastAsia" w:cs="Calibri"/>
          <w:sz w:val="24"/>
          <w:szCs w:val="24"/>
        </w:rPr>
        <w:t>国产操作系统及数据库</w:t>
      </w:r>
      <w:r>
        <w:rPr>
          <w:rFonts w:hint="eastAsia" w:ascii="宋体" w:cs="宋体"/>
          <w:sz w:val="24"/>
          <w:szCs w:val="24"/>
          <w:lang w:val="zh-CN"/>
        </w:rPr>
        <w:t>等研发系统和平台较强的开发运用实力。同时，需具备能够快速分析源代码，并转化为对软件产品进行运维的实力。</w:t>
      </w:r>
    </w:p>
    <w:p>
      <w:pPr>
        <w:spacing w:line="520" w:lineRule="exact"/>
        <w:ind w:firstLine="480" w:firstLineChars="200"/>
        <w:rPr>
          <w:rFonts w:ascii="宋体" w:cs="宋体"/>
          <w:sz w:val="24"/>
          <w:szCs w:val="24"/>
          <w:lang w:val="zh-CN"/>
        </w:rPr>
      </w:pPr>
      <w:r>
        <w:rPr>
          <w:rFonts w:hint="eastAsia" w:ascii="宋体" w:hAnsi="宋体" w:cs="宋体"/>
          <w:sz w:val="24"/>
          <w:szCs w:val="24"/>
          <w:lang w:val="zh-CN"/>
        </w:rPr>
        <w:t>③</w:t>
      </w:r>
      <w:r>
        <w:rPr>
          <w:rFonts w:hint="eastAsia" w:ascii="宋体" w:cs="宋体"/>
          <w:sz w:val="24"/>
          <w:szCs w:val="24"/>
          <w:lang w:val="zh-CN"/>
        </w:rPr>
        <w:t>投标人应具备</w:t>
      </w:r>
      <w:r>
        <w:rPr>
          <w:rFonts w:ascii="宋体" w:cs="宋体"/>
          <w:sz w:val="24"/>
          <w:szCs w:val="24"/>
          <w:lang w:val="zh-CN"/>
        </w:rPr>
        <w:t>202</w:t>
      </w:r>
      <w:r>
        <w:rPr>
          <w:rFonts w:hint="eastAsia" w:ascii="宋体" w:cs="宋体"/>
          <w:sz w:val="24"/>
          <w:szCs w:val="24"/>
          <w:lang w:val="zh-CN"/>
        </w:rPr>
        <w:t>3</w:t>
      </w:r>
      <w:r>
        <w:rPr>
          <w:rFonts w:ascii="宋体" w:cs="宋体"/>
          <w:sz w:val="24"/>
          <w:szCs w:val="24"/>
          <w:lang w:val="zh-CN"/>
        </w:rPr>
        <w:t>年1月1日</w:t>
      </w:r>
      <w:r>
        <w:rPr>
          <w:rFonts w:hint="eastAsia" w:ascii="宋体" w:cs="宋体"/>
          <w:sz w:val="24"/>
          <w:szCs w:val="24"/>
          <w:lang w:val="zh-CN"/>
        </w:rPr>
        <w:t>以来网络机房及信息系统运维服务项目或类似的成功案例（至少包含软件、机房、服务器、网络设备、安全设备、大屏显示系统等其中一类）。</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（3）运维服务团队资质要求</w:t>
      </w:r>
    </w:p>
    <w:p>
      <w:pPr>
        <w:spacing w:line="520" w:lineRule="exact"/>
        <w:ind w:firstLine="480"/>
        <w:rPr>
          <w:rFonts w:ascii="宋体" w:cs="宋体"/>
          <w:sz w:val="24"/>
          <w:szCs w:val="24"/>
          <w:lang w:val="zh-CN"/>
        </w:rPr>
      </w:pPr>
      <w:r>
        <w:rPr>
          <w:rFonts w:hint="eastAsia" w:ascii="宋体" w:cs="宋体"/>
          <w:sz w:val="24"/>
          <w:szCs w:val="24"/>
          <w:lang w:val="zh-CN"/>
        </w:rPr>
        <w:t>按照采购人信息化运维要求，投标人需提供若干名工作人员组成运维服务团队，提供专业运维服务，团队专业方向覆盖网络、服务器、数据库、超融合、安全、基础设施（含电力、空调）等方面。具体要求如下：</w:t>
      </w:r>
    </w:p>
    <w:p>
      <w:pPr>
        <w:spacing w:line="520" w:lineRule="exact"/>
        <w:ind w:firstLine="480" w:firstLineChars="200"/>
        <w:rPr>
          <w:rFonts w:ascii="宋体" w:cs="宋体"/>
          <w:sz w:val="24"/>
          <w:szCs w:val="24"/>
          <w:lang w:val="zh-CN"/>
        </w:rPr>
      </w:pPr>
      <w:r>
        <w:rPr>
          <w:rFonts w:hint="eastAsia" w:ascii="宋体" w:hAnsi="宋体" w:cs="宋体"/>
          <w:sz w:val="24"/>
          <w:szCs w:val="24"/>
          <w:lang w:val="zh-CN"/>
        </w:rPr>
        <w:t>①</w:t>
      </w:r>
      <w:r>
        <w:rPr>
          <w:rFonts w:hint="eastAsia" w:ascii="宋体" w:cs="宋体"/>
          <w:sz w:val="24"/>
          <w:szCs w:val="24"/>
          <w:lang w:val="zh-CN"/>
        </w:rPr>
        <w:t>运维服务团队人员不低于</w:t>
      </w:r>
      <w:r>
        <w:rPr>
          <w:rFonts w:hint="eastAsia" w:ascii="宋体" w:cs="宋体"/>
          <w:sz w:val="24"/>
          <w:szCs w:val="24"/>
        </w:rPr>
        <w:t>7</w:t>
      </w:r>
      <w:r>
        <w:rPr>
          <w:rFonts w:hint="eastAsia" w:ascii="宋体" w:cs="宋体"/>
          <w:sz w:val="24"/>
          <w:szCs w:val="24"/>
          <w:lang w:val="zh-CN"/>
        </w:rPr>
        <w:t>人，至少应包括项目经理</w:t>
      </w:r>
      <w:r>
        <w:rPr>
          <w:rFonts w:ascii="宋体" w:cs="宋体"/>
          <w:sz w:val="24"/>
          <w:szCs w:val="24"/>
          <w:lang w:val="zh-CN"/>
        </w:rPr>
        <w:t>1</w:t>
      </w:r>
      <w:r>
        <w:rPr>
          <w:rFonts w:hint="eastAsia" w:ascii="宋体" w:cs="宋体"/>
          <w:sz w:val="24"/>
          <w:szCs w:val="24"/>
          <w:lang w:val="zh-CN"/>
        </w:rPr>
        <w:t>名，技术支撑工程师3名，驻场工程师3名。</w:t>
      </w:r>
    </w:p>
    <w:p>
      <w:pPr>
        <w:spacing w:line="520" w:lineRule="exact"/>
        <w:ind w:firstLine="480" w:firstLineChars="200"/>
        <w:rPr>
          <w:rFonts w:ascii="宋体" w:cs="宋体"/>
          <w:sz w:val="24"/>
          <w:szCs w:val="24"/>
          <w:lang w:val="zh-CN"/>
        </w:rPr>
      </w:pPr>
      <w:r>
        <w:rPr>
          <w:rFonts w:hint="eastAsia" w:ascii="宋体" w:hAnsi="宋体" w:cs="宋体"/>
          <w:sz w:val="24"/>
          <w:szCs w:val="24"/>
          <w:lang w:val="zh-CN"/>
        </w:rPr>
        <w:t>②</w:t>
      </w:r>
      <w:r>
        <w:rPr>
          <w:rFonts w:hint="eastAsia" w:ascii="宋体" w:cs="宋体"/>
          <w:sz w:val="24"/>
          <w:szCs w:val="24"/>
          <w:lang w:val="zh-CN"/>
        </w:rPr>
        <w:t>项目经理应具有</w:t>
      </w:r>
      <w:r>
        <w:rPr>
          <w:rFonts w:ascii="宋体" w:cs="宋体"/>
          <w:sz w:val="24"/>
          <w:szCs w:val="24"/>
          <w:lang w:val="zh-CN"/>
        </w:rPr>
        <w:t>ITSS服务</w:t>
      </w:r>
      <w:r>
        <w:rPr>
          <w:rFonts w:hint="eastAsia" w:ascii="宋体" w:cs="宋体"/>
          <w:sz w:val="24"/>
          <w:szCs w:val="24"/>
          <w:lang w:val="zh-CN"/>
        </w:rPr>
        <w:t>项目经理证书</w:t>
      </w:r>
      <w:r>
        <w:rPr>
          <w:rFonts w:hint="eastAsia" w:ascii="宋体" w:cs="宋体"/>
          <w:sz w:val="24"/>
          <w:szCs w:val="24"/>
        </w:rPr>
        <w:t>和</w:t>
      </w:r>
      <w:r>
        <w:rPr>
          <w:rFonts w:hint="eastAsia" w:ascii="宋体" w:hAnsi="宋体" w:cs="Calibri"/>
          <w:sz w:val="24"/>
          <w:szCs w:val="24"/>
        </w:rPr>
        <w:t>CISP证书</w:t>
      </w:r>
      <w:r>
        <w:rPr>
          <w:rFonts w:hint="eastAsia" w:ascii="宋体" w:cs="宋体"/>
          <w:sz w:val="24"/>
          <w:szCs w:val="24"/>
          <w:lang w:val="zh-CN"/>
        </w:rPr>
        <w:t>。</w:t>
      </w:r>
    </w:p>
    <w:p>
      <w:pPr>
        <w:numPr>
          <w:ilvl w:val="0"/>
          <w:numId w:val="5"/>
        </w:numPr>
        <w:spacing w:line="520" w:lineRule="exact"/>
        <w:ind w:left="0" w:firstLine="480"/>
        <w:rPr>
          <w:rFonts w:hint="eastAsia" w:ascii="宋体" w:hAnsi="宋体" w:cs="Calibri"/>
          <w:sz w:val="24"/>
          <w:szCs w:val="24"/>
        </w:rPr>
      </w:pPr>
      <w:r>
        <w:rPr>
          <w:rFonts w:hint="eastAsia" w:ascii="宋体" w:hAnsi="宋体" w:cs="Calibri"/>
          <w:sz w:val="24"/>
          <w:szCs w:val="24"/>
        </w:rPr>
        <w:t>其他人员（除项目经理外），应具有中级或以上级别工程师证书（机电、电子信息、计算机、软件等相关专业）、CISAW证书（信息安全保障人员认证）等一个或多个。</w:t>
      </w:r>
    </w:p>
    <w:p>
      <w:pPr>
        <w:spacing w:line="520" w:lineRule="exact"/>
        <w:ind w:firstLine="480"/>
        <w:rPr>
          <w:rFonts w:hint="eastAsia" w:ascii="宋体" w:hAnsi="宋体" w:cs="Calibri"/>
          <w:sz w:val="24"/>
          <w:szCs w:val="24"/>
        </w:rPr>
      </w:pPr>
      <w:r>
        <w:rPr>
          <w:rFonts w:hint="eastAsia" w:ascii="宋体" w:hAnsi="宋体" w:cs="Calibri"/>
          <w:sz w:val="24"/>
          <w:szCs w:val="24"/>
        </w:rPr>
        <w:t>④</w:t>
      </w:r>
      <w:r>
        <w:rPr>
          <w:rFonts w:ascii="宋体" w:hAnsi="宋体" w:cs="Calibri"/>
          <w:sz w:val="24"/>
          <w:szCs w:val="24"/>
        </w:rPr>
        <w:t>以上</w:t>
      </w:r>
      <w:r>
        <w:rPr>
          <w:rFonts w:hint="eastAsia" w:ascii="宋体" w:hAnsi="宋体" w:cs="Calibri"/>
          <w:sz w:val="24"/>
          <w:szCs w:val="24"/>
        </w:rPr>
        <w:t>相关证明</w:t>
      </w:r>
      <w:r>
        <w:rPr>
          <w:rFonts w:ascii="宋体" w:hAnsi="宋体" w:cs="Calibri"/>
          <w:sz w:val="24"/>
          <w:szCs w:val="24"/>
        </w:rPr>
        <w:t>需提供</w:t>
      </w:r>
      <w:r>
        <w:rPr>
          <w:rFonts w:hint="eastAsia" w:ascii="宋体" w:hAnsi="宋体" w:cs="Calibri"/>
          <w:sz w:val="24"/>
          <w:szCs w:val="24"/>
        </w:rPr>
        <w:t>相关</w:t>
      </w:r>
      <w:r>
        <w:rPr>
          <w:rFonts w:ascii="宋体" w:hAnsi="宋体" w:cs="Calibri"/>
          <w:sz w:val="24"/>
          <w:szCs w:val="24"/>
        </w:rPr>
        <w:t>证书扫描件以及</w:t>
      </w:r>
      <w:r>
        <w:rPr>
          <w:rFonts w:hint="eastAsia" w:ascii="宋体" w:hAnsi="宋体" w:cs="Calibri"/>
          <w:sz w:val="24"/>
          <w:szCs w:val="24"/>
        </w:rPr>
        <w:t>投标人</w:t>
      </w:r>
      <w:r>
        <w:rPr>
          <w:rFonts w:ascii="宋体" w:hAnsi="宋体" w:cs="Calibri"/>
          <w:sz w:val="24"/>
          <w:szCs w:val="24"/>
        </w:rPr>
        <w:t>为相关人员在距离投标文件递交截止时间前</w:t>
      </w:r>
      <w:r>
        <w:rPr>
          <w:rFonts w:hint="eastAsia" w:ascii="宋体" w:hAnsi="宋体" w:cs="Calibri"/>
          <w:sz w:val="24"/>
          <w:szCs w:val="24"/>
        </w:rPr>
        <w:t>1年内</w:t>
      </w:r>
      <w:r>
        <w:rPr>
          <w:rFonts w:ascii="宋体" w:hAnsi="宋体" w:cs="Calibri"/>
          <w:sz w:val="24"/>
          <w:szCs w:val="24"/>
        </w:rPr>
        <w:t>任意一个月缴纳社保的证明文件</w:t>
      </w:r>
      <w:r>
        <w:rPr>
          <w:rFonts w:hint="eastAsia" w:ascii="宋体" w:hAnsi="宋体" w:cs="Calibri"/>
          <w:sz w:val="24"/>
          <w:szCs w:val="24"/>
        </w:rPr>
        <w:t>。</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（4）驻场服务要求</w:t>
      </w:r>
    </w:p>
    <w:p>
      <w:pPr>
        <w:spacing w:line="520" w:lineRule="exact"/>
        <w:ind w:firstLine="480"/>
        <w:rPr>
          <w:rFonts w:ascii="宋体" w:cs="宋体"/>
          <w:sz w:val="24"/>
          <w:szCs w:val="24"/>
          <w:lang w:val="zh-CN"/>
        </w:rPr>
      </w:pPr>
      <w:r>
        <w:rPr>
          <w:rFonts w:hint="eastAsia" w:ascii="宋体" w:cs="宋体"/>
          <w:sz w:val="24"/>
          <w:szCs w:val="24"/>
          <w:lang w:val="zh-CN"/>
        </w:rPr>
        <w:t>驻场工程师至少应由3人组成，具体包含：</w:t>
      </w:r>
      <w:r>
        <w:rPr>
          <w:rFonts w:cs="Calibri"/>
          <w:sz w:val="24"/>
          <w:szCs w:val="24"/>
        </w:rPr>
        <w:t>1</w:t>
      </w:r>
      <w:r>
        <w:rPr>
          <w:rFonts w:hint="eastAsia" w:ascii="宋体" w:cs="宋体"/>
          <w:sz w:val="24"/>
          <w:szCs w:val="24"/>
          <w:lang w:val="zh-CN"/>
        </w:rPr>
        <w:t>名软件运维工程师，</w:t>
      </w:r>
      <w:r>
        <w:rPr>
          <w:rFonts w:cs="Calibri"/>
          <w:sz w:val="24"/>
          <w:szCs w:val="24"/>
        </w:rPr>
        <w:t>1</w:t>
      </w:r>
      <w:r>
        <w:rPr>
          <w:rFonts w:hint="eastAsia" w:ascii="宋体" w:cs="宋体"/>
          <w:sz w:val="24"/>
          <w:szCs w:val="24"/>
          <w:lang w:val="zh-CN"/>
        </w:rPr>
        <w:t>名IT运维工程师，</w:t>
      </w:r>
      <w:r>
        <w:rPr>
          <w:rFonts w:cs="Calibri"/>
          <w:sz w:val="24"/>
          <w:szCs w:val="24"/>
        </w:rPr>
        <w:t>1</w:t>
      </w:r>
      <w:r>
        <w:rPr>
          <w:rFonts w:hint="eastAsia" w:ascii="宋体" w:cs="宋体"/>
          <w:sz w:val="24"/>
          <w:szCs w:val="24"/>
          <w:lang w:val="zh-CN"/>
        </w:rPr>
        <w:t>名网络及安全运维工程师。</w:t>
      </w:r>
    </w:p>
    <w:p>
      <w:pPr>
        <w:spacing w:line="520" w:lineRule="exact"/>
        <w:ind w:firstLine="480"/>
        <w:rPr>
          <w:rFonts w:ascii="宋体" w:cs="宋体"/>
          <w:sz w:val="24"/>
          <w:szCs w:val="24"/>
          <w:lang w:val="zh-CN"/>
        </w:rPr>
      </w:pPr>
      <w:r>
        <w:rPr>
          <w:rFonts w:hint="eastAsia" w:ascii="宋体" w:cs="宋体"/>
          <w:sz w:val="24"/>
          <w:szCs w:val="24"/>
          <w:lang w:val="zh-CN"/>
        </w:rPr>
        <w:t>驻场地点为江苏省无线电监测站（南京）。需提供 5×8 小时的现场驻场服务。提供</w:t>
      </w:r>
      <w:r>
        <w:rPr>
          <w:sz w:val="24"/>
          <w:szCs w:val="24"/>
        </w:rPr>
        <w:t>7</w:t>
      </w:r>
      <w:r>
        <w:rPr>
          <w:sz w:val="24"/>
          <w:szCs w:val="24"/>
          <w:lang w:val="zh-CN"/>
        </w:rPr>
        <w:t>×</w:t>
      </w:r>
      <w:r>
        <w:rPr>
          <w:sz w:val="24"/>
          <w:szCs w:val="24"/>
        </w:rPr>
        <w:t>24</w:t>
      </w:r>
      <w:r>
        <w:rPr>
          <w:rFonts w:hint="eastAsia" w:ascii="宋体" w:cs="宋体"/>
          <w:sz w:val="24"/>
          <w:szCs w:val="24"/>
          <w:lang w:val="zh-CN"/>
        </w:rPr>
        <w:t>小时的技术支持及重要保障服务，随时提供有效的技术服务与技术支持。除具备相应系统和设备运维能力外，驻点人员需同时兼备有较好的无线电理论和技术基础，能够按要求完成相应的无线电业务工作，随时根据采购人的工作安排完成相应任务。</w:t>
      </w:r>
    </w:p>
    <w:p>
      <w:pPr>
        <w:spacing w:line="520" w:lineRule="exact"/>
        <w:ind w:firstLine="480"/>
        <w:rPr>
          <w:rFonts w:ascii="方正楷体_GBK" w:eastAsia="方正楷体_GBK" w:cs="Calibri"/>
          <w:b/>
          <w:bCs/>
          <w:sz w:val="24"/>
          <w:szCs w:val="24"/>
        </w:rPr>
      </w:pPr>
      <w:r>
        <w:rPr>
          <w:rFonts w:hint="eastAsia" w:ascii="方正楷体_GBK" w:eastAsia="方正楷体_GBK" w:cs="宋体"/>
          <w:sz w:val="24"/>
          <w:szCs w:val="24"/>
          <w:lang w:val="zh-CN"/>
        </w:rPr>
        <w:t>（1）驻场工程师具体技术要求如下：</w:t>
      </w:r>
    </w:p>
    <w:tbl>
      <w:tblPr>
        <w:tblStyle w:val="49"/>
        <w:tblW w:w="89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832"/>
        <w:gridCol w:w="1540"/>
        <w:gridCol w:w="65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757" w:hRule="atLeast"/>
          <w:jc w:val="center"/>
        </w:trPr>
        <w:tc>
          <w:tcPr>
            <w:tcW w:w="832" w:type="dxa"/>
            <w:shd w:val="clear" w:color="000000" w:fill="auto"/>
            <w:vAlign w:val="center"/>
          </w:tcPr>
          <w:p>
            <w:pPr>
              <w:jc w:val="center"/>
              <w:rPr>
                <w:szCs w:val="21"/>
                <w:lang w:val="zh-CN"/>
              </w:rPr>
            </w:pPr>
            <w:r>
              <w:rPr>
                <w:szCs w:val="21"/>
                <w:lang w:val="zh-CN"/>
              </w:rPr>
              <w:t>序号</w:t>
            </w:r>
          </w:p>
        </w:tc>
        <w:tc>
          <w:tcPr>
            <w:tcW w:w="1540" w:type="dxa"/>
            <w:shd w:val="clear" w:color="000000" w:fill="auto"/>
            <w:vAlign w:val="center"/>
          </w:tcPr>
          <w:p>
            <w:pPr>
              <w:jc w:val="center"/>
              <w:rPr>
                <w:szCs w:val="21"/>
                <w:lang w:val="zh-CN"/>
              </w:rPr>
            </w:pPr>
            <w:r>
              <w:rPr>
                <w:szCs w:val="21"/>
                <w:lang w:val="zh-CN"/>
              </w:rPr>
              <w:t>驻场工程师名称</w:t>
            </w:r>
          </w:p>
        </w:tc>
        <w:tc>
          <w:tcPr>
            <w:tcW w:w="6571" w:type="dxa"/>
            <w:shd w:val="clear" w:color="000000" w:fill="auto"/>
            <w:vAlign w:val="center"/>
          </w:tcPr>
          <w:p>
            <w:pPr>
              <w:jc w:val="center"/>
              <w:rPr>
                <w:szCs w:val="21"/>
                <w:lang w:val="zh-CN"/>
              </w:rPr>
            </w:pPr>
            <w:r>
              <w:rPr>
                <w:szCs w:val="21"/>
                <w:lang w:val="zh-CN"/>
              </w:rPr>
              <w:t>人员要求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1256" w:hRule="atLeast"/>
          <w:jc w:val="center"/>
        </w:trPr>
        <w:tc>
          <w:tcPr>
            <w:tcW w:w="832" w:type="dxa"/>
            <w:shd w:val="clear" w:color="000000" w:fill="auto"/>
            <w:vAlign w:val="center"/>
          </w:tcPr>
          <w:p>
            <w:pPr>
              <w:jc w:val="center"/>
              <w:rPr>
                <w:szCs w:val="21"/>
                <w:lang w:val="zh-CN"/>
              </w:rPr>
            </w:pPr>
            <w:r>
              <w:rPr>
                <w:szCs w:val="21"/>
              </w:rPr>
              <w:t>1</w:t>
            </w:r>
          </w:p>
        </w:tc>
        <w:tc>
          <w:tcPr>
            <w:tcW w:w="1540" w:type="dxa"/>
            <w:shd w:val="clear" w:color="000000" w:fill="auto"/>
            <w:vAlign w:val="center"/>
          </w:tcPr>
          <w:p>
            <w:pPr>
              <w:jc w:val="center"/>
              <w:rPr>
                <w:szCs w:val="21"/>
                <w:lang w:val="zh-CN"/>
              </w:rPr>
            </w:pPr>
            <w:r>
              <w:rPr>
                <w:szCs w:val="21"/>
                <w:lang w:val="zh-CN"/>
              </w:rPr>
              <w:t>软件运维工程师</w:t>
            </w:r>
          </w:p>
        </w:tc>
        <w:tc>
          <w:tcPr>
            <w:tcW w:w="6571" w:type="dxa"/>
            <w:shd w:val="clear" w:color="000000" w:fill="auto"/>
            <w:vAlign w:val="center"/>
          </w:tcPr>
          <w:p>
            <w:pPr>
              <w:ind w:firstLine="210" w:firstLineChars="100"/>
              <w:jc w:val="left"/>
              <w:rPr>
                <w:lang w:bidi="en-US"/>
              </w:rPr>
            </w:pPr>
            <w:r>
              <w:rPr>
                <w:rFonts w:hint="eastAsia"/>
                <w:lang w:bidi="en-US"/>
              </w:rPr>
              <w:t>（1）</w:t>
            </w:r>
            <w:r>
              <w:rPr>
                <w:lang w:bidi="en-US"/>
              </w:rPr>
              <w:t>全日制</w:t>
            </w:r>
            <w:r>
              <w:rPr>
                <w:rFonts w:hint="eastAsia"/>
                <w:lang w:bidi="en-US"/>
              </w:rPr>
              <w:t>大专</w:t>
            </w:r>
            <w:r>
              <w:rPr>
                <w:lang w:bidi="en-US"/>
              </w:rPr>
              <w:t>及以上学历</w:t>
            </w:r>
            <w:r>
              <w:rPr>
                <w:rFonts w:hint="eastAsia"/>
                <w:lang w:bidi="en-US"/>
              </w:rPr>
              <w:t>，</w:t>
            </w:r>
            <w:r>
              <w:rPr>
                <w:b/>
                <w:bCs/>
                <w:lang w:bidi="en-US"/>
              </w:rPr>
              <w:t>提供</w:t>
            </w:r>
            <w:r>
              <w:rPr>
                <w:rFonts w:hint="eastAsia"/>
                <w:b/>
                <w:bCs/>
                <w:lang w:bidi="en-US"/>
              </w:rPr>
              <w:t>毕业证书复印件</w:t>
            </w:r>
            <w:r>
              <w:rPr>
                <w:rFonts w:hint="eastAsia"/>
                <w:lang w:bidi="en-US"/>
              </w:rPr>
              <w:t>。</w:t>
            </w:r>
          </w:p>
          <w:p>
            <w:pPr>
              <w:ind w:firstLine="210" w:firstLineChars="100"/>
              <w:jc w:val="left"/>
              <w:rPr>
                <w:szCs w:val="21"/>
                <w:lang w:val="zh-CN"/>
              </w:rPr>
            </w:pPr>
            <w:r>
              <w:rPr>
                <w:rFonts w:hint="eastAsia"/>
                <w:szCs w:val="21"/>
              </w:rPr>
              <w:t>（2）具备软件开发基础知识，</w:t>
            </w:r>
            <w:r>
              <w:rPr>
                <w:szCs w:val="21"/>
                <w:lang w:val="zh-CN"/>
              </w:rPr>
              <w:t>能够</w:t>
            </w:r>
            <w:r>
              <w:rPr>
                <w:rFonts w:hint="eastAsia"/>
                <w:szCs w:val="21"/>
                <w:lang w:val="zh-CN"/>
              </w:rPr>
              <w:t>快速熟悉并熟练掌握江苏省</w:t>
            </w:r>
            <w:r>
              <w:rPr>
                <w:szCs w:val="21"/>
                <w:lang w:val="zh-CN"/>
              </w:rPr>
              <w:t>无线电管理</w:t>
            </w:r>
            <w:r>
              <w:rPr>
                <w:rFonts w:hint="eastAsia"/>
                <w:szCs w:val="21"/>
                <w:lang w:val="zh-CN"/>
              </w:rPr>
              <w:t>一体化平台相关</w:t>
            </w:r>
            <w:r>
              <w:rPr>
                <w:szCs w:val="21"/>
                <w:lang w:val="zh-CN"/>
              </w:rPr>
              <w:t>软件</w:t>
            </w:r>
            <w:r>
              <w:rPr>
                <w:rFonts w:hint="eastAsia"/>
                <w:szCs w:val="21"/>
                <w:lang w:val="zh-CN"/>
              </w:rPr>
              <w:t>，及时牵头</w:t>
            </w:r>
            <w:r>
              <w:rPr>
                <w:szCs w:val="21"/>
                <w:lang w:val="zh-CN"/>
              </w:rPr>
              <w:t>解决使用中的问题。</w:t>
            </w:r>
          </w:p>
          <w:p>
            <w:pPr>
              <w:ind w:firstLine="210" w:firstLineChars="100"/>
              <w:jc w:val="left"/>
              <w:rPr>
                <w:szCs w:val="21"/>
              </w:rPr>
            </w:pPr>
            <w:r>
              <w:rPr>
                <w:rFonts w:hint="eastAsia"/>
                <w:szCs w:val="21"/>
              </w:rPr>
              <w:t>（3）熟悉</w:t>
            </w:r>
            <w:r>
              <w:rPr>
                <w:szCs w:val="21"/>
              </w:rPr>
              <w:t>MySQL、</w:t>
            </w:r>
            <w:r>
              <w:rPr>
                <w:rFonts w:hint="eastAsia"/>
                <w:szCs w:val="21"/>
              </w:rPr>
              <w:t>达梦数据库等，</w:t>
            </w:r>
            <w:r>
              <w:rPr>
                <w:szCs w:val="21"/>
              </w:rPr>
              <w:t>能够对无线电管理软件数据库进行备份、维护及解决故障。</w:t>
            </w:r>
          </w:p>
          <w:p>
            <w:pPr>
              <w:ind w:firstLine="210" w:firstLineChars="100"/>
              <w:jc w:val="left"/>
              <w:rPr>
                <w:szCs w:val="21"/>
              </w:rPr>
            </w:pPr>
            <w:r>
              <w:rPr>
                <w:rFonts w:hint="eastAsia"/>
                <w:szCs w:val="21"/>
              </w:rPr>
              <w:t>（4）熟悉word、excel、ppt等常用办公软件，具备一定数字化办公能力。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1741" w:hRule="atLeast"/>
          <w:jc w:val="center"/>
        </w:trPr>
        <w:tc>
          <w:tcPr>
            <w:tcW w:w="832" w:type="dxa"/>
            <w:shd w:val="clear" w:color="000000" w:fill="auto"/>
            <w:vAlign w:val="center"/>
          </w:tcPr>
          <w:p>
            <w:pPr>
              <w:jc w:val="center"/>
              <w:rPr>
                <w:szCs w:val="21"/>
                <w:lang w:val="zh-CN"/>
              </w:rPr>
            </w:pPr>
            <w:r>
              <w:rPr>
                <w:rFonts w:hint="eastAsia"/>
                <w:szCs w:val="21"/>
              </w:rPr>
              <w:t>2</w:t>
            </w:r>
          </w:p>
        </w:tc>
        <w:tc>
          <w:tcPr>
            <w:tcW w:w="1540" w:type="dxa"/>
            <w:shd w:val="clear" w:color="000000" w:fill="auto"/>
            <w:vAlign w:val="center"/>
          </w:tcPr>
          <w:p>
            <w:pPr>
              <w:jc w:val="center"/>
              <w:rPr>
                <w:szCs w:val="21"/>
                <w:lang w:val="zh-CN"/>
              </w:rPr>
            </w:pPr>
            <w:r>
              <w:rPr>
                <w:rFonts w:hint="eastAsia"/>
                <w:szCs w:val="21"/>
                <w:lang w:val="zh-CN"/>
              </w:rPr>
              <w:t>IT</w:t>
            </w:r>
            <w:r>
              <w:rPr>
                <w:szCs w:val="21"/>
                <w:lang w:val="zh-CN"/>
              </w:rPr>
              <w:t>运维工程师</w:t>
            </w:r>
          </w:p>
        </w:tc>
        <w:tc>
          <w:tcPr>
            <w:tcW w:w="6571" w:type="dxa"/>
            <w:shd w:val="clear" w:color="000000" w:fill="auto"/>
            <w:vAlign w:val="center"/>
          </w:tcPr>
          <w:p>
            <w:pPr>
              <w:ind w:firstLine="210" w:firstLineChars="100"/>
              <w:jc w:val="left"/>
              <w:rPr>
                <w:lang w:bidi="en-US"/>
              </w:rPr>
            </w:pPr>
            <w:r>
              <w:rPr>
                <w:rFonts w:hint="eastAsia"/>
                <w:lang w:bidi="en-US"/>
              </w:rPr>
              <w:t>（1）</w:t>
            </w:r>
            <w:r>
              <w:rPr>
                <w:lang w:bidi="en-US"/>
              </w:rPr>
              <w:t>全日制</w:t>
            </w:r>
            <w:r>
              <w:rPr>
                <w:rFonts w:hint="eastAsia"/>
                <w:lang w:bidi="en-US"/>
              </w:rPr>
              <w:t>大专</w:t>
            </w:r>
            <w:r>
              <w:rPr>
                <w:lang w:bidi="en-US"/>
              </w:rPr>
              <w:t>及以上学历</w:t>
            </w:r>
            <w:r>
              <w:rPr>
                <w:rFonts w:hint="eastAsia"/>
                <w:lang w:bidi="en-US"/>
              </w:rPr>
              <w:t>，</w:t>
            </w:r>
            <w:r>
              <w:rPr>
                <w:b/>
                <w:bCs/>
                <w:lang w:bidi="en-US"/>
              </w:rPr>
              <w:t>提供</w:t>
            </w:r>
            <w:r>
              <w:rPr>
                <w:rFonts w:hint="eastAsia"/>
                <w:b/>
                <w:bCs/>
                <w:lang w:bidi="en-US"/>
              </w:rPr>
              <w:t>毕业证书复印件</w:t>
            </w:r>
            <w:r>
              <w:rPr>
                <w:rFonts w:hint="eastAsia"/>
                <w:lang w:bidi="en-US"/>
              </w:rPr>
              <w:t>。</w:t>
            </w:r>
          </w:p>
          <w:p>
            <w:pPr>
              <w:ind w:firstLine="210" w:firstLineChars="100"/>
              <w:jc w:val="left"/>
              <w:rPr>
                <w:b/>
                <w:bCs/>
                <w:szCs w:val="21"/>
              </w:rPr>
            </w:pPr>
            <w:r>
              <w:rPr>
                <w:rFonts w:hint="eastAsia"/>
                <w:szCs w:val="21"/>
              </w:rPr>
              <w:t>（2）</w:t>
            </w:r>
            <w:r>
              <w:rPr>
                <w:szCs w:val="21"/>
                <w:lang w:val="zh-CN"/>
              </w:rPr>
              <w:t>熟悉</w:t>
            </w:r>
            <w:r>
              <w:rPr>
                <w:szCs w:val="21"/>
              </w:rPr>
              <w:t>Linux</w:t>
            </w:r>
            <w:r>
              <w:rPr>
                <w:szCs w:val="21"/>
                <w:lang w:val="zh-CN"/>
              </w:rPr>
              <w:t>、</w:t>
            </w:r>
            <w:r>
              <w:rPr>
                <w:szCs w:val="21"/>
              </w:rPr>
              <w:t>Windows</w:t>
            </w:r>
            <w:r>
              <w:rPr>
                <w:szCs w:val="21"/>
                <w:lang w:val="zh-CN"/>
              </w:rPr>
              <w:t>等系统，</w:t>
            </w:r>
            <w:r>
              <w:rPr>
                <w:rFonts w:hint="eastAsia"/>
                <w:szCs w:val="21"/>
                <w:lang w:val="zh-CN"/>
              </w:rPr>
              <w:t>熟悉</w:t>
            </w:r>
            <w:r>
              <w:rPr>
                <w:szCs w:val="21"/>
                <w:lang w:val="zh-CN"/>
              </w:rPr>
              <w:t>麒麟等国产操作系统。</w:t>
            </w:r>
          </w:p>
          <w:p>
            <w:pPr>
              <w:ind w:firstLine="210" w:firstLineChars="100"/>
              <w:jc w:val="left"/>
              <w:rPr>
                <w:b/>
                <w:bCs/>
                <w:szCs w:val="21"/>
              </w:rPr>
            </w:pPr>
            <w:r>
              <w:rPr>
                <w:rFonts w:hint="eastAsia"/>
                <w:szCs w:val="21"/>
              </w:rPr>
              <w:t>（3）</w:t>
            </w:r>
            <w:r>
              <w:rPr>
                <w:szCs w:val="21"/>
                <w:lang w:val="zh-CN"/>
              </w:rPr>
              <w:t>熟悉服务器</w:t>
            </w:r>
            <w:r>
              <w:rPr>
                <w:rFonts w:hint="eastAsia"/>
                <w:szCs w:val="21"/>
                <w:lang w:val="zh-CN"/>
              </w:rPr>
              <w:t>等</w:t>
            </w:r>
            <w:r>
              <w:rPr>
                <w:szCs w:val="21"/>
                <w:lang w:val="zh-CN"/>
              </w:rPr>
              <w:t>硬件</w:t>
            </w:r>
            <w:r>
              <w:rPr>
                <w:rFonts w:hint="eastAsia"/>
                <w:szCs w:val="21"/>
                <w:lang w:val="zh-CN"/>
              </w:rPr>
              <w:t>运维</w:t>
            </w:r>
            <w:r>
              <w:rPr>
                <w:szCs w:val="21"/>
                <w:lang w:val="zh-CN"/>
              </w:rPr>
              <w:t>，具备</w:t>
            </w:r>
            <w:r>
              <w:rPr>
                <w:rFonts w:hint="eastAsia"/>
                <w:szCs w:val="21"/>
                <w:lang w:val="zh-CN"/>
              </w:rPr>
              <w:t>基本</w:t>
            </w:r>
            <w:r>
              <w:rPr>
                <w:szCs w:val="21"/>
                <w:lang w:val="zh-CN"/>
              </w:rPr>
              <w:t>排错及故障定位和处理的能力。</w:t>
            </w:r>
          </w:p>
          <w:p>
            <w:pPr>
              <w:ind w:firstLine="210" w:firstLineChars="100"/>
              <w:jc w:val="left"/>
              <w:rPr>
                <w:szCs w:val="21"/>
                <w:lang w:val="zh-CN"/>
              </w:rPr>
            </w:pPr>
            <w:r>
              <w:rPr>
                <w:rFonts w:hint="eastAsia"/>
                <w:szCs w:val="21"/>
              </w:rPr>
              <w:t>（4）</w:t>
            </w:r>
            <w:r>
              <w:rPr>
                <w:szCs w:val="21"/>
                <w:lang w:val="zh-CN"/>
              </w:rPr>
              <w:t>对存储、备份、容灾等技术有一定的理解和实际操作经验。</w:t>
            </w:r>
          </w:p>
          <w:p>
            <w:pPr>
              <w:ind w:firstLine="210" w:firstLineChars="100"/>
              <w:jc w:val="left"/>
              <w:rPr>
                <w:szCs w:val="21"/>
                <w:lang w:val="zh-CN"/>
              </w:rPr>
            </w:pPr>
            <w:r>
              <w:rPr>
                <w:rFonts w:hint="eastAsia"/>
                <w:szCs w:val="21"/>
                <w:lang w:val="zh-CN"/>
              </w:rPr>
              <w:t>（5）</w:t>
            </w:r>
            <w:r>
              <w:rPr>
                <w:szCs w:val="21"/>
                <w:lang w:val="zh-CN"/>
              </w:rPr>
              <w:t>掌握</w:t>
            </w:r>
            <w:r>
              <w:rPr>
                <w:szCs w:val="21"/>
              </w:rPr>
              <w:t>IT</w:t>
            </w:r>
            <w:r>
              <w:rPr>
                <w:szCs w:val="21"/>
                <w:lang w:val="zh-CN"/>
              </w:rPr>
              <w:t>系统基础知识</w:t>
            </w:r>
            <w:r>
              <w:rPr>
                <w:rFonts w:hint="eastAsia"/>
                <w:szCs w:val="21"/>
                <w:lang w:val="zh-CN"/>
              </w:rPr>
              <w:t>，</w:t>
            </w:r>
            <w:r>
              <w:rPr>
                <w:szCs w:val="21"/>
                <w:lang w:val="zh-CN"/>
              </w:rPr>
              <w:t>熟悉信息网络机房常见的设施设备，掌握常见机房告警处理步骤</w:t>
            </w:r>
            <w:r>
              <w:rPr>
                <w:rFonts w:hint="eastAsia"/>
                <w:szCs w:val="21"/>
                <w:lang w:val="zh-CN"/>
              </w:rPr>
              <w:t>。</w:t>
            </w:r>
            <w:r>
              <w:rPr>
                <w:szCs w:val="21"/>
                <w:lang w:val="zh-CN"/>
              </w:rPr>
              <w:t>责任心强，能够做好机房日常管理等工作。</w:t>
            </w:r>
          </w:p>
          <w:p>
            <w:pPr>
              <w:ind w:firstLine="210" w:firstLineChars="100"/>
              <w:jc w:val="left"/>
              <w:rPr>
                <w:b/>
                <w:bCs/>
                <w:szCs w:val="21"/>
              </w:rPr>
            </w:pPr>
            <w:r>
              <w:rPr>
                <w:rFonts w:hint="eastAsia"/>
                <w:szCs w:val="21"/>
                <w:lang w:val="zh-CN"/>
              </w:rPr>
              <w:t>（6）</w:t>
            </w:r>
            <w:r>
              <w:rPr>
                <w:rFonts w:hint="eastAsia"/>
                <w:szCs w:val="21"/>
              </w:rPr>
              <w:t>熟悉word、excel、ppt等常用办公软件，具备一定数字化办公能力。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440" w:hRule="atLeast"/>
          <w:jc w:val="center"/>
        </w:trPr>
        <w:tc>
          <w:tcPr>
            <w:tcW w:w="832" w:type="dxa"/>
            <w:shd w:val="clear" w:color="000000" w:fill="auto"/>
            <w:vAlign w:val="center"/>
          </w:tcPr>
          <w:p>
            <w:pPr>
              <w:jc w:val="center"/>
              <w:rPr>
                <w:szCs w:val="21"/>
                <w:lang w:val="zh-CN"/>
              </w:rPr>
            </w:pPr>
            <w:r>
              <w:rPr>
                <w:rFonts w:hint="eastAsia"/>
                <w:szCs w:val="21"/>
              </w:rPr>
              <w:t>3</w:t>
            </w:r>
          </w:p>
        </w:tc>
        <w:tc>
          <w:tcPr>
            <w:tcW w:w="1540" w:type="dxa"/>
            <w:shd w:val="clear" w:color="000000" w:fill="auto"/>
            <w:vAlign w:val="center"/>
          </w:tcPr>
          <w:p>
            <w:pPr>
              <w:jc w:val="center"/>
              <w:rPr>
                <w:szCs w:val="21"/>
                <w:lang w:val="zh-CN"/>
              </w:rPr>
            </w:pPr>
            <w:r>
              <w:rPr>
                <w:szCs w:val="21"/>
                <w:lang w:val="zh-CN"/>
              </w:rPr>
              <w:t>网络</w:t>
            </w:r>
            <w:r>
              <w:rPr>
                <w:rFonts w:hint="eastAsia"/>
                <w:szCs w:val="21"/>
                <w:lang w:val="zh-CN"/>
              </w:rPr>
              <w:t>及安全</w:t>
            </w:r>
            <w:r>
              <w:rPr>
                <w:szCs w:val="21"/>
                <w:lang w:val="zh-CN"/>
              </w:rPr>
              <w:t>运维工程师</w:t>
            </w:r>
          </w:p>
        </w:tc>
        <w:tc>
          <w:tcPr>
            <w:tcW w:w="6571" w:type="dxa"/>
            <w:shd w:val="clear" w:color="000000" w:fill="auto"/>
            <w:vAlign w:val="center"/>
          </w:tcPr>
          <w:p>
            <w:pPr>
              <w:ind w:firstLine="210" w:firstLineChars="100"/>
              <w:jc w:val="left"/>
              <w:rPr>
                <w:lang w:bidi="en-US"/>
              </w:rPr>
            </w:pPr>
            <w:r>
              <w:rPr>
                <w:rFonts w:hint="eastAsia"/>
                <w:lang w:bidi="en-US"/>
              </w:rPr>
              <w:t>（1）</w:t>
            </w:r>
            <w:r>
              <w:rPr>
                <w:lang w:bidi="en-US"/>
              </w:rPr>
              <w:t>全日制</w:t>
            </w:r>
            <w:r>
              <w:rPr>
                <w:rFonts w:hint="eastAsia"/>
                <w:lang w:bidi="en-US"/>
              </w:rPr>
              <w:t>大专</w:t>
            </w:r>
            <w:r>
              <w:rPr>
                <w:lang w:bidi="en-US"/>
              </w:rPr>
              <w:t>及以上学历</w:t>
            </w:r>
            <w:r>
              <w:rPr>
                <w:rFonts w:hint="eastAsia"/>
                <w:lang w:bidi="en-US"/>
              </w:rPr>
              <w:t>，</w:t>
            </w:r>
            <w:r>
              <w:rPr>
                <w:b/>
                <w:bCs/>
                <w:lang w:bidi="en-US"/>
              </w:rPr>
              <w:t>提供</w:t>
            </w:r>
            <w:r>
              <w:rPr>
                <w:rFonts w:hint="eastAsia"/>
                <w:b/>
                <w:bCs/>
                <w:lang w:bidi="en-US"/>
              </w:rPr>
              <w:t>毕业证书复印件</w:t>
            </w:r>
            <w:r>
              <w:rPr>
                <w:rFonts w:hint="eastAsia"/>
                <w:lang w:bidi="en-US"/>
              </w:rPr>
              <w:t>。</w:t>
            </w:r>
          </w:p>
          <w:p>
            <w:pPr>
              <w:ind w:firstLine="210" w:firstLineChars="100"/>
              <w:jc w:val="left"/>
              <w:rPr>
                <w:b/>
                <w:bCs/>
                <w:szCs w:val="21"/>
              </w:rPr>
            </w:pPr>
            <w:r>
              <w:rPr>
                <w:rFonts w:hint="eastAsia"/>
                <w:szCs w:val="21"/>
              </w:rPr>
              <w:t>（2）</w:t>
            </w:r>
            <w:r>
              <w:rPr>
                <w:rFonts w:hint="eastAsia"/>
                <w:szCs w:val="21"/>
                <w:lang w:val="zh-CN"/>
              </w:rPr>
              <w:t>熟悉</w:t>
            </w:r>
            <w:r>
              <w:rPr>
                <w:szCs w:val="21"/>
                <w:lang w:val="zh-CN"/>
              </w:rPr>
              <w:t>计算机网络，</w:t>
            </w:r>
            <w:r>
              <w:rPr>
                <w:rFonts w:hint="eastAsia"/>
                <w:szCs w:val="21"/>
                <w:lang w:val="zh-CN"/>
              </w:rPr>
              <w:t>熟悉</w:t>
            </w:r>
            <w:r>
              <w:rPr>
                <w:szCs w:val="21"/>
                <w:lang w:val="zh-CN"/>
              </w:rPr>
              <w:t>华为、</w:t>
            </w:r>
            <w:r>
              <w:rPr>
                <w:rFonts w:hint="eastAsia"/>
                <w:szCs w:val="21"/>
                <w:lang w:val="zh-CN"/>
              </w:rPr>
              <w:t>华三</w:t>
            </w:r>
            <w:r>
              <w:rPr>
                <w:szCs w:val="21"/>
                <w:lang w:val="zh-CN"/>
              </w:rPr>
              <w:t>等</w:t>
            </w:r>
            <w:r>
              <w:rPr>
                <w:rFonts w:hint="eastAsia"/>
                <w:szCs w:val="21"/>
                <w:lang w:val="zh-CN"/>
              </w:rPr>
              <w:t>常见</w:t>
            </w:r>
            <w:r>
              <w:rPr>
                <w:szCs w:val="21"/>
                <w:lang w:val="zh-CN"/>
              </w:rPr>
              <w:t>网络</w:t>
            </w:r>
            <w:r>
              <w:rPr>
                <w:rFonts w:hint="eastAsia"/>
                <w:szCs w:val="21"/>
                <w:lang w:val="zh-CN"/>
              </w:rPr>
              <w:t>设备</w:t>
            </w:r>
            <w:r>
              <w:rPr>
                <w:szCs w:val="21"/>
                <w:lang w:val="zh-CN"/>
              </w:rPr>
              <w:t>及</w:t>
            </w:r>
            <w:r>
              <w:rPr>
                <w:rFonts w:hint="eastAsia"/>
                <w:szCs w:val="21"/>
                <w:lang w:val="zh-CN"/>
              </w:rPr>
              <w:t>任子行等</w:t>
            </w:r>
            <w:r>
              <w:rPr>
                <w:szCs w:val="21"/>
                <w:lang w:val="zh-CN"/>
              </w:rPr>
              <w:t>安全设备。</w:t>
            </w:r>
          </w:p>
          <w:p>
            <w:pPr>
              <w:ind w:firstLine="210" w:firstLineChars="100"/>
              <w:jc w:val="left"/>
              <w:rPr>
                <w:szCs w:val="21"/>
              </w:rPr>
            </w:pPr>
            <w:r>
              <w:rPr>
                <w:rFonts w:hint="eastAsia"/>
                <w:szCs w:val="21"/>
              </w:rPr>
              <w:t>（3）</w:t>
            </w:r>
            <w:r>
              <w:rPr>
                <w:szCs w:val="21"/>
                <w:lang w:val="zh-CN"/>
              </w:rPr>
              <w:t>能够解决内部局域网及互联网的故障问题，能够对网络设备硬件进行维护维修。</w:t>
            </w:r>
            <w:r>
              <w:rPr>
                <w:szCs w:val="21"/>
              </w:rPr>
              <w:t xml:space="preserve">  </w:t>
            </w:r>
          </w:p>
          <w:p>
            <w:pPr>
              <w:ind w:firstLine="210" w:firstLineChars="100"/>
              <w:jc w:val="left"/>
              <w:rPr>
                <w:szCs w:val="21"/>
              </w:rPr>
            </w:pPr>
            <w:r>
              <w:rPr>
                <w:rFonts w:hint="eastAsia"/>
                <w:szCs w:val="21"/>
              </w:rPr>
              <w:t>（4）</w:t>
            </w:r>
            <w:r>
              <w:rPr>
                <w:szCs w:val="21"/>
              </w:rPr>
              <w:t xml:space="preserve">熟悉网络安全技术包含端口、服务漏洞扫描，入侵和攻击的分析，病毒的查杀防范。    </w:t>
            </w:r>
          </w:p>
          <w:p>
            <w:pPr>
              <w:ind w:firstLine="210" w:firstLineChars="100"/>
              <w:jc w:val="left"/>
              <w:rPr>
                <w:szCs w:val="21"/>
              </w:rPr>
            </w:pPr>
            <w:r>
              <w:rPr>
                <w:rFonts w:hint="eastAsia"/>
                <w:szCs w:val="21"/>
              </w:rPr>
              <w:t>（5）</w:t>
            </w:r>
            <w:r>
              <w:rPr>
                <w:szCs w:val="21"/>
              </w:rPr>
              <w:t>能够分析网络现状，对网络系统进行安全测评和安全加固。</w:t>
            </w:r>
          </w:p>
          <w:p>
            <w:pPr>
              <w:ind w:firstLine="210" w:firstLineChars="100"/>
              <w:jc w:val="left"/>
              <w:rPr>
                <w:szCs w:val="21"/>
                <w:lang w:val="zh-CN"/>
              </w:rPr>
            </w:pPr>
            <w:r>
              <w:rPr>
                <w:rFonts w:hint="eastAsia"/>
                <w:szCs w:val="21"/>
              </w:rPr>
              <w:t>（6）熟悉word、excel、ppt等常用办公软件，具备一定数字化办公能力。</w:t>
            </w:r>
          </w:p>
        </w:tc>
      </w:tr>
    </w:tbl>
    <w:p>
      <w:pPr>
        <w:spacing w:line="520" w:lineRule="exact"/>
        <w:ind w:firstLine="480"/>
        <w:rPr>
          <w:rFonts w:ascii="楷体_GB2312" w:eastAsia="楷体_GB2312" w:cs="楷体_GB2312"/>
          <w:sz w:val="24"/>
          <w:szCs w:val="24"/>
          <w:lang w:val="zh-CN"/>
        </w:rPr>
      </w:pPr>
      <w:r>
        <w:rPr>
          <w:rFonts w:ascii="宋体" w:hAnsi="宋体" w:cs="Calibri"/>
          <w:sz w:val="24"/>
          <w:szCs w:val="24"/>
        </w:rPr>
        <w:t>以上</w:t>
      </w:r>
      <w:r>
        <w:rPr>
          <w:rFonts w:hint="eastAsia" w:ascii="宋体" w:hAnsi="宋体" w:cs="Calibri"/>
          <w:sz w:val="24"/>
          <w:szCs w:val="24"/>
        </w:rPr>
        <w:t>驻场人员投标人需提供</w:t>
      </w:r>
      <w:r>
        <w:rPr>
          <w:rFonts w:ascii="宋体" w:hAnsi="宋体" w:cs="Calibri"/>
          <w:sz w:val="24"/>
          <w:szCs w:val="24"/>
        </w:rPr>
        <w:t>为</w:t>
      </w:r>
      <w:r>
        <w:rPr>
          <w:rFonts w:hint="eastAsia" w:ascii="宋体" w:hAnsi="宋体" w:cs="Calibri"/>
          <w:sz w:val="24"/>
          <w:szCs w:val="24"/>
        </w:rPr>
        <w:t>其</w:t>
      </w:r>
      <w:r>
        <w:rPr>
          <w:rFonts w:ascii="宋体" w:hAnsi="宋体" w:cs="Calibri"/>
          <w:sz w:val="24"/>
          <w:szCs w:val="24"/>
        </w:rPr>
        <w:t>在距离投标文件递交截止时间前</w:t>
      </w:r>
      <w:r>
        <w:rPr>
          <w:rFonts w:hint="eastAsia" w:ascii="宋体" w:hAnsi="宋体" w:cs="Calibri"/>
          <w:sz w:val="24"/>
          <w:szCs w:val="24"/>
        </w:rPr>
        <w:t>1年内</w:t>
      </w:r>
      <w:r>
        <w:rPr>
          <w:rFonts w:ascii="宋体" w:hAnsi="宋体" w:cs="Calibri"/>
          <w:sz w:val="24"/>
          <w:szCs w:val="24"/>
        </w:rPr>
        <w:t>任意一个月缴纳社保的证明文件</w:t>
      </w:r>
      <w:r>
        <w:rPr>
          <w:rFonts w:hint="eastAsia" w:ascii="宋体" w:hAnsi="宋体" w:cs="Calibri"/>
          <w:sz w:val="24"/>
          <w:szCs w:val="24"/>
        </w:rPr>
        <w:t>。</w:t>
      </w:r>
    </w:p>
    <w:p>
      <w:pPr>
        <w:spacing w:line="520" w:lineRule="exact"/>
        <w:ind w:firstLine="480"/>
        <w:rPr>
          <w:rFonts w:ascii="方正楷体_GBK" w:eastAsia="方正楷体_GBK" w:cs="宋体"/>
          <w:sz w:val="24"/>
          <w:szCs w:val="24"/>
          <w:lang w:val="zh-CN"/>
        </w:rPr>
      </w:pPr>
      <w:bookmarkStart w:id="235" w:name="_Toc4165148"/>
      <w:r>
        <w:rPr>
          <w:rFonts w:hint="eastAsia" w:ascii="方正楷体_GBK" w:eastAsia="方正楷体_GBK" w:cs="宋体"/>
          <w:sz w:val="24"/>
          <w:szCs w:val="24"/>
          <w:lang w:val="zh-CN"/>
        </w:rPr>
        <w:t>（2）驻场服务人员管理要求</w:t>
      </w:r>
      <w:bookmarkEnd w:id="235"/>
    </w:p>
    <w:p>
      <w:pPr>
        <w:spacing w:line="520" w:lineRule="exact"/>
        <w:ind w:firstLine="480"/>
        <w:rPr>
          <w:rFonts w:ascii="宋体" w:cs="宋体"/>
          <w:sz w:val="24"/>
          <w:szCs w:val="24"/>
          <w:lang w:val="zh-CN"/>
        </w:rPr>
      </w:pPr>
      <w:r>
        <w:rPr>
          <w:rFonts w:hint="eastAsia" w:ascii="宋体" w:cs="宋体"/>
          <w:sz w:val="24"/>
          <w:szCs w:val="24"/>
          <w:lang w:val="zh-CN"/>
        </w:rPr>
        <w:t>①投标人常</w:t>
      </w:r>
      <w:r>
        <w:rPr>
          <w:rFonts w:ascii="宋体" w:cs="宋体"/>
          <w:sz w:val="24"/>
          <w:szCs w:val="24"/>
          <w:lang w:val="zh-CN"/>
        </w:rPr>
        <w:t>驻</w:t>
      </w:r>
      <w:r>
        <w:rPr>
          <w:rFonts w:hint="eastAsia" w:ascii="宋体" w:cs="宋体"/>
          <w:sz w:val="24"/>
          <w:szCs w:val="24"/>
          <w:lang w:val="zh-CN"/>
        </w:rPr>
        <w:t>工程师工作上需要遵守采购人有关工作制度及保密制度。</w:t>
      </w:r>
    </w:p>
    <w:p>
      <w:pPr>
        <w:spacing w:line="520" w:lineRule="exact"/>
        <w:ind w:firstLine="480"/>
        <w:rPr>
          <w:rFonts w:ascii="宋体" w:cs="宋体"/>
          <w:sz w:val="24"/>
          <w:szCs w:val="24"/>
          <w:lang w:val="zh-CN"/>
        </w:rPr>
      </w:pPr>
      <w:r>
        <w:rPr>
          <w:rFonts w:hint="eastAsia" w:ascii="宋体" w:hAnsi="宋体" w:cs="宋体"/>
          <w:sz w:val="24"/>
          <w:szCs w:val="24"/>
          <w:lang w:val="zh-CN"/>
        </w:rPr>
        <w:t>②</w:t>
      </w:r>
      <w:r>
        <w:rPr>
          <w:rFonts w:hint="eastAsia" w:ascii="宋体" w:cs="宋体"/>
          <w:sz w:val="24"/>
          <w:szCs w:val="24"/>
          <w:lang w:val="zh-CN"/>
        </w:rPr>
        <w:t>所有进场运维服务人员需服从采购人管理和工作安排，包括制定工作制度、监督工作制度的执行质量、分配和调整工作资源等。</w:t>
      </w:r>
    </w:p>
    <w:p>
      <w:pPr>
        <w:spacing w:line="520" w:lineRule="exact"/>
        <w:ind w:firstLine="480"/>
        <w:rPr>
          <w:rFonts w:ascii="宋体" w:cs="宋体"/>
          <w:sz w:val="24"/>
          <w:szCs w:val="24"/>
          <w:lang w:val="zh-CN"/>
        </w:rPr>
      </w:pPr>
      <w:r>
        <w:rPr>
          <w:rFonts w:hint="eastAsia" w:ascii="宋体" w:hAnsi="宋体" w:cs="宋体"/>
          <w:sz w:val="24"/>
          <w:szCs w:val="24"/>
          <w:lang w:val="zh-CN"/>
        </w:rPr>
        <w:t>③</w:t>
      </w:r>
      <w:r>
        <w:rPr>
          <w:rFonts w:hint="eastAsia" w:ascii="宋体" w:cs="宋体"/>
          <w:sz w:val="24"/>
          <w:szCs w:val="24"/>
          <w:lang w:val="zh-CN"/>
        </w:rPr>
        <w:t>采购人只提供投标人的驻场工程师的办公场所，其住宿、就餐及差旅费等费用均由投标人自行承担。</w:t>
      </w:r>
    </w:p>
    <w:p>
      <w:pPr>
        <w:spacing w:line="520" w:lineRule="exact"/>
        <w:ind w:firstLine="480"/>
        <w:rPr>
          <w:rFonts w:ascii="宋体" w:cs="宋体"/>
          <w:sz w:val="24"/>
          <w:szCs w:val="24"/>
          <w:lang w:val="zh-CN"/>
        </w:rPr>
      </w:pPr>
      <w:r>
        <w:rPr>
          <w:rFonts w:hint="eastAsia" w:ascii="宋体" w:hAnsi="宋体" w:cs="宋体"/>
          <w:sz w:val="24"/>
          <w:szCs w:val="24"/>
          <w:lang w:val="zh-CN"/>
        </w:rPr>
        <w:t>④</w:t>
      </w:r>
      <w:r>
        <w:rPr>
          <w:rFonts w:hint="eastAsia" w:ascii="宋体" w:cs="宋体"/>
          <w:sz w:val="24"/>
          <w:szCs w:val="24"/>
          <w:lang w:val="zh-CN"/>
        </w:rPr>
        <w:t>投标人应加强对员工的安全教育，派驻员工出现工伤等安全问题由投标人负全责。</w:t>
      </w:r>
    </w:p>
    <w:p>
      <w:pPr>
        <w:spacing w:line="520" w:lineRule="exact"/>
        <w:ind w:firstLine="480"/>
        <w:rPr>
          <w:rFonts w:ascii="宋体" w:cs="宋体"/>
          <w:sz w:val="24"/>
          <w:szCs w:val="24"/>
          <w:lang w:val="zh-CN"/>
        </w:rPr>
      </w:pPr>
      <w:r>
        <w:rPr>
          <w:rFonts w:hint="eastAsia" w:ascii="宋体" w:cs="宋体"/>
          <w:sz w:val="24"/>
          <w:szCs w:val="24"/>
          <w:lang w:val="zh-CN"/>
        </w:rPr>
        <w:t>⑥投标人必须配合采购人积极参与对其派驻工程师的监督和管理，遵守采购人的相关规章制度。</w:t>
      </w:r>
    </w:p>
    <w:p>
      <w:pPr>
        <w:spacing w:line="520" w:lineRule="exact"/>
        <w:ind w:firstLine="480"/>
        <w:rPr>
          <w:rFonts w:ascii="宋体" w:cs="宋体"/>
          <w:sz w:val="24"/>
          <w:szCs w:val="24"/>
          <w:lang w:val="zh-CN"/>
        </w:rPr>
      </w:pPr>
      <w:r>
        <w:rPr>
          <w:rFonts w:hint="eastAsia" w:ascii="宋体" w:hAnsi="宋体" w:cs="宋体"/>
          <w:sz w:val="24"/>
          <w:szCs w:val="24"/>
          <w:lang w:val="zh-CN"/>
        </w:rPr>
        <w:t>⑦</w:t>
      </w:r>
      <w:r>
        <w:rPr>
          <w:rFonts w:hint="eastAsia" w:ascii="宋体" w:cs="宋体"/>
          <w:sz w:val="24"/>
          <w:szCs w:val="24"/>
          <w:lang w:val="zh-CN"/>
        </w:rPr>
        <w:t>投标人保证其运维工程师符合一定的技术水平，采购人有权对不满足工作要求的运维工程师向投标人提出更换的要求；如发现工作时间有弄虚作假情况，采购人有权做出相应处理，直至终止合同并追究投标人相应责任。</w:t>
      </w:r>
    </w:p>
    <w:p>
      <w:pPr>
        <w:spacing w:line="520" w:lineRule="exact"/>
        <w:ind w:firstLine="480"/>
        <w:rPr>
          <w:rFonts w:ascii="宋体" w:cs="宋体"/>
          <w:sz w:val="24"/>
          <w:szCs w:val="24"/>
          <w:lang w:val="zh-CN"/>
        </w:rPr>
      </w:pPr>
      <w:r>
        <w:rPr>
          <w:rFonts w:hint="eastAsia" w:ascii="宋体" w:hAnsi="宋体" w:cs="宋体"/>
          <w:sz w:val="24"/>
          <w:szCs w:val="24"/>
          <w:lang w:val="zh-CN"/>
        </w:rPr>
        <w:t>⑧</w:t>
      </w:r>
      <w:r>
        <w:rPr>
          <w:rFonts w:hint="eastAsia" w:ascii="宋体" w:cs="宋体"/>
          <w:sz w:val="24"/>
          <w:szCs w:val="24"/>
          <w:lang w:val="zh-CN"/>
        </w:rPr>
        <w:t>投标人未经采购人同意，不得将所接触到的相关技术或业务资料、数据用作其他用途或以任何形式泄露给第三方，否则采购人有权做出相应处理，直至终止合同；同时投标人需承担由此引起的法律责任。</w:t>
      </w:r>
    </w:p>
    <w:p>
      <w:pPr>
        <w:spacing w:line="520" w:lineRule="exact"/>
        <w:ind w:firstLine="480"/>
        <w:rPr>
          <w:rFonts w:ascii="宋体" w:cs="宋体"/>
          <w:sz w:val="24"/>
          <w:szCs w:val="24"/>
          <w:lang w:val="zh-CN"/>
        </w:rPr>
      </w:pPr>
      <w:r>
        <w:rPr>
          <w:rFonts w:hint="eastAsia" w:ascii="宋体" w:hAnsi="宋体" w:cs="宋体"/>
          <w:sz w:val="24"/>
          <w:szCs w:val="24"/>
          <w:lang w:val="zh-CN"/>
        </w:rPr>
        <w:t>⑨</w:t>
      </w:r>
      <w:r>
        <w:rPr>
          <w:rFonts w:hint="eastAsia" w:ascii="宋体" w:cs="宋体"/>
          <w:sz w:val="24"/>
          <w:szCs w:val="24"/>
          <w:lang w:val="zh-CN"/>
        </w:rPr>
        <w:t>主动服务：投标人应积极思考、不断改进服务态度和质量，变被动服务为主动服务。积极了解和听取采购人的问题和建议，采取适当措施改进维护服务，提交工作建议。</w:t>
      </w:r>
    </w:p>
    <w:p>
      <w:pPr>
        <w:spacing w:line="520" w:lineRule="exact"/>
        <w:ind w:firstLine="480"/>
        <w:rPr>
          <w:rFonts w:hint="eastAsia" w:ascii="宋体" w:hAnsi="宋体" w:cs="宋体"/>
          <w:sz w:val="24"/>
          <w:szCs w:val="24"/>
          <w:lang w:val="zh-CN"/>
        </w:rPr>
      </w:pPr>
      <w:r>
        <w:rPr>
          <w:rFonts w:hint="eastAsia" w:ascii="宋体" w:hAnsi="宋体" w:cs="宋体"/>
          <w:sz w:val="24"/>
          <w:szCs w:val="24"/>
          <w:lang w:val="zh-CN"/>
        </w:rPr>
        <w:t>⑩采购人有权在驻场人员进场前核验身份证原件及社保证明原件，若发现人证不符等现象，采购人有权终止合同并追</w:t>
      </w:r>
      <w:r>
        <w:rPr>
          <w:rFonts w:hint="eastAsia" w:ascii="宋体" w:hAnsi="宋体" w:cs="宋体"/>
          <w:sz w:val="24"/>
          <w:szCs w:val="24"/>
        </w:rPr>
        <w:t>究</w:t>
      </w:r>
      <w:r>
        <w:rPr>
          <w:rFonts w:hint="eastAsia" w:ascii="宋体" w:hAnsi="宋体" w:cs="宋体"/>
          <w:sz w:val="24"/>
          <w:szCs w:val="24"/>
          <w:lang w:val="zh-CN"/>
        </w:rPr>
        <w:t>投标人违约责任。如需替换人员，必须提前15个工作日书面申请。新人的学历、经验、资质必须不低于被替换者。且须经采购人审核通过后方可替换。驻场人员无故脱岗或未经审批私自替换，发现一次直接扣除1%的合同款；累计3次终止合同。</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4、其他服务要求</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（1）资产管理服务</w:t>
      </w:r>
    </w:p>
    <w:p>
      <w:pPr>
        <w:spacing w:line="520" w:lineRule="exact"/>
        <w:ind w:firstLine="480"/>
        <w:rPr>
          <w:rFonts w:cs="Calibri"/>
          <w:b/>
          <w:bCs/>
          <w:sz w:val="24"/>
          <w:szCs w:val="24"/>
        </w:rPr>
      </w:pPr>
      <w:r>
        <w:rPr>
          <w:rFonts w:hint="eastAsia" w:ascii="宋体" w:cs="宋体"/>
          <w:sz w:val="24"/>
          <w:szCs w:val="24"/>
          <w:lang w:val="zh-CN"/>
        </w:rPr>
        <w:t>投标人承担保管运维服务范围内全部资产的义务，编制固定资产保管清单，严格按照资产清单进行规范管理。对所维护的硬件、软件或系统发生变更的一周内完成更新登记，包括流程图、线路图、系统图、设备清单等文档记录。</w:t>
      </w:r>
    </w:p>
    <w:p>
      <w:pPr>
        <w:spacing w:line="520" w:lineRule="exact"/>
        <w:ind w:firstLine="480" w:firstLineChars="200"/>
        <w:rPr>
          <w:rFonts w:ascii="楷体_GB2312" w:eastAsia="楷体_GB2312" w:cs="楷体_GB2312"/>
          <w:sz w:val="24"/>
          <w:szCs w:val="24"/>
          <w:lang w:val="zh-CN"/>
        </w:rPr>
      </w:pPr>
      <w:r>
        <w:rPr>
          <w:rFonts w:hint="eastAsia" w:ascii="楷体_GB2312" w:eastAsia="楷体_GB2312" w:cs="楷体_GB2312"/>
          <w:sz w:val="24"/>
          <w:szCs w:val="24"/>
          <w:lang w:val="zh-CN"/>
        </w:rPr>
        <w:t>（2）培训服务</w:t>
      </w:r>
    </w:p>
    <w:p>
      <w:pPr>
        <w:spacing w:line="520" w:lineRule="exact"/>
        <w:ind w:firstLine="480"/>
        <w:rPr>
          <w:rFonts w:ascii="宋体" w:cs="宋体"/>
          <w:sz w:val="24"/>
          <w:szCs w:val="24"/>
          <w:lang w:val="zh-CN"/>
        </w:rPr>
      </w:pPr>
      <w:r>
        <w:rPr>
          <w:rFonts w:hint="eastAsia" w:ascii="宋体" w:cs="宋体"/>
          <w:sz w:val="24"/>
          <w:szCs w:val="24"/>
          <w:lang w:val="zh-CN"/>
        </w:rPr>
        <w:t>为提高采购人工作人员 IT 知识技能和 IT 管理水平。投标人应为采购人在服务期内提供针对技术培训。投标人应提供详细的培训方案，培训方案应包括培训目的、培训内容、培训时间安排、人数、次数、培训组织方式等。具体培训方案和培训时间等需经采购人确认后方可进行。具体要求如下：</w:t>
      </w:r>
    </w:p>
    <w:p>
      <w:pPr>
        <w:spacing w:line="520" w:lineRule="exact"/>
        <w:ind w:firstLine="480"/>
        <w:rPr>
          <w:rFonts w:ascii="宋体" w:cs="宋体"/>
          <w:sz w:val="24"/>
          <w:szCs w:val="24"/>
          <w:lang w:val="zh-CN"/>
        </w:rPr>
      </w:pPr>
      <w:r>
        <w:rPr>
          <w:rFonts w:hint="eastAsia" w:ascii="宋体" w:hAnsi="宋体" w:cs="宋体"/>
          <w:sz w:val="24"/>
          <w:szCs w:val="24"/>
          <w:lang w:val="zh-CN"/>
        </w:rPr>
        <w:t>①培训内容应包括但不限于下列几个方面</w:t>
      </w:r>
      <w:r>
        <w:rPr>
          <w:rFonts w:ascii="宋体" w:hAnsi="宋体" w:cs="宋体"/>
          <w:sz w:val="24"/>
          <w:szCs w:val="24"/>
          <w:lang w:val="zh-CN"/>
        </w:rPr>
        <w:t xml:space="preserve">: </w:t>
      </w:r>
      <w:r>
        <w:rPr>
          <w:rFonts w:hint="eastAsia" w:ascii="宋体" w:hAnsi="宋体" w:cs="宋体"/>
          <w:sz w:val="24"/>
          <w:szCs w:val="24"/>
          <w:lang w:val="zh-CN"/>
        </w:rPr>
        <w:t>一体化平台软硬件、机房设备管理，网络安全设备及系统等及投标人认为必要的其他培训。</w:t>
      </w:r>
    </w:p>
    <w:p>
      <w:pPr>
        <w:spacing w:line="520" w:lineRule="exact"/>
        <w:ind w:firstLine="480" w:firstLineChars="200"/>
        <w:rPr>
          <w:rFonts w:ascii="宋体" w:cs="宋体"/>
          <w:sz w:val="24"/>
          <w:szCs w:val="24"/>
          <w:lang w:val="zh-CN"/>
        </w:rPr>
      </w:pPr>
      <w:r>
        <w:rPr>
          <w:rFonts w:hint="eastAsia" w:ascii="宋体" w:hAnsi="宋体" w:cs="宋体"/>
          <w:sz w:val="24"/>
          <w:szCs w:val="24"/>
          <w:lang w:val="zh-CN"/>
        </w:rPr>
        <w:t>②</w:t>
      </w:r>
      <w:r>
        <w:rPr>
          <w:rFonts w:hint="eastAsia" w:ascii="宋体" w:cs="宋体"/>
          <w:sz w:val="24"/>
          <w:szCs w:val="24"/>
          <w:lang w:val="zh-CN"/>
        </w:rPr>
        <w:t>运维期内至少提供 2 次不少于30人的技术培训，具体形式由采购人结合实际工作确定。培训所涉及的所有费用均由投标人承担。</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（3）新系统上线技术支持及保障服务</w:t>
      </w:r>
    </w:p>
    <w:p>
      <w:pPr>
        <w:spacing w:line="520" w:lineRule="exact"/>
        <w:ind w:firstLine="480"/>
        <w:rPr>
          <w:rFonts w:ascii="宋体" w:cs="宋体"/>
          <w:sz w:val="24"/>
          <w:szCs w:val="24"/>
          <w:lang w:val="zh-CN"/>
        </w:rPr>
      </w:pPr>
      <w:r>
        <w:rPr>
          <w:rFonts w:hint="eastAsia" w:ascii="宋体" w:cs="宋体"/>
          <w:sz w:val="24"/>
          <w:szCs w:val="24"/>
          <w:lang w:val="zh-CN"/>
        </w:rPr>
        <w:t>投标人在运维期间应为采购人提供新建系统的部署、安装、调试、上线、测试等软硬件技术支持服务及人员保障等相关增值服务。</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（4）服务质量考核要求</w:t>
      </w:r>
    </w:p>
    <w:p>
      <w:pPr>
        <w:spacing w:line="520" w:lineRule="exact"/>
        <w:ind w:firstLine="480"/>
        <w:rPr>
          <w:rFonts w:ascii="宋体" w:cs="宋体"/>
          <w:sz w:val="24"/>
          <w:szCs w:val="24"/>
          <w:lang w:val="zh-CN"/>
        </w:rPr>
      </w:pPr>
      <w:r>
        <w:rPr>
          <w:rFonts w:hint="eastAsia" w:ascii="宋体" w:cs="宋体"/>
          <w:sz w:val="24"/>
          <w:szCs w:val="24"/>
          <w:lang w:val="zh-CN"/>
        </w:rPr>
        <w:t>当超过服务期限后，投标人存在应解决而未能解决的故障时，采购人有权要求投标人持续提供服务，直到故障解决为止。</w:t>
      </w:r>
    </w:p>
    <w:p>
      <w:pPr>
        <w:spacing w:line="520" w:lineRule="exact"/>
        <w:ind w:firstLine="480"/>
        <w:rPr>
          <w:rFonts w:ascii="宋体" w:cs="宋体"/>
          <w:sz w:val="24"/>
          <w:szCs w:val="24"/>
          <w:lang w:val="zh-CN"/>
        </w:rPr>
      </w:pPr>
      <w:r>
        <w:rPr>
          <w:rFonts w:hint="eastAsia" w:ascii="宋体" w:cs="宋体"/>
          <w:sz w:val="24"/>
          <w:szCs w:val="24"/>
          <w:lang w:val="zh-CN"/>
        </w:rPr>
        <w:t>每半年度运维服务结束后，投标人应向采购人提供半年度服务总结报告，采购人将根据服务质量考核数据和投标人技术服务表现进行评估。如评估不合格，采购人有权终止合同执行。</w:t>
      </w:r>
    </w:p>
    <w:p>
      <w:pPr>
        <w:spacing w:line="520" w:lineRule="exact"/>
        <w:ind w:firstLine="480"/>
        <w:rPr>
          <w:rFonts w:ascii="宋体" w:cs="宋体"/>
          <w:sz w:val="24"/>
          <w:szCs w:val="24"/>
          <w:lang w:val="zh-CN"/>
        </w:rPr>
      </w:pPr>
      <w:r>
        <w:rPr>
          <w:rFonts w:hint="eastAsia" w:ascii="宋体" w:cs="宋体"/>
          <w:sz w:val="24"/>
          <w:szCs w:val="24"/>
          <w:lang w:val="zh-CN"/>
        </w:rPr>
        <w:t>投标人应以提供优质服务为工作目标，建立工作规范、服务流程和管理制度等。并按照采购人相关要求，进行服务绩效考核。</w:t>
      </w:r>
    </w:p>
    <w:p>
      <w:pPr>
        <w:spacing w:line="520" w:lineRule="exact"/>
        <w:ind w:firstLine="480"/>
        <w:rPr>
          <w:rFonts w:ascii="楷体_GB2312" w:eastAsia="楷体_GB2312" w:cs="楷体_GB2312"/>
          <w:sz w:val="24"/>
          <w:szCs w:val="24"/>
          <w:lang w:val="zh-CN"/>
        </w:rPr>
      </w:pPr>
      <w:r>
        <w:rPr>
          <w:rFonts w:hint="eastAsia" w:ascii="楷体_GB2312" w:eastAsia="楷体_GB2312" w:cs="楷体_GB2312"/>
          <w:sz w:val="24"/>
          <w:szCs w:val="24"/>
          <w:lang w:val="zh-CN"/>
        </w:rPr>
        <w:t>（5）维保费用</w:t>
      </w:r>
    </w:p>
    <w:p>
      <w:pPr>
        <w:spacing w:line="520" w:lineRule="exact"/>
        <w:ind w:firstLine="480"/>
        <w:rPr>
          <w:rFonts w:ascii="宋体" w:cs="宋体"/>
          <w:sz w:val="24"/>
          <w:szCs w:val="24"/>
          <w:lang w:val="zh-CN"/>
        </w:rPr>
      </w:pPr>
      <w:r>
        <w:rPr>
          <w:rFonts w:hint="eastAsia" w:ascii="宋体" w:cs="宋体"/>
          <w:sz w:val="24"/>
          <w:szCs w:val="24"/>
          <w:lang w:val="zh-CN"/>
        </w:rPr>
        <w:t>本项目运维费用包括全部维护、维修、软件升级、购买第三方服务、耗材补充、更新设备、辅助材料和器材（线缆、接插零件等）、备品备件、巡检、培训、驻点人员以及不可预知的运维相关费用等全部支出，运维期内，除人为因素和不可抗力影响产生的故障，采购人将不再承担任何其他运维费用。</w:t>
      </w:r>
    </w:p>
    <w:p>
      <w:pPr>
        <w:spacing w:line="520" w:lineRule="exact"/>
        <w:ind w:firstLine="480"/>
        <w:rPr>
          <w:rFonts w:ascii="宋体" w:cs="宋体"/>
          <w:sz w:val="24"/>
          <w:szCs w:val="24"/>
          <w:lang w:val="zh-CN"/>
        </w:rPr>
      </w:pPr>
      <w:r>
        <w:rPr>
          <w:rFonts w:hint="eastAsia" w:ascii="宋体" w:cs="宋体"/>
          <w:sz w:val="24"/>
          <w:szCs w:val="24"/>
          <w:lang w:val="zh-CN"/>
        </w:rPr>
        <w:t>（6）其他说明</w:t>
      </w:r>
    </w:p>
    <w:p>
      <w:pPr>
        <w:spacing w:line="520" w:lineRule="exact"/>
        <w:ind w:firstLine="480"/>
        <w:rPr>
          <w:rFonts w:ascii="宋体" w:cs="宋体"/>
          <w:sz w:val="24"/>
          <w:szCs w:val="24"/>
          <w:lang w:val="zh-CN"/>
        </w:rPr>
      </w:pPr>
      <w:r>
        <w:rPr>
          <w:rFonts w:hint="eastAsia" w:ascii="宋体" w:cs="宋体"/>
          <w:sz w:val="24"/>
          <w:szCs w:val="24"/>
          <w:lang w:val="zh-CN"/>
        </w:rPr>
        <w:t>本项目涉及的设备及系统清单（具体设备及系统清单见本章节（二）具体分项运维要求）中列明的品牌型号仅代表采购人现有设备的客观状况，不作为倾向性采购依据。</w:t>
      </w:r>
    </w:p>
    <w:p>
      <w:pPr>
        <w:spacing w:line="520" w:lineRule="exac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（二）具体分项运维要求</w:t>
      </w:r>
    </w:p>
    <w:p>
      <w:pPr>
        <w:spacing w:line="520" w:lineRule="exact"/>
        <w:ind w:firstLine="723"/>
        <w:rPr>
          <w:rFonts w:ascii="楷体_GB2312" w:eastAsia="楷体_GB2312" w:cs="楷体_GB2312"/>
          <w:b/>
          <w:bCs/>
          <w:sz w:val="24"/>
          <w:szCs w:val="24"/>
          <w:lang w:val="zh-CN"/>
        </w:rPr>
      </w:pPr>
      <w:r>
        <w:rPr>
          <w:rFonts w:hint="eastAsia" w:ascii="楷体_GB2312" w:eastAsia="楷体_GB2312" w:cs="楷体_GB2312"/>
          <w:b/>
          <w:bCs/>
          <w:sz w:val="24"/>
          <w:szCs w:val="24"/>
          <w:lang w:val="zh-CN"/>
        </w:rPr>
        <w:t>1、江苏省无线电管理一体化基础平台运维</w:t>
      </w:r>
    </w:p>
    <w:p>
      <w:pPr>
        <w:spacing w:line="520" w:lineRule="exact"/>
        <w:ind w:firstLine="640"/>
        <w:rPr>
          <w:rFonts w:ascii="宋体" w:cs="宋体"/>
          <w:sz w:val="24"/>
          <w:szCs w:val="24"/>
          <w:lang w:val="zh-CN"/>
        </w:rPr>
      </w:pPr>
      <w:r>
        <w:rPr>
          <w:rFonts w:hint="eastAsia" w:ascii="宋体" w:cs="宋体"/>
          <w:sz w:val="24"/>
          <w:szCs w:val="24"/>
          <w:lang w:val="zh-CN"/>
        </w:rPr>
        <w:t>江苏省无线电管理一体化基础平台于</w:t>
      </w:r>
      <w:r>
        <w:rPr>
          <w:rFonts w:cs="Calibri"/>
          <w:sz w:val="24"/>
          <w:szCs w:val="24"/>
        </w:rPr>
        <w:t>2021</w:t>
      </w:r>
      <w:r>
        <w:rPr>
          <w:rFonts w:hint="eastAsia" w:ascii="宋体" w:cs="宋体"/>
          <w:sz w:val="24"/>
          <w:szCs w:val="24"/>
          <w:lang w:val="zh-CN"/>
        </w:rPr>
        <w:t>年建成，是我省无线电管理一体化平台的核心部分，全省（含13个地市）无线电管理机构相关人员通过无线电管理专网访问及使用此平台。平台包括统一门户、统一身份、服务治理、流程管理、平台管理、应用安全和地理信息、运行监控等模块。本次运维对象包括一体化基础平台、中间件、服务器操作系统及数据库系统，以及一体化基础平台所包含的所有功能模块。</w:t>
      </w:r>
    </w:p>
    <w:p>
      <w:pPr>
        <w:spacing w:line="520" w:lineRule="exact"/>
        <w:ind w:firstLine="640"/>
        <w:rPr>
          <w:rFonts w:ascii="宋体" w:cs="宋体"/>
          <w:sz w:val="24"/>
          <w:szCs w:val="24"/>
          <w:lang w:val="zh-CN"/>
        </w:rPr>
      </w:pPr>
      <w:r>
        <w:rPr>
          <w:rFonts w:hint="eastAsia" w:ascii="宋体" w:cs="宋体"/>
          <w:sz w:val="24"/>
          <w:szCs w:val="24"/>
          <w:lang w:val="zh-CN"/>
        </w:rPr>
        <w:t>需维保系统清单如下：</w:t>
      </w:r>
    </w:p>
    <w:tbl>
      <w:tblPr>
        <w:tblStyle w:val="49"/>
        <w:tblW w:w="4700" w:type="pct"/>
        <w:tblInd w:w="0" w:type="dxa"/>
        <w:tblLayout w:type="autofit"/>
        <w:tblCellMar>
          <w:top w:w="0" w:type="dxa"/>
          <w:left w:w="108" w:type="dxa"/>
          <w:bottom w:w="0" w:type="dxa"/>
          <w:right w:w="108" w:type="dxa"/>
        </w:tblCellMar>
      </w:tblPr>
      <w:tblGrid>
        <w:gridCol w:w="1246"/>
        <w:gridCol w:w="5495"/>
        <w:gridCol w:w="1262"/>
        <w:gridCol w:w="1260"/>
      </w:tblGrid>
      <w:tr>
        <w:tblPrEx>
          <w:tblCellMar>
            <w:top w:w="0" w:type="dxa"/>
            <w:left w:w="108" w:type="dxa"/>
            <w:bottom w:w="0" w:type="dxa"/>
            <w:right w:w="108" w:type="dxa"/>
          </w:tblCellMar>
        </w:tblPrEx>
        <w:trPr>
          <w:trHeight w:val="460" w:hRule="atLeast"/>
        </w:trPr>
        <w:tc>
          <w:tcPr>
            <w:tcW w:w="673"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序号</w:t>
            </w:r>
          </w:p>
        </w:tc>
        <w:tc>
          <w:tcPr>
            <w:tcW w:w="2966"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维保内容</w:t>
            </w:r>
          </w:p>
        </w:tc>
        <w:tc>
          <w:tcPr>
            <w:tcW w:w="681"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数量</w:t>
            </w:r>
          </w:p>
        </w:tc>
        <w:tc>
          <w:tcPr>
            <w:tcW w:w="680"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地点</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1</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hAnsi="宋体"/>
              </w:rPr>
              <w:t>江苏省无线电管理一体化基础平台（含企业服务总线（ESB）、服务治理、统一门户、统一身份、统一搜索、应用安全、平台管理、流程管理、地理信息、平台级互联互通、运行监控等）</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2</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hAnsi="宋体"/>
              </w:rPr>
              <w:t>达梦数据库软件</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3</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hAnsi="宋体"/>
              </w:rPr>
              <w:t>BPM工作流平台</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4</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一体化基础平台其他配套设备（如4A网关等）</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bl>
    <w:p>
      <w:pPr>
        <w:spacing w:line="520" w:lineRule="exact"/>
        <w:ind w:firstLine="640"/>
        <w:rPr>
          <w:rFonts w:ascii="宋体" w:cs="宋体"/>
          <w:sz w:val="24"/>
          <w:szCs w:val="24"/>
          <w:lang w:val="zh-CN"/>
        </w:rPr>
      </w:pPr>
      <w:r>
        <w:rPr>
          <w:rFonts w:hint="eastAsia" w:ascii="宋体" w:cs="宋体"/>
          <w:sz w:val="24"/>
          <w:szCs w:val="24"/>
          <w:lang w:val="zh-CN"/>
        </w:rPr>
        <w:t>投标人应提供江苏省无线电管理一体化基础平台运维方案，至少应包含平台运维内容响应、运维频次响应等内容。</w:t>
      </w:r>
    </w:p>
    <w:p>
      <w:pPr>
        <w:spacing w:line="520" w:lineRule="exact"/>
        <w:ind w:firstLine="640"/>
        <w:rPr>
          <w:rFonts w:ascii="宋体" w:cs="宋体"/>
          <w:sz w:val="24"/>
          <w:szCs w:val="24"/>
          <w:lang w:val="zh-CN"/>
        </w:rPr>
      </w:pPr>
      <w:r>
        <w:rPr>
          <w:rFonts w:hint="eastAsia" w:ascii="宋体" w:cs="宋体"/>
          <w:sz w:val="24"/>
          <w:szCs w:val="24"/>
          <w:lang w:val="zh-CN"/>
        </w:rPr>
        <w:t>（1）运维内容要求如下：</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81" w:type="dxa"/>
            <w:vAlign w:val="center"/>
          </w:tcPr>
          <w:p>
            <w:pPr>
              <w:spacing w:line="312" w:lineRule="auto"/>
              <w:jc w:val="center"/>
              <w:rPr>
                <w:rFonts w:cs="Calibri"/>
                <w:szCs w:val="21"/>
              </w:rPr>
            </w:pPr>
            <w:r>
              <w:rPr>
                <w:rFonts w:hint="eastAsia" w:cs="Calibri"/>
                <w:szCs w:val="21"/>
              </w:rPr>
              <w:t>运维内容</w:t>
            </w:r>
          </w:p>
        </w:tc>
        <w:tc>
          <w:tcPr>
            <w:tcW w:w="6945"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w:t>
            </w:r>
          </w:p>
        </w:tc>
        <w:tc>
          <w:tcPr>
            <w:tcW w:w="1181" w:type="dxa"/>
            <w:vAlign w:val="center"/>
          </w:tcPr>
          <w:p>
            <w:pPr>
              <w:spacing w:line="312" w:lineRule="auto"/>
              <w:rPr>
                <w:rFonts w:cs="Calibri"/>
                <w:b/>
                <w:bCs/>
                <w:szCs w:val="21"/>
              </w:rPr>
            </w:pPr>
            <w:r>
              <w:rPr>
                <w:rFonts w:hint="eastAsia" w:ascii="宋体" w:cs="宋体"/>
                <w:szCs w:val="21"/>
                <w:lang w:val="zh-CN"/>
              </w:rPr>
              <w:t>操作系统运维</w:t>
            </w:r>
          </w:p>
        </w:tc>
        <w:tc>
          <w:tcPr>
            <w:tcW w:w="6945" w:type="dxa"/>
            <w:vAlign w:val="center"/>
          </w:tcPr>
          <w:p>
            <w:pPr>
              <w:spacing w:line="312" w:lineRule="auto"/>
              <w:ind w:firstLine="480"/>
              <w:rPr>
                <w:rFonts w:cs="Calibri"/>
                <w:b/>
                <w:bCs/>
                <w:szCs w:val="21"/>
              </w:rPr>
            </w:pPr>
            <w:r>
              <w:rPr>
                <w:rFonts w:hint="eastAsia" w:ascii="宋体" w:cs="宋体"/>
                <w:szCs w:val="21"/>
                <w:lang w:val="zh-CN"/>
              </w:rPr>
              <w:t>操作系统运维主要进行系统运行状态检查，内容包括：查看</w:t>
            </w:r>
            <w:r>
              <w:rPr>
                <w:rFonts w:cs="Calibri"/>
                <w:szCs w:val="21"/>
              </w:rPr>
              <w:t xml:space="preserve">CPU </w:t>
            </w:r>
            <w:r>
              <w:rPr>
                <w:rFonts w:hint="eastAsia" w:ascii="宋体" w:cs="宋体"/>
                <w:szCs w:val="21"/>
                <w:lang w:val="zh-CN"/>
              </w:rPr>
              <w:t>性能，查看内存使用情况，查看硬盘利用情况，查看系统进程等。</w:t>
            </w:r>
          </w:p>
          <w:p>
            <w:pPr>
              <w:spacing w:line="312" w:lineRule="auto"/>
              <w:ind w:firstLine="480"/>
              <w:rPr>
                <w:rFonts w:cs="Calibri"/>
                <w:b/>
                <w:bCs/>
                <w:szCs w:val="21"/>
              </w:rPr>
            </w:pPr>
            <w:r>
              <w:rPr>
                <w:rFonts w:hint="eastAsia" w:ascii="宋体" w:cs="宋体"/>
                <w:szCs w:val="21"/>
                <w:lang w:val="zh-CN"/>
              </w:rPr>
              <w:t>如果巡检过程中发现存在问题，将根据巡检流程对故障进行处理，同时将适时进行系统补丁升级等操作。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2</w:t>
            </w:r>
          </w:p>
        </w:tc>
        <w:tc>
          <w:tcPr>
            <w:tcW w:w="1181" w:type="dxa"/>
            <w:vAlign w:val="center"/>
          </w:tcPr>
          <w:p>
            <w:pPr>
              <w:spacing w:line="312" w:lineRule="auto"/>
              <w:rPr>
                <w:rFonts w:cs="Calibri"/>
                <w:b/>
                <w:bCs/>
                <w:szCs w:val="21"/>
              </w:rPr>
            </w:pPr>
            <w:r>
              <w:rPr>
                <w:rFonts w:hint="eastAsia" w:ascii="宋体" w:cs="宋体"/>
                <w:szCs w:val="21"/>
                <w:lang w:val="zh-CN"/>
              </w:rPr>
              <w:t>平台数据库运维</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提供平台使用的达梦数据库相关运维及维保服务。数据库运维包括确认数据库的日常运行状态，识别数据库的性能问题，有针对性地进行性能优化。数据库运维的主要内容包括：查看数据库运行状况：文件系统、碎片、死锁、</w:t>
            </w:r>
            <w:r>
              <w:rPr>
                <w:rFonts w:cs="Calibri"/>
                <w:szCs w:val="21"/>
              </w:rPr>
              <w:t>CPU</w:t>
            </w:r>
            <w:r>
              <w:rPr>
                <w:rFonts w:hint="eastAsia" w:ascii="宋体" w:cs="宋体"/>
                <w:szCs w:val="21"/>
                <w:lang w:val="zh-CN"/>
              </w:rPr>
              <w:t>占用率较大或时间较长的</w:t>
            </w:r>
            <w:r>
              <w:rPr>
                <w:rFonts w:cs="Calibri"/>
                <w:szCs w:val="21"/>
              </w:rPr>
              <w:t>SQL</w:t>
            </w:r>
            <w:r>
              <w:rPr>
                <w:rFonts w:hint="eastAsia" w:ascii="宋体" w:cs="宋体"/>
                <w:szCs w:val="21"/>
                <w:lang w:val="zh-CN"/>
              </w:rPr>
              <w:t>语句；查看表空间使用比率；查看数据库文件</w:t>
            </w:r>
            <w:r>
              <w:rPr>
                <w:rFonts w:cs="Calibri"/>
                <w:szCs w:val="21"/>
              </w:rPr>
              <w:t>I/0</w:t>
            </w:r>
            <w:r>
              <w:rPr>
                <w:rFonts w:hint="eastAsia" w:ascii="宋体" w:cs="宋体"/>
                <w:szCs w:val="21"/>
                <w:lang w:val="zh-CN"/>
              </w:rPr>
              <w:t>读写情况；查看</w:t>
            </w:r>
            <w:r>
              <w:rPr>
                <w:rFonts w:cs="Calibri"/>
                <w:szCs w:val="21"/>
              </w:rPr>
              <w:t>Session</w:t>
            </w:r>
            <w:r>
              <w:rPr>
                <w:rFonts w:hint="eastAsia" w:ascii="宋体" w:cs="宋体"/>
                <w:szCs w:val="21"/>
                <w:lang w:val="zh-CN"/>
              </w:rPr>
              <w:t>连接数量；查看数据库监听运行状态；查看每日数据备份、数据同步是否正常；查看报警日志；查看数据库对象的表空间扩展情况等。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3</w:t>
            </w:r>
          </w:p>
        </w:tc>
        <w:tc>
          <w:tcPr>
            <w:tcW w:w="1181" w:type="dxa"/>
            <w:vAlign w:val="center"/>
          </w:tcPr>
          <w:p>
            <w:pPr>
              <w:spacing w:line="312" w:lineRule="auto"/>
              <w:rPr>
                <w:rFonts w:cs="Calibri"/>
                <w:b/>
                <w:bCs/>
                <w:szCs w:val="21"/>
              </w:rPr>
            </w:pPr>
            <w:r>
              <w:rPr>
                <w:rFonts w:hint="eastAsia" w:ascii="宋体" w:cs="宋体"/>
                <w:szCs w:val="21"/>
                <w:lang w:val="zh-CN"/>
              </w:rPr>
              <w:t>中间件运维</w:t>
            </w:r>
          </w:p>
        </w:tc>
        <w:tc>
          <w:tcPr>
            <w:tcW w:w="6945" w:type="dxa"/>
            <w:vAlign w:val="center"/>
          </w:tcPr>
          <w:p>
            <w:pPr>
              <w:spacing w:line="312" w:lineRule="auto"/>
              <w:ind w:firstLine="480"/>
              <w:rPr>
                <w:rFonts w:cs="Calibri"/>
                <w:b/>
                <w:bCs/>
                <w:szCs w:val="21"/>
              </w:rPr>
            </w:pPr>
            <w:r>
              <w:rPr>
                <w:rFonts w:hint="eastAsia" w:ascii="宋体" w:cs="宋体"/>
                <w:szCs w:val="21"/>
                <w:lang w:val="zh-CN"/>
              </w:rPr>
              <w:t>中间件是指流程引擎、企业服务总线等中间件的日常维护管理及监控工作，中间件监控指标包括配置信息管理、故障监控、性能监控等内容，主要包括如下工作内容：</w:t>
            </w:r>
          </w:p>
          <w:p>
            <w:pPr>
              <w:spacing w:line="312" w:lineRule="auto"/>
              <w:ind w:firstLine="480"/>
              <w:rPr>
                <w:rFonts w:cs="Calibri"/>
                <w:b/>
                <w:bCs/>
                <w:szCs w:val="21"/>
              </w:rPr>
            </w:pPr>
            <w:r>
              <w:rPr>
                <w:rFonts w:hint="eastAsia" w:ascii="宋体" w:cs="宋体"/>
                <w:szCs w:val="21"/>
                <w:lang w:val="zh-CN"/>
              </w:rPr>
              <w:t>查看执行进程：监控中间件配置执行进程的空闲数量。</w:t>
            </w:r>
          </w:p>
          <w:p>
            <w:pPr>
              <w:spacing w:line="312" w:lineRule="auto"/>
              <w:ind w:firstLine="480"/>
              <w:rPr>
                <w:rFonts w:cs="Calibri"/>
                <w:b/>
                <w:bCs/>
                <w:szCs w:val="21"/>
              </w:rPr>
            </w:pPr>
            <w:r>
              <w:rPr>
                <w:rFonts w:hint="eastAsia" w:ascii="宋体" w:cs="宋体"/>
                <w:szCs w:val="21"/>
                <w:lang w:val="zh-CN"/>
              </w:rPr>
              <w:t>查看</w:t>
            </w:r>
            <w:r>
              <w:rPr>
                <w:rFonts w:cs="Calibri"/>
                <w:szCs w:val="21"/>
              </w:rPr>
              <w:t>JVM</w:t>
            </w:r>
            <w:r>
              <w:rPr>
                <w:rFonts w:hint="eastAsia" w:ascii="宋体" w:cs="宋体"/>
                <w:szCs w:val="21"/>
                <w:lang w:val="zh-CN"/>
              </w:rPr>
              <w:t>内存：</w:t>
            </w:r>
            <w:r>
              <w:rPr>
                <w:rFonts w:cs="Calibri"/>
                <w:szCs w:val="21"/>
              </w:rPr>
              <w:t>JVM</w:t>
            </w:r>
            <w:r>
              <w:rPr>
                <w:rFonts w:hint="eastAsia" w:ascii="宋体" w:cs="宋体"/>
                <w:szCs w:val="21"/>
                <w:lang w:val="zh-CN"/>
              </w:rPr>
              <w:t>内存曲线正常，能够及时的进行内存空间回收。</w:t>
            </w:r>
          </w:p>
          <w:p>
            <w:pPr>
              <w:spacing w:line="312" w:lineRule="auto"/>
              <w:ind w:firstLine="480"/>
              <w:rPr>
                <w:rFonts w:cs="Calibri"/>
                <w:b/>
                <w:bCs/>
                <w:szCs w:val="21"/>
              </w:rPr>
            </w:pPr>
            <w:r>
              <w:rPr>
                <w:rFonts w:hint="eastAsia" w:ascii="宋体" w:cs="宋体"/>
                <w:szCs w:val="21"/>
                <w:lang w:val="zh-CN"/>
              </w:rPr>
              <w:t>查看连接池：连接池的初始容量和最大容量应该设置为相等，并且至少等于执行进程的数量，以避免在运行过程中创建连接所带来的性能消耗。</w:t>
            </w:r>
          </w:p>
          <w:p>
            <w:pPr>
              <w:spacing w:line="312" w:lineRule="auto"/>
              <w:ind w:firstLine="480"/>
              <w:rPr>
                <w:rFonts w:cs="Calibri"/>
                <w:b/>
                <w:bCs/>
                <w:szCs w:val="21"/>
              </w:rPr>
            </w:pPr>
            <w:r>
              <w:rPr>
                <w:rFonts w:hint="eastAsia" w:ascii="宋体" w:cs="宋体"/>
                <w:szCs w:val="21"/>
                <w:lang w:val="zh-CN"/>
              </w:rPr>
              <w:t>检查中间件日志文件是否有异常报错</w:t>
            </w:r>
          </w:p>
          <w:p>
            <w:pPr>
              <w:spacing w:line="312" w:lineRule="auto"/>
              <w:ind w:firstLine="480"/>
              <w:rPr>
                <w:rFonts w:cs="Calibri"/>
                <w:b/>
                <w:bCs/>
                <w:szCs w:val="21"/>
              </w:rPr>
            </w:pPr>
            <w:r>
              <w:rPr>
                <w:rFonts w:hint="eastAsia" w:ascii="宋体" w:cs="宋体"/>
                <w:szCs w:val="21"/>
                <w:lang w:val="zh-CN"/>
              </w:rPr>
              <w:t>对于中间件集群配置，检查集群的配置是否正常。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4</w:t>
            </w:r>
          </w:p>
        </w:tc>
        <w:tc>
          <w:tcPr>
            <w:tcW w:w="1181" w:type="dxa"/>
            <w:vAlign w:val="center"/>
          </w:tcPr>
          <w:p>
            <w:pPr>
              <w:spacing w:line="312" w:lineRule="auto"/>
              <w:rPr>
                <w:rFonts w:cs="Calibri"/>
                <w:b/>
                <w:bCs/>
                <w:szCs w:val="21"/>
              </w:rPr>
            </w:pPr>
            <w:r>
              <w:rPr>
                <w:rFonts w:hint="eastAsia" w:ascii="宋体" w:cs="宋体"/>
                <w:szCs w:val="21"/>
                <w:lang w:val="zh-CN"/>
              </w:rPr>
              <w:t>应用安全系统运维</w:t>
            </w:r>
          </w:p>
        </w:tc>
        <w:tc>
          <w:tcPr>
            <w:tcW w:w="6945" w:type="dxa"/>
            <w:vAlign w:val="center"/>
          </w:tcPr>
          <w:p>
            <w:pPr>
              <w:spacing w:line="312" w:lineRule="auto"/>
              <w:ind w:firstLine="480"/>
              <w:rPr>
                <w:rFonts w:cs="Calibri"/>
                <w:b/>
                <w:bCs/>
                <w:szCs w:val="21"/>
              </w:rPr>
            </w:pPr>
            <w:r>
              <w:rPr>
                <w:rFonts w:cs="Calibri"/>
                <w:szCs w:val="21"/>
              </w:rPr>
              <w:t>4A</w:t>
            </w:r>
            <w:r>
              <w:rPr>
                <w:rFonts w:hint="eastAsia" w:ascii="宋体" w:cs="宋体"/>
                <w:szCs w:val="21"/>
                <w:lang w:val="zh-CN"/>
              </w:rPr>
              <w:t>应用系统运维工作主要包括：查看服务运行状态，确认端口占用情况，确认双机热备运行状态，通过查看日志，进行系统日志审计及分析工作。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5</w:t>
            </w:r>
          </w:p>
        </w:tc>
        <w:tc>
          <w:tcPr>
            <w:tcW w:w="1181" w:type="dxa"/>
            <w:vAlign w:val="center"/>
          </w:tcPr>
          <w:p>
            <w:pPr>
              <w:spacing w:line="312" w:lineRule="auto"/>
              <w:rPr>
                <w:rFonts w:cs="Calibri"/>
                <w:b/>
                <w:bCs/>
                <w:szCs w:val="21"/>
              </w:rPr>
            </w:pPr>
            <w:r>
              <w:rPr>
                <w:rFonts w:hint="eastAsia" w:ascii="宋体" w:cs="宋体"/>
                <w:szCs w:val="21"/>
                <w:lang w:val="zh-CN"/>
              </w:rPr>
              <w:t>定期巡检</w:t>
            </w:r>
          </w:p>
        </w:tc>
        <w:tc>
          <w:tcPr>
            <w:tcW w:w="6945" w:type="dxa"/>
            <w:vAlign w:val="center"/>
          </w:tcPr>
          <w:p>
            <w:pPr>
              <w:spacing w:line="312" w:lineRule="auto"/>
              <w:ind w:firstLine="480"/>
              <w:rPr>
                <w:rFonts w:cs="Calibri"/>
                <w:b/>
                <w:bCs/>
                <w:szCs w:val="21"/>
              </w:rPr>
            </w:pPr>
            <w:r>
              <w:rPr>
                <w:rFonts w:hint="eastAsia" w:ascii="宋体" w:cs="宋体"/>
                <w:szCs w:val="21"/>
                <w:lang w:val="zh-CN"/>
              </w:rPr>
              <w:t>投标人制订巡检计划，明确巡检日期、巡检内容、报告模板等内容。巡检应包含日常远程巡检及现场巡检。日常远程巡检形成运维报告，现场巡检由投标人技术人员进行现场巡检工作，当面确认、处理问题。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6</w:t>
            </w:r>
          </w:p>
        </w:tc>
        <w:tc>
          <w:tcPr>
            <w:tcW w:w="1181" w:type="dxa"/>
            <w:vAlign w:val="center"/>
          </w:tcPr>
          <w:p>
            <w:pPr>
              <w:spacing w:line="312" w:lineRule="auto"/>
              <w:rPr>
                <w:rFonts w:cs="Calibri"/>
                <w:b/>
                <w:bCs/>
                <w:szCs w:val="21"/>
              </w:rPr>
            </w:pPr>
            <w:r>
              <w:rPr>
                <w:rFonts w:hint="eastAsia" w:ascii="宋体" w:cs="宋体"/>
                <w:szCs w:val="21"/>
                <w:lang w:val="zh-CN"/>
              </w:rPr>
              <w:t>系统技术支持</w:t>
            </w:r>
          </w:p>
        </w:tc>
        <w:tc>
          <w:tcPr>
            <w:tcW w:w="6945" w:type="dxa"/>
            <w:vAlign w:val="center"/>
          </w:tcPr>
          <w:p>
            <w:pPr>
              <w:spacing w:line="400" w:lineRule="exact"/>
              <w:ind w:firstLine="482"/>
              <w:rPr>
                <w:rFonts w:ascii="宋体" w:cs="宋体"/>
                <w:szCs w:val="21"/>
              </w:rPr>
            </w:pPr>
            <w:r>
              <w:rPr>
                <w:rFonts w:hint="eastAsia" w:ascii="宋体" w:cs="宋体"/>
                <w:szCs w:val="21"/>
                <w:lang w:val="zh-CN"/>
              </w:rPr>
              <w:t>系统技术支持主要针对业务人员在使用软件系统的过程中系统出现问题，导致相关工作无法顺利开展时，可随时联系投标人进行排查处理，运维服务人员应在</w:t>
            </w:r>
            <w:r>
              <w:rPr>
                <w:rFonts w:cs="Calibri"/>
                <w:szCs w:val="21"/>
              </w:rPr>
              <w:t>10</w:t>
            </w:r>
            <w:r>
              <w:rPr>
                <w:rFonts w:hint="eastAsia" w:ascii="宋体" w:cs="宋体"/>
                <w:szCs w:val="21"/>
                <w:lang w:val="zh-CN"/>
              </w:rPr>
              <w:t>分钟响应，并立即开展排查，同时根据系统故障响应级别要求的时效进行处理。投标人需要具有完善的软件系统技术支持服务体系以及相应的工作流程，以提供良好的技术支持服务。运维服务人员在完成故障的处理后应总结问题原因，避免相同问题再次出现，同时对处理过程进行记录。</w:t>
            </w:r>
            <w:r>
              <w:rPr>
                <w:rFonts w:hint="eastAsia" w:ascii="宋体" w:cs="宋体"/>
                <w:szCs w:val="21"/>
              </w:rPr>
              <w:t>投标人</w:t>
            </w:r>
            <w:r>
              <w:rPr>
                <w:rFonts w:hint="eastAsia" w:ascii="宋体" w:cs="宋体"/>
                <w:szCs w:val="21"/>
                <w:lang w:val="zh-CN"/>
              </w:rPr>
              <w:t>需在投标文件中提供针对系统底层源码及接口配置的应急技术支撑保障方案，</w:t>
            </w:r>
            <w:r>
              <w:rPr>
                <w:rFonts w:hint="eastAsia" w:ascii="宋体" w:cs="宋体"/>
                <w:szCs w:val="21"/>
              </w:rPr>
              <w:t>包含</w:t>
            </w:r>
            <w:r>
              <w:rPr>
                <w:rFonts w:hint="eastAsia" w:ascii="宋体" w:cs="宋体"/>
                <w:szCs w:val="21"/>
                <w:lang w:val="zh-CN"/>
              </w:rPr>
              <w:t>实施流程、响应时限及应急替代措施。</w:t>
            </w:r>
            <w:r>
              <w:rPr>
                <w:rFonts w:hint="eastAsia" w:ascii="宋体" w:cs="宋体"/>
                <w:szCs w:val="21"/>
              </w:rPr>
              <w:t>以确保</w:t>
            </w:r>
            <w:r>
              <w:rPr>
                <w:rFonts w:hint="eastAsia" w:ascii="宋体" w:cs="宋体"/>
                <w:szCs w:val="21"/>
                <w:lang w:val="zh-CN"/>
              </w:rPr>
              <w:t>当系统发生核心代码级故障时，投标人能快速定位问题，并</w:t>
            </w:r>
            <w:r>
              <w:rPr>
                <w:rFonts w:hint="eastAsia" w:ascii="宋体" w:cs="宋体"/>
                <w:szCs w:val="21"/>
              </w:rPr>
              <w:t>在故障规定处理时限内，组织协调技术</w:t>
            </w:r>
            <w:r>
              <w:rPr>
                <w:rFonts w:hint="eastAsia" w:ascii="宋体" w:cs="宋体"/>
                <w:szCs w:val="21"/>
                <w:lang w:val="zh-CN"/>
              </w:rPr>
              <w:t>团队</w:t>
            </w:r>
            <w:r>
              <w:rPr>
                <w:rFonts w:hint="eastAsia" w:ascii="宋体" w:cs="宋体"/>
                <w:szCs w:val="21"/>
              </w:rPr>
              <w:t>最终解决问题。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7</w:t>
            </w:r>
          </w:p>
        </w:tc>
        <w:tc>
          <w:tcPr>
            <w:tcW w:w="1181" w:type="dxa"/>
            <w:vAlign w:val="center"/>
          </w:tcPr>
          <w:p>
            <w:pPr>
              <w:spacing w:line="312" w:lineRule="auto"/>
              <w:rPr>
                <w:rFonts w:cs="Calibri"/>
                <w:szCs w:val="21"/>
              </w:rPr>
            </w:pPr>
            <w:r>
              <w:rPr>
                <w:rFonts w:hint="eastAsia" w:ascii="宋体" w:cs="宋体"/>
                <w:szCs w:val="21"/>
                <w:lang w:val="zh-CN"/>
              </w:rPr>
              <w:t>技术咨询与指导</w:t>
            </w:r>
          </w:p>
        </w:tc>
        <w:tc>
          <w:tcPr>
            <w:tcW w:w="6945" w:type="dxa"/>
            <w:vAlign w:val="center"/>
          </w:tcPr>
          <w:p>
            <w:pPr>
              <w:spacing w:line="312" w:lineRule="auto"/>
              <w:ind w:firstLine="480"/>
              <w:rPr>
                <w:rFonts w:cs="Calibri"/>
                <w:b/>
                <w:bCs/>
                <w:szCs w:val="21"/>
              </w:rPr>
            </w:pPr>
            <w:r>
              <w:rPr>
                <w:rFonts w:hint="eastAsia" w:ascii="宋体" w:cs="宋体"/>
                <w:szCs w:val="21"/>
                <w:lang w:val="zh-CN"/>
              </w:rPr>
              <w:t>业务人员在使用软件系统的过程中遇到任何系统的使用疑问或者业务相关疑问，可随时联系投标人进行咨询，运维服务人员应在</w:t>
            </w:r>
            <w:r>
              <w:rPr>
                <w:rFonts w:cs="Calibri"/>
                <w:szCs w:val="21"/>
              </w:rPr>
              <w:t>10</w:t>
            </w:r>
            <w:r>
              <w:rPr>
                <w:rFonts w:hint="eastAsia" w:ascii="宋体" w:cs="宋体"/>
                <w:szCs w:val="21"/>
                <w:lang w:val="zh-CN"/>
              </w:rPr>
              <w:t>分钟之内响应，并立即通过电话、邮件、视频通话、远程等方式对用户提出的问题进行解答或指导。投标人需提供</w:t>
            </w:r>
            <w:r>
              <w:rPr>
                <w:rFonts w:cs="Calibri"/>
                <w:szCs w:val="21"/>
              </w:rPr>
              <w:t>7*24</w:t>
            </w:r>
            <w:r>
              <w:rPr>
                <w:rFonts w:hint="eastAsia" w:ascii="宋体" w:cs="宋体"/>
                <w:szCs w:val="21"/>
                <w:lang w:val="zh-CN"/>
              </w:rPr>
              <w:t>小时服务响应。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8</w:t>
            </w:r>
          </w:p>
        </w:tc>
        <w:tc>
          <w:tcPr>
            <w:tcW w:w="1181" w:type="dxa"/>
            <w:vAlign w:val="center"/>
          </w:tcPr>
          <w:p>
            <w:pPr>
              <w:spacing w:line="312" w:lineRule="auto"/>
              <w:rPr>
                <w:rFonts w:cs="Calibri"/>
                <w:b/>
                <w:bCs/>
                <w:szCs w:val="21"/>
              </w:rPr>
            </w:pPr>
            <w:r>
              <w:rPr>
                <w:rFonts w:hint="eastAsia" w:ascii="宋体" w:cs="宋体"/>
                <w:szCs w:val="21"/>
                <w:lang w:val="zh-CN"/>
              </w:rPr>
              <w:t>互联互通数据维护</w:t>
            </w:r>
          </w:p>
        </w:tc>
        <w:tc>
          <w:tcPr>
            <w:tcW w:w="6945" w:type="dxa"/>
            <w:vAlign w:val="center"/>
          </w:tcPr>
          <w:p>
            <w:pPr>
              <w:spacing w:line="312" w:lineRule="auto"/>
              <w:ind w:firstLine="480"/>
              <w:rPr>
                <w:rFonts w:cs="Calibri"/>
                <w:b/>
                <w:bCs/>
                <w:szCs w:val="21"/>
              </w:rPr>
            </w:pPr>
            <w:r>
              <w:rPr>
                <w:rFonts w:hint="eastAsia" w:ascii="宋体" w:cs="宋体"/>
                <w:szCs w:val="21"/>
                <w:lang w:val="zh-CN"/>
              </w:rPr>
              <w:t>主要工作内容为监控平台级互联互通运行状况，发现和解决互联互通过程中的数据问题和软硬件问题，协助业务单位进行频占费投资效益评估结果的整改工作。</w:t>
            </w:r>
          </w:p>
          <w:p>
            <w:pPr>
              <w:spacing w:line="312" w:lineRule="auto"/>
              <w:ind w:firstLine="480"/>
              <w:rPr>
                <w:szCs w:val="21"/>
              </w:rPr>
            </w:pPr>
            <w:r>
              <w:rPr>
                <w:rFonts w:hint="eastAsia" w:ascii="宋体" w:cs="宋体"/>
                <w:szCs w:val="21"/>
                <w:lang w:val="zh-CN"/>
              </w:rPr>
              <w:t>根据互联互通规范要求升级互联互通接口服务，同时按照规范要求的周期和维度处理上报数据、储存及展示下发数据。</w:t>
            </w:r>
          </w:p>
          <w:p>
            <w:pPr>
              <w:spacing w:line="312" w:lineRule="auto"/>
              <w:ind w:firstLine="480"/>
              <w:rPr>
                <w:rFonts w:cs="Calibri"/>
                <w:b/>
                <w:bCs/>
                <w:szCs w:val="21"/>
              </w:rPr>
            </w:pPr>
            <w:r>
              <w:rPr>
                <w:rFonts w:hint="eastAsia" w:ascii="宋体" w:cs="宋体"/>
                <w:szCs w:val="21"/>
                <w:lang w:val="zh-CN"/>
              </w:rPr>
              <w:t>互联互通规范要求省级基础平台每天将平台内的系统、服务和平台运行数据上报至国家级平台，并接收和储存国家级平台下发的数据。通过监控互联互通接口服务的运行状况，及时发现和解决接口服务调用中出现的问题，确保平台级互联互通的及时性和有效性。同时定期对平台数据进行互联互通规范符合性巡检，确保平台上传的数据符合规范要求，协助第三方业务应用系统整改问题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9</w:t>
            </w:r>
          </w:p>
        </w:tc>
        <w:tc>
          <w:tcPr>
            <w:tcW w:w="1181" w:type="dxa"/>
            <w:vAlign w:val="center"/>
          </w:tcPr>
          <w:p>
            <w:pPr>
              <w:spacing w:line="312" w:lineRule="auto"/>
              <w:rPr>
                <w:rFonts w:cs="Calibri"/>
                <w:b/>
                <w:bCs/>
                <w:szCs w:val="21"/>
              </w:rPr>
            </w:pPr>
            <w:r>
              <w:rPr>
                <w:rFonts w:hint="eastAsia" w:ascii="宋体" w:cs="宋体"/>
                <w:szCs w:val="21"/>
                <w:lang w:val="zh-CN"/>
              </w:rPr>
              <w:t>业务应用集成支持</w:t>
            </w:r>
          </w:p>
        </w:tc>
        <w:tc>
          <w:tcPr>
            <w:tcW w:w="6945" w:type="dxa"/>
            <w:vAlign w:val="center"/>
          </w:tcPr>
          <w:p>
            <w:pPr>
              <w:spacing w:line="312" w:lineRule="auto"/>
              <w:ind w:firstLine="480"/>
              <w:rPr>
                <w:rFonts w:cs="Calibri"/>
                <w:b/>
                <w:bCs/>
                <w:szCs w:val="21"/>
              </w:rPr>
            </w:pPr>
            <w:r>
              <w:rPr>
                <w:rFonts w:hint="eastAsia" w:ascii="宋体" w:cs="宋体"/>
                <w:szCs w:val="21"/>
                <w:lang w:val="zh-CN"/>
              </w:rPr>
              <w:t>一体化平台是以</w:t>
            </w:r>
            <w:r>
              <w:rPr>
                <w:rFonts w:ascii="宋体" w:cs="宋体"/>
                <w:szCs w:val="21"/>
                <w:lang w:val="zh-CN"/>
              </w:rPr>
              <w:t>“</w:t>
            </w:r>
            <w:r>
              <w:rPr>
                <w:rFonts w:hint="eastAsia" w:ascii="宋体" w:cs="宋体"/>
                <w:szCs w:val="21"/>
                <w:lang w:val="zh-CN"/>
              </w:rPr>
              <w:t>基础平台</w:t>
            </w:r>
            <w:r>
              <w:rPr>
                <w:rFonts w:cs="Calibri"/>
                <w:szCs w:val="21"/>
              </w:rPr>
              <w:t>+</w:t>
            </w:r>
            <w:r>
              <w:rPr>
                <w:rFonts w:hint="eastAsia" w:ascii="宋体" w:cs="宋体"/>
                <w:szCs w:val="21"/>
                <w:lang w:val="zh-CN"/>
              </w:rPr>
              <w:t>业务应用</w:t>
            </w:r>
            <w:r>
              <w:rPr>
                <w:rFonts w:ascii="宋体" w:cs="宋体"/>
                <w:szCs w:val="21"/>
                <w:lang w:val="zh-CN"/>
              </w:rPr>
              <w:t>”</w:t>
            </w:r>
            <w:r>
              <w:rPr>
                <w:rFonts w:hint="eastAsia" w:ascii="宋体" w:cs="宋体"/>
                <w:szCs w:val="21"/>
                <w:lang w:val="zh-CN"/>
              </w:rPr>
              <w:t>为核心思想，以</w:t>
            </w:r>
            <w:r>
              <w:rPr>
                <w:rFonts w:cs="Calibri"/>
                <w:szCs w:val="21"/>
              </w:rPr>
              <w:t>SOA</w:t>
            </w:r>
            <w:r>
              <w:rPr>
                <w:rFonts w:hint="eastAsia" w:ascii="宋体" w:cs="宋体"/>
                <w:szCs w:val="21"/>
                <w:lang w:val="zh-CN"/>
              </w:rPr>
              <w:t>（面向服务的体系架构）为技术架构搭建的通用软件平台。无线电管理一体化涉及无线电管理的全业务职能和部门，所有的业务应用系统建成后均应与一体化平台进行系统集成。</w:t>
            </w:r>
          </w:p>
          <w:p>
            <w:pPr>
              <w:spacing w:line="312" w:lineRule="auto"/>
              <w:ind w:firstLine="480"/>
              <w:rPr>
                <w:rFonts w:cs="Calibri"/>
                <w:b/>
                <w:bCs/>
                <w:szCs w:val="21"/>
              </w:rPr>
            </w:pPr>
            <w:r>
              <w:rPr>
                <w:rFonts w:hint="eastAsia" w:ascii="宋体" w:cs="宋体"/>
                <w:szCs w:val="21"/>
                <w:lang w:val="zh-CN"/>
              </w:rPr>
              <w:t>与一体化平台的集成工作主要通过企业服务总线集成和流程集成，完成信息资源请求与响应、服务注册与发布。为了指导各业务应用系统的承建单位完成与一体化平台进行系统集成，参考国家级平台制订并发布的一系列平台集成规范，制订江苏省无线电管理一体化平台集成规范。在实际的集成工作中，一体化平台运维团队需要积极协助业务系统承建单位完成集成工作，做好规范解读与集成的协调工作。</w:t>
            </w:r>
          </w:p>
          <w:p>
            <w:pPr>
              <w:spacing w:line="312" w:lineRule="auto"/>
              <w:ind w:firstLine="480"/>
              <w:rPr>
                <w:rFonts w:cs="Calibri"/>
                <w:b/>
                <w:bCs/>
                <w:szCs w:val="21"/>
              </w:rPr>
            </w:pPr>
            <w:r>
              <w:rPr>
                <w:rFonts w:hint="eastAsia" w:ascii="宋体" w:cs="宋体"/>
                <w:szCs w:val="21"/>
                <w:lang w:val="zh-CN"/>
              </w:rPr>
              <w:t>主要工作内容如下：</w:t>
            </w:r>
          </w:p>
          <w:p>
            <w:pPr>
              <w:spacing w:line="312" w:lineRule="auto"/>
              <w:ind w:firstLine="480"/>
              <w:rPr>
                <w:rFonts w:cs="Calibri"/>
                <w:b/>
                <w:bCs/>
                <w:szCs w:val="21"/>
              </w:rPr>
            </w:pPr>
            <w:r>
              <w:rPr>
                <w:rFonts w:hint="eastAsia" w:ascii="宋体" w:cs="宋体"/>
                <w:szCs w:val="21"/>
                <w:lang w:val="zh-CN"/>
              </w:rPr>
              <w:t>（1）答疑：针对系统承建单位提出的与集成相关问题进行回复，包括当面解答、电话、邮件等沟通方式。</w:t>
            </w:r>
          </w:p>
          <w:p>
            <w:pPr>
              <w:spacing w:line="312" w:lineRule="auto"/>
              <w:ind w:firstLine="480"/>
              <w:rPr>
                <w:rFonts w:cs="Calibri"/>
                <w:b/>
                <w:bCs/>
                <w:szCs w:val="21"/>
              </w:rPr>
            </w:pPr>
            <w:r>
              <w:rPr>
                <w:rFonts w:hint="eastAsia" w:ascii="宋体" w:cs="宋体"/>
                <w:szCs w:val="21"/>
                <w:lang w:val="zh-CN"/>
              </w:rPr>
              <w:t>（2）系统集成方案讨论：业务系统集成工作遇到特殊需求的时候，协同采购人与业务系统承建单位一起展开集成方案讨论，共同制定切实可行的集成方案。</w:t>
            </w:r>
          </w:p>
          <w:p>
            <w:pPr>
              <w:spacing w:line="312" w:lineRule="auto"/>
              <w:ind w:firstLine="480"/>
              <w:rPr>
                <w:rFonts w:cs="Calibri"/>
                <w:b/>
                <w:bCs/>
                <w:szCs w:val="21"/>
              </w:rPr>
            </w:pPr>
            <w:r>
              <w:rPr>
                <w:rFonts w:hint="eastAsia" w:ascii="宋体" w:cs="宋体"/>
                <w:szCs w:val="21"/>
                <w:lang w:val="zh-CN"/>
              </w:rPr>
              <w:t>（3）集成问题协助调查：集成调试过程中，协助业务承建单位进行日志、中间处理结果等方面的调查，以便尽快完成问题定位，保障集成工作顺利进行。</w:t>
            </w:r>
          </w:p>
          <w:p>
            <w:pPr>
              <w:spacing w:line="312" w:lineRule="auto"/>
              <w:ind w:firstLine="480"/>
              <w:rPr>
                <w:rFonts w:cs="Calibri"/>
                <w:b/>
                <w:bCs/>
                <w:szCs w:val="21"/>
              </w:rPr>
            </w:pPr>
            <w:r>
              <w:rPr>
                <w:rFonts w:hint="eastAsia" w:ascii="宋体" w:cs="宋体"/>
                <w:szCs w:val="21"/>
                <w:lang w:val="zh-CN"/>
              </w:rPr>
              <w:t>（4）集成结果确认：依据江苏平台集成规范、《超短波监测管理一体化平台技术规范》、《省级无线电管理一体化平台建设规范及技术要求》的内容，对业务应用系统的集成情况进行确认，确保业务应用系统的集成结果符合各项规范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10</w:t>
            </w:r>
          </w:p>
        </w:tc>
        <w:tc>
          <w:tcPr>
            <w:tcW w:w="1181" w:type="dxa"/>
            <w:vAlign w:val="center"/>
          </w:tcPr>
          <w:p>
            <w:pPr>
              <w:spacing w:line="312" w:lineRule="auto"/>
              <w:rPr>
                <w:rFonts w:cs="Calibri"/>
                <w:b/>
                <w:bCs/>
                <w:szCs w:val="21"/>
              </w:rPr>
            </w:pPr>
            <w:r>
              <w:rPr>
                <w:rFonts w:hint="eastAsia" w:ascii="宋体" w:cs="宋体"/>
                <w:szCs w:val="21"/>
                <w:lang w:val="zh-CN"/>
              </w:rPr>
              <w:t>系统功能配置完善</w:t>
            </w:r>
          </w:p>
        </w:tc>
        <w:tc>
          <w:tcPr>
            <w:tcW w:w="6945" w:type="dxa"/>
            <w:vAlign w:val="center"/>
          </w:tcPr>
          <w:p>
            <w:pPr>
              <w:spacing w:line="312" w:lineRule="auto"/>
              <w:ind w:firstLine="480"/>
              <w:rPr>
                <w:rFonts w:cs="Calibri"/>
                <w:b/>
                <w:bCs/>
                <w:szCs w:val="21"/>
              </w:rPr>
            </w:pPr>
            <w:r>
              <w:rPr>
                <w:rFonts w:hint="eastAsia" w:ascii="宋体" w:cs="宋体"/>
                <w:szCs w:val="21"/>
                <w:lang w:val="zh-CN"/>
              </w:rPr>
              <w:t>软件功能配置完善主要指业务人员在使用该软件系统的过程中发现有功能已无法满足相关工作的办理时，需要投标人对软件系统的功能进行修改完善，同时需要投标人需定期对系统进行测试，针对系统本身存在的功能缺陷和漏洞进行修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w:t>
            </w:r>
            <w:r>
              <w:rPr>
                <w:rFonts w:hint="eastAsia"/>
                <w:szCs w:val="21"/>
              </w:rPr>
              <w:t>1</w:t>
            </w:r>
          </w:p>
        </w:tc>
        <w:tc>
          <w:tcPr>
            <w:tcW w:w="1181" w:type="dxa"/>
            <w:vAlign w:val="center"/>
          </w:tcPr>
          <w:p>
            <w:pPr>
              <w:spacing w:line="312" w:lineRule="auto"/>
              <w:rPr>
                <w:rFonts w:cs="Calibri"/>
                <w:szCs w:val="21"/>
              </w:rPr>
            </w:pPr>
            <w:r>
              <w:rPr>
                <w:rFonts w:hint="eastAsia" w:ascii="宋体" w:cs="宋体"/>
                <w:szCs w:val="21"/>
                <w:lang w:val="zh-CN"/>
              </w:rPr>
              <w:t>重大活动保障</w:t>
            </w:r>
          </w:p>
        </w:tc>
        <w:tc>
          <w:tcPr>
            <w:tcW w:w="6945" w:type="dxa"/>
            <w:vAlign w:val="center"/>
          </w:tcPr>
          <w:p>
            <w:pPr>
              <w:spacing w:line="312" w:lineRule="auto"/>
              <w:ind w:firstLine="480"/>
              <w:rPr>
                <w:rFonts w:cs="Calibri"/>
                <w:b/>
                <w:bCs/>
                <w:szCs w:val="21"/>
              </w:rPr>
            </w:pPr>
            <w:bookmarkStart w:id="236" w:name="OLE_LINK4"/>
            <w:r>
              <w:rPr>
                <w:rFonts w:hint="eastAsia" w:ascii="宋体" w:cs="宋体"/>
                <w:szCs w:val="21"/>
                <w:lang w:val="zh-CN"/>
              </w:rPr>
              <w:t>由于遵循规范中所规定的</w:t>
            </w:r>
            <w:r>
              <w:rPr>
                <w:rFonts w:ascii="宋体" w:cs="宋体"/>
                <w:szCs w:val="21"/>
                <w:lang w:val="zh-CN"/>
              </w:rPr>
              <w:t>“</w:t>
            </w:r>
            <w:r>
              <w:rPr>
                <w:rFonts w:hint="eastAsia" w:ascii="宋体" w:cs="宋体"/>
                <w:szCs w:val="21"/>
                <w:lang w:val="zh-CN"/>
              </w:rPr>
              <w:t>平台</w:t>
            </w:r>
            <w:r>
              <w:rPr>
                <w:rFonts w:cs="Calibri"/>
                <w:szCs w:val="21"/>
              </w:rPr>
              <w:t>+</w:t>
            </w:r>
            <w:r>
              <w:rPr>
                <w:rFonts w:hint="eastAsia" w:ascii="宋体" w:cs="宋体"/>
                <w:szCs w:val="21"/>
                <w:lang w:val="zh-CN"/>
              </w:rPr>
              <w:t>应用</w:t>
            </w:r>
            <w:r>
              <w:rPr>
                <w:rFonts w:ascii="宋体" w:cs="宋体"/>
                <w:szCs w:val="21"/>
                <w:lang w:val="zh-CN"/>
              </w:rPr>
              <w:t>”</w:t>
            </w:r>
            <w:r>
              <w:rPr>
                <w:rFonts w:hint="eastAsia" w:ascii="宋体" w:cs="宋体"/>
                <w:szCs w:val="21"/>
                <w:lang w:val="zh-CN"/>
              </w:rPr>
              <w:t>的方针，因此在重大活动保障和考试保障中一体化基础平台稳定运行对采购人尤为关键，因此，运维方需提供在重要时刻现场值守支持及远程支撑服务，包括重大会议期间、重大活动、重大考试以及其它任何建设方认为可能对其业务产生重大影响的时刻。</w:t>
            </w:r>
            <w:bookmarkEnd w:id="236"/>
          </w:p>
        </w:tc>
      </w:tr>
    </w:tbl>
    <w:p>
      <w:pPr>
        <w:spacing w:line="578" w:lineRule="atLeast"/>
        <w:ind w:firstLine="480"/>
        <w:rPr>
          <w:rFonts w:cs="Calibri"/>
          <w:b/>
          <w:bCs/>
          <w:sz w:val="24"/>
          <w:szCs w:val="24"/>
        </w:rPr>
      </w:pPr>
      <w:r>
        <w:rPr>
          <w:rFonts w:hint="eastAsia" w:ascii="宋体" w:cs="宋体"/>
          <w:sz w:val="24"/>
          <w:szCs w:val="24"/>
          <w:lang w:val="zh-CN"/>
        </w:rPr>
        <w:t>（</w:t>
      </w:r>
      <w:r>
        <w:rPr>
          <w:rFonts w:cs="Calibri"/>
          <w:sz w:val="24"/>
          <w:szCs w:val="24"/>
        </w:rPr>
        <w:t>2</w:t>
      </w:r>
      <w:r>
        <w:rPr>
          <w:rFonts w:hint="eastAsia" w:ascii="宋体" w:cs="宋体"/>
          <w:sz w:val="24"/>
          <w:szCs w:val="24"/>
          <w:lang w:val="zh-CN"/>
        </w:rPr>
        <w:t>）运维频次要求</w:t>
      </w:r>
    </w:p>
    <w:tbl>
      <w:tblPr>
        <w:tblStyle w:val="49"/>
        <w:tblW w:w="8157" w:type="dxa"/>
        <w:jc w:val="center"/>
        <w:tblLayout w:type="fixed"/>
        <w:tblCellMar>
          <w:top w:w="0" w:type="dxa"/>
          <w:left w:w="108" w:type="dxa"/>
          <w:bottom w:w="0" w:type="dxa"/>
          <w:right w:w="108" w:type="dxa"/>
        </w:tblCellMar>
      </w:tblPr>
      <w:tblGrid>
        <w:gridCol w:w="771"/>
        <w:gridCol w:w="1420"/>
        <w:gridCol w:w="3098"/>
        <w:gridCol w:w="2868"/>
      </w:tblGrid>
      <w:tr>
        <w:tblPrEx>
          <w:tblCellMar>
            <w:top w:w="0" w:type="dxa"/>
            <w:left w:w="108" w:type="dxa"/>
            <w:bottom w:w="0" w:type="dxa"/>
            <w:right w:w="108" w:type="dxa"/>
          </w:tblCellMar>
        </w:tblPrEx>
        <w:trPr>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序号</w:t>
            </w:r>
          </w:p>
        </w:tc>
        <w:tc>
          <w:tcPr>
            <w:tcW w:w="1420" w:type="dxa"/>
            <w:tcBorders>
              <w:top w:val="single" w:color="000000" w:sz="2" w:space="0"/>
              <w:left w:val="single" w:color="000000" w:sz="2" w:space="0"/>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运维类别</w:t>
            </w:r>
          </w:p>
        </w:tc>
        <w:tc>
          <w:tcPr>
            <w:tcW w:w="309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运维内容</w:t>
            </w:r>
          </w:p>
        </w:tc>
        <w:tc>
          <w:tcPr>
            <w:tcW w:w="286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运维频次</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1</w:t>
            </w:r>
          </w:p>
        </w:tc>
        <w:tc>
          <w:tcPr>
            <w:tcW w:w="1420" w:type="dxa"/>
            <w:vMerge w:val="restart"/>
            <w:tcBorders>
              <w:top w:val="nil"/>
              <w:left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基础运行维护服务</w:t>
            </w: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平台操作系统运维</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2</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平台数据库运维</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3</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中间件运维</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4</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应用安全系统运维</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5</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定期巡检</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现场巡检周期为每季度</w:t>
            </w:r>
            <w:r>
              <w:rPr>
                <w:rFonts w:cs="Calibri"/>
                <w:szCs w:val="21"/>
              </w:rPr>
              <w:t>1</w:t>
            </w:r>
            <w:r>
              <w:rPr>
                <w:rFonts w:hint="eastAsia" w:ascii="宋体" w:cs="宋体"/>
                <w:szCs w:val="21"/>
                <w:lang w:val="zh-CN"/>
              </w:rPr>
              <w:t>次；日常远程巡检周期为每周1次。</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6</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系统技术支持</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7</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技术咨询与指导</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即时响应</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8</w:t>
            </w:r>
          </w:p>
        </w:tc>
        <w:tc>
          <w:tcPr>
            <w:tcW w:w="1420" w:type="dxa"/>
            <w:vMerge w:val="continue"/>
            <w:tcBorders>
              <w:left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互联互通维护</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9</w:t>
            </w:r>
          </w:p>
        </w:tc>
        <w:tc>
          <w:tcPr>
            <w:tcW w:w="1420" w:type="dxa"/>
            <w:vMerge w:val="continue"/>
            <w:tcBorders>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故障处理</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用户要求时限内</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10</w:t>
            </w:r>
          </w:p>
        </w:tc>
        <w:tc>
          <w:tcPr>
            <w:tcW w:w="1420" w:type="dxa"/>
            <w:vMerge w:val="restart"/>
            <w:tcBorders>
              <w:top w:val="nil"/>
              <w:left w:val="single" w:color="000000" w:sz="2" w:space="0"/>
              <w:bottom w:val="nil"/>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专项运行维护服务</w:t>
            </w: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业务应用集成支持</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按计划执行</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11</w:t>
            </w:r>
          </w:p>
        </w:tc>
        <w:tc>
          <w:tcPr>
            <w:tcW w:w="1420" w:type="dxa"/>
            <w:vMerge w:val="continue"/>
            <w:tcBorders>
              <w:top w:val="nil"/>
              <w:left w:val="single" w:color="000000" w:sz="2" w:space="0"/>
              <w:bottom w:val="nil"/>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平台系统功能完善升级</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按用户要求执行</w:t>
            </w:r>
          </w:p>
        </w:tc>
      </w:tr>
      <w:tr>
        <w:tblPrEx>
          <w:tblCellMar>
            <w:top w:w="0" w:type="dxa"/>
            <w:left w:w="108" w:type="dxa"/>
            <w:bottom w:w="0" w:type="dxa"/>
            <w:right w:w="108" w:type="dxa"/>
          </w:tblCellMar>
        </w:tblPrEx>
        <w:trPr>
          <w:cantSplit/>
          <w:trHeight w:val="326"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1</w:t>
            </w:r>
            <w:r>
              <w:rPr>
                <w:rFonts w:hint="eastAsia"/>
                <w:szCs w:val="21"/>
                <w:lang w:val="zh-CN"/>
              </w:rPr>
              <w:t>2</w:t>
            </w:r>
          </w:p>
        </w:tc>
        <w:tc>
          <w:tcPr>
            <w:tcW w:w="1420" w:type="dxa"/>
            <w:vMerge w:val="continue"/>
            <w:tcBorders>
              <w:top w:val="nil"/>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重大活动保障</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按计划执行</w:t>
            </w:r>
          </w:p>
        </w:tc>
      </w:tr>
    </w:tbl>
    <w:p>
      <w:pPr>
        <w:spacing w:line="520" w:lineRule="exact"/>
        <w:ind w:firstLine="723"/>
        <w:rPr>
          <w:rFonts w:ascii="楷体_GB2312" w:eastAsia="楷体_GB2312" w:cs="楷体_GB2312"/>
          <w:b/>
          <w:bCs/>
          <w:sz w:val="24"/>
          <w:szCs w:val="24"/>
          <w:lang w:val="zh-CN"/>
        </w:rPr>
      </w:pPr>
      <w:r>
        <w:rPr>
          <w:rFonts w:hint="eastAsia" w:ascii="楷体_GB2312" w:eastAsia="楷体_GB2312" w:cs="楷体_GB2312"/>
          <w:b/>
          <w:bCs/>
          <w:sz w:val="24"/>
          <w:szCs w:val="24"/>
          <w:lang w:val="zh-CN"/>
        </w:rPr>
        <w:t>2、</w:t>
      </w:r>
      <w:bookmarkStart w:id="237" w:name="OLE_LINK1"/>
      <w:r>
        <w:rPr>
          <w:rFonts w:hint="eastAsia" w:ascii="楷体_GB2312" w:eastAsia="楷体_GB2312" w:cs="楷体_GB2312"/>
          <w:b/>
          <w:bCs/>
          <w:sz w:val="24"/>
          <w:szCs w:val="24"/>
          <w:lang w:val="zh-CN"/>
        </w:rPr>
        <w:t>江苏省无线电超短波监测</w:t>
      </w:r>
      <w:bookmarkEnd w:id="237"/>
      <w:r>
        <w:rPr>
          <w:rFonts w:hint="eastAsia" w:ascii="楷体_GB2312" w:eastAsia="楷体_GB2312" w:cs="楷体_GB2312"/>
          <w:b/>
          <w:bCs/>
          <w:sz w:val="24"/>
          <w:szCs w:val="24"/>
          <w:lang w:val="zh-CN"/>
        </w:rPr>
        <w:t>资源调配平台及监测应用系统运维</w:t>
      </w:r>
    </w:p>
    <w:p>
      <w:pPr>
        <w:spacing w:line="520" w:lineRule="exact"/>
        <w:ind w:firstLine="640"/>
        <w:rPr>
          <w:rFonts w:ascii="宋体" w:cs="宋体"/>
          <w:sz w:val="24"/>
          <w:szCs w:val="24"/>
          <w:lang w:val="zh-CN"/>
        </w:rPr>
      </w:pPr>
      <w:r>
        <w:rPr>
          <w:rFonts w:hint="eastAsia" w:ascii="宋体" w:cs="宋体"/>
          <w:sz w:val="24"/>
          <w:szCs w:val="24"/>
          <w:lang w:val="zh-CN"/>
        </w:rPr>
        <w:t>江苏省无线电超短波监测资源调配平台及监测应用系统于</w:t>
      </w:r>
      <w:r>
        <w:rPr>
          <w:rFonts w:ascii="宋体" w:cs="宋体"/>
          <w:sz w:val="24"/>
          <w:szCs w:val="24"/>
          <w:lang w:val="zh-CN"/>
        </w:rPr>
        <w:t>202</w:t>
      </w:r>
      <w:r>
        <w:rPr>
          <w:rFonts w:hint="eastAsia" w:ascii="宋体" w:cs="宋体"/>
          <w:sz w:val="24"/>
          <w:szCs w:val="24"/>
          <w:lang w:val="zh-CN"/>
        </w:rPr>
        <w:t>2年建成，包含超短波监测管理一体化平台资源调配平台、监测应用子系统、民航保障专项系统、黑广播侦测系统和设备服务化改造等，全省（含13个地市）无线电管理机构相关人员通过无线电管理专网访问及使用。本项目依托江苏省无线电管理一体化基础平台（简称“基础平台”）统一门户、统一身份、服务治理等服务，实现全省在网运行监测设备（包括动环设备）情况、执行任务情况的管控，控制监测网中的相应监测设备进行包括频谱监测、测量、测向的操作，对</w:t>
      </w:r>
      <w:r>
        <w:rPr>
          <w:sz w:val="24"/>
          <w:szCs w:val="24"/>
        </w:rPr>
        <w:t>航空、黑广播频率干扰进行分析等功能</w:t>
      </w:r>
      <w:r>
        <w:rPr>
          <w:rFonts w:hint="eastAsia" w:ascii="宋体" w:cs="宋体"/>
          <w:sz w:val="24"/>
          <w:szCs w:val="24"/>
          <w:lang w:val="zh-CN"/>
        </w:rPr>
        <w:t>。本次运维对象包含资源调配平台、监测应用子系统、民航保障专项系统、黑广播侦测系统和设备服务化改造包含的所有功能模块。</w:t>
      </w:r>
    </w:p>
    <w:p>
      <w:pPr>
        <w:spacing w:line="520" w:lineRule="exact"/>
        <w:ind w:firstLine="640"/>
        <w:rPr>
          <w:rFonts w:ascii="宋体" w:cs="宋体"/>
          <w:sz w:val="24"/>
          <w:szCs w:val="24"/>
          <w:lang w:val="zh-CN"/>
        </w:rPr>
      </w:pPr>
      <w:r>
        <w:rPr>
          <w:rFonts w:hint="eastAsia" w:ascii="宋体" w:cs="宋体"/>
          <w:sz w:val="24"/>
          <w:szCs w:val="24"/>
          <w:lang w:val="zh-CN"/>
        </w:rPr>
        <w:t>需维保系统清单如下：</w:t>
      </w:r>
    </w:p>
    <w:tbl>
      <w:tblPr>
        <w:tblStyle w:val="49"/>
        <w:tblW w:w="4700" w:type="pct"/>
        <w:tblInd w:w="0" w:type="dxa"/>
        <w:tblLayout w:type="autofit"/>
        <w:tblCellMar>
          <w:top w:w="0" w:type="dxa"/>
          <w:left w:w="108" w:type="dxa"/>
          <w:bottom w:w="0" w:type="dxa"/>
          <w:right w:w="108" w:type="dxa"/>
        </w:tblCellMar>
      </w:tblPr>
      <w:tblGrid>
        <w:gridCol w:w="1246"/>
        <w:gridCol w:w="5495"/>
        <w:gridCol w:w="1262"/>
        <w:gridCol w:w="1260"/>
      </w:tblGrid>
      <w:tr>
        <w:tblPrEx>
          <w:tblCellMar>
            <w:top w:w="0" w:type="dxa"/>
            <w:left w:w="108" w:type="dxa"/>
            <w:bottom w:w="0" w:type="dxa"/>
            <w:right w:w="108" w:type="dxa"/>
          </w:tblCellMar>
        </w:tblPrEx>
        <w:trPr>
          <w:trHeight w:val="460" w:hRule="atLeast"/>
        </w:trPr>
        <w:tc>
          <w:tcPr>
            <w:tcW w:w="673"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序号</w:t>
            </w:r>
          </w:p>
        </w:tc>
        <w:tc>
          <w:tcPr>
            <w:tcW w:w="2966"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维保内容</w:t>
            </w:r>
          </w:p>
        </w:tc>
        <w:tc>
          <w:tcPr>
            <w:tcW w:w="681"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数量</w:t>
            </w:r>
          </w:p>
        </w:tc>
        <w:tc>
          <w:tcPr>
            <w:tcW w:w="680"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地点</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1</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t>超短波监测管理一体化平台管控系统</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2</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t>监测应用子系统</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3</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t>民航保障专项系统</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4</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t>黑广播侦测系统</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5</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t>设备服务化改造</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0"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南京</w:t>
            </w:r>
          </w:p>
        </w:tc>
      </w:tr>
    </w:tbl>
    <w:p>
      <w:pPr>
        <w:spacing w:line="520" w:lineRule="exact"/>
        <w:ind w:firstLine="640"/>
        <w:rPr>
          <w:rFonts w:ascii="宋体" w:cs="宋体"/>
          <w:sz w:val="24"/>
          <w:szCs w:val="24"/>
          <w:lang w:val="zh-CN"/>
        </w:rPr>
      </w:pPr>
      <w:r>
        <w:rPr>
          <w:rFonts w:hint="eastAsia" w:ascii="宋体" w:cs="宋体"/>
          <w:sz w:val="24"/>
          <w:szCs w:val="24"/>
          <w:lang w:val="zh-CN"/>
        </w:rPr>
        <w:t>投标人应提供江苏省无线电超短波监测资源调配平台及监测应用系统运维方案，至少应包含平台运维内容响应、运维频次响应等内容。</w:t>
      </w:r>
    </w:p>
    <w:p>
      <w:pPr>
        <w:spacing w:line="520" w:lineRule="exact"/>
        <w:ind w:firstLine="640"/>
        <w:rPr>
          <w:rFonts w:ascii="宋体" w:cs="宋体"/>
          <w:sz w:val="24"/>
          <w:szCs w:val="24"/>
          <w:lang w:val="zh-CN"/>
        </w:rPr>
      </w:pPr>
      <w:r>
        <w:rPr>
          <w:rFonts w:hint="eastAsia" w:ascii="宋体" w:cs="宋体"/>
          <w:sz w:val="24"/>
          <w:szCs w:val="24"/>
          <w:lang w:val="zh-CN"/>
        </w:rPr>
        <w:t>（1）运维内容要求如下：</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79"/>
        <w:gridCol w:w="6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79" w:type="dxa"/>
            <w:vAlign w:val="center"/>
          </w:tcPr>
          <w:p>
            <w:pPr>
              <w:spacing w:line="312" w:lineRule="auto"/>
              <w:jc w:val="center"/>
              <w:rPr>
                <w:rFonts w:cs="Calibri"/>
                <w:szCs w:val="21"/>
              </w:rPr>
            </w:pPr>
            <w:r>
              <w:rPr>
                <w:rFonts w:hint="eastAsia" w:cs="Calibri"/>
                <w:szCs w:val="21"/>
              </w:rPr>
              <w:t>运维内容</w:t>
            </w:r>
          </w:p>
        </w:tc>
        <w:tc>
          <w:tcPr>
            <w:tcW w:w="6886"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w:t>
            </w:r>
          </w:p>
        </w:tc>
        <w:tc>
          <w:tcPr>
            <w:tcW w:w="1179" w:type="dxa"/>
            <w:vAlign w:val="center"/>
          </w:tcPr>
          <w:p>
            <w:pPr>
              <w:spacing w:line="312" w:lineRule="auto"/>
              <w:rPr>
                <w:rFonts w:cs="Calibri"/>
                <w:b/>
                <w:bCs/>
                <w:szCs w:val="21"/>
              </w:rPr>
            </w:pPr>
            <w:r>
              <w:rPr>
                <w:rFonts w:hint="eastAsia" w:ascii="宋体" w:cs="宋体"/>
                <w:szCs w:val="21"/>
                <w:lang w:val="zh-CN"/>
              </w:rPr>
              <w:t>操作系统运维</w:t>
            </w:r>
          </w:p>
        </w:tc>
        <w:tc>
          <w:tcPr>
            <w:tcW w:w="6886" w:type="dxa"/>
            <w:vAlign w:val="center"/>
          </w:tcPr>
          <w:p>
            <w:pPr>
              <w:spacing w:line="312" w:lineRule="auto"/>
              <w:ind w:firstLine="480"/>
              <w:rPr>
                <w:rFonts w:cs="Calibri"/>
                <w:b/>
                <w:bCs/>
                <w:szCs w:val="21"/>
              </w:rPr>
            </w:pPr>
            <w:r>
              <w:rPr>
                <w:rFonts w:hint="eastAsia" w:ascii="宋体" w:cs="宋体"/>
                <w:szCs w:val="21"/>
                <w:lang w:val="zh-CN"/>
              </w:rPr>
              <w:t>操作系统运维主要进行系统运行状态检查，内容包括：查看</w:t>
            </w:r>
            <w:r>
              <w:rPr>
                <w:rFonts w:cs="Calibri"/>
                <w:szCs w:val="21"/>
              </w:rPr>
              <w:t>CPU</w:t>
            </w:r>
            <w:r>
              <w:rPr>
                <w:rFonts w:hint="eastAsia" w:ascii="宋体" w:cs="宋体"/>
                <w:szCs w:val="21"/>
                <w:lang w:val="zh-CN"/>
              </w:rPr>
              <w:t>性能，查看内存使用情况，查看硬盘利用情况，查看系统进程等。</w:t>
            </w:r>
          </w:p>
          <w:p>
            <w:pPr>
              <w:spacing w:line="312" w:lineRule="auto"/>
              <w:ind w:firstLine="480"/>
              <w:rPr>
                <w:rFonts w:cs="Calibri"/>
                <w:b/>
                <w:bCs/>
                <w:szCs w:val="21"/>
              </w:rPr>
            </w:pPr>
            <w:r>
              <w:rPr>
                <w:rFonts w:hint="eastAsia" w:ascii="宋体" w:cs="宋体"/>
                <w:szCs w:val="21"/>
                <w:lang w:val="zh-CN"/>
              </w:rPr>
              <w:t>如果巡检过程中发现存在问题，将根据巡检流程对故障进行处理，同时将适时进行系统补丁升级等操作。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2</w:t>
            </w:r>
          </w:p>
        </w:tc>
        <w:tc>
          <w:tcPr>
            <w:tcW w:w="1179" w:type="dxa"/>
            <w:vAlign w:val="center"/>
          </w:tcPr>
          <w:p>
            <w:pPr>
              <w:spacing w:line="312" w:lineRule="auto"/>
              <w:rPr>
                <w:rFonts w:cs="Calibri"/>
                <w:b/>
                <w:bCs/>
                <w:szCs w:val="21"/>
              </w:rPr>
            </w:pPr>
            <w:r>
              <w:rPr>
                <w:rFonts w:hint="eastAsia" w:ascii="宋体" w:cs="宋体"/>
                <w:szCs w:val="21"/>
                <w:lang w:val="zh-CN"/>
              </w:rPr>
              <w:t>平台数据库运维</w:t>
            </w:r>
          </w:p>
        </w:tc>
        <w:tc>
          <w:tcPr>
            <w:tcW w:w="6886" w:type="dxa"/>
            <w:vAlign w:val="center"/>
          </w:tcPr>
          <w:p>
            <w:pPr>
              <w:spacing w:line="312" w:lineRule="auto"/>
              <w:ind w:firstLine="480"/>
              <w:rPr>
                <w:rFonts w:cs="Calibri"/>
                <w:b/>
                <w:bCs/>
                <w:szCs w:val="21"/>
              </w:rPr>
            </w:pPr>
            <w:r>
              <w:rPr>
                <w:rFonts w:hint="eastAsia" w:ascii="宋体" w:cs="宋体"/>
                <w:szCs w:val="21"/>
                <w:lang w:val="zh-CN"/>
              </w:rPr>
              <w:t>数据库运维包括确认数据库的日常运行状态，识别数据库的性能问题，有针对性地进行性能优化。数据库运维的主要内容包括：查看数据库运行状况：文件系统、碎片、死锁、</w:t>
            </w:r>
            <w:r>
              <w:rPr>
                <w:rFonts w:cs="Calibri"/>
                <w:szCs w:val="21"/>
              </w:rPr>
              <w:t>CPU</w:t>
            </w:r>
            <w:r>
              <w:rPr>
                <w:rFonts w:hint="eastAsia" w:ascii="宋体" w:cs="宋体"/>
                <w:szCs w:val="21"/>
                <w:lang w:val="zh-CN"/>
              </w:rPr>
              <w:t>占用率较大或时间较长的</w:t>
            </w:r>
            <w:r>
              <w:rPr>
                <w:rFonts w:cs="Calibri"/>
                <w:szCs w:val="21"/>
              </w:rPr>
              <w:t>SQL</w:t>
            </w:r>
            <w:r>
              <w:rPr>
                <w:rFonts w:hint="eastAsia" w:ascii="宋体" w:cs="宋体"/>
                <w:szCs w:val="21"/>
                <w:lang w:val="zh-CN"/>
              </w:rPr>
              <w:t>语句；查看表空间使用比率；查看数据库文件</w:t>
            </w:r>
            <w:r>
              <w:rPr>
                <w:rFonts w:cs="Calibri"/>
                <w:szCs w:val="21"/>
              </w:rPr>
              <w:t>I/0</w:t>
            </w:r>
            <w:r>
              <w:rPr>
                <w:rFonts w:hint="eastAsia" w:ascii="宋体" w:cs="宋体"/>
                <w:szCs w:val="21"/>
                <w:lang w:val="zh-CN"/>
              </w:rPr>
              <w:t>读写情况；查看</w:t>
            </w:r>
            <w:r>
              <w:rPr>
                <w:rFonts w:cs="Calibri"/>
                <w:szCs w:val="21"/>
              </w:rPr>
              <w:t>Session</w:t>
            </w:r>
            <w:r>
              <w:rPr>
                <w:rFonts w:hint="eastAsia" w:ascii="宋体" w:cs="宋体"/>
                <w:szCs w:val="21"/>
                <w:lang w:val="zh-CN"/>
              </w:rPr>
              <w:t>连接数量；查看数据库监听运行状态；查看每日数据备份、数据同步是否正常；查看报警日志；查看数据库对象的表空间扩展情况等。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3</w:t>
            </w:r>
          </w:p>
        </w:tc>
        <w:tc>
          <w:tcPr>
            <w:tcW w:w="1179" w:type="dxa"/>
            <w:vAlign w:val="center"/>
          </w:tcPr>
          <w:p>
            <w:pPr>
              <w:spacing w:line="312" w:lineRule="auto"/>
              <w:rPr>
                <w:rFonts w:cs="Calibri"/>
                <w:b/>
                <w:bCs/>
                <w:szCs w:val="21"/>
              </w:rPr>
            </w:pPr>
            <w:r>
              <w:rPr>
                <w:rFonts w:hint="eastAsia" w:ascii="宋体" w:cs="宋体"/>
                <w:szCs w:val="21"/>
              </w:rPr>
              <w:t>监测功能运维</w:t>
            </w:r>
          </w:p>
        </w:tc>
        <w:tc>
          <w:tcPr>
            <w:tcW w:w="6886" w:type="dxa"/>
            <w:vAlign w:val="center"/>
          </w:tcPr>
          <w:p>
            <w:pPr>
              <w:spacing w:line="312" w:lineRule="auto"/>
              <w:ind w:firstLine="480"/>
              <w:rPr>
                <w:rFonts w:ascii="宋体" w:cs="宋体"/>
                <w:szCs w:val="21"/>
              </w:rPr>
            </w:pPr>
            <w:r>
              <w:rPr>
                <w:rFonts w:hint="eastAsia" w:ascii="宋体" w:cs="宋体"/>
                <w:szCs w:val="21"/>
                <w:lang w:val="zh-CN"/>
              </w:rPr>
              <w:t>监测功能维护</w:t>
            </w:r>
            <w:r>
              <w:rPr>
                <w:rFonts w:hint="eastAsia" w:ascii="宋体" w:cs="宋体"/>
                <w:szCs w:val="21"/>
              </w:rPr>
              <w:t>主要包括</w:t>
            </w:r>
            <w:r>
              <w:rPr>
                <w:rFonts w:hint="eastAsia" w:ascii="宋体" w:cs="宋体"/>
                <w:szCs w:val="21"/>
                <w:lang w:val="zh-CN"/>
              </w:rPr>
              <w:t>实时监测、联合监测、历史数据查询</w:t>
            </w:r>
            <w:r>
              <w:rPr>
                <w:rFonts w:hint="eastAsia" w:ascii="宋体" w:cs="宋体"/>
                <w:szCs w:val="21"/>
              </w:rPr>
              <w:t>具体如下。</w:t>
            </w:r>
          </w:p>
          <w:p>
            <w:pPr>
              <w:spacing w:line="312" w:lineRule="auto"/>
              <w:ind w:firstLine="480"/>
              <w:rPr>
                <w:rFonts w:ascii="宋体" w:cs="宋体"/>
                <w:szCs w:val="21"/>
                <w:lang w:val="zh-CN"/>
              </w:rPr>
            </w:pPr>
            <w:r>
              <w:rPr>
                <w:rFonts w:hint="eastAsia" w:ascii="宋体" w:cs="宋体"/>
                <w:szCs w:val="21"/>
                <w:lang w:val="zh-CN"/>
              </w:rPr>
              <w:t>实时监测：确保实时监测模块正常运行，</w:t>
            </w:r>
            <w:r>
              <w:rPr>
                <w:rFonts w:hint="eastAsia" w:ascii="宋体" w:cs="宋体"/>
                <w:szCs w:val="21"/>
              </w:rPr>
              <w:t>监测任务可以正常执行</w:t>
            </w:r>
            <w:r>
              <w:rPr>
                <w:rFonts w:hint="eastAsia" w:ascii="宋体" w:cs="宋体"/>
                <w:szCs w:val="21"/>
                <w:lang w:val="zh-CN"/>
              </w:rPr>
              <w:t>，</w:t>
            </w:r>
            <w:r>
              <w:rPr>
                <w:rFonts w:hint="eastAsia" w:ascii="宋体" w:cs="宋体"/>
                <w:szCs w:val="21"/>
              </w:rPr>
              <w:t>频谱数据可以实时返回</w:t>
            </w:r>
            <w:r>
              <w:rPr>
                <w:rFonts w:hint="eastAsia" w:ascii="宋体" w:cs="宋体"/>
                <w:szCs w:val="21"/>
                <w:lang w:val="zh-CN"/>
              </w:rPr>
              <w:t>。</w:t>
            </w:r>
          </w:p>
          <w:p>
            <w:pPr>
              <w:spacing w:line="312" w:lineRule="auto"/>
              <w:ind w:firstLine="480"/>
              <w:rPr>
                <w:rFonts w:ascii="宋体" w:cs="宋体"/>
                <w:szCs w:val="21"/>
                <w:lang w:val="zh-CN"/>
              </w:rPr>
            </w:pPr>
            <w:r>
              <w:rPr>
                <w:rFonts w:hint="eastAsia" w:ascii="宋体" w:cs="宋体"/>
                <w:szCs w:val="21"/>
                <w:lang w:val="zh-CN"/>
              </w:rPr>
              <w:t>联合监测：维护多站点联合监测功能，确保多点协同监测的数据同步和结果一致性。</w:t>
            </w:r>
          </w:p>
          <w:p>
            <w:pPr>
              <w:spacing w:line="312" w:lineRule="auto"/>
              <w:ind w:firstLine="480"/>
              <w:rPr>
                <w:rFonts w:cs="Calibri"/>
                <w:b/>
                <w:bCs/>
                <w:szCs w:val="21"/>
              </w:rPr>
            </w:pPr>
            <w:r>
              <w:rPr>
                <w:rFonts w:hint="eastAsia" w:ascii="宋体" w:cs="宋体"/>
                <w:szCs w:val="21"/>
                <w:lang w:val="zh-CN"/>
              </w:rPr>
              <w:t>历史数据查询：维护历史数据查询功能，确保数据检索效率高、结果准确。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4</w:t>
            </w:r>
          </w:p>
        </w:tc>
        <w:tc>
          <w:tcPr>
            <w:tcW w:w="1179" w:type="dxa"/>
            <w:vAlign w:val="center"/>
          </w:tcPr>
          <w:p>
            <w:pPr>
              <w:spacing w:line="312" w:lineRule="auto"/>
              <w:jc w:val="center"/>
              <w:rPr>
                <w:rFonts w:ascii="宋体" w:cs="宋体"/>
                <w:szCs w:val="21"/>
              </w:rPr>
            </w:pPr>
            <w:r>
              <w:rPr>
                <w:rFonts w:hint="eastAsia" w:ascii="宋体" w:cs="宋体"/>
                <w:szCs w:val="21"/>
                <w:lang w:val="zh-CN"/>
              </w:rPr>
              <w:t>数据管理</w:t>
            </w:r>
            <w:r>
              <w:rPr>
                <w:rFonts w:hint="eastAsia" w:ascii="宋体" w:cs="宋体"/>
                <w:szCs w:val="21"/>
              </w:rPr>
              <w:t>运维</w:t>
            </w:r>
          </w:p>
        </w:tc>
        <w:tc>
          <w:tcPr>
            <w:tcW w:w="6886" w:type="dxa"/>
            <w:vAlign w:val="center"/>
          </w:tcPr>
          <w:p>
            <w:pPr>
              <w:spacing w:line="312" w:lineRule="auto"/>
              <w:ind w:firstLine="480"/>
              <w:rPr>
                <w:rFonts w:ascii="宋体" w:cs="宋体"/>
                <w:szCs w:val="21"/>
              </w:rPr>
            </w:pPr>
            <w:r>
              <w:rPr>
                <w:rFonts w:hint="eastAsia" w:ascii="宋体" w:cs="宋体"/>
                <w:szCs w:val="21"/>
                <w:lang w:val="zh-CN"/>
              </w:rPr>
              <w:t>数据管理</w:t>
            </w:r>
            <w:r>
              <w:rPr>
                <w:rFonts w:hint="eastAsia" w:ascii="宋体" w:cs="宋体"/>
                <w:szCs w:val="21"/>
              </w:rPr>
              <w:t>运维主要包括</w:t>
            </w:r>
            <w:r>
              <w:rPr>
                <w:rFonts w:hint="eastAsia" w:ascii="宋体" w:cs="宋体"/>
                <w:szCs w:val="21"/>
                <w:lang w:val="zh-CN"/>
              </w:rPr>
              <w:t>数据采集与存储、数据备份与恢复、数据安全。</w:t>
            </w:r>
          </w:p>
          <w:p>
            <w:pPr>
              <w:spacing w:line="312" w:lineRule="auto"/>
              <w:ind w:firstLine="480"/>
              <w:rPr>
                <w:rFonts w:ascii="宋体" w:cs="宋体"/>
                <w:szCs w:val="21"/>
                <w:lang w:val="zh-CN"/>
              </w:rPr>
            </w:pPr>
            <w:r>
              <w:rPr>
                <w:rFonts w:hint="eastAsia" w:ascii="宋体" w:cs="宋体"/>
                <w:szCs w:val="21"/>
                <w:lang w:val="zh-CN"/>
              </w:rPr>
              <w:t>数据采集与存储：确保监测数据的完整性、连续性和准确性，定期检查数据采集模块的运行状态，清理冗余数据，优化存储空间。</w:t>
            </w:r>
          </w:p>
          <w:p>
            <w:pPr>
              <w:spacing w:line="312" w:lineRule="auto"/>
              <w:ind w:firstLine="480"/>
              <w:rPr>
                <w:rFonts w:ascii="宋体" w:cs="宋体"/>
                <w:szCs w:val="21"/>
                <w:lang w:val="zh-CN"/>
              </w:rPr>
            </w:pPr>
            <w:r>
              <w:rPr>
                <w:rFonts w:hint="eastAsia" w:ascii="宋体" w:cs="宋体"/>
                <w:szCs w:val="21"/>
                <w:lang w:val="zh-CN"/>
              </w:rPr>
              <w:t>数据备份与恢复：制定数据备份策略，定期备份系统配置、监测数据和日志，确保在系统故障时能够快速恢复。</w:t>
            </w:r>
          </w:p>
          <w:p>
            <w:pPr>
              <w:spacing w:line="312" w:lineRule="auto"/>
              <w:ind w:firstLine="480"/>
              <w:rPr>
                <w:rFonts w:cs="Calibri"/>
                <w:b/>
                <w:bCs/>
                <w:szCs w:val="21"/>
              </w:rPr>
            </w:pPr>
            <w:r>
              <w:rPr>
                <w:rFonts w:hint="eastAsia" w:ascii="宋体" w:cs="宋体"/>
                <w:szCs w:val="21"/>
                <w:lang w:val="zh-CN"/>
              </w:rPr>
              <w:t>数据安全：实施数据访问控制，防止数据泄露或篡改。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5</w:t>
            </w:r>
          </w:p>
        </w:tc>
        <w:tc>
          <w:tcPr>
            <w:tcW w:w="1179" w:type="dxa"/>
            <w:vAlign w:val="center"/>
          </w:tcPr>
          <w:p>
            <w:pPr>
              <w:spacing w:line="312" w:lineRule="auto"/>
              <w:jc w:val="center"/>
              <w:rPr>
                <w:rFonts w:ascii="宋体" w:cs="宋体"/>
                <w:szCs w:val="21"/>
                <w:lang w:val="zh-CN"/>
              </w:rPr>
            </w:pPr>
            <w:r>
              <w:rPr>
                <w:rFonts w:hint="eastAsia" w:ascii="宋体" w:cs="宋体"/>
                <w:szCs w:val="21"/>
                <w:lang w:val="zh-CN"/>
              </w:rPr>
              <w:t>软件系统维护</w:t>
            </w:r>
          </w:p>
        </w:tc>
        <w:tc>
          <w:tcPr>
            <w:tcW w:w="6886" w:type="dxa"/>
            <w:vAlign w:val="center"/>
          </w:tcPr>
          <w:p>
            <w:pPr>
              <w:spacing w:line="312" w:lineRule="auto"/>
              <w:ind w:firstLine="480"/>
              <w:rPr>
                <w:rFonts w:ascii="宋体" w:cs="宋体"/>
                <w:szCs w:val="21"/>
              </w:rPr>
            </w:pPr>
            <w:r>
              <w:rPr>
                <w:rFonts w:hint="eastAsia" w:ascii="宋体" w:cs="宋体"/>
                <w:szCs w:val="21"/>
                <w:lang w:val="zh-CN"/>
              </w:rPr>
              <w:t>软件系统维护</w:t>
            </w:r>
            <w:r>
              <w:rPr>
                <w:rFonts w:hint="eastAsia" w:ascii="宋体" w:cs="宋体"/>
                <w:szCs w:val="21"/>
              </w:rPr>
              <w:t>包括软件更新与补丁、日志管理、接口维护。</w:t>
            </w:r>
          </w:p>
          <w:p>
            <w:pPr>
              <w:spacing w:line="312" w:lineRule="auto"/>
              <w:ind w:firstLine="480"/>
              <w:rPr>
                <w:rFonts w:ascii="宋体" w:cs="宋体"/>
                <w:szCs w:val="21"/>
                <w:lang w:val="zh-CN"/>
              </w:rPr>
            </w:pPr>
            <w:r>
              <w:rPr>
                <w:rFonts w:hint="eastAsia" w:ascii="宋体" w:cs="宋体"/>
                <w:szCs w:val="21"/>
                <w:lang w:val="zh-CN"/>
              </w:rPr>
              <w:t>软件更新与补丁：定期更新管控系统软件，修复已知问题并提升功能兼容性。</w:t>
            </w:r>
          </w:p>
          <w:p>
            <w:pPr>
              <w:spacing w:line="312" w:lineRule="auto"/>
              <w:ind w:firstLine="480"/>
              <w:rPr>
                <w:rFonts w:ascii="宋体" w:cs="宋体"/>
                <w:szCs w:val="21"/>
                <w:lang w:val="zh-CN"/>
              </w:rPr>
            </w:pPr>
            <w:r>
              <w:rPr>
                <w:rFonts w:hint="eastAsia" w:ascii="宋体" w:cs="宋体"/>
                <w:szCs w:val="21"/>
                <w:lang w:val="zh-CN"/>
              </w:rPr>
              <w:t>日志管理：定期分析系统日志，排查潜在问题，生成运维报告。</w:t>
            </w:r>
          </w:p>
          <w:p>
            <w:pPr>
              <w:spacing w:line="312" w:lineRule="auto"/>
              <w:ind w:firstLine="480"/>
              <w:rPr>
                <w:rFonts w:cs="Calibri"/>
                <w:b/>
                <w:bCs/>
                <w:szCs w:val="21"/>
              </w:rPr>
            </w:pPr>
            <w:r>
              <w:rPr>
                <w:rFonts w:hint="eastAsia" w:ascii="宋体" w:cs="宋体"/>
                <w:szCs w:val="21"/>
                <w:lang w:val="zh-CN"/>
              </w:rPr>
              <w:t>接口维护：确保与外部系统的接口正常运行，解决接口通信问题。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rFonts w:ascii="宋体" w:cs="宋体"/>
                <w:szCs w:val="21"/>
                <w:lang w:val="zh-CN"/>
              </w:rPr>
            </w:pPr>
            <w:r>
              <w:rPr>
                <w:rFonts w:hint="eastAsia"/>
                <w:szCs w:val="21"/>
                <w:lang w:val="zh-CN"/>
              </w:rPr>
              <w:t>6</w:t>
            </w:r>
          </w:p>
        </w:tc>
        <w:tc>
          <w:tcPr>
            <w:tcW w:w="1179" w:type="dxa"/>
            <w:vAlign w:val="center"/>
          </w:tcPr>
          <w:p>
            <w:pPr>
              <w:spacing w:line="312" w:lineRule="auto"/>
              <w:rPr>
                <w:rFonts w:ascii="宋体" w:cs="宋体"/>
                <w:szCs w:val="21"/>
                <w:lang w:val="zh-CN"/>
              </w:rPr>
            </w:pPr>
            <w:r>
              <w:rPr>
                <w:rFonts w:hint="eastAsia" w:ascii="宋体" w:cs="宋体"/>
                <w:szCs w:val="21"/>
                <w:lang w:val="zh-CN"/>
              </w:rPr>
              <w:t>系统技术支持</w:t>
            </w:r>
          </w:p>
        </w:tc>
        <w:tc>
          <w:tcPr>
            <w:tcW w:w="6886" w:type="dxa"/>
            <w:vAlign w:val="center"/>
          </w:tcPr>
          <w:p>
            <w:pPr>
              <w:spacing w:line="400" w:lineRule="exact"/>
              <w:ind w:firstLine="482"/>
              <w:rPr>
                <w:rFonts w:ascii="宋体" w:cs="宋体"/>
                <w:szCs w:val="21"/>
                <w:lang w:val="zh-CN"/>
              </w:rPr>
            </w:pPr>
            <w:r>
              <w:rPr>
                <w:rFonts w:hint="eastAsia" w:ascii="宋体" w:cs="宋体"/>
                <w:szCs w:val="21"/>
                <w:lang w:val="zh-CN"/>
              </w:rPr>
              <w:t>系统技术支持主要针对业务人员在使用软件系统的过程中系统出现问题，导致相关工作无法顺利开展时，可随时联系投标人进行排查处理，运维服务人员应在10分钟响应，并立即开展排查，同时根据系统故障响应级别要求的时效进行处理。投标人需要具有完善的软件系统技术支持服务体系以及相应的工作流程，以提供良好的技术支持服务。运维服务人员在完成故障的处理后应总结问题原因，避免相同问题再次出现，同时对处理过程进行记录。</w:t>
            </w:r>
            <w:r>
              <w:rPr>
                <w:rFonts w:hint="eastAsia" w:ascii="宋体" w:cs="宋体"/>
                <w:szCs w:val="21"/>
              </w:rPr>
              <w:t>投标人</w:t>
            </w:r>
            <w:r>
              <w:rPr>
                <w:rFonts w:hint="eastAsia" w:ascii="宋体" w:cs="宋体"/>
                <w:szCs w:val="21"/>
                <w:lang w:val="zh-CN"/>
              </w:rPr>
              <w:t>需在投标文件中提供针对系统底层源码及接口配置的应急技术支撑保障方案，</w:t>
            </w:r>
            <w:r>
              <w:rPr>
                <w:rFonts w:hint="eastAsia" w:ascii="宋体" w:cs="宋体"/>
                <w:szCs w:val="21"/>
              </w:rPr>
              <w:t>包含</w:t>
            </w:r>
            <w:r>
              <w:rPr>
                <w:rFonts w:hint="eastAsia" w:ascii="宋体" w:cs="宋体"/>
                <w:szCs w:val="21"/>
                <w:lang w:val="zh-CN"/>
              </w:rPr>
              <w:t>实施流程、响应时限及应急替代措施。</w:t>
            </w:r>
            <w:r>
              <w:rPr>
                <w:rFonts w:hint="eastAsia" w:ascii="宋体" w:cs="宋体"/>
                <w:szCs w:val="21"/>
              </w:rPr>
              <w:t>以确保</w:t>
            </w:r>
            <w:r>
              <w:rPr>
                <w:rFonts w:hint="eastAsia" w:ascii="宋体" w:cs="宋体"/>
                <w:szCs w:val="21"/>
                <w:lang w:val="zh-CN"/>
              </w:rPr>
              <w:t>当系统发生核心代码级故障时，投标人能快速定位问题，并</w:t>
            </w:r>
            <w:r>
              <w:rPr>
                <w:rFonts w:hint="eastAsia" w:ascii="宋体" w:cs="宋体"/>
                <w:szCs w:val="21"/>
              </w:rPr>
              <w:t>在故障规定处理时限内，组织协调技术</w:t>
            </w:r>
            <w:r>
              <w:rPr>
                <w:rFonts w:hint="eastAsia" w:ascii="宋体" w:cs="宋体"/>
                <w:szCs w:val="21"/>
                <w:lang w:val="zh-CN"/>
              </w:rPr>
              <w:t>团队</w:t>
            </w:r>
            <w:r>
              <w:rPr>
                <w:rFonts w:hint="eastAsia" w:ascii="宋体" w:cs="宋体"/>
                <w:szCs w:val="21"/>
              </w:rPr>
              <w:t>最终解决问题。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rFonts w:ascii="宋体" w:cs="宋体"/>
                <w:szCs w:val="21"/>
                <w:lang w:val="zh-CN"/>
              </w:rPr>
            </w:pPr>
            <w:r>
              <w:rPr>
                <w:rFonts w:hint="eastAsia"/>
                <w:szCs w:val="21"/>
                <w:lang w:val="zh-CN"/>
              </w:rPr>
              <w:t>7</w:t>
            </w:r>
          </w:p>
        </w:tc>
        <w:tc>
          <w:tcPr>
            <w:tcW w:w="1179" w:type="dxa"/>
            <w:vAlign w:val="center"/>
          </w:tcPr>
          <w:p>
            <w:pPr>
              <w:spacing w:line="312" w:lineRule="auto"/>
              <w:rPr>
                <w:rFonts w:ascii="宋体" w:cs="宋体"/>
                <w:szCs w:val="21"/>
                <w:lang w:val="zh-CN"/>
              </w:rPr>
            </w:pPr>
            <w:r>
              <w:rPr>
                <w:rFonts w:hint="eastAsia" w:ascii="宋体" w:cs="宋体"/>
                <w:szCs w:val="21"/>
                <w:lang w:val="zh-CN"/>
              </w:rPr>
              <w:t>技术咨询与指导</w:t>
            </w:r>
          </w:p>
        </w:tc>
        <w:tc>
          <w:tcPr>
            <w:tcW w:w="6886" w:type="dxa"/>
            <w:vAlign w:val="center"/>
          </w:tcPr>
          <w:p>
            <w:pPr>
              <w:spacing w:line="312" w:lineRule="auto"/>
              <w:ind w:firstLine="480"/>
              <w:rPr>
                <w:rFonts w:ascii="宋体" w:cs="宋体"/>
                <w:szCs w:val="21"/>
                <w:lang w:val="zh-CN"/>
              </w:rPr>
            </w:pPr>
            <w:r>
              <w:rPr>
                <w:rFonts w:hint="eastAsia" w:ascii="宋体" w:cs="宋体"/>
                <w:szCs w:val="21"/>
                <w:lang w:val="zh-CN"/>
              </w:rPr>
              <w:t>业务人员在使用软件系统的过程中遇到任何系统的使用疑问或者业务相关疑问，可随时联系投标人进行咨询，运维服务人员应在10分钟之内响应，并立即通过电话、邮件、视频通话、远程等方式对用户提出的问题进行解答或指导。投标人需提供7*24小时服务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8</w:t>
            </w:r>
          </w:p>
        </w:tc>
        <w:tc>
          <w:tcPr>
            <w:tcW w:w="1179" w:type="dxa"/>
            <w:vAlign w:val="center"/>
          </w:tcPr>
          <w:p>
            <w:pPr>
              <w:spacing w:line="312" w:lineRule="auto"/>
              <w:rPr>
                <w:rFonts w:cs="Calibri"/>
                <w:b/>
                <w:bCs/>
                <w:szCs w:val="21"/>
              </w:rPr>
            </w:pPr>
            <w:r>
              <w:rPr>
                <w:rFonts w:hint="eastAsia" w:ascii="宋体" w:cs="宋体"/>
                <w:szCs w:val="21"/>
                <w:lang w:val="zh-CN"/>
              </w:rPr>
              <w:t>互联互通数据维护</w:t>
            </w:r>
          </w:p>
        </w:tc>
        <w:tc>
          <w:tcPr>
            <w:tcW w:w="6886" w:type="dxa"/>
            <w:vAlign w:val="center"/>
          </w:tcPr>
          <w:p>
            <w:pPr>
              <w:spacing w:line="312" w:lineRule="auto"/>
              <w:ind w:firstLine="480"/>
              <w:rPr>
                <w:rFonts w:cs="Calibri"/>
                <w:b/>
                <w:bCs/>
                <w:szCs w:val="21"/>
              </w:rPr>
            </w:pPr>
            <w:r>
              <w:rPr>
                <w:rFonts w:hint="eastAsia" w:ascii="宋体" w:cs="宋体"/>
                <w:szCs w:val="21"/>
                <w:lang w:val="zh-CN"/>
              </w:rPr>
              <w:t>主要工作内容为</w:t>
            </w:r>
            <w:r>
              <w:rPr>
                <w:rFonts w:hint="eastAsia" w:ascii="宋体" w:cs="宋体"/>
                <w:szCs w:val="21"/>
              </w:rPr>
              <w:t>查看互联互通用接口是否定时执行，互联互联接口是否响应成功，定期维护数据接口的稳定性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9</w:t>
            </w:r>
          </w:p>
        </w:tc>
        <w:tc>
          <w:tcPr>
            <w:tcW w:w="1179" w:type="dxa"/>
            <w:vAlign w:val="center"/>
          </w:tcPr>
          <w:p>
            <w:pPr>
              <w:spacing w:line="312" w:lineRule="auto"/>
              <w:rPr>
                <w:rFonts w:cs="Calibri"/>
                <w:b/>
                <w:bCs/>
                <w:szCs w:val="21"/>
              </w:rPr>
            </w:pPr>
            <w:r>
              <w:rPr>
                <w:rFonts w:hint="eastAsia" w:ascii="宋体" w:cs="宋体"/>
                <w:szCs w:val="21"/>
                <w:lang w:val="zh-CN"/>
              </w:rPr>
              <w:t>监测设备管理</w:t>
            </w:r>
          </w:p>
        </w:tc>
        <w:tc>
          <w:tcPr>
            <w:tcW w:w="6886" w:type="dxa"/>
            <w:vAlign w:val="center"/>
          </w:tcPr>
          <w:p>
            <w:pPr>
              <w:spacing w:line="312" w:lineRule="auto"/>
              <w:ind w:firstLine="480"/>
              <w:rPr>
                <w:rFonts w:ascii="宋体" w:cs="宋体"/>
                <w:szCs w:val="21"/>
                <w:lang w:val="zh-CN"/>
              </w:rPr>
            </w:pPr>
            <w:r>
              <w:rPr>
                <w:rFonts w:hint="eastAsia" w:ascii="宋体" w:cs="宋体"/>
                <w:szCs w:val="21"/>
                <w:lang w:val="zh-CN"/>
              </w:rPr>
              <w:t>监测设备管理包括设备维护、设备控制、设备联动。</w:t>
            </w:r>
          </w:p>
          <w:p>
            <w:pPr>
              <w:spacing w:line="312" w:lineRule="auto"/>
              <w:ind w:firstLine="480"/>
              <w:rPr>
                <w:rFonts w:ascii="宋体" w:cs="宋体"/>
                <w:szCs w:val="21"/>
                <w:lang w:val="zh-CN"/>
              </w:rPr>
            </w:pPr>
            <w:r>
              <w:rPr>
                <w:rFonts w:hint="eastAsia" w:ascii="宋体" w:cs="宋体"/>
                <w:szCs w:val="21"/>
                <w:lang w:val="zh-CN"/>
              </w:rPr>
              <w:t>设备维护：</w:t>
            </w:r>
            <w:r>
              <w:rPr>
                <w:rFonts w:hint="eastAsia" w:ascii="宋体" w:cs="宋体"/>
                <w:szCs w:val="21"/>
              </w:rPr>
              <w:t>定期检查设备状态，确保设备可以正常使用</w:t>
            </w:r>
            <w:r>
              <w:rPr>
                <w:rFonts w:hint="eastAsia" w:ascii="宋体" w:cs="宋体"/>
                <w:szCs w:val="21"/>
                <w:lang w:val="zh-CN"/>
              </w:rPr>
              <w:t>。</w:t>
            </w:r>
          </w:p>
          <w:p>
            <w:pPr>
              <w:spacing w:line="312" w:lineRule="auto"/>
              <w:ind w:firstLine="480"/>
              <w:rPr>
                <w:rFonts w:ascii="宋体" w:cs="宋体"/>
                <w:szCs w:val="21"/>
                <w:lang w:val="zh-CN"/>
              </w:rPr>
            </w:pPr>
            <w:r>
              <w:rPr>
                <w:rFonts w:hint="eastAsia" w:ascii="宋体" w:cs="宋体"/>
                <w:szCs w:val="21"/>
                <w:lang w:val="zh-CN"/>
              </w:rPr>
              <w:t>设备控制：维护统一设备控制模块，确保监测人员能够控制设备。</w:t>
            </w:r>
          </w:p>
          <w:p>
            <w:pPr>
              <w:spacing w:line="312" w:lineRule="auto"/>
              <w:ind w:firstLine="480"/>
              <w:rPr>
                <w:rFonts w:cs="Calibri"/>
                <w:b/>
                <w:bCs/>
                <w:szCs w:val="21"/>
              </w:rPr>
            </w:pPr>
            <w:r>
              <w:rPr>
                <w:rFonts w:hint="eastAsia" w:ascii="宋体" w:cs="宋体"/>
                <w:szCs w:val="21"/>
                <w:lang w:val="zh-CN"/>
              </w:rPr>
              <w:t>设备联动：确保子系统与监测设备的数据互联互通，解决设备响应延迟或失联问题。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10</w:t>
            </w:r>
          </w:p>
        </w:tc>
        <w:tc>
          <w:tcPr>
            <w:tcW w:w="1179" w:type="dxa"/>
            <w:vAlign w:val="center"/>
          </w:tcPr>
          <w:p>
            <w:pPr>
              <w:spacing w:line="312" w:lineRule="auto"/>
              <w:rPr>
                <w:rFonts w:cs="Calibri"/>
                <w:b/>
                <w:bCs/>
                <w:szCs w:val="21"/>
              </w:rPr>
            </w:pPr>
            <w:r>
              <w:rPr>
                <w:rFonts w:hint="eastAsia" w:ascii="宋体" w:cs="宋体"/>
                <w:szCs w:val="21"/>
                <w:lang w:val="zh-CN"/>
              </w:rPr>
              <w:t>故障响应</w:t>
            </w:r>
            <w:r>
              <w:rPr>
                <w:rFonts w:hint="eastAsia" w:ascii="宋体" w:cs="宋体"/>
                <w:szCs w:val="21"/>
              </w:rPr>
              <w:t>处理</w:t>
            </w:r>
          </w:p>
        </w:tc>
        <w:tc>
          <w:tcPr>
            <w:tcW w:w="6886" w:type="dxa"/>
            <w:vAlign w:val="center"/>
          </w:tcPr>
          <w:p>
            <w:pPr>
              <w:spacing w:line="312" w:lineRule="auto"/>
              <w:ind w:firstLine="480"/>
              <w:rPr>
                <w:rFonts w:cs="Calibri"/>
                <w:b/>
                <w:bCs/>
                <w:szCs w:val="21"/>
              </w:rPr>
            </w:pPr>
            <w:r>
              <w:rPr>
                <w:rFonts w:hint="eastAsia" w:ascii="宋体" w:cs="宋体"/>
                <w:szCs w:val="21"/>
                <w:lang w:val="zh-CN"/>
              </w:rPr>
              <w:t>故障排查：建立故障响应机制，快速定位问题（如设备故障、软件错误）并解决。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11</w:t>
            </w:r>
          </w:p>
        </w:tc>
        <w:tc>
          <w:tcPr>
            <w:tcW w:w="1179" w:type="dxa"/>
            <w:vAlign w:val="center"/>
          </w:tcPr>
          <w:p>
            <w:pPr>
              <w:spacing w:line="312" w:lineRule="auto"/>
              <w:rPr>
                <w:szCs w:val="21"/>
              </w:rPr>
            </w:pPr>
            <w:r>
              <w:rPr>
                <w:rFonts w:hint="eastAsia" w:ascii="宋体" w:cs="宋体"/>
                <w:szCs w:val="21"/>
                <w:lang w:val="zh-CN"/>
              </w:rPr>
              <w:t>定期巡检</w:t>
            </w:r>
          </w:p>
        </w:tc>
        <w:tc>
          <w:tcPr>
            <w:tcW w:w="6886" w:type="dxa"/>
            <w:vAlign w:val="center"/>
          </w:tcPr>
          <w:p>
            <w:pPr>
              <w:spacing w:line="312" w:lineRule="auto"/>
              <w:ind w:firstLine="480"/>
              <w:rPr>
                <w:rFonts w:ascii="宋体" w:cs="宋体"/>
                <w:szCs w:val="21"/>
                <w:lang w:val="zh-CN"/>
              </w:rPr>
            </w:pPr>
            <w:r>
              <w:rPr>
                <w:rFonts w:ascii="宋体" w:cs="宋体"/>
                <w:szCs w:val="21"/>
                <w:lang w:val="zh-CN"/>
              </w:rPr>
              <w:t>对</w:t>
            </w:r>
            <w:r>
              <w:rPr>
                <w:rFonts w:hint="eastAsia" w:ascii="宋体" w:cs="宋体"/>
                <w:szCs w:val="21"/>
                <w:lang w:val="zh-CN"/>
              </w:rPr>
              <w:t>各</w:t>
            </w:r>
            <w:r>
              <w:rPr>
                <w:rFonts w:ascii="宋体" w:cs="宋体"/>
                <w:szCs w:val="21"/>
                <w:lang w:val="zh-CN"/>
              </w:rPr>
              <w:t>个系统的硬件、软件、网络进行定期巡检，制定巡检计划和记录。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12</w:t>
            </w:r>
          </w:p>
        </w:tc>
        <w:tc>
          <w:tcPr>
            <w:tcW w:w="1179" w:type="dxa"/>
            <w:vAlign w:val="center"/>
          </w:tcPr>
          <w:p>
            <w:pPr>
              <w:spacing w:line="312" w:lineRule="auto"/>
              <w:rPr>
                <w:rFonts w:ascii="宋体" w:cs="宋体"/>
                <w:szCs w:val="21"/>
                <w:lang w:val="zh-CN"/>
              </w:rPr>
            </w:pPr>
            <w:r>
              <w:rPr>
                <w:rFonts w:hint="eastAsia" w:ascii="宋体" w:cs="宋体"/>
                <w:szCs w:val="21"/>
                <w:lang w:val="zh-CN"/>
              </w:rPr>
              <w:t>重大活动保障</w:t>
            </w:r>
          </w:p>
        </w:tc>
        <w:tc>
          <w:tcPr>
            <w:tcW w:w="6886" w:type="dxa"/>
            <w:vAlign w:val="center"/>
          </w:tcPr>
          <w:p>
            <w:pPr>
              <w:spacing w:line="312" w:lineRule="auto"/>
              <w:ind w:firstLine="480"/>
              <w:rPr>
                <w:rFonts w:ascii="宋体" w:cs="宋体"/>
                <w:szCs w:val="21"/>
                <w:lang w:val="zh-CN"/>
              </w:rPr>
            </w:pPr>
            <w:r>
              <w:rPr>
                <w:rFonts w:hint="eastAsia" w:ascii="宋体" w:cs="宋体"/>
                <w:szCs w:val="21"/>
                <w:lang w:val="zh-CN"/>
              </w:rPr>
              <w:t>提供在重要时刻现场值守支持及远程支撑服务，包括重大会议期间、重大活动、重大考试以及其它任何建设方认为可能对其业务产生重大影响的时刻。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13</w:t>
            </w:r>
          </w:p>
        </w:tc>
        <w:tc>
          <w:tcPr>
            <w:tcW w:w="1179" w:type="dxa"/>
            <w:vAlign w:val="center"/>
          </w:tcPr>
          <w:p>
            <w:pPr>
              <w:spacing w:line="312" w:lineRule="auto"/>
              <w:rPr>
                <w:szCs w:val="21"/>
              </w:rPr>
            </w:pPr>
            <w:r>
              <w:rPr>
                <w:rFonts w:hint="eastAsia"/>
                <w:szCs w:val="21"/>
              </w:rPr>
              <w:t>系统功能配置完善</w:t>
            </w:r>
          </w:p>
        </w:tc>
        <w:tc>
          <w:tcPr>
            <w:tcW w:w="6886" w:type="dxa"/>
            <w:vAlign w:val="center"/>
          </w:tcPr>
          <w:p>
            <w:pPr>
              <w:spacing w:line="312" w:lineRule="auto"/>
              <w:ind w:firstLine="480"/>
              <w:rPr>
                <w:rFonts w:ascii="宋体" w:cs="宋体"/>
                <w:szCs w:val="21"/>
                <w:lang w:val="zh-CN"/>
              </w:rPr>
            </w:pPr>
            <w:r>
              <w:rPr>
                <w:rFonts w:hint="eastAsia" w:ascii="宋体" w:cs="宋体"/>
                <w:szCs w:val="21"/>
                <w:lang w:val="zh-CN"/>
              </w:rPr>
              <w:t>业务人员在使用软件系统的过程中发现有功能已无法满足相关工作需要时，投标人需对软件系统的功能进行修改完善及优化，免费进行系统大小版本升级，以满足采购人使用需求。同时投标人需定期对系统进行测试，针对系统本身存在的功能缺陷和漏洞进行修复。</w:t>
            </w:r>
          </w:p>
        </w:tc>
      </w:tr>
    </w:tbl>
    <w:p>
      <w:pPr>
        <w:spacing w:line="578" w:lineRule="atLeast"/>
        <w:ind w:firstLine="480"/>
        <w:rPr>
          <w:rFonts w:hint="eastAsia" w:ascii="宋体" w:hAnsi="宋体" w:cs="宋体"/>
          <w:b/>
          <w:bCs/>
          <w:sz w:val="24"/>
          <w:szCs w:val="24"/>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）运维频次要求</w:t>
      </w:r>
    </w:p>
    <w:tbl>
      <w:tblPr>
        <w:tblStyle w:val="49"/>
        <w:tblW w:w="67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71"/>
        <w:gridCol w:w="3098"/>
        <w:gridCol w:w="28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序号</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运维内容</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1</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操作系统运维</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2</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平台数据库运维</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3</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rPr>
              <w:t>监测功能运维</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4</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数据管理</w:t>
            </w:r>
            <w:r>
              <w:rPr>
                <w:rFonts w:hint="eastAsia" w:ascii="宋体" w:hAnsi="宋体" w:cs="宋体"/>
                <w:szCs w:val="21"/>
              </w:rPr>
              <w:t>运维</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5</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软件系统维护</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6</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系统技术支持</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rPr>
              <w:t>按照用户需求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lang w:val="zh-CN"/>
              </w:rPr>
              <w:t>7</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技术咨询与指导</w:t>
            </w:r>
          </w:p>
        </w:tc>
        <w:tc>
          <w:tcPr>
            <w:tcW w:w="2868" w:type="dxa"/>
            <w:vAlign w:val="center"/>
          </w:tcPr>
          <w:p>
            <w:pPr>
              <w:spacing w:line="312" w:lineRule="auto"/>
              <w:jc w:val="center"/>
              <w:rPr>
                <w:rFonts w:hint="eastAsia" w:ascii="宋体" w:hAnsi="宋体" w:cs="宋体"/>
                <w:szCs w:val="21"/>
              </w:rPr>
            </w:pPr>
            <w:r>
              <w:rPr>
                <w:rFonts w:hint="eastAsia" w:ascii="宋体" w:hAnsi="宋体" w:cs="宋体"/>
                <w:szCs w:val="21"/>
              </w:rPr>
              <w:t>按照用户需求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rPr>
              <w:t>8</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互联互通数据维护</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771" w:type="dxa"/>
          </w:tcPr>
          <w:p>
            <w:pPr>
              <w:spacing w:line="312" w:lineRule="auto"/>
              <w:jc w:val="center"/>
              <w:rPr>
                <w:rFonts w:hint="eastAsia" w:ascii="宋体" w:hAnsi="宋体" w:cs="宋体"/>
                <w:szCs w:val="21"/>
                <w:lang w:val="zh-CN"/>
              </w:rPr>
            </w:pPr>
            <w:r>
              <w:rPr>
                <w:rFonts w:hint="eastAsia" w:ascii="宋体" w:hAnsi="宋体" w:cs="宋体"/>
                <w:szCs w:val="21"/>
              </w:rPr>
              <w:t>9</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监测设备管理</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26" w:hRule="atLeast"/>
          <w:jc w:val="center"/>
        </w:trPr>
        <w:tc>
          <w:tcPr>
            <w:tcW w:w="771" w:type="dxa"/>
          </w:tcPr>
          <w:p>
            <w:pPr>
              <w:spacing w:line="312" w:lineRule="auto"/>
              <w:jc w:val="center"/>
              <w:rPr>
                <w:rFonts w:hint="eastAsia" w:ascii="宋体" w:hAnsi="宋体" w:cs="宋体"/>
                <w:szCs w:val="21"/>
              </w:rPr>
            </w:pPr>
            <w:r>
              <w:rPr>
                <w:rFonts w:hint="eastAsia" w:ascii="宋体" w:hAnsi="宋体" w:cs="宋体"/>
                <w:szCs w:val="21"/>
              </w:rPr>
              <w:t>10</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故障响应</w:t>
            </w:r>
            <w:r>
              <w:rPr>
                <w:rFonts w:hint="eastAsia" w:ascii="宋体" w:hAnsi="宋体" w:cs="宋体"/>
                <w:szCs w:val="21"/>
              </w:rPr>
              <w:t>处理</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用户要求时限内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26" w:hRule="atLeast"/>
          <w:jc w:val="center"/>
        </w:trPr>
        <w:tc>
          <w:tcPr>
            <w:tcW w:w="771" w:type="dxa"/>
          </w:tcPr>
          <w:p>
            <w:pPr>
              <w:spacing w:line="312" w:lineRule="auto"/>
              <w:jc w:val="center"/>
              <w:rPr>
                <w:rFonts w:hint="eastAsia" w:ascii="宋体" w:hAnsi="宋体" w:cs="宋体"/>
                <w:szCs w:val="21"/>
              </w:rPr>
            </w:pPr>
            <w:r>
              <w:rPr>
                <w:rFonts w:hint="eastAsia" w:ascii="宋体" w:hAnsi="宋体" w:cs="宋体"/>
                <w:szCs w:val="21"/>
              </w:rPr>
              <w:t>11</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定期巡检</w:t>
            </w:r>
          </w:p>
        </w:tc>
        <w:tc>
          <w:tcPr>
            <w:tcW w:w="2868" w:type="dxa"/>
            <w:vAlign w:val="center"/>
          </w:tcPr>
          <w:p>
            <w:pPr>
              <w:spacing w:line="312" w:lineRule="auto"/>
              <w:jc w:val="center"/>
              <w:rPr>
                <w:rFonts w:hint="eastAsia" w:ascii="宋体" w:hAnsi="宋体" w:cs="宋体"/>
                <w:szCs w:val="21"/>
                <w:lang w:val="zh-CN"/>
              </w:rPr>
            </w:pPr>
            <w:r>
              <w:rPr>
                <w:rFonts w:hint="eastAsia" w:ascii="宋体" w:hAnsi="宋体" w:cs="宋体"/>
                <w:szCs w:val="21"/>
              </w:rPr>
              <w:t>定期巡检（每年巡检不少于4次）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26" w:hRule="atLeast"/>
          <w:jc w:val="center"/>
        </w:trPr>
        <w:tc>
          <w:tcPr>
            <w:tcW w:w="771" w:type="dxa"/>
          </w:tcPr>
          <w:p>
            <w:pPr>
              <w:spacing w:line="312" w:lineRule="auto"/>
              <w:jc w:val="center"/>
              <w:rPr>
                <w:rFonts w:hint="eastAsia" w:ascii="宋体" w:hAnsi="宋体" w:cs="宋体"/>
                <w:szCs w:val="21"/>
              </w:rPr>
            </w:pPr>
            <w:r>
              <w:rPr>
                <w:rFonts w:hint="eastAsia" w:ascii="宋体" w:hAnsi="宋体" w:cs="宋体"/>
                <w:szCs w:val="21"/>
              </w:rPr>
              <w:t>12</w:t>
            </w:r>
          </w:p>
        </w:tc>
        <w:tc>
          <w:tcPr>
            <w:tcW w:w="3098" w:type="dxa"/>
            <w:vAlign w:val="center"/>
          </w:tcPr>
          <w:p>
            <w:pPr>
              <w:spacing w:line="312" w:lineRule="auto"/>
              <w:jc w:val="center"/>
              <w:rPr>
                <w:rFonts w:hint="eastAsia" w:ascii="宋体" w:hAnsi="宋体" w:cs="宋体"/>
                <w:szCs w:val="21"/>
                <w:lang w:val="zh-CN"/>
              </w:rPr>
            </w:pPr>
            <w:r>
              <w:rPr>
                <w:rFonts w:hint="eastAsia" w:ascii="宋体" w:hAnsi="宋体" w:cs="宋体"/>
                <w:szCs w:val="21"/>
                <w:lang w:val="zh-CN"/>
              </w:rPr>
              <w:t>重大活动保障</w:t>
            </w:r>
          </w:p>
        </w:tc>
        <w:tc>
          <w:tcPr>
            <w:tcW w:w="2868" w:type="dxa"/>
            <w:vAlign w:val="center"/>
          </w:tcPr>
          <w:p>
            <w:pPr>
              <w:spacing w:line="312" w:lineRule="auto"/>
              <w:jc w:val="center"/>
              <w:rPr>
                <w:rFonts w:hint="eastAsia" w:ascii="宋体" w:hAnsi="宋体" w:cs="宋体"/>
                <w:szCs w:val="21"/>
              </w:rPr>
            </w:pPr>
            <w:r>
              <w:rPr>
                <w:rFonts w:hint="eastAsia" w:ascii="宋体" w:hAnsi="宋体" w:cs="宋体"/>
                <w:szCs w:val="21"/>
              </w:rPr>
              <w:t>按照用户需求</w:t>
            </w:r>
          </w:p>
        </w:tc>
      </w:tr>
    </w:tbl>
    <w:p>
      <w:pPr>
        <w:spacing w:line="520" w:lineRule="exact"/>
        <w:ind w:firstLine="723"/>
        <w:rPr>
          <w:rFonts w:ascii="楷体_GB2312" w:eastAsia="楷体_GB2312" w:cs="楷体_GB2312"/>
          <w:b/>
          <w:bCs/>
          <w:sz w:val="24"/>
          <w:szCs w:val="24"/>
          <w:lang w:val="zh-CN"/>
        </w:rPr>
      </w:pPr>
      <w:r>
        <w:rPr>
          <w:rFonts w:hint="eastAsia" w:ascii="楷体_GB2312" w:eastAsia="楷体_GB2312" w:cs="楷体_GB2312"/>
          <w:b/>
          <w:bCs/>
          <w:sz w:val="24"/>
          <w:szCs w:val="24"/>
          <w:lang w:val="zh-CN"/>
        </w:rPr>
        <w:t>3、江苏省无线电行政执法系统运维</w:t>
      </w:r>
    </w:p>
    <w:p>
      <w:pPr>
        <w:spacing w:line="520" w:lineRule="exact"/>
        <w:ind w:firstLine="640"/>
        <w:rPr>
          <w:rFonts w:ascii="宋体" w:cs="宋体"/>
          <w:sz w:val="24"/>
          <w:szCs w:val="24"/>
          <w:lang w:val="zh-CN"/>
        </w:rPr>
      </w:pPr>
      <w:bookmarkStart w:id="238" w:name="_Hlk202886893"/>
      <w:r>
        <w:rPr>
          <w:rFonts w:hint="eastAsia" w:ascii="宋体" w:cs="宋体"/>
          <w:sz w:val="24"/>
          <w:szCs w:val="24"/>
          <w:lang w:val="zh-CN"/>
        </w:rPr>
        <w:t>无线电数字化执法系统</w:t>
      </w:r>
      <w:bookmarkEnd w:id="238"/>
      <w:r>
        <w:rPr>
          <w:rFonts w:hint="eastAsia" w:ascii="宋体" w:cs="宋体"/>
          <w:sz w:val="24"/>
          <w:szCs w:val="24"/>
          <w:lang w:val="zh-CN"/>
        </w:rPr>
        <w:t>于</w:t>
      </w:r>
      <w:r>
        <w:rPr>
          <w:rFonts w:cs="Calibri"/>
          <w:sz w:val="24"/>
          <w:szCs w:val="24"/>
        </w:rPr>
        <w:t>202</w:t>
      </w:r>
      <w:r>
        <w:rPr>
          <w:rFonts w:hint="eastAsia" w:cs="Calibri"/>
          <w:sz w:val="24"/>
          <w:szCs w:val="24"/>
        </w:rPr>
        <w:t>2</w:t>
      </w:r>
      <w:r>
        <w:rPr>
          <w:rFonts w:hint="eastAsia" w:ascii="宋体" w:cs="宋体"/>
          <w:sz w:val="24"/>
          <w:szCs w:val="24"/>
          <w:lang w:val="zh-CN"/>
        </w:rPr>
        <w:t>年建成，是我省无线电管理一体化平台的分支数字化执法系统部分，全省（含13个地市）无线电管理机构相关人员通过无线电管理专网访问及使用此系统。无线电数字化执法系统功能包括执法系统平台管理各项功能操作和移动执法套装两大部分，同时，系统具备专业的工具软件以实现不同数据库之间的数据交换，这些交换工具分别可以应用在内网及移动终端上。</w:t>
      </w:r>
    </w:p>
    <w:p>
      <w:pPr>
        <w:spacing w:line="520" w:lineRule="exact"/>
        <w:ind w:firstLine="640"/>
        <w:rPr>
          <w:rFonts w:ascii="宋体" w:cs="宋体"/>
          <w:sz w:val="24"/>
          <w:szCs w:val="24"/>
          <w:lang w:val="zh-CN"/>
        </w:rPr>
      </w:pPr>
      <w:r>
        <w:rPr>
          <w:rFonts w:hint="eastAsia" w:ascii="宋体" w:cs="宋体"/>
          <w:sz w:val="24"/>
          <w:szCs w:val="24"/>
          <w:lang w:val="zh-CN"/>
        </w:rPr>
        <w:t>需维保系统清单如下：</w:t>
      </w:r>
    </w:p>
    <w:tbl>
      <w:tblPr>
        <w:tblStyle w:val="49"/>
        <w:tblW w:w="4700" w:type="pct"/>
        <w:tblInd w:w="0" w:type="dxa"/>
        <w:tblLayout w:type="autofit"/>
        <w:tblCellMar>
          <w:top w:w="0" w:type="dxa"/>
          <w:left w:w="108" w:type="dxa"/>
          <w:bottom w:w="0" w:type="dxa"/>
          <w:right w:w="108" w:type="dxa"/>
        </w:tblCellMar>
      </w:tblPr>
      <w:tblGrid>
        <w:gridCol w:w="1246"/>
        <w:gridCol w:w="5495"/>
        <w:gridCol w:w="1262"/>
        <w:gridCol w:w="1260"/>
      </w:tblGrid>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序号</w:t>
            </w:r>
          </w:p>
        </w:tc>
        <w:tc>
          <w:tcPr>
            <w:tcW w:w="2966" w:type="pct"/>
            <w:tcBorders>
              <w:top w:val="single" w:color="auto" w:sz="4" w:space="0"/>
              <w:left w:val="single" w:color="auto" w:sz="4" w:space="0"/>
              <w:bottom w:val="single" w:color="auto" w:sz="4" w:space="0"/>
              <w:right w:val="single" w:color="auto" w:sz="4" w:space="0"/>
            </w:tcBorders>
            <w:vAlign w:val="center"/>
          </w:tcPr>
          <w:p>
            <w:pPr>
              <w:widowControl/>
              <w:jc w:val="center"/>
            </w:pPr>
            <w:r>
              <w:rPr>
                <w:rFonts w:hint="eastAsia"/>
              </w:rPr>
              <w:t>维保内容</w:t>
            </w:r>
          </w:p>
        </w:tc>
        <w:tc>
          <w:tcPr>
            <w:tcW w:w="681"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数量</w:t>
            </w:r>
          </w:p>
        </w:tc>
        <w:tc>
          <w:tcPr>
            <w:tcW w:w="681" w:type="pct"/>
            <w:tcBorders>
              <w:top w:val="single" w:color="auto" w:sz="4" w:space="0"/>
              <w:left w:val="single" w:color="auto" w:sz="4" w:space="0"/>
              <w:bottom w:val="single" w:color="auto" w:sz="4" w:space="0"/>
              <w:right w:val="single" w:color="auto" w:sz="4" w:space="0"/>
            </w:tcBorders>
          </w:tcPr>
          <w:p>
            <w:pPr>
              <w:widowControl/>
              <w:jc w:val="center"/>
            </w:pPr>
            <w:r>
              <w:rPr>
                <w:rFonts w:hint="eastAsia"/>
              </w:rPr>
              <w:t>地点</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1</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rPr>
                <w:rFonts w:ascii="宋体" w:cs="宋体"/>
                <w:szCs w:val="21"/>
                <w:lang w:val="zh-CN"/>
              </w:rPr>
            </w:pPr>
            <w:r>
              <w:rPr>
                <w:rFonts w:ascii="宋体" w:cs="宋体"/>
                <w:szCs w:val="21"/>
                <w:lang w:val="zh-CN"/>
              </w:rPr>
              <w:t>科立讯无线电数字化执法系统软件(含行政执法系统平台、执法通系统软件、台站核查子系统、执法仪视频采集管理子系统、无线电管理专用地图软件)</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1" w:type="pct"/>
            <w:tcBorders>
              <w:top w:val="single" w:color="auto" w:sz="4" w:space="0"/>
              <w:left w:val="single" w:color="auto" w:sz="4" w:space="0"/>
              <w:bottom w:val="single" w:color="auto" w:sz="4" w:space="0"/>
              <w:right w:val="single" w:color="auto" w:sz="4" w:space="0"/>
            </w:tcBorders>
          </w:tcPr>
          <w:p>
            <w:pPr>
              <w:spacing w:line="312" w:lineRule="auto"/>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ascii="宋体" w:cs="宋体"/>
                <w:szCs w:val="21"/>
                <w:lang w:val="zh-CN"/>
              </w:rPr>
              <w:t>2</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rPr>
                <w:rFonts w:ascii="宋体" w:cs="宋体"/>
                <w:szCs w:val="21"/>
                <w:lang w:val="zh-CN"/>
              </w:rPr>
            </w:pPr>
            <w:r>
              <w:rPr>
                <w:rFonts w:ascii="宋体" w:cs="宋体"/>
                <w:szCs w:val="21"/>
                <w:lang w:val="zh-CN"/>
              </w:rPr>
              <w:t>系统后台管理应用模块(含设备型号核准库更新工具、台站数据获取及脱密导入工具、信息采集器应用模块、电子印章应用模块、智能终端应用模块等)</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1" w:type="pct"/>
            <w:tcBorders>
              <w:top w:val="single" w:color="auto" w:sz="4" w:space="0"/>
              <w:left w:val="single" w:color="auto" w:sz="4" w:space="0"/>
              <w:bottom w:val="single" w:color="auto" w:sz="4" w:space="0"/>
              <w:right w:val="single" w:color="auto" w:sz="4" w:space="0"/>
            </w:tcBorders>
          </w:tcPr>
          <w:p>
            <w:pPr>
              <w:spacing w:line="312" w:lineRule="auto"/>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3</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rPr>
                <w:rFonts w:ascii="宋体" w:cs="宋体"/>
                <w:szCs w:val="21"/>
                <w:lang w:val="zh-CN"/>
              </w:rPr>
            </w:pPr>
            <w:r>
              <w:rPr>
                <w:rFonts w:ascii="宋体" w:cs="宋体"/>
                <w:szCs w:val="21"/>
                <w:lang w:val="zh-CN"/>
              </w:rPr>
              <w:t>科立讯数据基于GIS视频指挥调度平台软件</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w:t>
            </w:r>
          </w:p>
        </w:tc>
        <w:tc>
          <w:tcPr>
            <w:tcW w:w="681" w:type="pct"/>
            <w:tcBorders>
              <w:top w:val="single" w:color="auto" w:sz="4" w:space="0"/>
              <w:left w:val="single" w:color="auto" w:sz="4" w:space="0"/>
              <w:bottom w:val="single" w:color="auto" w:sz="4" w:space="0"/>
              <w:right w:val="single" w:color="auto" w:sz="4" w:space="0"/>
            </w:tcBorders>
          </w:tcPr>
          <w:p>
            <w:pPr>
              <w:spacing w:line="312" w:lineRule="auto"/>
              <w:rPr>
                <w:rFonts w:ascii="宋体" w:cs="宋体"/>
                <w:szCs w:val="21"/>
                <w:lang w:val="zh-CN"/>
              </w:rPr>
            </w:pPr>
            <w:r>
              <w:rPr>
                <w:rFonts w:hint="eastAsia" w:ascii="宋体" w:cs="宋体"/>
                <w:szCs w:val="21"/>
                <w:lang w:val="zh-CN"/>
              </w:rPr>
              <w:t>南京</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4</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rPr>
                <w:rFonts w:ascii="宋体" w:cs="宋体"/>
                <w:szCs w:val="21"/>
                <w:lang w:val="zh-CN"/>
              </w:rPr>
            </w:pPr>
            <w:r>
              <w:rPr>
                <w:rFonts w:ascii="宋体" w:cs="宋体"/>
                <w:szCs w:val="21"/>
                <w:lang w:val="zh-CN"/>
              </w:rPr>
              <w:t>执法仪采集后台管理(含管理计算机、执法仪视频管理软件等)</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15</w:t>
            </w:r>
          </w:p>
        </w:tc>
        <w:tc>
          <w:tcPr>
            <w:tcW w:w="681" w:type="pct"/>
            <w:tcBorders>
              <w:top w:val="single" w:color="auto" w:sz="4" w:space="0"/>
              <w:left w:val="single" w:color="auto" w:sz="4" w:space="0"/>
              <w:bottom w:val="single" w:color="auto" w:sz="4" w:space="0"/>
              <w:right w:val="single" w:color="auto" w:sz="4" w:space="0"/>
            </w:tcBorders>
          </w:tcPr>
          <w:p>
            <w:pPr>
              <w:spacing w:line="312" w:lineRule="auto"/>
              <w:rPr>
                <w:rFonts w:ascii="宋体" w:cs="宋体"/>
                <w:szCs w:val="21"/>
                <w:lang w:val="zh-CN"/>
              </w:rPr>
            </w:pPr>
            <w:r>
              <w:rPr>
                <w:rFonts w:hint="eastAsia" w:ascii="宋体" w:cs="宋体"/>
                <w:szCs w:val="21"/>
                <w:lang w:val="zh-CN"/>
              </w:rPr>
              <w:t>省站及13个地市</w:t>
            </w:r>
          </w:p>
        </w:tc>
      </w:tr>
      <w:tr>
        <w:tblPrEx>
          <w:tblCellMar>
            <w:top w:w="0" w:type="dxa"/>
            <w:left w:w="108" w:type="dxa"/>
            <w:bottom w:w="0" w:type="dxa"/>
            <w:right w:w="108" w:type="dxa"/>
          </w:tblCellMar>
        </w:tblPrEx>
        <w:trPr>
          <w:trHeight w:val="20" w:hRule="atLeast"/>
        </w:trPr>
        <w:tc>
          <w:tcPr>
            <w:tcW w:w="673" w:type="pct"/>
            <w:tcBorders>
              <w:top w:val="single" w:color="auto" w:sz="4" w:space="0"/>
              <w:left w:val="single" w:color="auto" w:sz="4" w:space="0"/>
              <w:bottom w:val="single" w:color="auto" w:sz="4" w:space="0"/>
              <w:right w:val="single" w:color="auto" w:sz="4" w:space="0"/>
            </w:tcBorders>
            <w:vAlign w:val="center"/>
          </w:tcPr>
          <w:p>
            <w:pPr>
              <w:spacing w:line="312" w:lineRule="auto"/>
              <w:jc w:val="center"/>
              <w:rPr>
                <w:rFonts w:ascii="宋体" w:cs="宋体"/>
                <w:szCs w:val="21"/>
                <w:lang w:val="zh-CN"/>
              </w:rPr>
            </w:pPr>
            <w:r>
              <w:rPr>
                <w:rFonts w:hint="eastAsia" w:ascii="宋体" w:cs="宋体"/>
                <w:szCs w:val="21"/>
                <w:lang w:val="zh-CN"/>
              </w:rPr>
              <w:t>5</w:t>
            </w:r>
          </w:p>
        </w:tc>
        <w:tc>
          <w:tcPr>
            <w:tcW w:w="2966" w:type="pct"/>
            <w:tcBorders>
              <w:top w:val="single" w:color="auto" w:sz="4" w:space="0"/>
              <w:left w:val="single" w:color="auto" w:sz="4" w:space="0"/>
              <w:bottom w:val="single" w:color="auto" w:sz="4" w:space="0"/>
              <w:right w:val="single" w:color="auto" w:sz="4" w:space="0"/>
            </w:tcBorders>
            <w:vAlign w:val="center"/>
          </w:tcPr>
          <w:p>
            <w:pPr>
              <w:spacing w:line="312" w:lineRule="auto"/>
              <w:rPr>
                <w:rFonts w:ascii="宋体" w:cs="宋体"/>
                <w:szCs w:val="21"/>
                <w:lang w:val="zh-CN"/>
              </w:rPr>
            </w:pPr>
            <w:r>
              <w:rPr>
                <w:rFonts w:ascii="宋体" w:cs="宋体"/>
                <w:szCs w:val="21"/>
                <w:lang w:val="zh-CN"/>
              </w:rPr>
              <w:t>现场移动执法套装(含智能终端（含移动执法通系统软件）2个、执法记录仪2个、执法服装2套、无线路由器、信息采集模块、A4便携打印机、装备便携运输箱、网络连接服务等)</w:t>
            </w:r>
          </w:p>
        </w:tc>
        <w:tc>
          <w:tcPr>
            <w:tcW w:w="681" w:type="pct"/>
            <w:tcBorders>
              <w:top w:val="single" w:color="auto" w:sz="4" w:space="0"/>
              <w:left w:val="single" w:color="auto" w:sz="4" w:space="0"/>
              <w:bottom w:val="single" w:color="auto" w:sz="4" w:space="0"/>
              <w:right w:val="single" w:color="auto" w:sz="4" w:space="0"/>
            </w:tcBorders>
          </w:tcPr>
          <w:p>
            <w:pPr>
              <w:spacing w:line="312" w:lineRule="auto"/>
              <w:jc w:val="center"/>
              <w:rPr>
                <w:rFonts w:ascii="宋体" w:cs="宋体"/>
                <w:szCs w:val="21"/>
                <w:lang w:val="zh-CN"/>
              </w:rPr>
            </w:pPr>
            <w:r>
              <w:rPr>
                <w:rFonts w:hint="eastAsia" w:ascii="宋体" w:cs="宋体"/>
                <w:szCs w:val="21"/>
                <w:lang w:val="zh-CN"/>
              </w:rPr>
              <w:t>15</w:t>
            </w:r>
          </w:p>
        </w:tc>
        <w:tc>
          <w:tcPr>
            <w:tcW w:w="681" w:type="pct"/>
            <w:tcBorders>
              <w:top w:val="single" w:color="auto" w:sz="4" w:space="0"/>
              <w:left w:val="single" w:color="auto" w:sz="4" w:space="0"/>
              <w:bottom w:val="single" w:color="auto" w:sz="4" w:space="0"/>
              <w:right w:val="single" w:color="auto" w:sz="4" w:space="0"/>
            </w:tcBorders>
          </w:tcPr>
          <w:p>
            <w:pPr>
              <w:spacing w:line="312" w:lineRule="auto"/>
              <w:rPr>
                <w:rFonts w:ascii="宋体" w:cs="宋体"/>
                <w:szCs w:val="21"/>
                <w:lang w:val="zh-CN"/>
              </w:rPr>
            </w:pPr>
            <w:r>
              <w:rPr>
                <w:rFonts w:hint="eastAsia" w:ascii="宋体" w:cs="宋体"/>
                <w:szCs w:val="21"/>
                <w:lang w:val="zh-CN"/>
              </w:rPr>
              <w:t>省站及13个地市</w:t>
            </w:r>
          </w:p>
        </w:tc>
      </w:tr>
    </w:tbl>
    <w:p>
      <w:pPr>
        <w:spacing w:line="520" w:lineRule="exact"/>
        <w:ind w:firstLine="640"/>
        <w:rPr>
          <w:rFonts w:ascii="宋体" w:cs="宋体"/>
          <w:sz w:val="24"/>
          <w:szCs w:val="24"/>
          <w:lang w:val="zh-CN"/>
        </w:rPr>
      </w:pPr>
      <w:r>
        <w:rPr>
          <w:rFonts w:hint="eastAsia" w:ascii="宋体" w:cs="宋体"/>
          <w:sz w:val="24"/>
          <w:szCs w:val="24"/>
          <w:lang w:val="zh-CN"/>
        </w:rPr>
        <w:t>投标人应提供江苏省无线电行政执法系统运维方案，至少应包含平台运维内容响应、运维频次响应等内容。</w:t>
      </w:r>
    </w:p>
    <w:p>
      <w:pPr>
        <w:spacing w:line="520" w:lineRule="exact"/>
        <w:ind w:firstLine="480" w:firstLineChars="200"/>
        <w:rPr>
          <w:rFonts w:ascii="宋体" w:cs="宋体"/>
          <w:sz w:val="24"/>
          <w:szCs w:val="24"/>
          <w:lang w:val="zh-CN"/>
        </w:rPr>
      </w:pPr>
      <w:r>
        <w:rPr>
          <w:rFonts w:hint="eastAsia" w:ascii="宋体" w:cs="宋体"/>
          <w:sz w:val="24"/>
          <w:szCs w:val="24"/>
          <w:lang w:val="zh-CN"/>
        </w:rPr>
        <w:t>（1）运维内容要求如下：</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239"/>
        <w:gridCol w:w="66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239" w:type="dxa"/>
            <w:vAlign w:val="center"/>
          </w:tcPr>
          <w:p>
            <w:pPr>
              <w:spacing w:line="312" w:lineRule="auto"/>
              <w:jc w:val="center"/>
              <w:rPr>
                <w:rFonts w:cs="Calibri"/>
                <w:szCs w:val="21"/>
              </w:rPr>
            </w:pPr>
            <w:r>
              <w:rPr>
                <w:rFonts w:hint="eastAsia" w:cs="Calibri"/>
                <w:szCs w:val="21"/>
              </w:rPr>
              <w:t>运维内容</w:t>
            </w:r>
          </w:p>
        </w:tc>
        <w:tc>
          <w:tcPr>
            <w:tcW w:w="6600"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5" w:hRule="atLeast"/>
          <w:jc w:val="center"/>
        </w:trPr>
        <w:tc>
          <w:tcPr>
            <w:tcW w:w="457" w:type="dxa"/>
            <w:vAlign w:val="center"/>
          </w:tcPr>
          <w:p>
            <w:pPr>
              <w:spacing w:line="312" w:lineRule="auto"/>
              <w:jc w:val="center"/>
              <w:rPr>
                <w:szCs w:val="21"/>
              </w:rPr>
            </w:pPr>
            <w:r>
              <w:rPr>
                <w:szCs w:val="21"/>
              </w:rPr>
              <w:t>1</w:t>
            </w:r>
          </w:p>
        </w:tc>
        <w:tc>
          <w:tcPr>
            <w:tcW w:w="1239" w:type="dxa"/>
            <w:vAlign w:val="center"/>
          </w:tcPr>
          <w:p>
            <w:pPr>
              <w:spacing w:line="312" w:lineRule="auto"/>
              <w:rPr>
                <w:rFonts w:cs="Calibri"/>
                <w:b/>
                <w:bCs/>
                <w:szCs w:val="21"/>
              </w:rPr>
            </w:pPr>
            <w:r>
              <w:rPr>
                <w:rFonts w:hint="eastAsia" w:ascii="宋体" w:cs="宋体"/>
                <w:szCs w:val="21"/>
                <w:lang w:val="zh-CN"/>
              </w:rPr>
              <w:t>内网巡检服务</w:t>
            </w:r>
          </w:p>
        </w:tc>
        <w:tc>
          <w:tcPr>
            <w:tcW w:w="6600" w:type="dxa"/>
            <w:vAlign w:val="center"/>
          </w:tcPr>
          <w:p>
            <w:pPr>
              <w:spacing w:line="312" w:lineRule="auto"/>
              <w:ind w:firstLine="480"/>
              <w:rPr>
                <w:rFonts w:cs="Calibri"/>
                <w:b/>
                <w:bCs/>
                <w:szCs w:val="21"/>
              </w:rPr>
            </w:pPr>
            <w:r>
              <w:rPr>
                <w:rFonts w:hint="eastAsia" w:ascii="宋体" w:cs="宋体"/>
                <w:szCs w:val="21"/>
                <w:lang w:val="zh-CN"/>
              </w:rPr>
              <w:t>运维期间，投标人应派技术员对在网的所有硬件设施以及软件设施进行定期巡检工作，按照每月一次的频率进行巡检，确保行政执法管理系统软硬件基础设施在网工作。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2</w:t>
            </w:r>
          </w:p>
        </w:tc>
        <w:tc>
          <w:tcPr>
            <w:tcW w:w="1239" w:type="dxa"/>
            <w:vAlign w:val="center"/>
          </w:tcPr>
          <w:p>
            <w:pPr>
              <w:spacing w:line="312" w:lineRule="auto"/>
              <w:rPr>
                <w:rFonts w:cs="Calibri"/>
                <w:b/>
                <w:bCs/>
                <w:szCs w:val="21"/>
              </w:rPr>
            </w:pPr>
            <w:r>
              <w:rPr>
                <w:rFonts w:hint="eastAsia" w:ascii="宋体" w:cs="宋体"/>
                <w:szCs w:val="21"/>
                <w:lang w:val="zh-CN"/>
              </w:rPr>
              <w:t>故障报修服务</w:t>
            </w:r>
          </w:p>
        </w:tc>
        <w:tc>
          <w:tcPr>
            <w:tcW w:w="6600" w:type="dxa"/>
            <w:vAlign w:val="center"/>
          </w:tcPr>
          <w:p>
            <w:pPr>
              <w:spacing w:line="312" w:lineRule="auto"/>
              <w:ind w:firstLine="480"/>
              <w:rPr>
                <w:rFonts w:cs="Calibri"/>
                <w:b/>
                <w:bCs/>
                <w:szCs w:val="21"/>
              </w:rPr>
            </w:pPr>
            <w:r>
              <w:rPr>
                <w:rFonts w:hint="eastAsia" w:ascii="宋体" w:cs="宋体"/>
                <w:szCs w:val="21"/>
                <w:lang w:val="zh-CN"/>
              </w:rPr>
              <w:t>投标人承诺设备故障响应报修服务，服务响应时间，在接到客户服务申请后，安排工程师在2小时内通过电话或互联网指导用户排除故障、解决问题；对通过电话或互联网不能解决的设备故障，及时派遣维修工程师赴设备现场提供服务，排查故障，若遇硬件故障，无法现场解决，协助客户进行硬件故障报修服务，负责对返修的设备进行检查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3</w:t>
            </w:r>
          </w:p>
        </w:tc>
        <w:tc>
          <w:tcPr>
            <w:tcW w:w="1239" w:type="dxa"/>
            <w:vAlign w:val="center"/>
          </w:tcPr>
          <w:p>
            <w:pPr>
              <w:spacing w:line="312" w:lineRule="auto"/>
              <w:rPr>
                <w:rFonts w:cs="Calibri"/>
                <w:b/>
                <w:bCs/>
                <w:szCs w:val="21"/>
              </w:rPr>
            </w:pPr>
            <w:r>
              <w:rPr>
                <w:rFonts w:hint="eastAsia" w:ascii="宋体" w:cs="宋体"/>
                <w:szCs w:val="21"/>
                <w:lang w:val="zh-CN"/>
              </w:rPr>
              <w:t>重大应急保障服务</w:t>
            </w:r>
          </w:p>
        </w:tc>
        <w:tc>
          <w:tcPr>
            <w:tcW w:w="6600" w:type="dxa"/>
            <w:vAlign w:val="center"/>
          </w:tcPr>
          <w:p>
            <w:pPr>
              <w:spacing w:line="312" w:lineRule="auto"/>
              <w:ind w:firstLine="480"/>
              <w:rPr>
                <w:rFonts w:cs="Calibri"/>
                <w:b/>
                <w:bCs/>
                <w:szCs w:val="21"/>
              </w:rPr>
            </w:pPr>
            <w:r>
              <w:rPr>
                <w:rFonts w:hint="eastAsia" w:cs="Calibri"/>
                <w:szCs w:val="21"/>
              </w:rPr>
              <w:t>当运用执法设备执行重大任务或者是执行重大会议活动时，应及时提供现场技术支持及设备运行保障，保证软件系统以及执法设备正常使用，发挥执法设备最大可用性</w:t>
            </w:r>
            <w:r>
              <w:rPr>
                <w:rFonts w:hint="eastAsia" w:ascii="宋体" w:cs="宋体"/>
                <w:szCs w:val="21"/>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4</w:t>
            </w:r>
          </w:p>
        </w:tc>
        <w:tc>
          <w:tcPr>
            <w:tcW w:w="1239" w:type="dxa"/>
            <w:vAlign w:val="center"/>
          </w:tcPr>
          <w:p>
            <w:pPr>
              <w:spacing w:line="312" w:lineRule="auto"/>
              <w:rPr>
                <w:rFonts w:cs="Calibri"/>
                <w:b/>
                <w:bCs/>
                <w:szCs w:val="21"/>
              </w:rPr>
            </w:pPr>
            <w:r>
              <w:rPr>
                <w:rFonts w:hint="eastAsia" w:ascii="宋体" w:cs="宋体"/>
                <w:szCs w:val="21"/>
                <w:lang w:val="zh-CN"/>
              </w:rPr>
              <w:t>系统技术支持</w:t>
            </w:r>
          </w:p>
        </w:tc>
        <w:tc>
          <w:tcPr>
            <w:tcW w:w="6600" w:type="dxa"/>
            <w:vAlign w:val="center"/>
          </w:tcPr>
          <w:p>
            <w:pPr>
              <w:spacing w:line="400" w:lineRule="exact"/>
              <w:ind w:firstLine="482"/>
              <w:rPr>
                <w:rFonts w:cs="Calibri"/>
                <w:b/>
                <w:bCs/>
                <w:szCs w:val="21"/>
              </w:rPr>
            </w:pPr>
            <w:r>
              <w:rPr>
                <w:rFonts w:hint="eastAsia" w:ascii="宋体" w:cs="宋体"/>
                <w:szCs w:val="21"/>
                <w:lang w:val="zh-CN"/>
              </w:rPr>
              <w:t>系统技术支持主要针对无线电执法相关人员在使用软件系统的过程中系统出现问题，导致相关工作无法顺利开展时，可随时联系投标人进行排查处理，运维服务人员应在</w:t>
            </w:r>
            <w:r>
              <w:rPr>
                <w:rFonts w:cs="Calibri"/>
                <w:szCs w:val="21"/>
              </w:rPr>
              <w:t>10</w:t>
            </w:r>
            <w:r>
              <w:rPr>
                <w:rFonts w:hint="eastAsia" w:ascii="宋体" w:cs="宋体"/>
                <w:szCs w:val="21"/>
                <w:lang w:val="zh-CN"/>
              </w:rPr>
              <w:t>分钟响应，并立即开展排查，同时根据系统故障响应级别要求的时效进行处理。投标人需要具有完善的软件系统技术支持服务体系以及相应的工作流程，以提供良好的技术支持服务。</w:t>
            </w:r>
            <w:r>
              <w:rPr>
                <w:rFonts w:hint="eastAsia" w:ascii="宋体" w:cs="宋体"/>
                <w:szCs w:val="21"/>
              </w:rPr>
              <w:t>投标人</w:t>
            </w:r>
            <w:r>
              <w:rPr>
                <w:rFonts w:hint="eastAsia" w:ascii="宋体" w:cs="宋体"/>
                <w:szCs w:val="21"/>
                <w:lang w:val="zh-CN"/>
              </w:rPr>
              <w:t>需在投标文件中提供针对系统底层源码及接口配置的应急技术支撑保障方案，</w:t>
            </w:r>
            <w:r>
              <w:rPr>
                <w:rFonts w:hint="eastAsia" w:ascii="宋体" w:cs="宋体"/>
                <w:szCs w:val="21"/>
              </w:rPr>
              <w:t>包含</w:t>
            </w:r>
            <w:r>
              <w:rPr>
                <w:rFonts w:hint="eastAsia" w:ascii="宋体" w:cs="宋体"/>
                <w:szCs w:val="21"/>
                <w:lang w:val="zh-CN"/>
              </w:rPr>
              <w:t>实施流程、响应时限及应急替代措施。</w:t>
            </w:r>
            <w:r>
              <w:rPr>
                <w:rFonts w:hint="eastAsia" w:ascii="宋体" w:cs="宋体"/>
                <w:szCs w:val="21"/>
              </w:rPr>
              <w:t>以确保</w:t>
            </w:r>
            <w:r>
              <w:rPr>
                <w:rFonts w:hint="eastAsia" w:ascii="宋体" w:cs="宋体"/>
                <w:szCs w:val="21"/>
                <w:lang w:val="zh-CN"/>
              </w:rPr>
              <w:t>当系统发生核心代码级故障时，投标人能快速定位问题，并</w:t>
            </w:r>
            <w:r>
              <w:rPr>
                <w:rFonts w:hint="eastAsia" w:ascii="宋体" w:cs="宋体"/>
                <w:szCs w:val="21"/>
              </w:rPr>
              <w:t>在故障规定处理时限内，组织协调技术</w:t>
            </w:r>
            <w:r>
              <w:rPr>
                <w:rFonts w:hint="eastAsia" w:ascii="宋体" w:cs="宋体"/>
                <w:szCs w:val="21"/>
                <w:lang w:val="zh-CN"/>
              </w:rPr>
              <w:t>团队</w:t>
            </w:r>
            <w:r>
              <w:rPr>
                <w:rFonts w:hint="eastAsia" w:ascii="宋体" w:cs="宋体"/>
                <w:szCs w:val="21"/>
              </w:rPr>
              <w:t>最终解决问题。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5</w:t>
            </w:r>
          </w:p>
        </w:tc>
        <w:tc>
          <w:tcPr>
            <w:tcW w:w="1239" w:type="dxa"/>
            <w:vAlign w:val="center"/>
          </w:tcPr>
          <w:p>
            <w:pPr>
              <w:spacing w:line="312" w:lineRule="auto"/>
              <w:rPr>
                <w:rFonts w:cs="Calibri"/>
                <w:szCs w:val="21"/>
              </w:rPr>
            </w:pPr>
            <w:r>
              <w:rPr>
                <w:rFonts w:hint="eastAsia" w:ascii="宋体" w:cs="宋体"/>
                <w:szCs w:val="21"/>
                <w:lang w:val="zh-CN"/>
              </w:rPr>
              <w:t>技术咨询与指导</w:t>
            </w:r>
          </w:p>
        </w:tc>
        <w:tc>
          <w:tcPr>
            <w:tcW w:w="6600" w:type="dxa"/>
            <w:vAlign w:val="center"/>
          </w:tcPr>
          <w:p>
            <w:pPr>
              <w:spacing w:line="312" w:lineRule="auto"/>
              <w:ind w:firstLine="480"/>
              <w:rPr>
                <w:rFonts w:cs="Calibri"/>
                <w:b/>
                <w:bCs/>
                <w:szCs w:val="21"/>
              </w:rPr>
            </w:pPr>
            <w:r>
              <w:rPr>
                <w:rFonts w:hint="eastAsia" w:ascii="宋体" w:cs="宋体"/>
                <w:szCs w:val="21"/>
                <w:lang w:val="zh-CN"/>
              </w:rPr>
              <w:t>业务人员在使用数字化执法系统软件的过程中遇到任何系统的使用疑问或者业务相关疑问，可随时联系投标人进行咨询，运维服务人员应在</w:t>
            </w:r>
            <w:r>
              <w:rPr>
                <w:rFonts w:cs="Calibri"/>
                <w:szCs w:val="21"/>
              </w:rPr>
              <w:t>10</w:t>
            </w:r>
            <w:r>
              <w:rPr>
                <w:rFonts w:hint="eastAsia" w:ascii="宋体" w:cs="宋体"/>
                <w:szCs w:val="21"/>
                <w:lang w:val="zh-CN"/>
              </w:rPr>
              <w:t>分钟之内响应，并立即通过电话、邮件、视频通话、远程等方式对用户提出的问题进行解答或指导。投标人需提供</w:t>
            </w:r>
            <w:r>
              <w:rPr>
                <w:rFonts w:cs="Calibri"/>
                <w:szCs w:val="21"/>
              </w:rPr>
              <w:t>7*24</w:t>
            </w:r>
            <w:r>
              <w:rPr>
                <w:rFonts w:hint="eastAsia" w:ascii="宋体" w:cs="宋体"/>
                <w:szCs w:val="21"/>
                <w:lang w:val="zh-CN"/>
              </w:rPr>
              <w:t>小时服务响应。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239" w:type="dxa"/>
            <w:vAlign w:val="center"/>
          </w:tcPr>
          <w:p>
            <w:pPr>
              <w:spacing w:line="312" w:lineRule="auto"/>
              <w:rPr>
                <w:rFonts w:ascii="宋体" w:cs="宋体"/>
                <w:szCs w:val="21"/>
                <w:lang w:val="zh-CN"/>
              </w:rPr>
            </w:pPr>
            <w:r>
              <w:rPr>
                <w:rFonts w:hint="eastAsia" w:ascii="宋体" w:cs="宋体"/>
                <w:szCs w:val="21"/>
                <w:lang w:val="zh-CN"/>
              </w:rPr>
              <w:t>执法套装巡检</w:t>
            </w:r>
          </w:p>
        </w:tc>
        <w:tc>
          <w:tcPr>
            <w:tcW w:w="6600" w:type="dxa"/>
            <w:vAlign w:val="center"/>
          </w:tcPr>
          <w:p>
            <w:pPr>
              <w:spacing w:line="312" w:lineRule="auto"/>
              <w:ind w:firstLine="480"/>
              <w:rPr>
                <w:rFonts w:ascii="宋体" w:cs="宋体"/>
                <w:szCs w:val="21"/>
                <w:lang w:val="zh-CN"/>
              </w:rPr>
            </w:pPr>
            <w:r>
              <w:rPr>
                <w:rFonts w:hint="eastAsia" w:ascii="宋体" w:cs="宋体"/>
                <w:szCs w:val="21"/>
                <w:lang w:val="zh-CN"/>
              </w:rPr>
              <w:t>每季度对全省执法套装硬件进行巡检，及时解决发现的问题。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7</w:t>
            </w:r>
          </w:p>
        </w:tc>
        <w:tc>
          <w:tcPr>
            <w:tcW w:w="1239" w:type="dxa"/>
            <w:vAlign w:val="center"/>
          </w:tcPr>
          <w:p>
            <w:pPr>
              <w:spacing w:line="312" w:lineRule="auto"/>
              <w:rPr>
                <w:rFonts w:cs="Calibri"/>
                <w:b/>
                <w:bCs/>
                <w:szCs w:val="21"/>
              </w:rPr>
            </w:pPr>
            <w:r>
              <w:rPr>
                <w:rFonts w:hint="eastAsia" w:ascii="宋体" w:hAnsi="宋体" w:cs="仿宋_GB2312"/>
                <w:szCs w:val="21"/>
              </w:rPr>
              <w:t>备品备件</w:t>
            </w:r>
          </w:p>
        </w:tc>
        <w:tc>
          <w:tcPr>
            <w:tcW w:w="6600" w:type="dxa"/>
            <w:vAlign w:val="center"/>
          </w:tcPr>
          <w:p>
            <w:pPr>
              <w:spacing w:line="312" w:lineRule="auto"/>
              <w:ind w:firstLine="480"/>
              <w:rPr>
                <w:rFonts w:cs="Calibri"/>
                <w:b/>
                <w:bCs/>
                <w:szCs w:val="21"/>
              </w:rPr>
            </w:pPr>
            <w:r>
              <w:rPr>
                <w:rFonts w:hint="eastAsia" w:ascii="宋体" w:hAnsi="宋体"/>
                <w:szCs w:val="21"/>
              </w:rPr>
              <w:t>建立专门的备品备件库，如</w:t>
            </w:r>
            <w:r>
              <w:rPr>
                <w:rFonts w:hint="eastAsia" w:ascii="宋体" w:cs="宋体"/>
                <w:szCs w:val="21"/>
                <w:lang w:val="zh-CN"/>
              </w:rPr>
              <w:t>移动执法终端、执法记录仪、打印设备、随身WIFI等</w:t>
            </w:r>
          </w:p>
        </w:tc>
      </w:tr>
    </w:tbl>
    <w:p>
      <w:pPr>
        <w:spacing w:line="520" w:lineRule="exact"/>
        <w:ind w:firstLine="64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8157" w:type="dxa"/>
        <w:jc w:val="center"/>
        <w:tblLayout w:type="fixed"/>
        <w:tblCellMar>
          <w:top w:w="0" w:type="dxa"/>
          <w:left w:w="108" w:type="dxa"/>
          <w:bottom w:w="0" w:type="dxa"/>
          <w:right w:w="108" w:type="dxa"/>
        </w:tblCellMar>
      </w:tblPr>
      <w:tblGrid>
        <w:gridCol w:w="771"/>
        <w:gridCol w:w="1420"/>
        <w:gridCol w:w="3098"/>
        <w:gridCol w:w="2868"/>
      </w:tblGrid>
      <w:tr>
        <w:tblPrEx>
          <w:tblCellMar>
            <w:top w:w="0" w:type="dxa"/>
            <w:left w:w="108" w:type="dxa"/>
            <w:bottom w:w="0" w:type="dxa"/>
            <w:right w:w="108" w:type="dxa"/>
          </w:tblCellMar>
        </w:tblPrEx>
        <w:trPr>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序号</w:t>
            </w:r>
          </w:p>
        </w:tc>
        <w:tc>
          <w:tcPr>
            <w:tcW w:w="1420" w:type="dxa"/>
            <w:tcBorders>
              <w:top w:val="single" w:color="000000" w:sz="2" w:space="0"/>
              <w:left w:val="single" w:color="000000" w:sz="2" w:space="0"/>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运维类别</w:t>
            </w:r>
          </w:p>
        </w:tc>
        <w:tc>
          <w:tcPr>
            <w:tcW w:w="309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运维内容</w:t>
            </w:r>
          </w:p>
        </w:tc>
        <w:tc>
          <w:tcPr>
            <w:tcW w:w="286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运维频次</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1</w:t>
            </w:r>
          </w:p>
        </w:tc>
        <w:tc>
          <w:tcPr>
            <w:tcW w:w="1420" w:type="dxa"/>
            <w:vMerge w:val="restart"/>
            <w:tcBorders>
              <w:top w:val="single" w:color="000000" w:sz="2" w:space="0"/>
              <w:left w:val="single" w:color="000000" w:sz="2" w:space="0"/>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巡检及内网维护</w:t>
            </w: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执法系统平台服务器日常巡检</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每月</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2</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视频服务器日常巡检</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每月</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rFonts w:hint="eastAsia"/>
                <w:szCs w:val="21"/>
                <w:lang w:val="zh-CN"/>
              </w:rPr>
              <w:t>3</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执法套装现场巡检</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每季度</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rFonts w:hint="eastAsia"/>
                <w:szCs w:val="21"/>
                <w:lang w:val="zh-CN"/>
              </w:rPr>
              <w:t>4</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技术咨询与指导</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即时响应</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5</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系统技术支持</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每天</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6</w:t>
            </w:r>
          </w:p>
        </w:tc>
        <w:tc>
          <w:tcPr>
            <w:tcW w:w="1420" w:type="dxa"/>
            <w:vMerge w:val="restart"/>
            <w:tcBorders>
              <w:top w:val="single" w:color="000000" w:sz="2" w:space="0"/>
              <w:left w:val="single" w:color="000000" w:sz="2" w:space="0"/>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专项运行维护服务</w:t>
            </w: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执法应用支持</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按用户要求执行</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szCs w:val="21"/>
                <w:lang w:val="zh-CN"/>
              </w:rPr>
              <w:t>7</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执法系统功能完善升级</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按用户要求执行</w:t>
            </w:r>
          </w:p>
        </w:tc>
      </w:tr>
      <w:tr>
        <w:tblPrEx>
          <w:tblCellMar>
            <w:top w:w="0" w:type="dxa"/>
            <w:left w:w="108" w:type="dxa"/>
            <w:bottom w:w="0" w:type="dxa"/>
            <w:right w:w="108" w:type="dxa"/>
          </w:tblCellMar>
        </w:tblPrEx>
        <w:trPr>
          <w:cantSplit/>
          <w:trHeight w:val="1"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rFonts w:hint="eastAsia"/>
                <w:szCs w:val="21"/>
                <w:lang w:val="zh-CN"/>
              </w:rPr>
              <w:t>8</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服务器系统漏洞修补</w:t>
            </w:r>
          </w:p>
        </w:tc>
        <w:tc>
          <w:tcPr>
            <w:tcW w:w="2868" w:type="dxa"/>
            <w:tcBorders>
              <w:top w:val="nil"/>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按用户要求执行</w:t>
            </w:r>
          </w:p>
        </w:tc>
      </w:tr>
      <w:tr>
        <w:tblPrEx>
          <w:tblCellMar>
            <w:top w:w="0" w:type="dxa"/>
            <w:left w:w="108" w:type="dxa"/>
            <w:bottom w:w="0" w:type="dxa"/>
            <w:right w:w="108" w:type="dxa"/>
          </w:tblCellMar>
        </w:tblPrEx>
        <w:trPr>
          <w:cantSplit/>
          <w:trHeight w:val="326"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rFonts w:hint="eastAsia"/>
                <w:szCs w:val="21"/>
                <w:lang w:val="zh-CN"/>
              </w:rPr>
              <w:t>9</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重大活动保障</w:t>
            </w:r>
          </w:p>
        </w:tc>
        <w:tc>
          <w:tcPr>
            <w:tcW w:w="286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按用户要求执行</w:t>
            </w:r>
          </w:p>
        </w:tc>
      </w:tr>
      <w:tr>
        <w:tblPrEx>
          <w:tblCellMar>
            <w:top w:w="0" w:type="dxa"/>
            <w:left w:w="108" w:type="dxa"/>
            <w:bottom w:w="0" w:type="dxa"/>
            <w:right w:w="108" w:type="dxa"/>
          </w:tblCellMar>
        </w:tblPrEx>
        <w:trPr>
          <w:cantSplit/>
          <w:trHeight w:val="326" w:hRule="atLeast"/>
          <w:jc w:val="center"/>
        </w:trPr>
        <w:tc>
          <w:tcPr>
            <w:tcW w:w="771" w:type="dxa"/>
            <w:tcBorders>
              <w:top w:val="single" w:color="000000" w:sz="2" w:space="0"/>
              <w:left w:val="single" w:color="000000" w:sz="2" w:space="0"/>
              <w:bottom w:val="single" w:color="000000" w:sz="2" w:space="0"/>
              <w:right w:val="single" w:color="000000" w:sz="2" w:space="0"/>
            </w:tcBorders>
          </w:tcPr>
          <w:p>
            <w:pPr>
              <w:spacing w:line="312" w:lineRule="auto"/>
              <w:jc w:val="center"/>
              <w:rPr>
                <w:szCs w:val="21"/>
                <w:lang w:val="zh-CN"/>
              </w:rPr>
            </w:pPr>
            <w:r>
              <w:rPr>
                <w:rFonts w:hint="eastAsia"/>
                <w:szCs w:val="21"/>
                <w:lang w:val="zh-CN"/>
              </w:rPr>
              <w:t>10</w:t>
            </w:r>
          </w:p>
        </w:tc>
        <w:tc>
          <w:tcPr>
            <w:tcW w:w="1420" w:type="dxa"/>
            <w:vMerge w:val="continue"/>
            <w:tcBorders>
              <w:top w:val="single" w:color="000000" w:sz="2" w:space="0"/>
              <w:left w:val="single" w:color="000000" w:sz="2" w:space="0"/>
              <w:bottom w:val="single" w:color="000000" w:sz="2" w:space="0"/>
              <w:right w:val="single" w:color="000000" w:sz="2" w:space="0"/>
            </w:tcBorders>
            <w:shd w:val="clear" w:color="000000" w:fill="FFFFFF"/>
            <w:vAlign w:val="center"/>
          </w:tcPr>
          <w:p>
            <w:pPr>
              <w:spacing w:line="312" w:lineRule="auto"/>
              <w:jc w:val="left"/>
              <w:rPr>
                <w:rFonts w:ascii="宋体" w:cs="宋体"/>
                <w:szCs w:val="21"/>
                <w:lang w:val="zh-CN"/>
              </w:rPr>
            </w:pPr>
          </w:p>
        </w:tc>
        <w:tc>
          <w:tcPr>
            <w:tcW w:w="309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故障处理</w:t>
            </w:r>
          </w:p>
        </w:tc>
        <w:tc>
          <w:tcPr>
            <w:tcW w:w="2868" w:type="dxa"/>
            <w:tcBorders>
              <w:top w:val="single" w:color="000000" w:sz="2" w:space="0"/>
              <w:left w:val="nil"/>
              <w:bottom w:val="single" w:color="000000" w:sz="2" w:space="0"/>
              <w:right w:val="single" w:color="000000" w:sz="2" w:space="0"/>
            </w:tcBorders>
            <w:vAlign w:val="center"/>
          </w:tcPr>
          <w:p>
            <w:pPr>
              <w:spacing w:line="312" w:lineRule="auto"/>
              <w:jc w:val="center"/>
              <w:rPr>
                <w:rFonts w:ascii="宋体" w:cs="宋体"/>
                <w:szCs w:val="21"/>
                <w:lang w:val="zh-CN"/>
              </w:rPr>
            </w:pPr>
            <w:r>
              <w:rPr>
                <w:rFonts w:hint="eastAsia" w:ascii="宋体" w:cs="宋体"/>
                <w:szCs w:val="21"/>
                <w:lang w:val="zh-CN"/>
              </w:rPr>
              <w:t>用户要求时限内</w:t>
            </w:r>
          </w:p>
        </w:tc>
      </w:tr>
    </w:tbl>
    <w:p>
      <w:pPr>
        <w:spacing w:line="520" w:lineRule="exact"/>
        <w:ind w:firstLine="723"/>
        <w:rPr>
          <w:rFonts w:ascii="楷体_GB2312" w:eastAsia="楷体_GB2312" w:cs="楷体_GB2312"/>
          <w:b/>
          <w:bCs/>
          <w:sz w:val="24"/>
          <w:szCs w:val="24"/>
          <w:lang w:val="zh-CN"/>
        </w:rPr>
      </w:pPr>
      <w:r>
        <w:rPr>
          <w:rFonts w:hint="eastAsia" w:ascii="楷体_GB2312" w:eastAsia="楷体_GB2312" w:cs="楷体_GB2312"/>
          <w:b/>
          <w:bCs/>
          <w:sz w:val="24"/>
          <w:szCs w:val="24"/>
          <w:lang w:val="zh-CN"/>
        </w:rPr>
        <w:t>4、江苏省无线电监测站协同办公系统运维</w:t>
      </w:r>
    </w:p>
    <w:p>
      <w:pPr>
        <w:spacing w:line="520" w:lineRule="exact"/>
        <w:ind w:firstLine="640"/>
        <w:rPr>
          <w:rFonts w:ascii="宋体" w:cs="宋体"/>
          <w:sz w:val="24"/>
          <w:szCs w:val="24"/>
          <w:lang w:val="zh-CN"/>
        </w:rPr>
      </w:pPr>
      <w:r>
        <w:rPr>
          <w:rFonts w:hint="eastAsia" w:ascii="宋体" w:cs="宋体"/>
          <w:sz w:val="24"/>
          <w:szCs w:val="24"/>
          <w:lang w:val="zh-CN"/>
        </w:rPr>
        <w:t>省站协同办公系统实现了江苏全省范围内无线电监测办公全流程电子化，进一步提升了我省无线电管理一体化平台使用率，包含公文、人事、行政、项目、资产、车辆、知识库等功能模块。投标人应提供江苏省无线电监测站协同办公系统运维方案，至少应包含系统运维内容响应、运维频次响应等内容。</w:t>
      </w:r>
    </w:p>
    <w:p>
      <w:pPr>
        <w:spacing w:line="560" w:lineRule="atLeast"/>
        <w:ind w:firstLine="480"/>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60" w:lineRule="exact"/>
              <w:jc w:val="center"/>
              <w:rPr>
                <w:rFonts w:cs="Calibri"/>
                <w:szCs w:val="21"/>
              </w:rPr>
            </w:pPr>
            <w:r>
              <w:rPr>
                <w:rFonts w:hint="eastAsia" w:cs="Calibri"/>
                <w:szCs w:val="21"/>
              </w:rPr>
              <w:t>序号</w:t>
            </w:r>
          </w:p>
        </w:tc>
        <w:tc>
          <w:tcPr>
            <w:tcW w:w="1181" w:type="dxa"/>
            <w:vAlign w:val="center"/>
          </w:tcPr>
          <w:p>
            <w:pPr>
              <w:spacing w:line="360" w:lineRule="exact"/>
              <w:jc w:val="center"/>
              <w:rPr>
                <w:rFonts w:cs="Calibri"/>
                <w:szCs w:val="21"/>
              </w:rPr>
            </w:pPr>
            <w:r>
              <w:rPr>
                <w:rFonts w:hint="eastAsia" w:cs="Calibri"/>
                <w:szCs w:val="21"/>
              </w:rPr>
              <w:t>运维内容</w:t>
            </w:r>
          </w:p>
        </w:tc>
        <w:tc>
          <w:tcPr>
            <w:tcW w:w="6945" w:type="dxa"/>
            <w:vAlign w:val="center"/>
          </w:tcPr>
          <w:p>
            <w:pPr>
              <w:spacing w:line="360" w:lineRule="exact"/>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60" w:lineRule="exact"/>
              <w:jc w:val="center"/>
              <w:rPr>
                <w:szCs w:val="21"/>
              </w:rPr>
            </w:pPr>
            <w:r>
              <w:rPr>
                <w:rFonts w:hint="eastAsia"/>
                <w:szCs w:val="21"/>
              </w:rPr>
              <w:t>1</w:t>
            </w:r>
          </w:p>
        </w:tc>
        <w:tc>
          <w:tcPr>
            <w:tcW w:w="1181" w:type="dxa"/>
            <w:vAlign w:val="center"/>
          </w:tcPr>
          <w:p>
            <w:pPr>
              <w:spacing w:line="360" w:lineRule="exact"/>
              <w:rPr>
                <w:rFonts w:cs="Calibri"/>
                <w:szCs w:val="21"/>
              </w:rPr>
            </w:pPr>
            <w:r>
              <w:rPr>
                <w:rFonts w:hint="eastAsia" w:cs="Calibri"/>
                <w:szCs w:val="21"/>
              </w:rPr>
              <w:t>系统运行情况检查</w:t>
            </w:r>
          </w:p>
        </w:tc>
        <w:tc>
          <w:tcPr>
            <w:tcW w:w="6945" w:type="dxa"/>
            <w:vAlign w:val="center"/>
          </w:tcPr>
          <w:p>
            <w:pPr>
              <w:spacing w:line="360" w:lineRule="exact"/>
              <w:ind w:firstLine="480"/>
              <w:rPr>
                <w:rFonts w:cs="Calibri"/>
                <w:szCs w:val="21"/>
              </w:rPr>
            </w:pPr>
            <w:r>
              <w:rPr>
                <w:rFonts w:hint="eastAsia" w:ascii="宋体" w:cs="宋体"/>
                <w:szCs w:val="21"/>
                <w:lang w:val="zh-CN"/>
              </w:rPr>
              <w:t>了解系统运行状态，对于可能发生的问题做好提前防范工作，出具书面检查报告，报送采购人，报告内容需包括数据增量、系统升级、</w:t>
            </w:r>
            <w:r>
              <w:rPr>
                <w:rFonts w:cs="Calibri"/>
                <w:szCs w:val="21"/>
              </w:rPr>
              <w:t>bug</w:t>
            </w:r>
            <w:r>
              <w:rPr>
                <w:rFonts w:hint="eastAsia" w:ascii="宋体" w:cs="宋体"/>
                <w:szCs w:val="21"/>
                <w:lang w:val="zh-CN"/>
              </w:rPr>
              <w:t>修改、数据备份等情况。</w:t>
            </w:r>
          </w:p>
          <w:p>
            <w:pPr>
              <w:spacing w:line="360" w:lineRule="exact"/>
              <w:ind w:firstLine="480"/>
              <w:rPr>
                <w:rFonts w:cs="Calibri"/>
                <w:szCs w:val="21"/>
              </w:rPr>
            </w:pPr>
            <w:r>
              <w:rPr>
                <w:rFonts w:hint="eastAsia" w:ascii="宋体" w:cs="宋体"/>
                <w:szCs w:val="21"/>
                <w:lang w:val="zh-CN"/>
              </w:rPr>
              <w:t>检查内容须包括但不限以下内容：</w:t>
            </w:r>
          </w:p>
          <w:p>
            <w:pPr>
              <w:spacing w:line="360" w:lineRule="exact"/>
              <w:ind w:firstLine="480"/>
              <w:rPr>
                <w:rFonts w:cs="Calibri"/>
                <w:szCs w:val="21"/>
              </w:rPr>
            </w:pPr>
            <w:r>
              <w:rPr>
                <w:rFonts w:hint="eastAsia" w:ascii="宋体" w:cs="宋体"/>
                <w:szCs w:val="21"/>
                <w:lang w:val="zh-CN"/>
              </w:rPr>
              <w:t>（1）周期性查看服务器</w:t>
            </w:r>
            <w:r>
              <w:rPr>
                <w:rFonts w:hint="eastAsia" w:cs="Calibri"/>
                <w:szCs w:val="21"/>
              </w:rPr>
              <w:t>CPU</w:t>
            </w:r>
            <w:r>
              <w:rPr>
                <w:rFonts w:hint="eastAsia" w:ascii="宋体" w:cs="宋体"/>
                <w:szCs w:val="21"/>
                <w:lang w:val="zh-CN"/>
              </w:rPr>
              <w:t>，内存，磁盘，网络使用情况，是否存在长时间使用满载的情况。</w:t>
            </w:r>
          </w:p>
          <w:p>
            <w:pPr>
              <w:spacing w:line="360" w:lineRule="exact"/>
              <w:ind w:firstLine="480"/>
              <w:rPr>
                <w:rFonts w:cs="Calibri"/>
                <w:szCs w:val="21"/>
              </w:rPr>
            </w:pPr>
            <w:r>
              <w:rPr>
                <w:rFonts w:hint="eastAsia" w:ascii="宋体" w:cs="宋体"/>
                <w:szCs w:val="21"/>
                <w:lang w:val="zh-CN"/>
              </w:rPr>
              <w:t>（2）查看日志文件输出大小，定时删除过期日志文件。</w:t>
            </w:r>
          </w:p>
          <w:p>
            <w:pPr>
              <w:spacing w:line="360" w:lineRule="exact"/>
              <w:ind w:firstLine="480"/>
              <w:rPr>
                <w:rFonts w:cs="Calibri"/>
                <w:szCs w:val="21"/>
              </w:rPr>
            </w:pPr>
            <w:r>
              <w:rPr>
                <w:rFonts w:hint="eastAsia" w:ascii="宋体" w:cs="宋体"/>
                <w:szCs w:val="21"/>
                <w:lang w:val="zh-CN"/>
              </w:rPr>
              <w:t>（3）查看日志文件内容中是否存在严重报错信息。如发现影响系统正常运行问题，采取措施做相应处理。</w:t>
            </w:r>
          </w:p>
          <w:p>
            <w:pPr>
              <w:spacing w:line="360" w:lineRule="exact"/>
              <w:ind w:firstLine="480"/>
              <w:rPr>
                <w:rFonts w:cs="Calibri"/>
                <w:szCs w:val="21"/>
              </w:rPr>
            </w:pPr>
            <w:r>
              <w:rPr>
                <w:rFonts w:hint="eastAsia" w:ascii="宋体" w:cs="宋体"/>
                <w:szCs w:val="21"/>
                <w:lang w:val="zh-CN"/>
              </w:rPr>
              <w:t>（4）查看数据备份、数据同步是否正常。</w:t>
            </w:r>
          </w:p>
          <w:p>
            <w:pPr>
              <w:spacing w:line="360" w:lineRule="exact"/>
              <w:ind w:firstLine="480"/>
              <w:rPr>
                <w:rFonts w:cs="Calibri"/>
                <w:szCs w:val="21"/>
              </w:rPr>
            </w:pPr>
            <w:r>
              <w:rPr>
                <w:rFonts w:hint="eastAsia" w:ascii="宋体" w:cs="宋体"/>
                <w:szCs w:val="21"/>
                <w:lang w:val="zh-CN"/>
              </w:rPr>
              <w:t>（5）报警日志检查。对于日志中报警信息进行分析处理，保证数据库稳定运行。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60" w:lineRule="exact"/>
              <w:jc w:val="center"/>
              <w:rPr>
                <w:szCs w:val="21"/>
              </w:rPr>
            </w:pPr>
            <w:r>
              <w:rPr>
                <w:rFonts w:hint="eastAsia"/>
                <w:szCs w:val="21"/>
              </w:rPr>
              <w:t>2</w:t>
            </w:r>
          </w:p>
        </w:tc>
        <w:tc>
          <w:tcPr>
            <w:tcW w:w="1181" w:type="dxa"/>
            <w:vAlign w:val="center"/>
          </w:tcPr>
          <w:p>
            <w:pPr>
              <w:spacing w:line="360" w:lineRule="exact"/>
              <w:rPr>
                <w:rFonts w:ascii="宋体" w:cs="宋体"/>
                <w:szCs w:val="21"/>
                <w:lang w:val="zh-CN"/>
              </w:rPr>
            </w:pPr>
            <w:r>
              <w:rPr>
                <w:rFonts w:hint="eastAsia" w:ascii="宋体" w:cs="宋体"/>
                <w:szCs w:val="21"/>
                <w:lang w:val="zh-CN"/>
              </w:rPr>
              <w:t>系统数据库运维</w:t>
            </w:r>
          </w:p>
        </w:tc>
        <w:tc>
          <w:tcPr>
            <w:tcW w:w="6945" w:type="dxa"/>
            <w:vAlign w:val="center"/>
          </w:tcPr>
          <w:p>
            <w:pPr>
              <w:spacing w:line="360" w:lineRule="exact"/>
              <w:ind w:firstLine="480"/>
              <w:rPr>
                <w:rFonts w:ascii="宋体" w:cs="宋体"/>
                <w:szCs w:val="21"/>
                <w:lang w:val="zh-CN"/>
              </w:rPr>
            </w:pPr>
            <w:r>
              <w:rPr>
                <w:rFonts w:hint="eastAsia" w:ascii="宋体" w:cs="宋体"/>
                <w:szCs w:val="21"/>
                <w:lang w:val="zh-CN"/>
              </w:rPr>
              <w:t>运维期内，投标人须按采购人要求做好协同办公系统进行数据备份、恢复、迁移服务。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60" w:lineRule="exact"/>
              <w:jc w:val="center"/>
              <w:rPr>
                <w:szCs w:val="21"/>
              </w:rPr>
            </w:pPr>
            <w:r>
              <w:rPr>
                <w:rFonts w:hint="eastAsia"/>
                <w:szCs w:val="21"/>
              </w:rPr>
              <w:t>3</w:t>
            </w:r>
          </w:p>
        </w:tc>
        <w:tc>
          <w:tcPr>
            <w:tcW w:w="1181" w:type="dxa"/>
            <w:vAlign w:val="center"/>
          </w:tcPr>
          <w:p>
            <w:pPr>
              <w:spacing w:line="360" w:lineRule="exact"/>
              <w:rPr>
                <w:rFonts w:cs="Calibri"/>
                <w:b/>
                <w:bCs/>
                <w:szCs w:val="21"/>
              </w:rPr>
            </w:pPr>
            <w:r>
              <w:rPr>
                <w:rFonts w:hint="eastAsia" w:ascii="宋体" w:cs="宋体"/>
                <w:szCs w:val="21"/>
                <w:lang w:val="zh-CN"/>
              </w:rPr>
              <w:t>功能完善及升级服务</w:t>
            </w:r>
          </w:p>
        </w:tc>
        <w:tc>
          <w:tcPr>
            <w:tcW w:w="6945" w:type="dxa"/>
            <w:vAlign w:val="center"/>
          </w:tcPr>
          <w:p>
            <w:pPr>
              <w:spacing w:line="360" w:lineRule="exact"/>
              <w:ind w:firstLine="480"/>
              <w:rPr>
                <w:rFonts w:cs="Calibri"/>
                <w:b/>
                <w:bCs/>
                <w:szCs w:val="21"/>
              </w:rPr>
            </w:pPr>
            <w:r>
              <w:rPr>
                <w:rFonts w:hint="eastAsia" w:ascii="宋体" w:cs="宋体"/>
                <w:szCs w:val="21"/>
                <w:lang w:val="zh-CN"/>
              </w:rPr>
              <w:t>运维期内，投标人须按照采购人要求，提供系统功能完善及升级服务，免费进行系统大小版本升级。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60" w:lineRule="exact"/>
              <w:jc w:val="center"/>
              <w:rPr>
                <w:szCs w:val="21"/>
              </w:rPr>
            </w:pPr>
            <w:r>
              <w:rPr>
                <w:rFonts w:hint="eastAsia"/>
                <w:szCs w:val="21"/>
              </w:rPr>
              <w:t>4</w:t>
            </w:r>
          </w:p>
        </w:tc>
        <w:tc>
          <w:tcPr>
            <w:tcW w:w="1181" w:type="dxa"/>
            <w:vAlign w:val="center"/>
          </w:tcPr>
          <w:p>
            <w:pPr>
              <w:spacing w:line="360" w:lineRule="exact"/>
              <w:rPr>
                <w:rFonts w:cs="Calibri"/>
                <w:b/>
                <w:bCs/>
                <w:szCs w:val="21"/>
              </w:rPr>
            </w:pPr>
            <w:r>
              <w:rPr>
                <w:rFonts w:hint="eastAsia" w:ascii="宋体" w:cs="宋体"/>
                <w:szCs w:val="21"/>
                <w:lang w:val="zh-CN"/>
              </w:rPr>
              <w:t>业务技术支持服务</w:t>
            </w:r>
          </w:p>
        </w:tc>
        <w:tc>
          <w:tcPr>
            <w:tcW w:w="6945" w:type="dxa"/>
            <w:vAlign w:val="center"/>
          </w:tcPr>
          <w:p>
            <w:pPr>
              <w:spacing w:line="360" w:lineRule="exact"/>
              <w:ind w:firstLine="480"/>
              <w:rPr>
                <w:rFonts w:cs="Calibri"/>
                <w:b/>
                <w:bCs/>
                <w:szCs w:val="21"/>
              </w:rPr>
            </w:pPr>
            <w:r>
              <w:rPr>
                <w:rFonts w:hint="eastAsia" w:ascii="宋体" w:cs="宋体"/>
                <w:szCs w:val="21"/>
                <w:lang w:val="zh-CN"/>
              </w:rPr>
              <w:t>负责回答采购人对系统业务流程操作遇到的问题，并做好工作记录。采购人在遇到故障时第一时间通过电话、网络等方式联系投标人技术服务人员，技术服务人员根据采购人反馈情况确定解决方案，完成故障处理工作，保证系统正常运行。</w:t>
            </w:r>
          </w:p>
        </w:tc>
      </w:tr>
    </w:tbl>
    <w:p>
      <w:pPr>
        <w:spacing w:line="560" w:lineRule="atLeast"/>
        <w:ind w:firstLine="48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400" w:lineRule="atLeast"/>
              <w:jc w:val="center"/>
              <w:rPr>
                <w:rFonts w:ascii="宋体" w:cs="宋体"/>
                <w:szCs w:val="21"/>
                <w:lang w:val="zh-CN"/>
              </w:rPr>
            </w:pPr>
            <w:r>
              <w:rPr>
                <w:rFonts w:hint="eastAsia" w:ascii="宋体" w:cs="宋体"/>
                <w:szCs w:val="21"/>
                <w:lang w:val="zh-CN"/>
              </w:rPr>
              <w:t>序号</w:t>
            </w:r>
          </w:p>
        </w:tc>
        <w:tc>
          <w:tcPr>
            <w:tcW w:w="4252" w:type="dxa"/>
            <w:vAlign w:val="center"/>
          </w:tcPr>
          <w:p>
            <w:pPr>
              <w:spacing w:line="400" w:lineRule="atLeast"/>
              <w:jc w:val="center"/>
              <w:rPr>
                <w:rFonts w:ascii="宋体" w:cs="宋体"/>
                <w:szCs w:val="21"/>
                <w:lang w:val="zh-CN"/>
              </w:rPr>
            </w:pPr>
            <w:r>
              <w:rPr>
                <w:rFonts w:hint="eastAsia" w:ascii="宋体" w:cs="宋体"/>
                <w:szCs w:val="21"/>
                <w:lang w:val="zh-CN"/>
              </w:rPr>
              <w:t>运维内容</w:t>
            </w:r>
          </w:p>
        </w:tc>
        <w:tc>
          <w:tcPr>
            <w:tcW w:w="2225" w:type="dxa"/>
            <w:vAlign w:val="center"/>
          </w:tcPr>
          <w:p>
            <w:pPr>
              <w:spacing w:line="400" w:lineRule="atLeast"/>
              <w:jc w:val="center"/>
              <w:rPr>
                <w:rFonts w:ascii="宋体" w:cs="宋体"/>
                <w:szCs w:val="21"/>
                <w:lang w:val="zh-CN"/>
              </w:rPr>
            </w:pPr>
            <w:r>
              <w:rPr>
                <w:rFonts w:hint="eastAsia" w:ascii="宋体" w:cs="宋体"/>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rFonts w:ascii="宋体" w:cs="宋体"/>
                <w:szCs w:val="21"/>
                <w:lang w:val="zh-CN"/>
              </w:rPr>
            </w:pPr>
            <w:r>
              <w:rPr>
                <w:rFonts w:hint="eastAsia" w:ascii="宋体" w:cs="宋体"/>
                <w:szCs w:val="21"/>
                <w:lang w:val="zh-CN"/>
              </w:rPr>
              <w:t>1</w:t>
            </w:r>
          </w:p>
        </w:tc>
        <w:tc>
          <w:tcPr>
            <w:tcW w:w="4252" w:type="dxa"/>
            <w:vAlign w:val="center"/>
          </w:tcPr>
          <w:p>
            <w:pPr>
              <w:jc w:val="center"/>
              <w:rPr>
                <w:rFonts w:ascii="宋体" w:cs="宋体"/>
                <w:szCs w:val="21"/>
                <w:lang w:val="zh-CN"/>
              </w:rPr>
            </w:pPr>
            <w:r>
              <w:rPr>
                <w:rFonts w:hint="eastAsia" w:ascii="宋体" w:cs="宋体"/>
                <w:szCs w:val="21"/>
                <w:lang w:val="zh-CN"/>
              </w:rPr>
              <w:t>系统运行情况检查</w:t>
            </w:r>
          </w:p>
        </w:tc>
        <w:tc>
          <w:tcPr>
            <w:tcW w:w="2225" w:type="dxa"/>
            <w:vAlign w:val="center"/>
          </w:tcPr>
          <w:p>
            <w:pPr>
              <w:jc w:val="center"/>
              <w:rPr>
                <w:rFonts w:ascii="宋体" w:cs="宋体"/>
                <w:szCs w:val="21"/>
                <w:lang w:val="zh-CN"/>
              </w:rPr>
            </w:pPr>
            <w:r>
              <w:rPr>
                <w:rFonts w:hint="eastAsia" w:ascii="宋体" w:cs="宋体"/>
                <w:szCs w:val="21"/>
                <w:lang w:val="zh-CN"/>
              </w:rPr>
              <w:t>每月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rFonts w:ascii="宋体" w:cs="宋体"/>
                <w:szCs w:val="21"/>
                <w:lang w:val="zh-CN"/>
              </w:rPr>
            </w:pPr>
            <w:r>
              <w:rPr>
                <w:rFonts w:hint="eastAsia" w:ascii="宋体" w:cs="宋体"/>
                <w:szCs w:val="21"/>
                <w:lang w:val="zh-CN"/>
              </w:rPr>
              <w:t>2</w:t>
            </w:r>
          </w:p>
        </w:tc>
        <w:tc>
          <w:tcPr>
            <w:tcW w:w="4252" w:type="dxa"/>
            <w:vAlign w:val="center"/>
          </w:tcPr>
          <w:p>
            <w:pPr>
              <w:jc w:val="center"/>
              <w:rPr>
                <w:rFonts w:ascii="宋体" w:cs="宋体"/>
                <w:szCs w:val="21"/>
                <w:lang w:val="zh-CN"/>
              </w:rPr>
            </w:pPr>
            <w:r>
              <w:rPr>
                <w:rFonts w:hint="eastAsia" w:ascii="宋体" w:cs="宋体"/>
                <w:szCs w:val="21"/>
                <w:lang w:val="zh-CN"/>
              </w:rPr>
              <w:t>平台操作系统、数据库、中间件运维</w:t>
            </w:r>
          </w:p>
        </w:tc>
        <w:tc>
          <w:tcPr>
            <w:tcW w:w="2225" w:type="dxa"/>
            <w:vAlign w:val="center"/>
          </w:tcPr>
          <w:p>
            <w:pPr>
              <w:jc w:val="center"/>
              <w:rPr>
                <w:rFonts w:ascii="宋体" w:cs="宋体"/>
                <w:szCs w:val="21"/>
                <w:lang w:val="zh-CN"/>
              </w:rPr>
            </w:pPr>
            <w:r>
              <w:rPr>
                <w:rFonts w:hint="eastAsia" w:ascii="宋体" w:cs="宋体"/>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rFonts w:ascii="宋体" w:cs="宋体"/>
                <w:szCs w:val="21"/>
                <w:lang w:val="zh-CN"/>
              </w:rPr>
            </w:pPr>
            <w:r>
              <w:rPr>
                <w:rFonts w:hint="eastAsia" w:ascii="宋体" w:cs="宋体"/>
                <w:szCs w:val="21"/>
                <w:lang w:val="zh-CN"/>
              </w:rPr>
              <w:t>3</w:t>
            </w:r>
          </w:p>
        </w:tc>
        <w:tc>
          <w:tcPr>
            <w:tcW w:w="4252" w:type="dxa"/>
            <w:vAlign w:val="center"/>
          </w:tcPr>
          <w:p>
            <w:pPr>
              <w:jc w:val="center"/>
              <w:rPr>
                <w:rFonts w:ascii="宋体" w:cs="宋体"/>
                <w:szCs w:val="21"/>
                <w:lang w:val="zh-CN"/>
              </w:rPr>
            </w:pPr>
            <w:r>
              <w:rPr>
                <w:rFonts w:hint="eastAsia" w:ascii="宋体" w:cs="宋体"/>
                <w:szCs w:val="21"/>
                <w:lang w:val="zh-CN"/>
              </w:rPr>
              <w:t>平台系统功能完善升级</w:t>
            </w:r>
          </w:p>
        </w:tc>
        <w:tc>
          <w:tcPr>
            <w:tcW w:w="2225" w:type="dxa"/>
            <w:vAlign w:val="center"/>
          </w:tcPr>
          <w:p>
            <w:pPr>
              <w:jc w:val="center"/>
              <w:rPr>
                <w:rFonts w:ascii="宋体" w:cs="宋体"/>
                <w:szCs w:val="21"/>
                <w:lang w:val="zh-CN"/>
              </w:rPr>
            </w:pPr>
            <w:r>
              <w:rPr>
                <w:rFonts w:hint="eastAsia" w:ascii="宋体" w:cs="宋体"/>
                <w:szCs w:val="21"/>
                <w:lang w:val="zh-CN"/>
              </w:rPr>
              <w:t>按用户要求执行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jc w:val="center"/>
              <w:rPr>
                <w:rFonts w:ascii="宋体" w:cs="宋体"/>
                <w:szCs w:val="21"/>
                <w:lang w:val="zh-CN"/>
              </w:rPr>
            </w:pPr>
            <w:r>
              <w:rPr>
                <w:rFonts w:hint="eastAsia" w:ascii="宋体" w:cs="宋体"/>
                <w:szCs w:val="21"/>
                <w:lang w:val="zh-CN"/>
              </w:rPr>
              <w:t>4</w:t>
            </w:r>
          </w:p>
        </w:tc>
        <w:tc>
          <w:tcPr>
            <w:tcW w:w="4252" w:type="dxa"/>
            <w:vAlign w:val="center"/>
          </w:tcPr>
          <w:p>
            <w:pPr>
              <w:jc w:val="center"/>
              <w:rPr>
                <w:rFonts w:ascii="宋体" w:cs="宋体"/>
                <w:szCs w:val="21"/>
                <w:lang w:val="zh-CN"/>
              </w:rPr>
            </w:pPr>
            <w:r>
              <w:rPr>
                <w:rFonts w:hint="eastAsia" w:ascii="宋体" w:cs="宋体"/>
                <w:szCs w:val="21"/>
                <w:lang w:val="zh-CN"/>
              </w:rPr>
              <w:t>重大活动保障</w:t>
            </w:r>
          </w:p>
        </w:tc>
        <w:tc>
          <w:tcPr>
            <w:tcW w:w="2225" w:type="dxa"/>
            <w:vAlign w:val="center"/>
          </w:tcPr>
          <w:p>
            <w:pPr>
              <w:jc w:val="center"/>
              <w:rPr>
                <w:rFonts w:ascii="宋体" w:cs="宋体"/>
                <w:szCs w:val="21"/>
                <w:lang w:val="zh-CN"/>
              </w:rPr>
            </w:pPr>
            <w:r>
              <w:rPr>
                <w:rFonts w:hint="eastAsia" w:ascii="宋体" w:cs="宋体"/>
                <w:szCs w:val="21"/>
                <w:lang w:val="zh-CN"/>
              </w:rPr>
              <w:t>按用户要求执行</w:t>
            </w:r>
          </w:p>
        </w:tc>
      </w:tr>
    </w:tbl>
    <w:p>
      <w:pPr>
        <w:spacing w:line="520" w:lineRule="exac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5、江苏省无线电管理专网数据库系统运维</w:t>
      </w:r>
    </w:p>
    <w:p>
      <w:pPr>
        <w:spacing w:line="520" w:lineRule="exact"/>
        <w:ind w:firstLine="482"/>
        <w:rPr>
          <w:rFonts w:cs="Calibri"/>
          <w:b/>
          <w:bCs/>
          <w:sz w:val="24"/>
          <w:szCs w:val="24"/>
        </w:rPr>
      </w:pPr>
      <w:r>
        <w:rPr>
          <w:rFonts w:hint="eastAsia" w:ascii="宋体" w:cs="宋体"/>
          <w:sz w:val="24"/>
          <w:szCs w:val="24"/>
          <w:lang w:val="zh-CN"/>
        </w:rPr>
        <w:t>江苏省无线电管理专网数据库系统：主要包括</w:t>
      </w:r>
      <w:r>
        <w:rPr>
          <w:rFonts w:cs="Calibri"/>
          <w:sz w:val="24"/>
          <w:szCs w:val="24"/>
        </w:rPr>
        <w:t>1</w:t>
      </w:r>
      <w:r>
        <w:rPr>
          <w:rFonts w:hint="eastAsia" w:ascii="宋体" w:cs="宋体"/>
          <w:sz w:val="24"/>
          <w:szCs w:val="24"/>
          <w:lang w:val="zh-CN"/>
        </w:rPr>
        <w:t>套达梦数据库以及省站和</w:t>
      </w:r>
      <w:r>
        <w:rPr>
          <w:rFonts w:cs="Calibri"/>
          <w:sz w:val="24"/>
          <w:szCs w:val="24"/>
        </w:rPr>
        <w:t>13</w:t>
      </w:r>
      <w:r>
        <w:rPr>
          <w:rFonts w:hint="eastAsia" w:cs="Calibri"/>
          <w:sz w:val="24"/>
          <w:szCs w:val="24"/>
        </w:rPr>
        <w:t>个</w:t>
      </w:r>
      <w:r>
        <w:rPr>
          <w:rFonts w:hint="eastAsia" w:ascii="宋体" w:cs="宋体"/>
          <w:sz w:val="24"/>
          <w:szCs w:val="24"/>
          <w:lang w:val="zh-CN"/>
        </w:rPr>
        <w:t>地市的监测数据、一体化平台数据、台站数据、行政执法数据、视频监控数据的日常管理备份工作。投标人应提供江苏省无线电管理专网数据库系统运维方案，至少应包含数据库系统运维内容响应、运维频次响应等内容。</w:t>
      </w:r>
    </w:p>
    <w:p>
      <w:pPr>
        <w:spacing w:line="520" w:lineRule="exact"/>
        <w:ind w:firstLine="482"/>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6" w:hRule="atLeast"/>
          <w:jc w:val="center"/>
        </w:trPr>
        <w:tc>
          <w:tcPr>
            <w:tcW w:w="457" w:type="dxa"/>
            <w:vAlign w:val="center"/>
          </w:tcPr>
          <w:p>
            <w:pPr>
              <w:spacing w:line="400" w:lineRule="exact"/>
              <w:jc w:val="center"/>
              <w:rPr>
                <w:rFonts w:cs="Calibri"/>
                <w:szCs w:val="21"/>
              </w:rPr>
            </w:pPr>
            <w:r>
              <w:rPr>
                <w:rFonts w:hint="eastAsia" w:cs="Calibri"/>
                <w:szCs w:val="21"/>
              </w:rPr>
              <w:t>序号</w:t>
            </w:r>
          </w:p>
        </w:tc>
        <w:tc>
          <w:tcPr>
            <w:tcW w:w="1181" w:type="dxa"/>
            <w:vAlign w:val="center"/>
          </w:tcPr>
          <w:p>
            <w:pPr>
              <w:spacing w:line="400" w:lineRule="exact"/>
              <w:jc w:val="center"/>
              <w:rPr>
                <w:rFonts w:cs="Calibri"/>
                <w:szCs w:val="21"/>
              </w:rPr>
            </w:pPr>
            <w:r>
              <w:rPr>
                <w:rFonts w:hint="eastAsia" w:cs="Calibri"/>
                <w:szCs w:val="21"/>
              </w:rPr>
              <w:t>运维内容</w:t>
            </w:r>
          </w:p>
        </w:tc>
        <w:tc>
          <w:tcPr>
            <w:tcW w:w="6945" w:type="dxa"/>
            <w:vAlign w:val="center"/>
          </w:tcPr>
          <w:p>
            <w:pPr>
              <w:spacing w:line="400" w:lineRule="exact"/>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400" w:lineRule="exact"/>
              <w:jc w:val="center"/>
              <w:rPr>
                <w:szCs w:val="21"/>
              </w:rPr>
            </w:pPr>
            <w:r>
              <w:rPr>
                <w:rFonts w:hint="eastAsia"/>
                <w:szCs w:val="21"/>
              </w:rPr>
              <w:t>1</w:t>
            </w:r>
          </w:p>
        </w:tc>
        <w:tc>
          <w:tcPr>
            <w:tcW w:w="1181" w:type="dxa"/>
            <w:vAlign w:val="center"/>
          </w:tcPr>
          <w:p>
            <w:pPr>
              <w:spacing w:line="400" w:lineRule="exact"/>
              <w:rPr>
                <w:rFonts w:cs="Calibri"/>
                <w:szCs w:val="21"/>
              </w:rPr>
            </w:pPr>
            <w:r>
              <w:rPr>
                <w:rFonts w:hint="eastAsia" w:cs="Calibri"/>
                <w:szCs w:val="21"/>
              </w:rPr>
              <w:t>数据库运行情况检查</w:t>
            </w:r>
          </w:p>
        </w:tc>
        <w:tc>
          <w:tcPr>
            <w:tcW w:w="6945" w:type="dxa"/>
            <w:vAlign w:val="center"/>
          </w:tcPr>
          <w:p>
            <w:pPr>
              <w:spacing w:line="400" w:lineRule="exact"/>
              <w:ind w:firstLine="480"/>
              <w:rPr>
                <w:rFonts w:cs="Calibri"/>
                <w:szCs w:val="21"/>
              </w:rPr>
            </w:pPr>
            <w:r>
              <w:rPr>
                <w:rFonts w:hint="eastAsia" w:ascii="宋体" w:cs="宋体"/>
                <w:szCs w:val="21"/>
                <w:lang w:val="zh-CN"/>
              </w:rPr>
              <w:t>检查省站和各地市站数据库及相关软件的运行情况。至少包含：江苏省无线电超短波监测一体化基础平台数据库，省站及13个地市站无线电监测应用数据库、无线电频率台站系统数据库、无线电行政执法系统数据库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400" w:lineRule="exact"/>
              <w:jc w:val="center"/>
              <w:rPr>
                <w:szCs w:val="21"/>
              </w:rPr>
            </w:pPr>
            <w:r>
              <w:rPr>
                <w:rFonts w:hint="eastAsia"/>
                <w:szCs w:val="21"/>
              </w:rPr>
              <w:t>2</w:t>
            </w:r>
          </w:p>
        </w:tc>
        <w:tc>
          <w:tcPr>
            <w:tcW w:w="1181" w:type="dxa"/>
            <w:vAlign w:val="center"/>
          </w:tcPr>
          <w:p>
            <w:pPr>
              <w:spacing w:line="400" w:lineRule="exact"/>
              <w:rPr>
                <w:rFonts w:ascii="宋体" w:cs="宋体"/>
                <w:szCs w:val="21"/>
                <w:lang w:val="zh-CN"/>
              </w:rPr>
            </w:pPr>
            <w:r>
              <w:rPr>
                <w:rFonts w:hint="eastAsia" w:ascii="宋体" w:cs="宋体"/>
                <w:szCs w:val="21"/>
                <w:lang w:val="zh-CN"/>
              </w:rPr>
              <w:t>数据备份及分析</w:t>
            </w:r>
          </w:p>
        </w:tc>
        <w:tc>
          <w:tcPr>
            <w:tcW w:w="6945" w:type="dxa"/>
            <w:vAlign w:val="center"/>
          </w:tcPr>
          <w:p>
            <w:pPr>
              <w:spacing w:line="400" w:lineRule="exact"/>
              <w:ind w:firstLine="480"/>
              <w:rPr>
                <w:rFonts w:ascii="宋体" w:cs="宋体"/>
                <w:szCs w:val="21"/>
                <w:lang w:val="zh-CN"/>
              </w:rPr>
            </w:pPr>
            <w:r>
              <w:rPr>
                <w:rFonts w:hint="eastAsia" w:ascii="宋体" w:cs="宋体"/>
                <w:szCs w:val="21"/>
                <w:lang w:val="zh-CN"/>
              </w:rPr>
              <w:t>提供江苏省无线电管理一体化基础平台数据、江苏省无线电超短波监测资一体化平台数据、省站及</w:t>
            </w:r>
            <w:r>
              <w:rPr>
                <w:rFonts w:cs="Calibri"/>
                <w:szCs w:val="21"/>
              </w:rPr>
              <w:t>13</w:t>
            </w:r>
            <w:r>
              <w:rPr>
                <w:rFonts w:hint="eastAsia" w:ascii="宋体" w:cs="宋体"/>
                <w:szCs w:val="21"/>
                <w:lang w:val="zh-CN"/>
              </w:rPr>
              <w:t>个地市站无线电监测数据、无线电频率台站系统数据、无线电行政执法系统数据、江苏省无线电监测站协同办公系统数据、省站信息网络机房视频监控数据等日常管理备份工作，保证系统正常使用。</w:t>
            </w:r>
          </w:p>
          <w:p>
            <w:pPr>
              <w:spacing w:line="400" w:lineRule="exact"/>
              <w:ind w:firstLine="480"/>
              <w:rPr>
                <w:rFonts w:ascii="宋体" w:cs="宋体"/>
                <w:szCs w:val="21"/>
                <w:lang w:val="zh-CN"/>
              </w:rPr>
            </w:pPr>
            <w:r>
              <w:rPr>
                <w:rFonts w:hint="eastAsia" w:ascii="宋体" w:cs="宋体"/>
                <w:szCs w:val="21"/>
                <w:lang w:val="zh-CN"/>
              </w:rPr>
              <w:t>要求每月对上述数据至少进行一次全量数据介质备份工作。并对备份的数据进行统计分析，出具分析月报。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400" w:lineRule="exact"/>
              <w:jc w:val="center"/>
              <w:rPr>
                <w:szCs w:val="21"/>
              </w:rPr>
            </w:pPr>
            <w:r>
              <w:rPr>
                <w:rFonts w:hint="eastAsia"/>
                <w:szCs w:val="21"/>
              </w:rPr>
              <w:t>3</w:t>
            </w:r>
          </w:p>
        </w:tc>
        <w:tc>
          <w:tcPr>
            <w:tcW w:w="1181" w:type="dxa"/>
            <w:vAlign w:val="center"/>
          </w:tcPr>
          <w:p>
            <w:pPr>
              <w:spacing w:line="400" w:lineRule="exact"/>
              <w:rPr>
                <w:rFonts w:cs="Calibri"/>
                <w:szCs w:val="21"/>
              </w:rPr>
            </w:pPr>
            <w:r>
              <w:rPr>
                <w:rFonts w:hint="eastAsia" w:cs="Calibri"/>
                <w:szCs w:val="21"/>
              </w:rPr>
              <w:t>备份介质</w:t>
            </w:r>
          </w:p>
        </w:tc>
        <w:tc>
          <w:tcPr>
            <w:tcW w:w="6945" w:type="dxa"/>
            <w:vAlign w:val="center"/>
          </w:tcPr>
          <w:p>
            <w:pPr>
              <w:spacing w:line="400" w:lineRule="exact"/>
              <w:ind w:firstLine="480"/>
              <w:rPr>
                <w:rFonts w:cs="Calibri"/>
                <w:szCs w:val="21"/>
              </w:rPr>
            </w:pPr>
            <w:r>
              <w:rPr>
                <w:rFonts w:hint="eastAsia" w:ascii="宋体" w:cs="宋体"/>
                <w:szCs w:val="21"/>
                <w:lang w:val="zh-CN"/>
              </w:rPr>
              <w:t>投标人提供数据备份所需工具及存储空间。要求采用硬盘介质备份方式，硬盘存储总空间不低于</w:t>
            </w:r>
            <w:r>
              <w:rPr>
                <w:rFonts w:cs="Calibri"/>
                <w:szCs w:val="21"/>
              </w:rPr>
              <w:t>290T</w:t>
            </w:r>
            <w:r>
              <w:rPr>
                <w:rFonts w:hint="eastAsia" w:ascii="宋体" w:cs="宋体"/>
                <w:szCs w:val="21"/>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400" w:lineRule="exact"/>
              <w:jc w:val="center"/>
              <w:rPr>
                <w:szCs w:val="21"/>
              </w:rPr>
            </w:pPr>
            <w:r>
              <w:rPr>
                <w:rFonts w:hint="eastAsia"/>
                <w:szCs w:val="21"/>
              </w:rPr>
              <w:t>4</w:t>
            </w:r>
          </w:p>
        </w:tc>
        <w:tc>
          <w:tcPr>
            <w:tcW w:w="1181" w:type="dxa"/>
            <w:vAlign w:val="center"/>
          </w:tcPr>
          <w:p>
            <w:pPr>
              <w:spacing w:line="400" w:lineRule="exact"/>
              <w:rPr>
                <w:rFonts w:cs="Calibri"/>
                <w:szCs w:val="21"/>
              </w:rPr>
            </w:pPr>
            <w:r>
              <w:rPr>
                <w:rFonts w:hint="eastAsia" w:cs="Calibri"/>
                <w:szCs w:val="21"/>
              </w:rPr>
              <w:t>数据恢复</w:t>
            </w:r>
          </w:p>
        </w:tc>
        <w:tc>
          <w:tcPr>
            <w:tcW w:w="6945" w:type="dxa"/>
            <w:vAlign w:val="center"/>
          </w:tcPr>
          <w:p>
            <w:pPr>
              <w:spacing w:line="400" w:lineRule="exact"/>
              <w:ind w:firstLine="480"/>
              <w:rPr>
                <w:rFonts w:ascii="宋体" w:cs="宋体"/>
                <w:szCs w:val="21"/>
                <w:lang w:val="zh-CN"/>
              </w:rPr>
            </w:pPr>
            <w:r>
              <w:rPr>
                <w:rFonts w:hint="eastAsia" w:ascii="宋体" w:cs="宋体"/>
                <w:szCs w:val="21"/>
                <w:lang w:val="zh-CN"/>
              </w:rPr>
              <w:t>根据采购人需求提供一体化平台各应用子系统备份数据恢复服务，投标人需提供数据恢复所需软硬件。同时，在软件系统发生数据丢失或损毁时，拥有完备的容灾备份手段，并每年至少配合采购方开展1次针对数据库崩溃的数据恢复应急演练。要求提供承诺函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400" w:lineRule="exact"/>
              <w:jc w:val="center"/>
              <w:rPr>
                <w:szCs w:val="21"/>
              </w:rPr>
            </w:pPr>
            <w:r>
              <w:rPr>
                <w:rFonts w:hint="eastAsia"/>
                <w:szCs w:val="21"/>
              </w:rPr>
              <w:t>5</w:t>
            </w:r>
          </w:p>
        </w:tc>
        <w:tc>
          <w:tcPr>
            <w:tcW w:w="1181" w:type="dxa"/>
            <w:vAlign w:val="center"/>
          </w:tcPr>
          <w:p>
            <w:pPr>
              <w:spacing w:line="400" w:lineRule="exact"/>
              <w:rPr>
                <w:rFonts w:cs="Calibri"/>
                <w:szCs w:val="21"/>
              </w:rPr>
            </w:pPr>
            <w:r>
              <w:rPr>
                <w:rFonts w:hint="eastAsia" w:cs="Calibri"/>
                <w:szCs w:val="21"/>
              </w:rPr>
              <w:t>技术支持</w:t>
            </w:r>
          </w:p>
        </w:tc>
        <w:tc>
          <w:tcPr>
            <w:tcW w:w="6945" w:type="dxa"/>
            <w:vAlign w:val="center"/>
          </w:tcPr>
          <w:p>
            <w:pPr>
              <w:spacing w:line="400" w:lineRule="exact"/>
              <w:ind w:firstLine="480"/>
              <w:rPr>
                <w:rFonts w:ascii="宋体" w:cs="宋体"/>
                <w:szCs w:val="21"/>
                <w:lang w:val="zh-CN"/>
              </w:rPr>
            </w:pPr>
            <w:r>
              <w:rPr>
                <w:rFonts w:hint="eastAsia" w:ascii="宋体" w:cs="宋体"/>
                <w:szCs w:val="21"/>
                <w:lang w:val="zh-CN"/>
              </w:rPr>
              <w:t>根据用户工作需要，能够配合提供行业内数据库相关技术支持和软硬件技术服务。</w:t>
            </w:r>
          </w:p>
        </w:tc>
      </w:tr>
    </w:tbl>
    <w:p>
      <w:pPr>
        <w:spacing w:line="560" w:lineRule="atLeast"/>
        <w:ind w:firstLine="48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400" w:lineRule="atLeast"/>
              <w:jc w:val="center"/>
              <w:rPr>
                <w:szCs w:val="21"/>
                <w:lang w:val="zh-CN"/>
              </w:rPr>
            </w:pPr>
            <w:r>
              <w:rPr>
                <w:szCs w:val="21"/>
                <w:lang w:val="zh-CN"/>
              </w:rPr>
              <w:t>序号</w:t>
            </w:r>
          </w:p>
        </w:tc>
        <w:tc>
          <w:tcPr>
            <w:tcW w:w="4252" w:type="dxa"/>
            <w:vAlign w:val="center"/>
          </w:tcPr>
          <w:p>
            <w:pPr>
              <w:spacing w:line="400" w:lineRule="atLeast"/>
              <w:jc w:val="center"/>
              <w:rPr>
                <w:szCs w:val="21"/>
                <w:lang w:val="zh-CN"/>
              </w:rPr>
            </w:pPr>
            <w:r>
              <w:rPr>
                <w:szCs w:val="21"/>
                <w:lang w:val="zh-CN"/>
              </w:rPr>
              <w:t>运维内容</w:t>
            </w:r>
          </w:p>
        </w:tc>
        <w:tc>
          <w:tcPr>
            <w:tcW w:w="2225" w:type="dxa"/>
            <w:vAlign w:val="center"/>
          </w:tcPr>
          <w:p>
            <w:pPr>
              <w:spacing w:line="400" w:lineRule="atLeast"/>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szCs w:val="21"/>
                <w:lang w:val="zh-CN"/>
              </w:rPr>
            </w:pPr>
            <w:r>
              <w:rPr>
                <w:szCs w:val="21"/>
                <w:lang w:val="zh-CN"/>
              </w:rPr>
              <w:t>1</w:t>
            </w:r>
          </w:p>
        </w:tc>
        <w:tc>
          <w:tcPr>
            <w:tcW w:w="4252" w:type="dxa"/>
            <w:vAlign w:val="center"/>
          </w:tcPr>
          <w:p>
            <w:pPr>
              <w:jc w:val="center"/>
              <w:rPr>
                <w:szCs w:val="21"/>
                <w:lang w:val="zh-CN"/>
              </w:rPr>
            </w:pPr>
            <w:r>
              <w:rPr>
                <w:rFonts w:hint="eastAsia" w:ascii="宋体" w:cs="宋体"/>
                <w:szCs w:val="21"/>
                <w:lang w:val="zh-CN"/>
              </w:rPr>
              <w:t>检查省站和各地市站数据库及相关软件的运行情况</w:t>
            </w:r>
          </w:p>
        </w:tc>
        <w:tc>
          <w:tcPr>
            <w:tcW w:w="2225" w:type="dxa"/>
            <w:vAlign w:val="center"/>
          </w:tcPr>
          <w:p>
            <w:pPr>
              <w:jc w:val="center"/>
              <w:rPr>
                <w:szCs w:val="21"/>
                <w:lang w:val="zh-CN"/>
              </w:rPr>
            </w:pPr>
            <w:r>
              <w:rPr>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szCs w:val="21"/>
                <w:lang w:val="zh-CN"/>
              </w:rPr>
            </w:pPr>
            <w:r>
              <w:rPr>
                <w:szCs w:val="21"/>
                <w:lang w:val="zh-CN"/>
              </w:rPr>
              <w:t>2</w:t>
            </w:r>
          </w:p>
        </w:tc>
        <w:tc>
          <w:tcPr>
            <w:tcW w:w="4252" w:type="dxa"/>
            <w:vAlign w:val="center"/>
          </w:tcPr>
          <w:p>
            <w:pPr>
              <w:jc w:val="center"/>
              <w:rPr>
                <w:szCs w:val="21"/>
                <w:lang w:val="zh-CN"/>
              </w:rPr>
            </w:pPr>
            <w:r>
              <w:rPr>
                <w:rFonts w:hint="eastAsia"/>
                <w:szCs w:val="21"/>
                <w:lang w:val="zh-CN"/>
              </w:rPr>
              <w:t>各类数据开展介质备份</w:t>
            </w:r>
          </w:p>
        </w:tc>
        <w:tc>
          <w:tcPr>
            <w:tcW w:w="2225" w:type="dxa"/>
            <w:vAlign w:val="center"/>
          </w:tcPr>
          <w:p>
            <w:pPr>
              <w:jc w:val="center"/>
              <w:rPr>
                <w:szCs w:val="21"/>
                <w:lang w:val="zh-CN"/>
              </w:rPr>
            </w:pPr>
            <w:r>
              <w:rPr>
                <w:rFonts w:hint="eastAsia"/>
                <w:szCs w:val="21"/>
                <w:lang w:val="zh-CN"/>
              </w:rPr>
              <w:t>每月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jc w:val="center"/>
              <w:rPr>
                <w:szCs w:val="21"/>
                <w:lang w:val="zh-CN"/>
              </w:rPr>
            </w:pPr>
            <w:r>
              <w:rPr>
                <w:szCs w:val="21"/>
                <w:lang w:val="zh-CN"/>
              </w:rPr>
              <w:t>3</w:t>
            </w:r>
          </w:p>
        </w:tc>
        <w:tc>
          <w:tcPr>
            <w:tcW w:w="4252" w:type="dxa"/>
            <w:vAlign w:val="center"/>
          </w:tcPr>
          <w:p>
            <w:pPr>
              <w:jc w:val="center"/>
              <w:rPr>
                <w:szCs w:val="21"/>
                <w:lang w:val="zh-CN"/>
              </w:rPr>
            </w:pPr>
            <w:r>
              <w:rPr>
                <w:rFonts w:hint="eastAsia"/>
                <w:szCs w:val="21"/>
                <w:lang w:val="zh-CN"/>
              </w:rPr>
              <w:t>统计分析数据情况并出月报</w:t>
            </w:r>
          </w:p>
        </w:tc>
        <w:tc>
          <w:tcPr>
            <w:tcW w:w="2225" w:type="dxa"/>
            <w:vAlign w:val="center"/>
          </w:tcPr>
          <w:p>
            <w:pPr>
              <w:jc w:val="center"/>
              <w:rPr>
                <w:szCs w:val="21"/>
                <w:lang w:val="zh-CN"/>
              </w:rPr>
            </w:pPr>
            <w:r>
              <w:rPr>
                <w:szCs w:val="21"/>
                <w:lang w:val="zh-CN"/>
              </w:rPr>
              <w:t>每月</w:t>
            </w:r>
          </w:p>
        </w:tc>
      </w:tr>
    </w:tbl>
    <w:p>
      <w:pPr>
        <w:spacing w:line="520" w:lineRule="exac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6、江苏省无线电管理专网网络设备运维</w:t>
      </w:r>
    </w:p>
    <w:p>
      <w:pPr>
        <w:spacing w:line="520" w:lineRule="exact"/>
        <w:ind w:firstLine="480"/>
        <w:rPr>
          <w:rFonts w:ascii="宋体" w:cs="宋体"/>
          <w:sz w:val="24"/>
          <w:szCs w:val="24"/>
          <w:lang w:val="zh-CN"/>
        </w:rPr>
      </w:pPr>
      <w:r>
        <w:rPr>
          <w:rFonts w:hint="eastAsia" w:ascii="宋体" w:cs="宋体"/>
          <w:sz w:val="24"/>
          <w:szCs w:val="24"/>
          <w:lang w:val="zh-CN"/>
        </w:rPr>
        <w:t>江苏省无线电管理专网网络设备：主要包括部分路由及交换设备等（基本情况，详见列表）。投标人应提供江苏省无线电管理专网网络设备运维方案，至少应包含网络设备运维内容响应、运维频次响应等内容。</w:t>
      </w:r>
    </w:p>
    <w:p>
      <w:pPr>
        <w:spacing w:line="520" w:lineRule="exact"/>
        <w:ind w:firstLine="480"/>
        <w:rPr>
          <w:rFonts w:ascii="宋体" w:cs="宋体"/>
          <w:sz w:val="24"/>
          <w:szCs w:val="24"/>
          <w:lang w:val="zh-CN"/>
        </w:rPr>
      </w:pPr>
      <w:r>
        <w:rPr>
          <w:rFonts w:hint="eastAsia" w:ascii="宋体" w:cs="宋体"/>
          <w:sz w:val="24"/>
          <w:szCs w:val="24"/>
          <w:lang w:val="zh-CN"/>
        </w:rPr>
        <w:t>需维保设备清单如下：</w:t>
      </w:r>
    </w:p>
    <w:tbl>
      <w:tblPr>
        <w:tblStyle w:val="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858"/>
        <w:gridCol w:w="4378"/>
        <w:gridCol w:w="1559"/>
        <w:gridCol w:w="18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55"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序号</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维保设备名称</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数量</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设备所在地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1</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省站交换设备（华为</w:t>
            </w:r>
            <w:r>
              <w:rPr>
                <w:rFonts w:cs="Calibri"/>
                <w:szCs w:val="21"/>
              </w:rPr>
              <w:t>S6720</w:t>
            </w:r>
            <w:r>
              <w:rPr>
                <w:rFonts w:hint="eastAsia" w:cs="Calibri"/>
                <w:szCs w:val="21"/>
              </w:rPr>
              <w:t>）</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cs="Calibri"/>
                <w:szCs w:val="21"/>
              </w:rPr>
              <w:t>2</w:t>
            </w:r>
            <w:r>
              <w:rPr>
                <w:rFonts w:hint="eastAsia" w:cs="Calibri"/>
                <w:szCs w:val="21"/>
              </w:rPr>
              <w:t>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2</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省站交换设备（华为</w:t>
            </w:r>
            <w:r>
              <w:rPr>
                <w:rFonts w:cs="Calibri"/>
                <w:szCs w:val="21"/>
              </w:rPr>
              <w:t>S5700</w:t>
            </w:r>
            <w:r>
              <w:rPr>
                <w:rFonts w:hint="eastAsia" w:cs="Calibri"/>
                <w:szCs w:val="21"/>
              </w:rPr>
              <w:t>）</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2台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3</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地市交换设备（华为</w:t>
            </w:r>
            <w:r>
              <w:rPr>
                <w:rFonts w:cs="Calibri"/>
                <w:szCs w:val="21"/>
              </w:rPr>
              <w:t>S5735</w:t>
            </w:r>
            <w:r>
              <w:rPr>
                <w:rFonts w:hint="eastAsia" w:cs="Calibri"/>
                <w:szCs w:val="21"/>
              </w:rPr>
              <w:t>）</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cs="Calibri"/>
                <w:szCs w:val="21"/>
              </w:rPr>
              <w:t>13</w:t>
            </w:r>
            <w:r>
              <w:rPr>
                <w:rFonts w:hint="eastAsia" w:cs="Calibri"/>
                <w:szCs w:val="21"/>
              </w:rPr>
              <w:t>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江苏省内</w:t>
            </w:r>
            <w:r>
              <w:rPr>
                <w:rFonts w:cs="Calibri"/>
                <w:szCs w:val="21"/>
              </w:rPr>
              <w:t>13</w:t>
            </w:r>
            <w:r>
              <w:rPr>
                <w:rFonts w:hint="eastAsia" w:cs="Calibri"/>
                <w:szCs w:val="21"/>
              </w:rPr>
              <w:t>个地市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9"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4</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省站路由器（华三</w:t>
            </w:r>
            <w:r>
              <w:rPr>
                <w:rFonts w:cs="Calibri"/>
                <w:szCs w:val="21"/>
              </w:rPr>
              <w:t xml:space="preserve"> ER8300G2</w:t>
            </w:r>
            <w:r>
              <w:rPr>
                <w:rFonts w:hint="eastAsia" w:cs="Calibri"/>
                <w:szCs w:val="21"/>
              </w:rPr>
              <w:t>）</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cs="Calibri"/>
                <w:szCs w:val="21"/>
              </w:rPr>
              <w:t>1</w:t>
            </w:r>
            <w:r>
              <w:rPr>
                <w:rFonts w:hint="eastAsia" w:cs="Calibri"/>
                <w:szCs w:val="21"/>
              </w:rPr>
              <w:t>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9"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5</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一体化平台交换机（华三S</w:t>
            </w:r>
            <w:r>
              <w:rPr>
                <w:rFonts w:cs="Calibri"/>
                <w:szCs w:val="21"/>
              </w:rPr>
              <w:t>6520</w:t>
            </w:r>
            <w:r>
              <w:rPr>
                <w:rFonts w:hint="eastAsia" w:cs="Calibri"/>
                <w:szCs w:val="21"/>
              </w:rPr>
              <w:t>）</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cs="Calibri"/>
                <w:szCs w:val="21"/>
              </w:rPr>
              <w:t>2</w:t>
            </w:r>
            <w:r>
              <w:rPr>
                <w:rFonts w:hint="eastAsia" w:cs="Calibri"/>
                <w:szCs w:val="21"/>
              </w:rPr>
              <w:t>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9" w:hRule="atLeast"/>
          <w:jc w:val="center"/>
        </w:trPr>
        <w:tc>
          <w:tcPr>
            <w:tcW w:w="858"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6</w:t>
            </w:r>
          </w:p>
        </w:tc>
        <w:tc>
          <w:tcPr>
            <w:tcW w:w="4378"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千兆二层交换机</w:t>
            </w:r>
          </w:p>
        </w:tc>
        <w:tc>
          <w:tcPr>
            <w:tcW w:w="1559" w:type="dxa"/>
            <w:tcBorders>
              <w:top w:val="single" w:color="000000" w:sz="2" w:space="0"/>
              <w:left w:val="single" w:color="000000" w:sz="2" w:space="0"/>
              <w:bottom w:val="single" w:color="000000" w:sz="2" w:space="0"/>
              <w:right w:val="single" w:color="000000" w:sz="2" w:space="0"/>
            </w:tcBorders>
            <w:vAlign w:val="center"/>
          </w:tcPr>
          <w:p>
            <w:pPr>
              <w:jc w:val="center"/>
              <w:rPr>
                <w:rFonts w:cs="Calibri"/>
                <w:szCs w:val="21"/>
              </w:rPr>
            </w:pPr>
            <w:r>
              <w:rPr>
                <w:rFonts w:hint="eastAsia" w:cs="Calibri"/>
                <w:szCs w:val="21"/>
              </w:rPr>
              <w:t>6台</w:t>
            </w:r>
          </w:p>
        </w:tc>
        <w:tc>
          <w:tcPr>
            <w:tcW w:w="1833" w:type="dxa"/>
            <w:tcBorders>
              <w:top w:val="single" w:color="000000" w:sz="2" w:space="0"/>
              <w:left w:val="single" w:color="000000" w:sz="2" w:space="0"/>
              <w:bottom w:val="single" w:color="000000" w:sz="2" w:space="0"/>
              <w:right w:val="single" w:color="000000" w:sz="2" w:space="0"/>
            </w:tcBorders>
          </w:tcPr>
          <w:p>
            <w:pPr>
              <w:jc w:val="center"/>
              <w:rPr>
                <w:rFonts w:cs="Calibri"/>
                <w:szCs w:val="21"/>
              </w:rPr>
            </w:pPr>
            <w:r>
              <w:rPr>
                <w:rFonts w:hint="eastAsia" w:cs="Calibri"/>
                <w:szCs w:val="21"/>
              </w:rPr>
              <w:t>南京</w:t>
            </w:r>
          </w:p>
        </w:tc>
      </w:tr>
    </w:tbl>
    <w:p>
      <w:pPr>
        <w:spacing w:line="560" w:lineRule="atLeast"/>
        <w:ind w:firstLine="482"/>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81" w:type="dxa"/>
            <w:vAlign w:val="center"/>
          </w:tcPr>
          <w:p>
            <w:pPr>
              <w:spacing w:line="312" w:lineRule="auto"/>
              <w:jc w:val="center"/>
              <w:rPr>
                <w:rFonts w:cs="Calibri"/>
                <w:szCs w:val="21"/>
              </w:rPr>
            </w:pPr>
            <w:r>
              <w:rPr>
                <w:rFonts w:hint="eastAsia" w:cs="Calibri"/>
                <w:szCs w:val="21"/>
              </w:rPr>
              <w:t>运维内容</w:t>
            </w:r>
          </w:p>
        </w:tc>
        <w:tc>
          <w:tcPr>
            <w:tcW w:w="6945"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1" w:hRule="atLeast"/>
          <w:jc w:val="center"/>
        </w:trPr>
        <w:tc>
          <w:tcPr>
            <w:tcW w:w="457" w:type="dxa"/>
            <w:vAlign w:val="center"/>
          </w:tcPr>
          <w:p>
            <w:pPr>
              <w:spacing w:line="312" w:lineRule="auto"/>
              <w:jc w:val="center"/>
              <w:rPr>
                <w:szCs w:val="21"/>
              </w:rPr>
            </w:pPr>
            <w:r>
              <w:rPr>
                <w:rFonts w:hint="eastAsia"/>
                <w:szCs w:val="21"/>
              </w:rPr>
              <w:t>1</w:t>
            </w:r>
          </w:p>
        </w:tc>
        <w:tc>
          <w:tcPr>
            <w:tcW w:w="1181" w:type="dxa"/>
            <w:vAlign w:val="center"/>
          </w:tcPr>
          <w:p>
            <w:pPr>
              <w:spacing w:line="312" w:lineRule="auto"/>
              <w:rPr>
                <w:rFonts w:cs="Calibri"/>
                <w:szCs w:val="21"/>
              </w:rPr>
            </w:pPr>
            <w:r>
              <w:rPr>
                <w:rFonts w:hint="eastAsia" w:cs="Calibri"/>
                <w:szCs w:val="21"/>
              </w:rPr>
              <w:t>日常运维</w:t>
            </w:r>
          </w:p>
        </w:tc>
        <w:tc>
          <w:tcPr>
            <w:tcW w:w="6945" w:type="dxa"/>
            <w:vAlign w:val="center"/>
          </w:tcPr>
          <w:p>
            <w:pPr>
              <w:spacing w:line="312" w:lineRule="auto"/>
              <w:ind w:firstLine="480"/>
              <w:rPr>
                <w:rFonts w:cs="Calibri"/>
                <w:b/>
                <w:bCs/>
                <w:szCs w:val="21"/>
              </w:rPr>
            </w:pPr>
            <w:r>
              <w:rPr>
                <w:rFonts w:hint="eastAsia" w:ascii="宋体" w:cs="宋体"/>
                <w:szCs w:val="21"/>
                <w:lang w:val="zh-CN"/>
              </w:rPr>
              <w:t>提供全部设备日常运维、故障处理（设备整机或配件，在无法修复时免费更换）、配套软件升级、技术改造、备品备件等服务。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2</w:t>
            </w:r>
          </w:p>
        </w:tc>
        <w:tc>
          <w:tcPr>
            <w:tcW w:w="1181" w:type="dxa"/>
            <w:vAlign w:val="center"/>
          </w:tcPr>
          <w:p>
            <w:pPr>
              <w:spacing w:line="312" w:lineRule="auto"/>
              <w:rPr>
                <w:rFonts w:ascii="宋体" w:cs="宋体"/>
                <w:szCs w:val="21"/>
                <w:lang w:val="zh-CN"/>
              </w:rPr>
            </w:pPr>
            <w:r>
              <w:rPr>
                <w:rFonts w:hint="eastAsia" w:ascii="宋体" w:cs="宋体"/>
                <w:szCs w:val="21"/>
                <w:lang w:val="zh-CN"/>
              </w:rPr>
              <w:t>设备状态检查</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定期检查省站、地市站所有在用相关网络设备的软硬件运行情况。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3</w:t>
            </w:r>
          </w:p>
        </w:tc>
        <w:tc>
          <w:tcPr>
            <w:tcW w:w="1181" w:type="dxa"/>
            <w:vAlign w:val="center"/>
          </w:tcPr>
          <w:p>
            <w:pPr>
              <w:spacing w:line="312" w:lineRule="auto"/>
              <w:rPr>
                <w:rFonts w:ascii="宋体" w:cs="宋体"/>
                <w:szCs w:val="21"/>
                <w:lang w:val="zh-CN"/>
              </w:rPr>
            </w:pPr>
            <w:r>
              <w:rPr>
                <w:rFonts w:hint="eastAsia" w:ascii="宋体" w:cs="宋体"/>
                <w:szCs w:val="21"/>
                <w:lang w:val="zh-CN"/>
              </w:rPr>
              <w:t>策略备份</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按照要求备份省站、地市站在用路由器、交换机等网络设备的配置策略。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4</w:t>
            </w:r>
          </w:p>
        </w:tc>
        <w:tc>
          <w:tcPr>
            <w:tcW w:w="1181" w:type="dxa"/>
            <w:vAlign w:val="center"/>
          </w:tcPr>
          <w:p>
            <w:pPr>
              <w:spacing w:line="312" w:lineRule="auto"/>
              <w:rPr>
                <w:rFonts w:ascii="宋体" w:cs="宋体"/>
                <w:szCs w:val="21"/>
                <w:lang w:val="zh-CN"/>
              </w:rPr>
            </w:pPr>
            <w:r>
              <w:rPr>
                <w:rFonts w:hint="eastAsia" w:ascii="宋体" w:cs="宋体"/>
                <w:szCs w:val="21"/>
                <w:lang w:val="zh-CN"/>
              </w:rPr>
              <w:t>IP地址管理及分配</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负责江苏省无线电管理专网IP地址管理、分配及回收工作，梳理完善江苏省无线电管理专网IP地址分配表，并根据变动情况实时更新。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5</w:t>
            </w:r>
          </w:p>
        </w:tc>
        <w:tc>
          <w:tcPr>
            <w:tcW w:w="1181" w:type="dxa"/>
            <w:vAlign w:val="center"/>
          </w:tcPr>
          <w:p>
            <w:pPr>
              <w:spacing w:line="312" w:lineRule="auto"/>
              <w:rPr>
                <w:rFonts w:ascii="宋体" w:cs="宋体"/>
                <w:szCs w:val="21"/>
                <w:lang w:val="zh-CN"/>
              </w:rPr>
            </w:pPr>
            <w:r>
              <w:rPr>
                <w:rFonts w:hint="eastAsia" w:ascii="宋体" w:cs="宋体"/>
                <w:szCs w:val="21"/>
                <w:lang w:val="zh-CN"/>
              </w:rPr>
              <w:t>网络优化</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结合用户网络及业务使用实际情况，按照用户要求，对江苏省无线电管理专网进行架构或策略优化，</w:t>
            </w:r>
            <w:r>
              <w:rPr>
                <w:rFonts w:ascii="宋体" w:cs="宋体"/>
                <w:szCs w:val="21"/>
                <w:lang w:val="zh-CN"/>
              </w:rPr>
              <w:t>提高网络可用性</w:t>
            </w:r>
            <w:r>
              <w:rPr>
                <w:rFonts w:hint="eastAsia" w:ascii="宋体" w:cs="宋体"/>
                <w:szCs w:val="21"/>
                <w:lang w:val="zh-CN"/>
              </w:rPr>
              <w:t>及</w:t>
            </w:r>
            <w:r>
              <w:rPr>
                <w:rFonts w:ascii="宋体" w:cs="宋体"/>
                <w:szCs w:val="21"/>
                <w:lang w:val="zh-CN"/>
              </w:rPr>
              <w:t>安全性</w:t>
            </w:r>
            <w:r>
              <w:rPr>
                <w:rFonts w:hint="eastAsia" w:ascii="宋体" w:cs="宋体"/>
                <w:szCs w:val="21"/>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181" w:type="dxa"/>
            <w:vAlign w:val="center"/>
          </w:tcPr>
          <w:p>
            <w:pPr>
              <w:spacing w:line="312" w:lineRule="auto"/>
              <w:rPr>
                <w:rFonts w:cs="Calibri"/>
                <w:szCs w:val="21"/>
              </w:rPr>
            </w:pPr>
            <w:r>
              <w:rPr>
                <w:rFonts w:hint="eastAsia" w:ascii="宋体" w:cs="宋体"/>
                <w:szCs w:val="21"/>
                <w:lang w:val="zh-CN"/>
              </w:rPr>
              <w:t>故障处理</w:t>
            </w:r>
          </w:p>
        </w:tc>
        <w:tc>
          <w:tcPr>
            <w:tcW w:w="6945" w:type="dxa"/>
            <w:vAlign w:val="center"/>
          </w:tcPr>
          <w:p>
            <w:pPr>
              <w:spacing w:line="312" w:lineRule="auto"/>
              <w:ind w:firstLine="480"/>
              <w:rPr>
                <w:rFonts w:ascii="宋体" w:cs="宋体"/>
                <w:szCs w:val="21"/>
                <w:lang w:val="zh-CN"/>
              </w:rPr>
            </w:pPr>
            <w:r>
              <w:rPr>
                <w:rFonts w:hint="eastAsia"/>
                <w:szCs w:val="21"/>
                <w:lang w:val="zh-CN"/>
              </w:rPr>
              <w:t>在用户要求时限内，</w:t>
            </w:r>
            <w:r>
              <w:rPr>
                <w:szCs w:val="21"/>
                <w:lang w:val="zh-CN"/>
              </w:rPr>
              <w:t>解决</w:t>
            </w:r>
            <w:r>
              <w:rPr>
                <w:rFonts w:hint="eastAsia"/>
                <w:szCs w:val="21"/>
                <w:lang w:val="zh-CN"/>
              </w:rPr>
              <w:t>江苏</w:t>
            </w:r>
            <w:r>
              <w:rPr>
                <w:szCs w:val="21"/>
                <w:lang w:val="zh-CN"/>
              </w:rPr>
              <w:t>全省范围内相关</w:t>
            </w:r>
            <w:r>
              <w:rPr>
                <w:rFonts w:hint="eastAsia"/>
                <w:szCs w:val="21"/>
                <w:lang w:val="zh-CN"/>
              </w:rPr>
              <w:t>网络设备</w:t>
            </w:r>
            <w:r>
              <w:rPr>
                <w:szCs w:val="21"/>
                <w:lang w:val="zh-CN"/>
              </w:rPr>
              <w:t>各类故障</w:t>
            </w:r>
            <w:r>
              <w:rPr>
                <w:rFonts w:hint="eastAsia"/>
                <w:szCs w:val="21"/>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7</w:t>
            </w:r>
          </w:p>
        </w:tc>
        <w:tc>
          <w:tcPr>
            <w:tcW w:w="1181" w:type="dxa"/>
            <w:vAlign w:val="center"/>
          </w:tcPr>
          <w:p>
            <w:pPr>
              <w:spacing w:line="312" w:lineRule="auto"/>
              <w:rPr>
                <w:rFonts w:cs="Calibri"/>
                <w:szCs w:val="21"/>
              </w:rPr>
            </w:pPr>
            <w:r>
              <w:rPr>
                <w:rFonts w:hint="eastAsia" w:cs="Calibri"/>
                <w:szCs w:val="21"/>
              </w:rPr>
              <w:t>技术支持</w:t>
            </w:r>
          </w:p>
        </w:tc>
        <w:tc>
          <w:tcPr>
            <w:tcW w:w="6945" w:type="dxa"/>
            <w:vAlign w:val="center"/>
          </w:tcPr>
          <w:p>
            <w:pPr>
              <w:spacing w:line="312" w:lineRule="auto"/>
              <w:ind w:firstLine="480"/>
              <w:rPr>
                <w:rFonts w:cs="Calibri"/>
                <w:szCs w:val="21"/>
              </w:rPr>
            </w:pPr>
            <w:r>
              <w:rPr>
                <w:rFonts w:hint="eastAsia" w:ascii="宋体" w:cs="宋体"/>
                <w:szCs w:val="21"/>
                <w:lang w:val="zh-CN"/>
              </w:rPr>
              <w:t>根据用户工作需要，能够配合提供行业内网络相关技术支持和硬件技术服务。</w:t>
            </w:r>
          </w:p>
        </w:tc>
      </w:tr>
    </w:tbl>
    <w:p>
      <w:pPr>
        <w:spacing w:line="560" w:lineRule="atLeast"/>
        <w:ind w:firstLine="48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vAlign w:val="center"/>
          </w:tcPr>
          <w:p>
            <w:pPr>
              <w:spacing w:line="312" w:lineRule="auto"/>
              <w:jc w:val="center"/>
              <w:rPr>
                <w:szCs w:val="21"/>
                <w:lang w:val="zh-CN"/>
              </w:rPr>
            </w:pPr>
            <w:r>
              <w:rPr>
                <w:szCs w:val="21"/>
                <w:lang w:val="zh-CN"/>
              </w:rPr>
              <w:t>序号</w:t>
            </w:r>
          </w:p>
        </w:tc>
        <w:tc>
          <w:tcPr>
            <w:tcW w:w="4252" w:type="dxa"/>
            <w:vAlign w:val="center"/>
          </w:tcPr>
          <w:p>
            <w:pPr>
              <w:spacing w:line="312" w:lineRule="auto"/>
              <w:jc w:val="center"/>
              <w:rPr>
                <w:szCs w:val="21"/>
                <w:lang w:val="zh-CN"/>
              </w:rPr>
            </w:pPr>
            <w:r>
              <w:rPr>
                <w:szCs w:val="21"/>
                <w:lang w:val="zh-CN"/>
              </w:rPr>
              <w:t>运维内容</w:t>
            </w:r>
          </w:p>
        </w:tc>
        <w:tc>
          <w:tcPr>
            <w:tcW w:w="2225" w:type="dxa"/>
            <w:vAlign w:val="center"/>
          </w:tcPr>
          <w:p>
            <w:pPr>
              <w:spacing w:line="312" w:lineRule="auto"/>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vAlign w:val="center"/>
          </w:tcPr>
          <w:p>
            <w:pPr>
              <w:spacing w:line="312" w:lineRule="auto"/>
              <w:jc w:val="center"/>
              <w:rPr>
                <w:szCs w:val="21"/>
                <w:lang w:val="zh-CN"/>
              </w:rPr>
            </w:pPr>
            <w:r>
              <w:rPr>
                <w:szCs w:val="21"/>
                <w:lang w:val="zh-CN"/>
              </w:rPr>
              <w:t>1</w:t>
            </w:r>
          </w:p>
        </w:tc>
        <w:tc>
          <w:tcPr>
            <w:tcW w:w="4252" w:type="dxa"/>
            <w:vAlign w:val="center"/>
          </w:tcPr>
          <w:p>
            <w:pPr>
              <w:spacing w:line="312" w:lineRule="auto"/>
              <w:jc w:val="center"/>
              <w:rPr>
                <w:szCs w:val="21"/>
                <w:lang w:val="zh-CN"/>
              </w:rPr>
            </w:pPr>
            <w:r>
              <w:rPr>
                <w:szCs w:val="21"/>
                <w:lang w:val="zh-CN"/>
              </w:rPr>
              <w:t>检查设备运行情况</w:t>
            </w:r>
          </w:p>
        </w:tc>
        <w:tc>
          <w:tcPr>
            <w:tcW w:w="2225" w:type="dxa"/>
            <w:vAlign w:val="center"/>
          </w:tcPr>
          <w:p>
            <w:pPr>
              <w:spacing w:line="312" w:lineRule="auto"/>
              <w:jc w:val="center"/>
              <w:rPr>
                <w:szCs w:val="21"/>
                <w:lang w:val="zh-CN"/>
              </w:rPr>
            </w:pPr>
            <w:r>
              <w:rPr>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vAlign w:val="center"/>
          </w:tcPr>
          <w:p>
            <w:pPr>
              <w:spacing w:line="312" w:lineRule="auto"/>
              <w:jc w:val="center"/>
              <w:rPr>
                <w:szCs w:val="21"/>
                <w:lang w:val="zh-CN"/>
              </w:rPr>
            </w:pPr>
            <w:r>
              <w:rPr>
                <w:szCs w:val="21"/>
                <w:lang w:val="zh-CN"/>
              </w:rPr>
              <w:t>2</w:t>
            </w:r>
          </w:p>
        </w:tc>
        <w:tc>
          <w:tcPr>
            <w:tcW w:w="4252" w:type="dxa"/>
            <w:vAlign w:val="center"/>
          </w:tcPr>
          <w:p>
            <w:pPr>
              <w:spacing w:line="312" w:lineRule="auto"/>
              <w:jc w:val="center"/>
              <w:rPr>
                <w:szCs w:val="21"/>
                <w:lang w:val="zh-CN"/>
              </w:rPr>
            </w:pPr>
            <w:r>
              <w:rPr>
                <w:szCs w:val="21"/>
                <w:lang w:val="zh-CN"/>
              </w:rPr>
              <w:t>备份路由器、交换机等设备的策略</w:t>
            </w:r>
          </w:p>
        </w:tc>
        <w:tc>
          <w:tcPr>
            <w:tcW w:w="2225" w:type="dxa"/>
            <w:vAlign w:val="center"/>
          </w:tcPr>
          <w:p>
            <w:pPr>
              <w:spacing w:line="312" w:lineRule="auto"/>
              <w:jc w:val="center"/>
              <w:rPr>
                <w:szCs w:val="21"/>
                <w:lang w:val="zh-CN"/>
              </w:rPr>
            </w:pPr>
            <w:r>
              <w:rPr>
                <w:szCs w:val="21"/>
                <w:lang w:val="zh-CN"/>
              </w:rPr>
              <w:t>每月全量备份一次，配置</w:t>
            </w:r>
            <w:r>
              <w:rPr>
                <w:rFonts w:hint="eastAsia"/>
                <w:szCs w:val="21"/>
                <w:lang w:val="zh-CN"/>
              </w:rPr>
              <w:t>有变动</w:t>
            </w:r>
            <w:r>
              <w:rPr>
                <w:szCs w:val="21"/>
                <w:lang w:val="zh-CN"/>
              </w:rPr>
              <w:t>时及时备份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vAlign w:val="center"/>
          </w:tcPr>
          <w:p>
            <w:pPr>
              <w:spacing w:line="312" w:lineRule="auto"/>
              <w:jc w:val="center"/>
              <w:rPr>
                <w:szCs w:val="21"/>
                <w:lang w:val="zh-CN"/>
              </w:rPr>
            </w:pPr>
            <w:r>
              <w:rPr>
                <w:szCs w:val="21"/>
                <w:lang w:val="zh-CN"/>
              </w:rPr>
              <w:t>3</w:t>
            </w:r>
          </w:p>
        </w:tc>
        <w:tc>
          <w:tcPr>
            <w:tcW w:w="4252" w:type="dxa"/>
            <w:vAlign w:val="center"/>
          </w:tcPr>
          <w:p>
            <w:pPr>
              <w:spacing w:line="312" w:lineRule="auto"/>
              <w:jc w:val="center"/>
              <w:rPr>
                <w:szCs w:val="21"/>
                <w:lang w:val="zh-CN"/>
              </w:rPr>
            </w:pPr>
            <w:r>
              <w:rPr>
                <w:rFonts w:hint="eastAsia"/>
                <w:szCs w:val="21"/>
                <w:lang w:val="zh-CN"/>
              </w:rPr>
              <w:t>网络优化</w:t>
            </w:r>
          </w:p>
        </w:tc>
        <w:tc>
          <w:tcPr>
            <w:tcW w:w="2225" w:type="dxa"/>
            <w:vAlign w:val="center"/>
          </w:tcPr>
          <w:p>
            <w:pPr>
              <w:spacing w:line="312" w:lineRule="auto"/>
              <w:jc w:val="center"/>
              <w:rPr>
                <w:szCs w:val="21"/>
                <w:lang w:val="zh-CN"/>
              </w:rPr>
            </w:pPr>
            <w:r>
              <w:rPr>
                <w:rFonts w:hint="eastAsia"/>
                <w:szCs w:val="21"/>
                <w:lang w:val="zh-CN"/>
              </w:rPr>
              <w:t>按用户要求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vAlign w:val="center"/>
          </w:tcPr>
          <w:p>
            <w:pPr>
              <w:spacing w:line="312" w:lineRule="auto"/>
              <w:jc w:val="center"/>
              <w:rPr>
                <w:szCs w:val="21"/>
                <w:lang w:val="zh-CN"/>
              </w:rPr>
            </w:pPr>
            <w:r>
              <w:rPr>
                <w:rFonts w:hint="eastAsia"/>
                <w:szCs w:val="21"/>
                <w:lang w:val="zh-CN"/>
              </w:rPr>
              <w:t>5</w:t>
            </w:r>
          </w:p>
        </w:tc>
        <w:tc>
          <w:tcPr>
            <w:tcW w:w="4252" w:type="dxa"/>
            <w:vAlign w:val="center"/>
          </w:tcPr>
          <w:p>
            <w:pPr>
              <w:spacing w:line="312" w:lineRule="auto"/>
              <w:jc w:val="center"/>
              <w:rPr>
                <w:color w:val="FF0000"/>
                <w:szCs w:val="21"/>
                <w:lang w:val="zh-CN"/>
              </w:rPr>
            </w:pPr>
            <w:r>
              <w:rPr>
                <w:color w:val="FF0000"/>
                <w:szCs w:val="21"/>
                <w:lang w:val="zh-CN"/>
              </w:rPr>
              <w:t>解决全省范围内相关</w:t>
            </w:r>
            <w:r>
              <w:rPr>
                <w:rFonts w:hint="eastAsia"/>
                <w:color w:val="FF0000"/>
                <w:szCs w:val="21"/>
                <w:lang w:val="zh-CN"/>
              </w:rPr>
              <w:t>网络设备</w:t>
            </w:r>
            <w:r>
              <w:rPr>
                <w:color w:val="FF0000"/>
                <w:szCs w:val="21"/>
                <w:lang w:val="zh-CN"/>
              </w:rPr>
              <w:t>各类故障</w:t>
            </w:r>
          </w:p>
        </w:tc>
        <w:tc>
          <w:tcPr>
            <w:tcW w:w="2225" w:type="dxa"/>
            <w:vAlign w:val="center"/>
          </w:tcPr>
          <w:p>
            <w:pPr>
              <w:spacing w:line="312" w:lineRule="auto"/>
              <w:jc w:val="center"/>
              <w:rPr>
                <w:szCs w:val="21"/>
                <w:lang w:val="zh-CN"/>
              </w:rPr>
            </w:pPr>
            <w:r>
              <w:rPr>
                <w:szCs w:val="21"/>
                <w:lang w:val="zh-CN"/>
              </w:rPr>
              <w:t>用户要求时限内</w:t>
            </w:r>
          </w:p>
        </w:tc>
      </w:tr>
    </w:tbl>
    <w:p>
      <w:pPr>
        <w:spacing w:line="520" w:lineRule="exac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7、江苏省无线电管理专网服务器系统运维</w:t>
      </w:r>
    </w:p>
    <w:p>
      <w:pPr>
        <w:spacing w:line="520" w:lineRule="exact"/>
        <w:ind w:firstLine="480"/>
        <w:rPr>
          <w:rFonts w:ascii="宋体" w:cs="宋体"/>
          <w:sz w:val="24"/>
          <w:szCs w:val="24"/>
          <w:lang w:val="zh-CN"/>
        </w:rPr>
      </w:pPr>
      <w:r>
        <w:rPr>
          <w:rFonts w:hint="eastAsia" w:ascii="宋体" w:cs="宋体"/>
          <w:sz w:val="24"/>
          <w:szCs w:val="24"/>
          <w:lang w:val="zh-CN"/>
        </w:rPr>
        <w:t>江苏省无线电管理专网服务器系统：主要包括省中心及</w:t>
      </w:r>
      <w:r>
        <w:rPr>
          <w:rFonts w:hint="eastAsia" w:cs="Calibri"/>
          <w:sz w:val="24"/>
          <w:szCs w:val="24"/>
        </w:rPr>
        <w:t>部分</w:t>
      </w:r>
      <w:r>
        <w:rPr>
          <w:rFonts w:hint="eastAsia" w:ascii="宋体" w:cs="宋体"/>
          <w:sz w:val="24"/>
          <w:szCs w:val="24"/>
          <w:lang w:val="zh-CN"/>
        </w:rPr>
        <w:t>地市站的</w:t>
      </w:r>
      <w:r>
        <w:rPr>
          <w:rFonts w:cs="Calibri"/>
          <w:sz w:val="24"/>
          <w:szCs w:val="24"/>
        </w:rPr>
        <w:t>HP</w:t>
      </w:r>
      <w:r>
        <w:rPr>
          <w:rFonts w:hint="eastAsia" w:ascii="宋体" w:cs="宋体"/>
          <w:sz w:val="24"/>
          <w:szCs w:val="24"/>
          <w:lang w:val="zh-CN"/>
        </w:rPr>
        <w:t>系列服务器、</w:t>
      </w:r>
      <w:r>
        <w:rPr>
          <w:rFonts w:hint="eastAsia" w:cs="Calibri"/>
          <w:sz w:val="24"/>
          <w:szCs w:val="24"/>
        </w:rPr>
        <w:t>超融合服务器</w:t>
      </w:r>
      <w:r>
        <w:rPr>
          <w:rFonts w:hint="eastAsia" w:ascii="宋体" w:cs="宋体"/>
          <w:sz w:val="24"/>
          <w:szCs w:val="24"/>
          <w:lang w:val="zh-CN"/>
        </w:rPr>
        <w:t xml:space="preserve">及其相关配套设备等（基本情况，详见列表）。投标人应提供江苏省无线电管理专网服务器系统运维方案，至少应包含服务器系统运维内容响应、运维频次响应等内容。   </w:t>
      </w:r>
    </w:p>
    <w:p>
      <w:pPr>
        <w:spacing w:line="520" w:lineRule="exact"/>
        <w:ind w:firstLine="480"/>
        <w:rPr>
          <w:rFonts w:cs="Calibri"/>
          <w:b/>
          <w:bCs/>
          <w:sz w:val="24"/>
          <w:szCs w:val="24"/>
        </w:rPr>
      </w:pPr>
      <w:r>
        <w:rPr>
          <w:rFonts w:hint="eastAsia" w:ascii="宋体" w:cs="宋体"/>
          <w:sz w:val="24"/>
          <w:szCs w:val="24"/>
          <w:lang w:val="zh-CN"/>
        </w:rPr>
        <w:t>需维保设备清单如下：</w:t>
      </w:r>
    </w:p>
    <w:tbl>
      <w:tblPr>
        <w:tblStyle w:val="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860"/>
        <w:gridCol w:w="4306"/>
        <w:gridCol w:w="1865"/>
        <w:gridCol w:w="159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630" w:hRule="atLeast"/>
          <w:jc w:val="center"/>
        </w:trPr>
        <w:tc>
          <w:tcPr>
            <w:tcW w:w="860"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序号</w:t>
            </w:r>
          </w:p>
        </w:tc>
        <w:tc>
          <w:tcPr>
            <w:tcW w:w="4306"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维保设备名称</w:t>
            </w:r>
          </w:p>
        </w:tc>
        <w:tc>
          <w:tcPr>
            <w:tcW w:w="1865"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数量</w:t>
            </w:r>
          </w:p>
        </w:tc>
        <w:tc>
          <w:tcPr>
            <w:tcW w:w="1599"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设备所在地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06" w:hRule="atLeast"/>
          <w:jc w:val="center"/>
        </w:trPr>
        <w:tc>
          <w:tcPr>
            <w:tcW w:w="860" w:type="dxa"/>
            <w:shd w:val="clear" w:color="000000" w:fill="auto"/>
            <w:vAlign w:val="center"/>
          </w:tcPr>
          <w:p>
            <w:pPr>
              <w:spacing w:line="312" w:lineRule="auto"/>
              <w:jc w:val="center"/>
              <w:rPr>
                <w:szCs w:val="21"/>
                <w:lang w:val="zh-CN"/>
              </w:rPr>
            </w:pPr>
            <w:r>
              <w:rPr>
                <w:szCs w:val="21"/>
              </w:rPr>
              <w:t>1</w:t>
            </w:r>
          </w:p>
        </w:tc>
        <w:tc>
          <w:tcPr>
            <w:tcW w:w="4306" w:type="dxa"/>
            <w:shd w:val="clear" w:color="000000" w:fill="auto"/>
            <w:vAlign w:val="center"/>
          </w:tcPr>
          <w:p>
            <w:pPr>
              <w:spacing w:line="312" w:lineRule="auto"/>
              <w:jc w:val="center"/>
              <w:rPr>
                <w:szCs w:val="21"/>
                <w:lang w:val="zh-CN"/>
              </w:rPr>
            </w:pPr>
            <w:r>
              <w:rPr>
                <w:szCs w:val="21"/>
              </w:rPr>
              <w:t>HP C70000</w:t>
            </w:r>
            <w:r>
              <w:rPr>
                <w:szCs w:val="21"/>
                <w:lang w:val="zh-CN"/>
              </w:rPr>
              <w:t>刀片服务器</w:t>
            </w:r>
          </w:p>
        </w:tc>
        <w:tc>
          <w:tcPr>
            <w:tcW w:w="1865" w:type="dxa"/>
            <w:shd w:val="clear" w:color="000000" w:fill="auto"/>
            <w:vAlign w:val="center"/>
          </w:tcPr>
          <w:p>
            <w:pPr>
              <w:spacing w:line="312" w:lineRule="auto"/>
              <w:jc w:val="center"/>
              <w:rPr>
                <w:szCs w:val="21"/>
                <w:lang w:val="zh-CN"/>
              </w:rPr>
            </w:pPr>
            <w:r>
              <w:rPr>
                <w:szCs w:val="21"/>
              </w:rPr>
              <w:t>6</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17" w:hRule="atLeast"/>
          <w:jc w:val="center"/>
        </w:trPr>
        <w:tc>
          <w:tcPr>
            <w:tcW w:w="860" w:type="dxa"/>
            <w:shd w:val="clear" w:color="000000" w:fill="auto"/>
            <w:vAlign w:val="center"/>
          </w:tcPr>
          <w:p>
            <w:pPr>
              <w:spacing w:line="312" w:lineRule="auto"/>
              <w:jc w:val="center"/>
              <w:rPr>
                <w:szCs w:val="21"/>
                <w:lang w:val="zh-CN"/>
              </w:rPr>
            </w:pPr>
            <w:r>
              <w:rPr>
                <w:szCs w:val="21"/>
              </w:rPr>
              <w:t>2</w:t>
            </w:r>
          </w:p>
        </w:tc>
        <w:tc>
          <w:tcPr>
            <w:tcW w:w="4306" w:type="dxa"/>
            <w:shd w:val="clear" w:color="000000" w:fill="auto"/>
            <w:vAlign w:val="center"/>
          </w:tcPr>
          <w:p>
            <w:pPr>
              <w:spacing w:line="312" w:lineRule="auto"/>
              <w:jc w:val="center"/>
              <w:rPr>
                <w:szCs w:val="21"/>
                <w:lang w:val="zh-CN"/>
              </w:rPr>
            </w:pPr>
            <w:r>
              <w:rPr>
                <w:szCs w:val="21"/>
              </w:rPr>
              <w:t xml:space="preserve">HP MSA P2000 </w:t>
            </w:r>
            <w:r>
              <w:rPr>
                <w:rFonts w:hint="eastAsia"/>
                <w:szCs w:val="21"/>
              </w:rPr>
              <w:t>磁盘阵列</w:t>
            </w:r>
          </w:p>
        </w:tc>
        <w:tc>
          <w:tcPr>
            <w:tcW w:w="1865"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314" w:hRule="atLeast"/>
          <w:jc w:val="center"/>
        </w:trPr>
        <w:tc>
          <w:tcPr>
            <w:tcW w:w="860" w:type="dxa"/>
            <w:shd w:val="clear" w:color="000000" w:fill="auto"/>
            <w:vAlign w:val="center"/>
          </w:tcPr>
          <w:p>
            <w:pPr>
              <w:spacing w:line="312" w:lineRule="auto"/>
              <w:jc w:val="center"/>
              <w:rPr>
                <w:szCs w:val="21"/>
                <w:lang w:val="zh-CN"/>
              </w:rPr>
            </w:pPr>
            <w:r>
              <w:rPr>
                <w:szCs w:val="21"/>
              </w:rPr>
              <w:t>3</w:t>
            </w:r>
          </w:p>
        </w:tc>
        <w:tc>
          <w:tcPr>
            <w:tcW w:w="4306" w:type="dxa"/>
            <w:shd w:val="clear" w:color="000000" w:fill="auto"/>
            <w:vAlign w:val="center"/>
          </w:tcPr>
          <w:p>
            <w:pPr>
              <w:spacing w:line="312" w:lineRule="auto"/>
              <w:jc w:val="center"/>
              <w:rPr>
                <w:szCs w:val="21"/>
                <w:lang w:val="zh-CN"/>
              </w:rPr>
            </w:pPr>
            <w:r>
              <w:rPr>
                <w:szCs w:val="21"/>
              </w:rPr>
              <w:t>HP10642</w:t>
            </w:r>
            <w:r>
              <w:rPr>
                <w:szCs w:val="21"/>
                <w:lang w:val="zh-CN"/>
              </w:rPr>
              <w:t>机架液晶（</w:t>
            </w:r>
            <w:r>
              <w:rPr>
                <w:szCs w:val="21"/>
              </w:rPr>
              <w:t>8</w:t>
            </w:r>
            <w:r>
              <w:rPr>
                <w:szCs w:val="21"/>
                <w:lang w:val="zh-CN"/>
              </w:rPr>
              <w:t>口</w:t>
            </w:r>
            <w:r>
              <w:rPr>
                <w:szCs w:val="21"/>
              </w:rPr>
              <w:t>KVM</w:t>
            </w:r>
            <w:r>
              <w:rPr>
                <w:szCs w:val="21"/>
                <w:lang w:val="zh-CN"/>
              </w:rPr>
              <w:t>）</w:t>
            </w:r>
            <w:r>
              <w:rPr>
                <w:szCs w:val="21"/>
              </w:rPr>
              <w:t>TFT5600</w:t>
            </w:r>
            <w:r>
              <w:rPr>
                <w:szCs w:val="21"/>
                <w:lang w:val="zh-CN"/>
              </w:rPr>
              <w:t>）</w:t>
            </w:r>
          </w:p>
        </w:tc>
        <w:tc>
          <w:tcPr>
            <w:tcW w:w="1865"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23" w:hRule="atLeast"/>
          <w:jc w:val="center"/>
        </w:trPr>
        <w:tc>
          <w:tcPr>
            <w:tcW w:w="860" w:type="dxa"/>
            <w:shd w:val="clear" w:color="000000" w:fill="auto"/>
            <w:vAlign w:val="center"/>
          </w:tcPr>
          <w:p>
            <w:pPr>
              <w:spacing w:line="312" w:lineRule="auto"/>
              <w:jc w:val="center"/>
              <w:rPr>
                <w:szCs w:val="21"/>
                <w:lang w:val="zh-CN"/>
              </w:rPr>
            </w:pPr>
            <w:r>
              <w:rPr>
                <w:szCs w:val="21"/>
              </w:rPr>
              <w:t>4</w:t>
            </w:r>
          </w:p>
        </w:tc>
        <w:tc>
          <w:tcPr>
            <w:tcW w:w="4306" w:type="dxa"/>
            <w:shd w:val="clear" w:color="000000" w:fill="auto"/>
            <w:vAlign w:val="center"/>
          </w:tcPr>
          <w:p>
            <w:pPr>
              <w:spacing w:line="312" w:lineRule="auto"/>
              <w:jc w:val="center"/>
              <w:rPr>
                <w:szCs w:val="21"/>
                <w:lang w:val="zh-CN"/>
              </w:rPr>
            </w:pPr>
            <w:r>
              <w:rPr>
                <w:szCs w:val="21"/>
              </w:rPr>
              <w:t>HP MSA500G2</w:t>
            </w:r>
            <w:r>
              <w:rPr>
                <w:szCs w:val="21"/>
                <w:lang w:val="zh-CN"/>
              </w:rPr>
              <w:t>磁盘阵列</w:t>
            </w:r>
          </w:p>
        </w:tc>
        <w:tc>
          <w:tcPr>
            <w:tcW w:w="1865" w:type="dxa"/>
            <w:shd w:val="clear" w:color="000000" w:fill="auto"/>
            <w:vAlign w:val="center"/>
          </w:tcPr>
          <w:p>
            <w:pPr>
              <w:spacing w:line="312" w:lineRule="auto"/>
              <w:rPr>
                <w:szCs w:val="21"/>
                <w:lang w:val="zh-CN"/>
              </w:rPr>
            </w:pPr>
            <w:r>
              <w:rPr>
                <w:szCs w:val="21"/>
              </w:rPr>
              <w:t xml:space="preserve">    </w:t>
            </w:r>
            <w:r>
              <w:rPr>
                <w:rFonts w:hint="eastAsia"/>
                <w:szCs w:val="21"/>
              </w:rPr>
              <w:t xml:space="preserve"> </w:t>
            </w:r>
            <w:r>
              <w:rPr>
                <w:szCs w:val="21"/>
              </w:rPr>
              <w:t xml:space="preserve"> 1台</w:t>
            </w:r>
          </w:p>
        </w:tc>
        <w:tc>
          <w:tcPr>
            <w:tcW w:w="1599" w:type="dxa"/>
            <w:shd w:val="clear" w:color="000000" w:fill="auto"/>
            <w:vAlign w:val="center"/>
          </w:tcPr>
          <w:p>
            <w:pPr>
              <w:spacing w:line="312" w:lineRule="auto"/>
              <w:jc w:val="center"/>
              <w:rPr>
                <w:szCs w:val="21"/>
              </w:rPr>
            </w:pPr>
            <w:r>
              <w:rPr>
                <w:szCs w:val="21"/>
              </w:rPr>
              <w:t>常州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70" w:hRule="atLeast"/>
          <w:jc w:val="center"/>
        </w:trPr>
        <w:tc>
          <w:tcPr>
            <w:tcW w:w="860" w:type="dxa"/>
            <w:shd w:val="clear" w:color="000000" w:fill="auto"/>
            <w:vAlign w:val="center"/>
          </w:tcPr>
          <w:p>
            <w:pPr>
              <w:spacing w:line="312" w:lineRule="auto"/>
              <w:jc w:val="center"/>
              <w:rPr>
                <w:szCs w:val="21"/>
                <w:lang w:val="zh-CN"/>
              </w:rPr>
            </w:pPr>
            <w:r>
              <w:rPr>
                <w:szCs w:val="21"/>
              </w:rPr>
              <w:t>5</w:t>
            </w:r>
          </w:p>
        </w:tc>
        <w:tc>
          <w:tcPr>
            <w:tcW w:w="4306" w:type="dxa"/>
            <w:shd w:val="clear" w:color="000000" w:fill="auto"/>
            <w:vAlign w:val="center"/>
          </w:tcPr>
          <w:p>
            <w:pPr>
              <w:spacing w:line="312" w:lineRule="auto"/>
              <w:jc w:val="center"/>
              <w:rPr>
                <w:szCs w:val="21"/>
                <w:lang w:val="zh-CN"/>
              </w:rPr>
            </w:pPr>
            <w:r>
              <w:rPr>
                <w:szCs w:val="21"/>
              </w:rPr>
              <w:t>HP10642</w:t>
            </w:r>
            <w:r>
              <w:rPr>
                <w:szCs w:val="21"/>
                <w:lang w:val="zh-CN"/>
              </w:rPr>
              <w:t>机架液晶（</w:t>
            </w:r>
            <w:r>
              <w:rPr>
                <w:szCs w:val="21"/>
              </w:rPr>
              <w:t>8</w:t>
            </w:r>
            <w:r>
              <w:rPr>
                <w:szCs w:val="21"/>
                <w:lang w:val="zh-CN"/>
              </w:rPr>
              <w:t>口</w:t>
            </w:r>
            <w:r>
              <w:rPr>
                <w:szCs w:val="21"/>
              </w:rPr>
              <w:t>KVM</w:t>
            </w:r>
            <w:r>
              <w:rPr>
                <w:szCs w:val="21"/>
                <w:lang w:val="zh-CN"/>
              </w:rPr>
              <w:t>）</w:t>
            </w:r>
            <w:r>
              <w:rPr>
                <w:szCs w:val="21"/>
              </w:rPr>
              <w:t>TFT5600</w:t>
            </w:r>
            <w:r>
              <w:rPr>
                <w:szCs w:val="21"/>
                <w:lang w:val="zh-CN"/>
              </w:rPr>
              <w:t>）</w:t>
            </w:r>
          </w:p>
        </w:tc>
        <w:tc>
          <w:tcPr>
            <w:tcW w:w="1865"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99" w:type="dxa"/>
            <w:shd w:val="clear" w:color="000000" w:fill="auto"/>
            <w:vAlign w:val="center"/>
          </w:tcPr>
          <w:p>
            <w:pPr>
              <w:spacing w:line="312" w:lineRule="auto"/>
              <w:jc w:val="center"/>
              <w:rPr>
                <w:szCs w:val="21"/>
              </w:rPr>
            </w:pPr>
            <w:r>
              <w:rPr>
                <w:szCs w:val="21"/>
              </w:rPr>
              <w:t>常州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332" w:hRule="atLeast"/>
          <w:jc w:val="center"/>
        </w:trPr>
        <w:tc>
          <w:tcPr>
            <w:tcW w:w="860" w:type="dxa"/>
            <w:shd w:val="clear" w:color="000000" w:fill="auto"/>
            <w:vAlign w:val="center"/>
          </w:tcPr>
          <w:p>
            <w:pPr>
              <w:spacing w:line="312" w:lineRule="auto"/>
              <w:jc w:val="center"/>
              <w:rPr>
                <w:szCs w:val="21"/>
                <w:lang w:val="zh-CN"/>
              </w:rPr>
            </w:pPr>
            <w:r>
              <w:rPr>
                <w:szCs w:val="21"/>
              </w:rPr>
              <w:t>6</w:t>
            </w:r>
          </w:p>
        </w:tc>
        <w:tc>
          <w:tcPr>
            <w:tcW w:w="4306" w:type="dxa"/>
            <w:shd w:val="clear" w:color="000000" w:fill="auto"/>
            <w:vAlign w:val="center"/>
          </w:tcPr>
          <w:p>
            <w:pPr>
              <w:spacing w:line="312" w:lineRule="auto"/>
              <w:jc w:val="center"/>
              <w:rPr>
                <w:szCs w:val="21"/>
                <w:lang w:val="zh-CN"/>
              </w:rPr>
            </w:pPr>
            <w:r>
              <w:rPr>
                <w:szCs w:val="21"/>
              </w:rPr>
              <w:t>HP DL380 G7</w:t>
            </w:r>
            <w:r>
              <w:rPr>
                <w:szCs w:val="21"/>
                <w:lang w:val="zh-CN"/>
              </w:rPr>
              <w:t>服务器</w:t>
            </w:r>
          </w:p>
        </w:tc>
        <w:tc>
          <w:tcPr>
            <w:tcW w:w="1865"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99" w:type="dxa"/>
            <w:shd w:val="clear" w:color="000000" w:fill="auto"/>
            <w:vAlign w:val="center"/>
          </w:tcPr>
          <w:p>
            <w:pPr>
              <w:spacing w:line="312" w:lineRule="auto"/>
              <w:jc w:val="center"/>
              <w:rPr>
                <w:szCs w:val="21"/>
              </w:rPr>
            </w:pPr>
            <w:r>
              <w:rPr>
                <w:szCs w:val="21"/>
              </w:rPr>
              <w:t>常州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31" w:hRule="atLeast"/>
          <w:jc w:val="center"/>
        </w:trPr>
        <w:tc>
          <w:tcPr>
            <w:tcW w:w="860" w:type="dxa"/>
            <w:shd w:val="clear" w:color="000000" w:fill="auto"/>
            <w:vAlign w:val="center"/>
          </w:tcPr>
          <w:p>
            <w:pPr>
              <w:spacing w:line="312" w:lineRule="auto"/>
              <w:jc w:val="center"/>
              <w:rPr>
                <w:szCs w:val="21"/>
                <w:lang w:val="zh-CN"/>
              </w:rPr>
            </w:pPr>
            <w:r>
              <w:rPr>
                <w:szCs w:val="21"/>
              </w:rPr>
              <w:t>7</w:t>
            </w:r>
          </w:p>
        </w:tc>
        <w:tc>
          <w:tcPr>
            <w:tcW w:w="4306" w:type="dxa"/>
            <w:shd w:val="clear" w:color="000000" w:fill="auto"/>
            <w:vAlign w:val="center"/>
          </w:tcPr>
          <w:p>
            <w:pPr>
              <w:spacing w:line="312" w:lineRule="auto"/>
              <w:jc w:val="center"/>
              <w:rPr>
                <w:szCs w:val="21"/>
                <w:lang w:val="zh-CN"/>
              </w:rPr>
            </w:pPr>
            <w:r>
              <w:rPr>
                <w:szCs w:val="21"/>
              </w:rPr>
              <w:t>HP DL388P G8</w:t>
            </w:r>
            <w:r>
              <w:rPr>
                <w:szCs w:val="21"/>
                <w:lang w:val="zh-CN"/>
              </w:rPr>
              <w:t>服务器</w:t>
            </w:r>
          </w:p>
        </w:tc>
        <w:tc>
          <w:tcPr>
            <w:tcW w:w="1865" w:type="dxa"/>
            <w:shd w:val="clear" w:color="000000" w:fill="auto"/>
            <w:vAlign w:val="center"/>
          </w:tcPr>
          <w:p>
            <w:pPr>
              <w:spacing w:line="312" w:lineRule="auto"/>
              <w:jc w:val="center"/>
              <w:rPr>
                <w:szCs w:val="21"/>
                <w:lang w:val="zh-CN"/>
              </w:rPr>
            </w:pPr>
            <w:r>
              <w:rPr>
                <w:szCs w:val="21"/>
              </w:rPr>
              <w:t>8</w:t>
            </w:r>
            <w:r>
              <w:rPr>
                <w:szCs w:val="21"/>
                <w:lang w:val="zh-CN"/>
              </w:rPr>
              <w:t>台</w:t>
            </w:r>
          </w:p>
        </w:tc>
        <w:tc>
          <w:tcPr>
            <w:tcW w:w="1599" w:type="dxa"/>
            <w:shd w:val="clear" w:color="000000" w:fill="auto"/>
            <w:vAlign w:val="center"/>
          </w:tcPr>
          <w:p>
            <w:pPr>
              <w:spacing w:line="312" w:lineRule="auto"/>
              <w:jc w:val="center"/>
              <w:rPr>
                <w:szCs w:val="21"/>
              </w:rPr>
            </w:pPr>
            <w:r>
              <w:rPr>
                <w:szCs w:val="21"/>
              </w:rPr>
              <w:t>无锡、镇江、南通、扬州、盐城、徐州、淮安、宿迁各1台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24" w:hRule="atLeast"/>
          <w:jc w:val="center"/>
        </w:trPr>
        <w:tc>
          <w:tcPr>
            <w:tcW w:w="860" w:type="dxa"/>
            <w:shd w:val="clear" w:color="000000" w:fill="auto"/>
            <w:vAlign w:val="center"/>
          </w:tcPr>
          <w:p>
            <w:pPr>
              <w:spacing w:line="312" w:lineRule="auto"/>
              <w:jc w:val="center"/>
              <w:rPr>
                <w:szCs w:val="21"/>
                <w:lang w:val="zh-CN"/>
              </w:rPr>
            </w:pPr>
            <w:r>
              <w:rPr>
                <w:szCs w:val="21"/>
              </w:rPr>
              <w:t>8</w:t>
            </w:r>
          </w:p>
        </w:tc>
        <w:tc>
          <w:tcPr>
            <w:tcW w:w="4306" w:type="dxa"/>
            <w:shd w:val="clear" w:color="000000" w:fill="auto"/>
            <w:vAlign w:val="center"/>
          </w:tcPr>
          <w:p>
            <w:pPr>
              <w:spacing w:line="312" w:lineRule="auto"/>
              <w:jc w:val="center"/>
              <w:rPr>
                <w:szCs w:val="21"/>
                <w:lang w:val="zh-CN"/>
              </w:rPr>
            </w:pPr>
            <w:r>
              <w:rPr>
                <w:szCs w:val="21"/>
                <w:lang w:val="zh-CN"/>
              </w:rPr>
              <w:t>星辰天合超融合物理节点</w:t>
            </w:r>
            <w:r>
              <w:rPr>
                <w:szCs w:val="21"/>
              </w:rPr>
              <w:t>XE3150-H</w:t>
            </w:r>
          </w:p>
        </w:tc>
        <w:tc>
          <w:tcPr>
            <w:tcW w:w="1865" w:type="dxa"/>
            <w:shd w:val="clear" w:color="000000" w:fill="auto"/>
            <w:vAlign w:val="center"/>
          </w:tcPr>
          <w:p>
            <w:pPr>
              <w:spacing w:line="312" w:lineRule="auto"/>
              <w:jc w:val="center"/>
              <w:rPr>
                <w:szCs w:val="21"/>
                <w:lang w:val="zh-CN"/>
              </w:rPr>
            </w:pPr>
            <w:r>
              <w:rPr>
                <w:szCs w:val="21"/>
              </w:rPr>
              <w:t>3</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30" w:hRule="atLeast"/>
          <w:jc w:val="center"/>
        </w:trPr>
        <w:tc>
          <w:tcPr>
            <w:tcW w:w="860" w:type="dxa"/>
            <w:shd w:val="clear" w:color="000000" w:fill="auto"/>
            <w:vAlign w:val="center"/>
          </w:tcPr>
          <w:p>
            <w:pPr>
              <w:spacing w:line="312" w:lineRule="auto"/>
              <w:jc w:val="center"/>
              <w:rPr>
                <w:szCs w:val="21"/>
                <w:lang w:val="zh-CN"/>
              </w:rPr>
            </w:pPr>
            <w:r>
              <w:rPr>
                <w:szCs w:val="21"/>
              </w:rPr>
              <w:t>9</w:t>
            </w:r>
          </w:p>
        </w:tc>
        <w:tc>
          <w:tcPr>
            <w:tcW w:w="4306" w:type="dxa"/>
            <w:shd w:val="clear" w:color="000000" w:fill="auto"/>
            <w:vAlign w:val="center"/>
          </w:tcPr>
          <w:p>
            <w:pPr>
              <w:spacing w:line="312" w:lineRule="auto"/>
              <w:jc w:val="center"/>
              <w:rPr>
                <w:szCs w:val="21"/>
                <w:lang w:val="zh-CN"/>
              </w:rPr>
            </w:pPr>
            <w:r>
              <w:rPr>
                <w:szCs w:val="21"/>
                <w:lang w:val="zh-CN"/>
              </w:rPr>
              <w:t>星辰天合超融合物理节点</w:t>
            </w:r>
            <w:r>
              <w:rPr>
                <w:szCs w:val="21"/>
              </w:rPr>
              <w:t>XE3180-H</w:t>
            </w:r>
          </w:p>
        </w:tc>
        <w:tc>
          <w:tcPr>
            <w:tcW w:w="1865" w:type="dxa"/>
            <w:shd w:val="clear" w:color="000000" w:fill="auto"/>
            <w:vAlign w:val="center"/>
          </w:tcPr>
          <w:p>
            <w:pPr>
              <w:spacing w:line="312" w:lineRule="auto"/>
              <w:jc w:val="center"/>
              <w:rPr>
                <w:szCs w:val="21"/>
                <w:lang w:val="zh-CN"/>
              </w:rPr>
            </w:pPr>
            <w:r>
              <w:rPr>
                <w:szCs w:val="21"/>
              </w:rPr>
              <w:t>4</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30" w:hRule="atLeast"/>
          <w:jc w:val="center"/>
        </w:trPr>
        <w:tc>
          <w:tcPr>
            <w:tcW w:w="860" w:type="dxa"/>
            <w:shd w:val="clear" w:color="000000" w:fill="auto"/>
            <w:vAlign w:val="center"/>
          </w:tcPr>
          <w:p>
            <w:pPr>
              <w:spacing w:line="312" w:lineRule="auto"/>
              <w:jc w:val="center"/>
              <w:rPr>
                <w:szCs w:val="21"/>
              </w:rPr>
            </w:pPr>
            <w:r>
              <w:rPr>
                <w:szCs w:val="21"/>
              </w:rPr>
              <w:t>10</w:t>
            </w:r>
          </w:p>
        </w:tc>
        <w:tc>
          <w:tcPr>
            <w:tcW w:w="4306" w:type="dxa"/>
            <w:shd w:val="clear" w:color="000000" w:fill="auto"/>
            <w:vAlign w:val="center"/>
          </w:tcPr>
          <w:p>
            <w:pPr>
              <w:spacing w:line="312" w:lineRule="auto"/>
              <w:jc w:val="center"/>
              <w:rPr>
                <w:szCs w:val="21"/>
                <w:lang w:val="zh-CN"/>
              </w:rPr>
            </w:pPr>
            <w:r>
              <w:rPr>
                <w:szCs w:val="21"/>
                <w:lang w:val="zh-CN"/>
              </w:rPr>
              <w:t>DELL服务器</w:t>
            </w:r>
          </w:p>
        </w:tc>
        <w:tc>
          <w:tcPr>
            <w:tcW w:w="1865" w:type="dxa"/>
            <w:shd w:val="clear" w:color="000000" w:fill="auto"/>
            <w:vAlign w:val="center"/>
          </w:tcPr>
          <w:p>
            <w:pPr>
              <w:spacing w:line="312" w:lineRule="auto"/>
              <w:jc w:val="center"/>
              <w:rPr>
                <w:szCs w:val="21"/>
              </w:rPr>
            </w:pPr>
            <w:r>
              <w:rPr>
                <w:szCs w:val="21"/>
              </w:rPr>
              <w:t>3台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21" w:hRule="atLeast"/>
          <w:jc w:val="center"/>
        </w:trPr>
        <w:tc>
          <w:tcPr>
            <w:tcW w:w="860" w:type="dxa"/>
            <w:shd w:val="clear" w:color="000000" w:fill="auto"/>
            <w:vAlign w:val="center"/>
          </w:tcPr>
          <w:p>
            <w:pPr>
              <w:spacing w:line="312" w:lineRule="auto"/>
              <w:jc w:val="center"/>
              <w:rPr>
                <w:szCs w:val="21"/>
                <w:lang w:val="zh-CN"/>
              </w:rPr>
            </w:pPr>
            <w:r>
              <w:rPr>
                <w:szCs w:val="21"/>
              </w:rPr>
              <w:t>11</w:t>
            </w:r>
          </w:p>
        </w:tc>
        <w:tc>
          <w:tcPr>
            <w:tcW w:w="4306" w:type="dxa"/>
            <w:shd w:val="clear" w:color="000000" w:fill="auto"/>
            <w:vAlign w:val="center"/>
          </w:tcPr>
          <w:p>
            <w:pPr>
              <w:spacing w:line="312" w:lineRule="auto"/>
              <w:jc w:val="center"/>
              <w:rPr>
                <w:szCs w:val="21"/>
                <w:lang w:val="zh-CN"/>
              </w:rPr>
            </w:pPr>
            <w:r>
              <w:rPr>
                <w:szCs w:val="21"/>
                <w:lang w:val="zh-CN"/>
              </w:rPr>
              <w:t>中科可控国产服务器</w:t>
            </w:r>
            <w:r>
              <w:rPr>
                <w:szCs w:val="21"/>
              </w:rPr>
              <w:t>H210-G30</w:t>
            </w:r>
          </w:p>
        </w:tc>
        <w:tc>
          <w:tcPr>
            <w:tcW w:w="1865" w:type="dxa"/>
            <w:shd w:val="clear" w:color="000000" w:fill="auto"/>
            <w:vAlign w:val="center"/>
          </w:tcPr>
          <w:p>
            <w:pPr>
              <w:spacing w:line="312" w:lineRule="auto"/>
              <w:jc w:val="center"/>
              <w:rPr>
                <w:szCs w:val="21"/>
                <w:lang w:val="zh-CN"/>
              </w:rPr>
            </w:pPr>
            <w:r>
              <w:rPr>
                <w:szCs w:val="21"/>
              </w:rPr>
              <w:t>2</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PrEx>
        <w:trPr>
          <w:trHeight w:val="427" w:hRule="atLeast"/>
          <w:jc w:val="center"/>
        </w:trPr>
        <w:tc>
          <w:tcPr>
            <w:tcW w:w="860" w:type="dxa"/>
            <w:shd w:val="clear" w:color="000000" w:fill="auto"/>
            <w:vAlign w:val="center"/>
          </w:tcPr>
          <w:p>
            <w:pPr>
              <w:spacing w:line="312" w:lineRule="auto"/>
              <w:jc w:val="center"/>
              <w:rPr>
                <w:szCs w:val="21"/>
                <w:lang w:val="zh-CN"/>
              </w:rPr>
            </w:pPr>
            <w:r>
              <w:rPr>
                <w:szCs w:val="21"/>
              </w:rPr>
              <w:t>12</w:t>
            </w:r>
          </w:p>
        </w:tc>
        <w:tc>
          <w:tcPr>
            <w:tcW w:w="4306" w:type="dxa"/>
            <w:shd w:val="clear" w:color="000000" w:fill="auto"/>
            <w:vAlign w:val="center"/>
          </w:tcPr>
          <w:p>
            <w:pPr>
              <w:spacing w:line="312" w:lineRule="auto"/>
              <w:jc w:val="center"/>
              <w:rPr>
                <w:szCs w:val="21"/>
                <w:lang w:val="zh-CN"/>
              </w:rPr>
            </w:pPr>
            <w:r>
              <w:rPr>
                <w:szCs w:val="21"/>
              </w:rPr>
              <w:t>MORLINK</w:t>
            </w:r>
            <w:r>
              <w:rPr>
                <w:szCs w:val="21"/>
                <w:lang w:val="zh-CN"/>
              </w:rPr>
              <w:t>时间服务器</w:t>
            </w:r>
            <w:r>
              <w:rPr>
                <w:szCs w:val="21"/>
              </w:rPr>
              <w:t xml:space="preserve"> 802</w:t>
            </w:r>
          </w:p>
        </w:tc>
        <w:tc>
          <w:tcPr>
            <w:tcW w:w="1865"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99" w:type="dxa"/>
            <w:shd w:val="clear" w:color="000000" w:fill="auto"/>
            <w:vAlign w:val="center"/>
          </w:tcPr>
          <w:p>
            <w:pPr>
              <w:spacing w:line="312" w:lineRule="auto"/>
              <w:jc w:val="center"/>
              <w:rPr>
                <w:szCs w:val="21"/>
              </w:rPr>
            </w:pPr>
            <w:r>
              <w:rPr>
                <w:szCs w:val="21"/>
              </w:rPr>
              <w:t>南京</w:t>
            </w:r>
          </w:p>
        </w:tc>
      </w:tr>
    </w:tbl>
    <w:p>
      <w:pPr>
        <w:spacing w:line="560" w:lineRule="atLeast"/>
        <w:ind w:firstLine="480"/>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81" w:type="dxa"/>
            <w:vAlign w:val="center"/>
          </w:tcPr>
          <w:p>
            <w:pPr>
              <w:spacing w:line="312" w:lineRule="auto"/>
              <w:jc w:val="center"/>
              <w:rPr>
                <w:rFonts w:cs="Calibri"/>
                <w:szCs w:val="21"/>
              </w:rPr>
            </w:pPr>
            <w:r>
              <w:rPr>
                <w:rFonts w:hint="eastAsia" w:cs="Calibri"/>
                <w:szCs w:val="21"/>
              </w:rPr>
              <w:t>运维内容</w:t>
            </w:r>
          </w:p>
        </w:tc>
        <w:tc>
          <w:tcPr>
            <w:tcW w:w="6945"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457" w:type="dxa"/>
            <w:vAlign w:val="center"/>
          </w:tcPr>
          <w:p>
            <w:pPr>
              <w:spacing w:line="312" w:lineRule="auto"/>
              <w:jc w:val="center"/>
              <w:rPr>
                <w:szCs w:val="21"/>
              </w:rPr>
            </w:pPr>
            <w:r>
              <w:rPr>
                <w:rFonts w:hint="eastAsia"/>
                <w:szCs w:val="21"/>
              </w:rPr>
              <w:t>1</w:t>
            </w:r>
          </w:p>
        </w:tc>
        <w:tc>
          <w:tcPr>
            <w:tcW w:w="1181" w:type="dxa"/>
            <w:vAlign w:val="center"/>
          </w:tcPr>
          <w:p>
            <w:pPr>
              <w:spacing w:line="312" w:lineRule="auto"/>
              <w:rPr>
                <w:rFonts w:cs="Calibri"/>
                <w:szCs w:val="21"/>
              </w:rPr>
            </w:pPr>
            <w:r>
              <w:rPr>
                <w:rFonts w:hint="eastAsia" w:cs="Calibri"/>
                <w:szCs w:val="21"/>
              </w:rPr>
              <w:t>日常运维</w:t>
            </w:r>
          </w:p>
        </w:tc>
        <w:tc>
          <w:tcPr>
            <w:tcW w:w="6945" w:type="dxa"/>
            <w:vAlign w:val="center"/>
          </w:tcPr>
          <w:p>
            <w:pPr>
              <w:spacing w:line="312" w:lineRule="auto"/>
              <w:ind w:firstLine="480"/>
              <w:rPr>
                <w:rFonts w:cs="Calibri"/>
                <w:b/>
                <w:bCs/>
                <w:szCs w:val="21"/>
              </w:rPr>
            </w:pPr>
            <w:r>
              <w:rPr>
                <w:rFonts w:hint="eastAsia" w:ascii="宋体" w:cs="宋体"/>
                <w:szCs w:val="21"/>
                <w:lang w:val="zh-CN"/>
              </w:rPr>
              <w:t>提供清单中全部硬件设备的日常运维、故障处理（设备整机或配件，在无法修复时免费更换）、技术改造等服务。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2</w:t>
            </w:r>
          </w:p>
        </w:tc>
        <w:tc>
          <w:tcPr>
            <w:tcW w:w="1181" w:type="dxa"/>
            <w:vAlign w:val="center"/>
          </w:tcPr>
          <w:p>
            <w:pPr>
              <w:spacing w:line="312" w:lineRule="auto"/>
              <w:rPr>
                <w:rFonts w:ascii="宋体" w:cs="宋体"/>
                <w:szCs w:val="21"/>
                <w:lang w:val="zh-CN"/>
              </w:rPr>
            </w:pPr>
            <w:r>
              <w:rPr>
                <w:rFonts w:hint="eastAsia" w:ascii="宋体" w:cs="宋体"/>
                <w:szCs w:val="21"/>
                <w:lang w:val="zh-CN"/>
              </w:rPr>
              <w:t>设备状态检查</w:t>
            </w:r>
          </w:p>
        </w:tc>
        <w:tc>
          <w:tcPr>
            <w:tcW w:w="6945" w:type="dxa"/>
            <w:vAlign w:val="center"/>
          </w:tcPr>
          <w:p>
            <w:pPr>
              <w:spacing w:line="312" w:lineRule="auto"/>
              <w:ind w:firstLine="480"/>
              <w:rPr>
                <w:rFonts w:cs="Calibri"/>
                <w:b/>
                <w:bCs/>
                <w:szCs w:val="21"/>
              </w:rPr>
            </w:pPr>
            <w:r>
              <w:rPr>
                <w:rFonts w:hint="eastAsia" w:ascii="宋体" w:cs="宋体"/>
                <w:szCs w:val="21"/>
                <w:lang w:val="zh-CN"/>
              </w:rPr>
              <w:t>定期检查省站和各地市站服务器系统的运行情况。超融合服务器运行状态检查要至少包括</w:t>
            </w:r>
            <w:r>
              <w:rPr>
                <w:rFonts w:ascii="宋体" w:cs="宋体"/>
                <w:szCs w:val="21"/>
                <w:lang w:val="zh-CN"/>
              </w:rPr>
              <w:t>CPU</w:t>
            </w:r>
            <w:r>
              <w:rPr>
                <w:rFonts w:hint="eastAsia" w:ascii="宋体" w:cs="宋体"/>
                <w:szCs w:val="21"/>
                <w:lang w:val="zh-CN"/>
              </w:rPr>
              <w:t>、内存、硬盘、网络、使用率以及虚拟主机运行状态。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3</w:t>
            </w:r>
          </w:p>
        </w:tc>
        <w:tc>
          <w:tcPr>
            <w:tcW w:w="1181" w:type="dxa"/>
            <w:vAlign w:val="center"/>
          </w:tcPr>
          <w:p>
            <w:pPr>
              <w:spacing w:line="312" w:lineRule="auto"/>
              <w:rPr>
                <w:rFonts w:ascii="宋体" w:cs="宋体"/>
                <w:szCs w:val="21"/>
                <w:lang w:val="zh-CN"/>
              </w:rPr>
            </w:pPr>
            <w:r>
              <w:rPr>
                <w:rFonts w:hint="eastAsia" w:ascii="宋体" w:cs="宋体"/>
                <w:szCs w:val="21"/>
                <w:lang w:val="zh-CN"/>
              </w:rPr>
              <w:t>性能优化</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对清单中涉及的服务器系统，特别是超融合服务器及其虚拟机系统提供参数调整、性能优化调整、整理磁盘空间、分析日志文件等技术支持服务。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4</w:t>
            </w:r>
          </w:p>
        </w:tc>
        <w:tc>
          <w:tcPr>
            <w:tcW w:w="1181" w:type="dxa"/>
            <w:vAlign w:val="center"/>
          </w:tcPr>
          <w:p>
            <w:pPr>
              <w:spacing w:line="312" w:lineRule="auto"/>
              <w:rPr>
                <w:rFonts w:ascii="宋体" w:cs="宋体"/>
                <w:szCs w:val="21"/>
                <w:lang w:val="zh-CN"/>
              </w:rPr>
            </w:pPr>
            <w:r>
              <w:rPr>
                <w:rFonts w:hint="eastAsia" w:ascii="宋体" w:cs="宋体"/>
                <w:szCs w:val="21"/>
                <w:lang w:val="zh-CN"/>
              </w:rPr>
              <w:t>超融合服务器日常运维</w:t>
            </w:r>
          </w:p>
        </w:tc>
        <w:tc>
          <w:tcPr>
            <w:tcW w:w="6945" w:type="dxa"/>
            <w:vAlign w:val="center"/>
          </w:tcPr>
          <w:p>
            <w:pPr>
              <w:spacing w:line="312" w:lineRule="auto"/>
              <w:ind w:firstLine="480"/>
              <w:rPr>
                <w:rFonts w:cs="Calibri"/>
                <w:b/>
                <w:bCs/>
                <w:szCs w:val="21"/>
              </w:rPr>
            </w:pPr>
            <w:r>
              <w:rPr>
                <w:rFonts w:hint="eastAsia" w:ascii="宋体" w:cs="宋体"/>
                <w:szCs w:val="21"/>
                <w:lang w:val="zh-CN"/>
              </w:rPr>
              <w:t>能够对超融合服务器故障进行分析处理，并对超融合系统进行虚拟主机划分、配置、优化、以及麒麟操作系统的安装部署、补丁更新、策略优化，能够完成超融合虚拟机的快照、备份、恢复工作等。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5</w:t>
            </w:r>
          </w:p>
        </w:tc>
        <w:tc>
          <w:tcPr>
            <w:tcW w:w="1181" w:type="dxa"/>
            <w:vAlign w:val="center"/>
          </w:tcPr>
          <w:p>
            <w:pPr>
              <w:spacing w:line="312" w:lineRule="auto"/>
              <w:rPr>
                <w:rFonts w:cs="Calibri"/>
                <w:szCs w:val="21"/>
              </w:rPr>
            </w:pPr>
            <w:r>
              <w:rPr>
                <w:rFonts w:hint="eastAsia" w:ascii="宋体" w:cs="宋体"/>
                <w:szCs w:val="21"/>
                <w:lang w:val="zh-CN"/>
              </w:rPr>
              <w:t>故障处理</w:t>
            </w:r>
          </w:p>
        </w:tc>
        <w:tc>
          <w:tcPr>
            <w:tcW w:w="6945" w:type="dxa"/>
            <w:vAlign w:val="center"/>
          </w:tcPr>
          <w:p>
            <w:pPr>
              <w:spacing w:line="312" w:lineRule="auto"/>
              <w:ind w:firstLine="480"/>
              <w:rPr>
                <w:rFonts w:cs="Calibri"/>
                <w:b/>
                <w:bCs/>
                <w:szCs w:val="21"/>
              </w:rPr>
            </w:pPr>
            <w:r>
              <w:rPr>
                <w:rFonts w:hint="eastAsia" w:ascii="宋体" w:cs="宋体"/>
                <w:szCs w:val="21"/>
                <w:lang w:val="zh-CN"/>
              </w:rPr>
              <w:t>在用户要求时限内（见具体要求），解决全省范围内服务器软硬件各类故障。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181" w:type="dxa"/>
            <w:vAlign w:val="center"/>
          </w:tcPr>
          <w:p>
            <w:pPr>
              <w:spacing w:line="312" w:lineRule="auto"/>
              <w:rPr>
                <w:rFonts w:cs="Calibri"/>
                <w:szCs w:val="21"/>
              </w:rPr>
            </w:pPr>
            <w:r>
              <w:rPr>
                <w:rFonts w:hint="eastAsia" w:cs="Calibri"/>
                <w:szCs w:val="21"/>
              </w:rPr>
              <w:t>技术支持</w:t>
            </w:r>
          </w:p>
        </w:tc>
        <w:tc>
          <w:tcPr>
            <w:tcW w:w="6945" w:type="dxa"/>
            <w:vAlign w:val="center"/>
          </w:tcPr>
          <w:p>
            <w:pPr>
              <w:spacing w:line="312" w:lineRule="auto"/>
              <w:ind w:firstLine="482"/>
              <w:rPr>
                <w:rFonts w:cs="Calibri"/>
                <w:szCs w:val="21"/>
              </w:rPr>
            </w:pPr>
            <w:r>
              <w:rPr>
                <w:rFonts w:hint="eastAsia" w:ascii="宋体" w:hAnsi="宋体" w:cs="宋体"/>
                <w:szCs w:val="21"/>
                <w:lang w:val="zh-CN"/>
              </w:rPr>
              <w:t>运维期内，</w:t>
            </w:r>
            <w:r>
              <w:rPr>
                <w:rFonts w:hint="eastAsia" w:ascii="宋体" w:cs="宋体"/>
                <w:szCs w:val="21"/>
                <w:lang w:val="zh-CN"/>
              </w:rPr>
              <w:t>提供清单中硬件设备所需软件版本升级等服务。根据用户工作需要，能够配合提供行业内相关技术支持和软硬件技术服务。</w:t>
            </w:r>
            <w:r>
              <w:rPr>
                <w:rFonts w:hint="eastAsia" w:ascii="宋体" w:hAnsi="宋体" w:cs="宋体"/>
                <w:szCs w:val="21"/>
                <w:lang w:val="zh-CN"/>
              </w:rPr>
              <w:t>提供清单中星辰天合Xsky超融合服务器系统不低于原厂级别的软硬件质保服务，</w:t>
            </w:r>
            <w:r>
              <w:rPr>
                <w:rFonts w:hint="eastAsia" w:ascii="宋体" w:hAnsi="宋体" w:cs="宋体"/>
                <w:b/>
                <w:bCs/>
                <w:szCs w:val="21"/>
                <w:lang w:val="zh-CN"/>
              </w:rPr>
              <w:t>要求提供承诺函并加盖公章。</w:t>
            </w:r>
          </w:p>
        </w:tc>
      </w:tr>
    </w:tbl>
    <w:p>
      <w:pPr>
        <w:spacing w:line="560" w:lineRule="atLeast"/>
        <w:ind w:firstLine="48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序号</w:t>
            </w:r>
          </w:p>
        </w:tc>
        <w:tc>
          <w:tcPr>
            <w:tcW w:w="4252" w:type="dxa"/>
            <w:vAlign w:val="center"/>
          </w:tcPr>
          <w:p>
            <w:pPr>
              <w:spacing w:line="312" w:lineRule="auto"/>
              <w:jc w:val="center"/>
              <w:rPr>
                <w:szCs w:val="21"/>
                <w:lang w:val="zh-CN"/>
              </w:rPr>
            </w:pPr>
            <w:r>
              <w:rPr>
                <w:szCs w:val="21"/>
                <w:lang w:val="zh-CN"/>
              </w:rPr>
              <w:t>运维内容</w:t>
            </w:r>
          </w:p>
        </w:tc>
        <w:tc>
          <w:tcPr>
            <w:tcW w:w="2225" w:type="dxa"/>
            <w:vAlign w:val="center"/>
          </w:tcPr>
          <w:p>
            <w:pPr>
              <w:spacing w:line="312" w:lineRule="auto"/>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1</w:t>
            </w:r>
          </w:p>
        </w:tc>
        <w:tc>
          <w:tcPr>
            <w:tcW w:w="4252" w:type="dxa"/>
            <w:vAlign w:val="center"/>
          </w:tcPr>
          <w:p>
            <w:pPr>
              <w:spacing w:line="312" w:lineRule="auto"/>
              <w:jc w:val="center"/>
              <w:rPr>
                <w:szCs w:val="21"/>
                <w:lang w:val="zh-CN"/>
              </w:rPr>
            </w:pPr>
            <w:r>
              <w:rPr>
                <w:rFonts w:hint="eastAsia" w:ascii="宋体" w:cs="宋体"/>
                <w:szCs w:val="21"/>
                <w:lang w:val="zh-CN"/>
              </w:rPr>
              <w:t>检查省站和各地市站服务器系统的运行情况</w:t>
            </w:r>
          </w:p>
        </w:tc>
        <w:tc>
          <w:tcPr>
            <w:tcW w:w="2225" w:type="dxa"/>
            <w:vAlign w:val="center"/>
          </w:tcPr>
          <w:p>
            <w:pPr>
              <w:spacing w:line="312" w:lineRule="auto"/>
              <w:jc w:val="center"/>
              <w:rPr>
                <w:szCs w:val="21"/>
                <w:lang w:val="zh-CN"/>
              </w:rPr>
            </w:pPr>
            <w:r>
              <w:rPr>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2</w:t>
            </w:r>
          </w:p>
        </w:tc>
        <w:tc>
          <w:tcPr>
            <w:tcW w:w="4252" w:type="dxa"/>
            <w:vAlign w:val="center"/>
          </w:tcPr>
          <w:p>
            <w:pPr>
              <w:spacing w:line="312" w:lineRule="auto"/>
              <w:jc w:val="center"/>
              <w:rPr>
                <w:szCs w:val="21"/>
                <w:lang w:val="zh-CN"/>
              </w:rPr>
            </w:pPr>
            <w:r>
              <w:rPr>
                <w:rFonts w:hint="eastAsia" w:ascii="宋体" w:cs="宋体"/>
                <w:szCs w:val="21"/>
                <w:lang w:val="zh-CN"/>
              </w:rPr>
              <w:t>对全省服务器系统进行参数调整、性能优化调整、整理磁盘空间、分析日志文件等技术支持服务</w:t>
            </w:r>
          </w:p>
        </w:tc>
        <w:tc>
          <w:tcPr>
            <w:tcW w:w="2225" w:type="dxa"/>
            <w:vAlign w:val="center"/>
          </w:tcPr>
          <w:p>
            <w:pPr>
              <w:spacing w:line="312" w:lineRule="auto"/>
              <w:jc w:val="center"/>
              <w:rPr>
                <w:szCs w:val="21"/>
                <w:lang w:val="zh-CN"/>
              </w:rPr>
            </w:pPr>
            <w:r>
              <w:rPr>
                <w:rFonts w:hint="eastAsia"/>
                <w:szCs w:val="21"/>
                <w:lang w:val="zh-CN"/>
              </w:rPr>
              <w:t>每月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3</w:t>
            </w:r>
          </w:p>
        </w:tc>
        <w:tc>
          <w:tcPr>
            <w:tcW w:w="4252" w:type="dxa"/>
            <w:vAlign w:val="center"/>
          </w:tcPr>
          <w:p>
            <w:pPr>
              <w:spacing w:line="312" w:lineRule="auto"/>
              <w:jc w:val="center"/>
              <w:rPr>
                <w:szCs w:val="21"/>
                <w:lang w:val="zh-CN"/>
              </w:rPr>
            </w:pPr>
            <w:r>
              <w:rPr>
                <w:rFonts w:hint="eastAsia" w:ascii="宋体" w:cs="宋体"/>
                <w:szCs w:val="21"/>
                <w:lang w:val="zh-CN"/>
              </w:rPr>
              <w:t>解决全省范围内服务器软硬件各类故障</w:t>
            </w:r>
          </w:p>
        </w:tc>
        <w:tc>
          <w:tcPr>
            <w:tcW w:w="2225" w:type="dxa"/>
            <w:vAlign w:val="center"/>
          </w:tcPr>
          <w:p>
            <w:pPr>
              <w:spacing w:line="312" w:lineRule="auto"/>
              <w:jc w:val="center"/>
              <w:rPr>
                <w:szCs w:val="21"/>
                <w:lang w:val="zh-CN"/>
              </w:rPr>
            </w:pPr>
            <w:r>
              <w:rPr>
                <w:rFonts w:hint="eastAsia"/>
                <w:szCs w:val="21"/>
                <w:lang w:val="zh-CN"/>
              </w:rPr>
              <w:t>用户要求时限内</w:t>
            </w:r>
          </w:p>
        </w:tc>
      </w:tr>
    </w:tbl>
    <w:p>
      <w:pPr>
        <w:spacing w:line="520" w:lineRule="exac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8、江苏省无线电管理专网安全设备运维及服务</w:t>
      </w:r>
    </w:p>
    <w:p>
      <w:pPr>
        <w:spacing w:line="520" w:lineRule="exact"/>
        <w:ind w:firstLine="480"/>
        <w:rPr>
          <w:rFonts w:ascii="宋体" w:cs="宋体"/>
          <w:sz w:val="24"/>
          <w:szCs w:val="24"/>
          <w:lang w:val="zh-CN"/>
        </w:rPr>
      </w:pPr>
      <w:r>
        <w:rPr>
          <w:rFonts w:hint="eastAsia" w:ascii="宋体" w:cs="宋体"/>
          <w:sz w:val="24"/>
          <w:szCs w:val="24"/>
          <w:lang w:val="zh-CN"/>
        </w:rPr>
        <w:t>江苏省无线电管理专网安全设备：主要包括省中心网闸、堡垒机、日志审计系统、终端安全管理系统等在运维期间的硬件质保及软件升级服务（基本情况，详见列表）。投标人应提供江苏省无线电管理专网安全设备运维方案，至少应包含安全设备运维内容响应、运维频次响应等内容。</w:t>
      </w:r>
    </w:p>
    <w:p>
      <w:pPr>
        <w:spacing w:line="520" w:lineRule="exact"/>
        <w:ind w:firstLine="480"/>
        <w:rPr>
          <w:rFonts w:cs="Calibri"/>
          <w:b/>
          <w:bCs/>
          <w:sz w:val="24"/>
          <w:szCs w:val="24"/>
        </w:rPr>
      </w:pPr>
      <w:r>
        <w:rPr>
          <w:rFonts w:hint="eastAsia" w:ascii="宋体" w:cs="宋体"/>
          <w:sz w:val="24"/>
          <w:szCs w:val="24"/>
          <w:lang w:val="zh-CN"/>
        </w:rPr>
        <w:t>需维保设备清单如下：</w:t>
      </w:r>
    </w:p>
    <w:tbl>
      <w:tblPr>
        <w:tblStyle w:val="49"/>
        <w:tblW w:w="89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814"/>
        <w:gridCol w:w="5373"/>
        <w:gridCol w:w="1292"/>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7" w:hRule="atLeast"/>
          <w:jc w:val="center"/>
        </w:trPr>
        <w:tc>
          <w:tcPr>
            <w:tcW w:w="81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序号</w:t>
            </w:r>
          </w:p>
        </w:tc>
        <w:tc>
          <w:tcPr>
            <w:tcW w:w="5373"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维保设备名称</w:t>
            </w:r>
          </w:p>
        </w:tc>
        <w:tc>
          <w:tcPr>
            <w:tcW w:w="1292"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数量</w:t>
            </w:r>
          </w:p>
        </w:tc>
        <w:tc>
          <w:tcPr>
            <w:tcW w:w="1515"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设备所在地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25" w:hRule="atLeast"/>
          <w:jc w:val="center"/>
        </w:trPr>
        <w:tc>
          <w:tcPr>
            <w:tcW w:w="814" w:type="dxa"/>
            <w:shd w:val="clear" w:color="000000" w:fill="auto"/>
            <w:vAlign w:val="center"/>
          </w:tcPr>
          <w:p>
            <w:pPr>
              <w:spacing w:line="312" w:lineRule="auto"/>
              <w:jc w:val="center"/>
              <w:rPr>
                <w:szCs w:val="21"/>
                <w:lang w:val="zh-CN"/>
              </w:rPr>
            </w:pPr>
            <w:r>
              <w:rPr>
                <w:szCs w:val="21"/>
              </w:rPr>
              <w:t>1</w:t>
            </w:r>
          </w:p>
        </w:tc>
        <w:tc>
          <w:tcPr>
            <w:tcW w:w="5373" w:type="dxa"/>
            <w:shd w:val="clear" w:color="000000" w:fill="auto"/>
            <w:vAlign w:val="center"/>
          </w:tcPr>
          <w:p>
            <w:pPr>
              <w:spacing w:line="312" w:lineRule="auto"/>
              <w:jc w:val="center"/>
              <w:rPr>
                <w:szCs w:val="21"/>
                <w:lang w:val="zh-CN"/>
              </w:rPr>
            </w:pPr>
            <w:r>
              <w:rPr>
                <w:szCs w:val="21"/>
                <w:lang w:val="zh-CN"/>
              </w:rPr>
              <w:t>任子行安全审计系统</w:t>
            </w:r>
            <w:r>
              <w:rPr>
                <w:szCs w:val="21"/>
              </w:rPr>
              <w:t>SURF-HAC-H-50</w:t>
            </w:r>
          </w:p>
        </w:tc>
        <w:tc>
          <w:tcPr>
            <w:tcW w:w="1292"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15"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2" w:hRule="atLeast"/>
          <w:jc w:val="center"/>
        </w:trPr>
        <w:tc>
          <w:tcPr>
            <w:tcW w:w="814" w:type="dxa"/>
            <w:shd w:val="clear" w:color="000000" w:fill="auto"/>
            <w:vAlign w:val="center"/>
          </w:tcPr>
          <w:p>
            <w:pPr>
              <w:spacing w:line="312" w:lineRule="auto"/>
              <w:jc w:val="center"/>
              <w:rPr>
                <w:szCs w:val="21"/>
                <w:lang w:val="zh-CN"/>
              </w:rPr>
            </w:pPr>
            <w:r>
              <w:rPr>
                <w:szCs w:val="21"/>
              </w:rPr>
              <w:t>2</w:t>
            </w:r>
          </w:p>
        </w:tc>
        <w:tc>
          <w:tcPr>
            <w:tcW w:w="5373" w:type="dxa"/>
            <w:shd w:val="clear" w:color="000000" w:fill="auto"/>
            <w:vAlign w:val="center"/>
          </w:tcPr>
          <w:p>
            <w:pPr>
              <w:spacing w:line="312" w:lineRule="auto"/>
              <w:jc w:val="center"/>
              <w:rPr>
                <w:szCs w:val="21"/>
                <w:lang w:val="zh-CN"/>
              </w:rPr>
            </w:pPr>
            <w:r>
              <w:rPr>
                <w:szCs w:val="21"/>
                <w:lang w:val="zh-CN"/>
              </w:rPr>
              <w:t>任子行日志管理综合审计系统</w:t>
            </w:r>
            <w:r>
              <w:rPr>
                <w:szCs w:val="21"/>
              </w:rPr>
              <w:t>SURF-LOG-NJ-100AH</w:t>
            </w:r>
          </w:p>
        </w:tc>
        <w:tc>
          <w:tcPr>
            <w:tcW w:w="1292"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15"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41" w:hRule="atLeast"/>
          <w:jc w:val="center"/>
        </w:trPr>
        <w:tc>
          <w:tcPr>
            <w:tcW w:w="814" w:type="dxa"/>
            <w:shd w:val="clear" w:color="000000" w:fill="auto"/>
            <w:vAlign w:val="center"/>
          </w:tcPr>
          <w:p>
            <w:pPr>
              <w:spacing w:line="312" w:lineRule="auto"/>
              <w:jc w:val="center"/>
              <w:rPr>
                <w:szCs w:val="21"/>
                <w:lang w:val="zh-CN"/>
              </w:rPr>
            </w:pPr>
            <w:r>
              <w:rPr>
                <w:szCs w:val="21"/>
              </w:rPr>
              <w:t>3</w:t>
            </w:r>
          </w:p>
        </w:tc>
        <w:tc>
          <w:tcPr>
            <w:tcW w:w="5373" w:type="dxa"/>
            <w:shd w:val="clear" w:color="000000" w:fill="auto"/>
            <w:vAlign w:val="center"/>
          </w:tcPr>
          <w:p>
            <w:pPr>
              <w:spacing w:line="312" w:lineRule="auto"/>
              <w:jc w:val="center"/>
              <w:rPr>
                <w:szCs w:val="21"/>
                <w:lang w:val="zh-CN"/>
              </w:rPr>
            </w:pPr>
            <w:r>
              <w:rPr>
                <w:szCs w:val="21"/>
                <w:lang w:val="zh-CN"/>
              </w:rPr>
              <w:t>一体化平台网闸（</w:t>
            </w:r>
            <w:bookmarkStart w:id="239" w:name="OLE_LINK2"/>
            <w:r>
              <w:rPr>
                <w:szCs w:val="21"/>
              </w:rPr>
              <w:t>WstGap1000</w:t>
            </w:r>
            <w:bookmarkEnd w:id="239"/>
            <w:r>
              <w:rPr>
                <w:szCs w:val="21"/>
                <w:lang w:val="zh-CN"/>
              </w:rPr>
              <w:t>）</w:t>
            </w:r>
          </w:p>
        </w:tc>
        <w:tc>
          <w:tcPr>
            <w:tcW w:w="1292"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15"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62" w:hRule="atLeast"/>
          <w:jc w:val="center"/>
        </w:trPr>
        <w:tc>
          <w:tcPr>
            <w:tcW w:w="814" w:type="dxa"/>
            <w:shd w:val="clear" w:color="000000" w:fill="auto"/>
            <w:vAlign w:val="center"/>
          </w:tcPr>
          <w:p>
            <w:pPr>
              <w:spacing w:line="312" w:lineRule="auto"/>
              <w:jc w:val="center"/>
              <w:rPr>
                <w:szCs w:val="21"/>
                <w:lang w:val="zh-CN"/>
              </w:rPr>
            </w:pPr>
            <w:r>
              <w:rPr>
                <w:szCs w:val="21"/>
              </w:rPr>
              <w:t>4</w:t>
            </w:r>
          </w:p>
        </w:tc>
        <w:tc>
          <w:tcPr>
            <w:tcW w:w="5373" w:type="dxa"/>
            <w:shd w:val="clear" w:color="000000" w:fill="auto"/>
            <w:vAlign w:val="center"/>
          </w:tcPr>
          <w:p>
            <w:pPr>
              <w:spacing w:line="312" w:lineRule="auto"/>
              <w:jc w:val="center"/>
              <w:rPr>
                <w:szCs w:val="21"/>
                <w:lang w:val="zh-CN"/>
              </w:rPr>
            </w:pPr>
            <w:r>
              <w:rPr>
                <w:szCs w:val="21"/>
                <w:lang w:val="zh-CN"/>
              </w:rPr>
              <w:t>一体化平台防火墙（迪普</w:t>
            </w:r>
            <w:r>
              <w:rPr>
                <w:szCs w:val="21"/>
              </w:rPr>
              <w:t>FW1000-GM-X</w:t>
            </w:r>
            <w:r>
              <w:rPr>
                <w:szCs w:val="21"/>
                <w:lang w:val="zh-CN"/>
              </w:rPr>
              <w:t>）</w:t>
            </w:r>
          </w:p>
        </w:tc>
        <w:tc>
          <w:tcPr>
            <w:tcW w:w="1292" w:type="dxa"/>
            <w:shd w:val="clear" w:color="000000" w:fill="auto"/>
            <w:vAlign w:val="center"/>
          </w:tcPr>
          <w:p>
            <w:pPr>
              <w:spacing w:line="312" w:lineRule="auto"/>
              <w:jc w:val="center"/>
              <w:rPr>
                <w:szCs w:val="21"/>
                <w:lang w:val="zh-CN"/>
              </w:rPr>
            </w:pPr>
            <w:r>
              <w:rPr>
                <w:szCs w:val="21"/>
              </w:rPr>
              <w:t>1</w:t>
            </w:r>
            <w:r>
              <w:rPr>
                <w:szCs w:val="21"/>
                <w:lang w:val="zh-CN"/>
              </w:rPr>
              <w:t>台</w:t>
            </w:r>
          </w:p>
        </w:tc>
        <w:tc>
          <w:tcPr>
            <w:tcW w:w="1515"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302" w:hRule="atLeast"/>
          <w:jc w:val="center"/>
        </w:trPr>
        <w:tc>
          <w:tcPr>
            <w:tcW w:w="814" w:type="dxa"/>
            <w:shd w:val="clear" w:color="000000" w:fill="auto"/>
            <w:vAlign w:val="center"/>
          </w:tcPr>
          <w:p>
            <w:pPr>
              <w:spacing w:line="312" w:lineRule="auto"/>
              <w:jc w:val="center"/>
              <w:rPr>
                <w:szCs w:val="21"/>
              </w:rPr>
            </w:pPr>
            <w:r>
              <w:rPr>
                <w:rFonts w:hint="eastAsia"/>
                <w:szCs w:val="21"/>
              </w:rPr>
              <w:t>5</w:t>
            </w:r>
          </w:p>
        </w:tc>
        <w:tc>
          <w:tcPr>
            <w:tcW w:w="5373" w:type="dxa"/>
            <w:shd w:val="clear" w:color="000000" w:fill="auto"/>
            <w:vAlign w:val="center"/>
          </w:tcPr>
          <w:p>
            <w:pPr>
              <w:spacing w:line="312" w:lineRule="auto"/>
              <w:jc w:val="center"/>
              <w:rPr>
                <w:szCs w:val="21"/>
                <w:lang w:val="zh-CN"/>
              </w:rPr>
            </w:pPr>
            <w:r>
              <w:rPr>
                <w:szCs w:val="21"/>
                <w:lang w:val="zh-CN"/>
              </w:rPr>
              <w:t>网闸（网御星云SIS-3000）</w:t>
            </w:r>
          </w:p>
        </w:tc>
        <w:tc>
          <w:tcPr>
            <w:tcW w:w="1292" w:type="dxa"/>
            <w:shd w:val="clear" w:color="000000" w:fill="auto"/>
            <w:vAlign w:val="center"/>
          </w:tcPr>
          <w:p>
            <w:pPr>
              <w:spacing w:line="312" w:lineRule="auto"/>
              <w:jc w:val="center"/>
              <w:rPr>
                <w:szCs w:val="21"/>
              </w:rPr>
            </w:pPr>
            <w:r>
              <w:rPr>
                <w:szCs w:val="21"/>
              </w:rPr>
              <w:t>1台</w:t>
            </w:r>
          </w:p>
        </w:tc>
        <w:tc>
          <w:tcPr>
            <w:tcW w:w="1515" w:type="dxa"/>
            <w:shd w:val="clear" w:color="000000" w:fill="auto"/>
            <w:vAlign w:val="center"/>
          </w:tcPr>
          <w:p>
            <w:pPr>
              <w:spacing w:line="312" w:lineRule="auto"/>
              <w:jc w:val="center"/>
              <w:rPr>
                <w:szCs w:val="21"/>
              </w:rPr>
            </w:pPr>
            <w:r>
              <w:rPr>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1" w:hRule="atLeast"/>
          <w:jc w:val="center"/>
        </w:trPr>
        <w:tc>
          <w:tcPr>
            <w:tcW w:w="814" w:type="dxa"/>
            <w:shd w:val="clear" w:color="000000" w:fill="auto"/>
            <w:vAlign w:val="center"/>
          </w:tcPr>
          <w:p>
            <w:pPr>
              <w:spacing w:line="312" w:lineRule="auto"/>
              <w:jc w:val="center"/>
              <w:rPr>
                <w:szCs w:val="21"/>
                <w:lang w:val="zh-CN"/>
              </w:rPr>
            </w:pPr>
            <w:r>
              <w:rPr>
                <w:rFonts w:hint="eastAsia"/>
                <w:szCs w:val="21"/>
              </w:rPr>
              <w:t>6</w:t>
            </w:r>
          </w:p>
        </w:tc>
        <w:tc>
          <w:tcPr>
            <w:tcW w:w="5373" w:type="dxa"/>
            <w:shd w:val="clear" w:color="000000" w:fill="auto"/>
            <w:vAlign w:val="center"/>
          </w:tcPr>
          <w:p>
            <w:pPr>
              <w:spacing w:line="312" w:lineRule="auto"/>
              <w:jc w:val="center"/>
              <w:rPr>
                <w:szCs w:val="21"/>
                <w:lang w:val="zh-CN"/>
              </w:rPr>
            </w:pPr>
            <w:r>
              <w:rPr>
                <w:szCs w:val="21"/>
              </w:rPr>
              <w:t>IP-guard</w:t>
            </w:r>
            <w:r>
              <w:rPr>
                <w:szCs w:val="21"/>
                <w:lang w:val="zh-CN"/>
              </w:rPr>
              <w:t>终端安全管理系统</w:t>
            </w:r>
          </w:p>
        </w:tc>
        <w:tc>
          <w:tcPr>
            <w:tcW w:w="1292" w:type="dxa"/>
            <w:shd w:val="clear" w:color="000000" w:fill="auto"/>
            <w:vAlign w:val="center"/>
          </w:tcPr>
          <w:p>
            <w:pPr>
              <w:spacing w:line="312" w:lineRule="auto"/>
              <w:jc w:val="center"/>
              <w:rPr>
                <w:szCs w:val="21"/>
                <w:lang w:val="zh-CN"/>
              </w:rPr>
            </w:pPr>
            <w:r>
              <w:rPr>
                <w:szCs w:val="21"/>
              </w:rPr>
              <w:t>1</w:t>
            </w:r>
            <w:r>
              <w:rPr>
                <w:szCs w:val="21"/>
                <w:lang w:val="zh-CN"/>
              </w:rPr>
              <w:t>套</w:t>
            </w:r>
          </w:p>
        </w:tc>
        <w:tc>
          <w:tcPr>
            <w:tcW w:w="1515" w:type="dxa"/>
            <w:shd w:val="clear" w:color="000000" w:fill="auto"/>
            <w:vAlign w:val="center"/>
          </w:tcPr>
          <w:p>
            <w:pPr>
              <w:spacing w:line="312" w:lineRule="auto"/>
              <w:jc w:val="center"/>
              <w:rPr>
                <w:szCs w:val="21"/>
              </w:rPr>
            </w:pPr>
            <w:r>
              <w:rPr>
                <w:szCs w:val="21"/>
              </w:rPr>
              <w:t>南京</w:t>
            </w:r>
          </w:p>
        </w:tc>
      </w:tr>
    </w:tbl>
    <w:p>
      <w:pPr>
        <w:spacing w:line="560" w:lineRule="atLeast"/>
        <w:ind w:firstLine="480"/>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81" w:type="dxa"/>
            <w:vAlign w:val="center"/>
          </w:tcPr>
          <w:p>
            <w:pPr>
              <w:spacing w:line="312" w:lineRule="auto"/>
              <w:jc w:val="center"/>
              <w:rPr>
                <w:rFonts w:cs="Calibri"/>
                <w:szCs w:val="21"/>
              </w:rPr>
            </w:pPr>
            <w:r>
              <w:rPr>
                <w:rFonts w:hint="eastAsia" w:cs="Calibri"/>
                <w:szCs w:val="21"/>
              </w:rPr>
              <w:t>运维内容</w:t>
            </w:r>
          </w:p>
        </w:tc>
        <w:tc>
          <w:tcPr>
            <w:tcW w:w="6945"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457" w:type="dxa"/>
            <w:vAlign w:val="center"/>
          </w:tcPr>
          <w:p>
            <w:pPr>
              <w:spacing w:line="312" w:lineRule="auto"/>
              <w:jc w:val="center"/>
              <w:rPr>
                <w:szCs w:val="21"/>
              </w:rPr>
            </w:pPr>
            <w:r>
              <w:rPr>
                <w:rFonts w:hint="eastAsia"/>
                <w:szCs w:val="21"/>
              </w:rPr>
              <w:t>1</w:t>
            </w:r>
          </w:p>
        </w:tc>
        <w:tc>
          <w:tcPr>
            <w:tcW w:w="1181" w:type="dxa"/>
            <w:vAlign w:val="center"/>
          </w:tcPr>
          <w:p>
            <w:pPr>
              <w:spacing w:line="312" w:lineRule="auto"/>
              <w:rPr>
                <w:rFonts w:cs="Calibri"/>
                <w:szCs w:val="21"/>
              </w:rPr>
            </w:pPr>
            <w:r>
              <w:rPr>
                <w:rFonts w:hint="eastAsia" w:cs="Calibri"/>
                <w:szCs w:val="21"/>
              </w:rPr>
              <w:t>日常运维</w:t>
            </w:r>
          </w:p>
        </w:tc>
        <w:tc>
          <w:tcPr>
            <w:tcW w:w="6945" w:type="dxa"/>
            <w:vAlign w:val="center"/>
          </w:tcPr>
          <w:p>
            <w:pPr>
              <w:spacing w:line="312" w:lineRule="auto"/>
              <w:ind w:firstLine="480"/>
              <w:rPr>
                <w:rFonts w:cs="Calibri"/>
                <w:b/>
                <w:bCs/>
                <w:szCs w:val="21"/>
              </w:rPr>
            </w:pPr>
            <w:r>
              <w:rPr>
                <w:rFonts w:hint="eastAsia" w:ascii="宋体" w:cs="宋体"/>
                <w:szCs w:val="21"/>
                <w:lang w:val="zh-CN"/>
              </w:rPr>
              <w:t>提供全部硬件设备的日常运维、故障处理（设备整机或配件，在无法修复时免费更换）、技术改造以等服务。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2</w:t>
            </w:r>
          </w:p>
        </w:tc>
        <w:tc>
          <w:tcPr>
            <w:tcW w:w="1181" w:type="dxa"/>
            <w:vAlign w:val="center"/>
          </w:tcPr>
          <w:p>
            <w:pPr>
              <w:spacing w:line="312" w:lineRule="auto"/>
              <w:rPr>
                <w:rFonts w:ascii="宋体" w:cs="宋体"/>
                <w:szCs w:val="21"/>
                <w:lang w:val="zh-CN"/>
              </w:rPr>
            </w:pPr>
            <w:r>
              <w:rPr>
                <w:rFonts w:hint="eastAsia" w:ascii="宋体" w:cs="宋体"/>
                <w:szCs w:val="21"/>
                <w:lang w:val="zh-CN"/>
              </w:rPr>
              <w:t>版本升级服务</w:t>
            </w:r>
          </w:p>
        </w:tc>
        <w:tc>
          <w:tcPr>
            <w:tcW w:w="6945" w:type="dxa"/>
            <w:vAlign w:val="center"/>
          </w:tcPr>
          <w:p>
            <w:pPr>
              <w:spacing w:line="312" w:lineRule="auto"/>
              <w:ind w:firstLine="480"/>
              <w:rPr>
                <w:rFonts w:cs="Calibri"/>
                <w:b/>
                <w:bCs/>
                <w:szCs w:val="21"/>
              </w:rPr>
            </w:pPr>
            <w:r>
              <w:rPr>
                <w:rFonts w:hint="eastAsia" w:ascii="宋体" w:cs="宋体"/>
                <w:szCs w:val="21"/>
                <w:lang w:val="zh-CN"/>
              </w:rPr>
              <w:t>提供上述清单中安全设备软硬件质保服务，提供版本升级技术支持服务，包含软件的正常安装和调试、根据用户需要版本升级、软件补丁程序安装升级、系统参数调整及性能优化调整等。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3</w:t>
            </w:r>
          </w:p>
        </w:tc>
        <w:tc>
          <w:tcPr>
            <w:tcW w:w="1181" w:type="dxa"/>
            <w:vAlign w:val="center"/>
          </w:tcPr>
          <w:p>
            <w:pPr>
              <w:spacing w:line="312" w:lineRule="auto"/>
              <w:rPr>
                <w:rFonts w:ascii="宋体" w:cs="宋体"/>
                <w:szCs w:val="21"/>
                <w:lang w:val="zh-CN"/>
              </w:rPr>
            </w:pPr>
            <w:r>
              <w:rPr>
                <w:rFonts w:hint="eastAsia" w:ascii="宋体" w:cs="宋体"/>
                <w:szCs w:val="21"/>
                <w:lang w:val="zh-CN"/>
              </w:rPr>
              <w:t>设备状态检查</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检查省站和各地市站安全设备及系统运行状态，包含设备状态、设备及系统参数、策略配置等信息。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4</w:t>
            </w:r>
          </w:p>
        </w:tc>
        <w:tc>
          <w:tcPr>
            <w:tcW w:w="1181" w:type="dxa"/>
            <w:vAlign w:val="center"/>
          </w:tcPr>
          <w:p>
            <w:pPr>
              <w:spacing w:line="312" w:lineRule="auto"/>
              <w:rPr>
                <w:rFonts w:ascii="宋体" w:cs="宋体"/>
                <w:szCs w:val="21"/>
                <w:lang w:val="zh-CN"/>
              </w:rPr>
            </w:pPr>
            <w:r>
              <w:rPr>
                <w:rFonts w:hint="eastAsia" w:ascii="宋体" w:cs="宋体"/>
                <w:szCs w:val="21"/>
                <w:lang w:val="zh-CN"/>
              </w:rPr>
              <w:t>软件升级</w:t>
            </w:r>
          </w:p>
        </w:tc>
        <w:tc>
          <w:tcPr>
            <w:tcW w:w="6945" w:type="dxa"/>
            <w:vAlign w:val="center"/>
          </w:tcPr>
          <w:p>
            <w:pPr>
              <w:spacing w:line="312" w:lineRule="auto"/>
              <w:ind w:firstLine="480"/>
              <w:rPr>
                <w:rFonts w:cs="Calibri"/>
                <w:b/>
                <w:bCs/>
                <w:szCs w:val="21"/>
              </w:rPr>
            </w:pPr>
            <w:r>
              <w:rPr>
                <w:rFonts w:hint="eastAsia" w:ascii="宋体" w:cs="宋体"/>
                <w:szCs w:val="21"/>
                <w:lang w:val="zh-CN"/>
              </w:rPr>
              <w:t>检查清单中各类安全设备软件版本信息，与官方最新版本进行比较，及时进行软件升级，检查设备硬件配置、策略部署等信息并分析其合理性。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5</w:t>
            </w:r>
          </w:p>
        </w:tc>
        <w:tc>
          <w:tcPr>
            <w:tcW w:w="1181" w:type="dxa"/>
            <w:vAlign w:val="center"/>
          </w:tcPr>
          <w:p>
            <w:pPr>
              <w:spacing w:line="312" w:lineRule="auto"/>
              <w:rPr>
                <w:rFonts w:ascii="宋体" w:cs="宋体"/>
                <w:szCs w:val="21"/>
                <w:lang w:val="zh-CN"/>
              </w:rPr>
            </w:pPr>
            <w:r>
              <w:rPr>
                <w:rFonts w:hint="eastAsia" w:ascii="宋体" w:cs="宋体"/>
                <w:szCs w:val="21"/>
                <w:lang w:val="zh-CN"/>
              </w:rPr>
              <w:t>病毒查杀</w:t>
            </w:r>
          </w:p>
        </w:tc>
        <w:tc>
          <w:tcPr>
            <w:tcW w:w="6945" w:type="dxa"/>
            <w:vAlign w:val="center"/>
          </w:tcPr>
          <w:p>
            <w:pPr>
              <w:spacing w:line="312" w:lineRule="auto"/>
              <w:ind w:firstLine="480"/>
              <w:rPr>
                <w:rFonts w:cs="Calibri"/>
                <w:b/>
                <w:bCs/>
                <w:szCs w:val="21"/>
              </w:rPr>
            </w:pPr>
            <w:r>
              <w:rPr>
                <w:rFonts w:hint="eastAsia" w:ascii="宋体" w:cs="宋体"/>
                <w:szCs w:val="21"/>
                <w:lang w:val="zh-CN"/>
              </w:rPr>
              <w:t>利用专用查杀工具（公认主流查杀产品）对内外网服务器、计算机终端、网络设备等进行全网病毒查杀及安全检查，并处理发现的安全问题，出具安全月报。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181" w:type="dxa"/>
            <w:vAlign w:val="center"/>
          </w:tcPr>
          <w:p>
            <w:pPr>
              <w:spacing w:line="312" w:lineRule="auto"/>
              <w:rPr>
                <w:rFonts w:cs="Calibri"/>
                <w:szCs w:val="21"/>
              </w:rPr>
            </w:pPr>
            <w:r>
              <w:rPr>
                <w:rFonts w:hint="eastAsia" w:cs="Calibri"/>
                <w:szCs w:val="21"/>
              </w:rPr>
              <w:t>策略备份</w:t>
            </w:r>
          </w:p>
        </w:tc>
        <w:tc>
          <w:tcPr>
            <w:tcW w:w="6945" w:type="dxa"/>
            <w:vAlign w:val="center"/>
          </w:tcPr>
          <w:p>
            <w:pPr>
              <w:spacing w:line="312" w:lineRule="auto"/>
              <w:ind w:firstLine="480"/>
              <w:rPr>
                <w:rFonts w:cs="Calibri"/>
                <w:b/>
                <w:bCs/>
                <w:szCs w:val="21"/>
              </w:rPr>
            </w:pPr>
            <w:r>
              <w:rPr>
                <w:rFonts w:hint="eastAsia" w:ascii="宋体" w:cs="宋体"/>
                <w:szCs w:val="21"/>
                <w:lang w:val="zh-CN"/>
              </w:rPr>
              <w:t>每月进行一次所有安全设备配置策略数据备份，同时保障清单中安全设备及系统配置每次变动必有备份。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7</w:t>
            </w:r>
          </w:p>
        </w:tc>
        <w:tc>
          <w:tcPr>
            <w:tcW w:w="1181" w:type="dxa"/>
            <w:vAlign w:val="center"/>
          </w:tcPr>
          <w:p>
            <w:pPr>
              <w:spacing w:line="312" w:lineRule="auto"/>
              <w:rPr>
                <w:rFonts w:cs="Calibri"/>
                <w:szCs w:val="21"/>
              </w:rPr>
            </w:pPr>
            <w:r>
              <w:rPr>
                <w:rFonts w:hint="eastAsia" w:cs="Calibri"/>
                <w:szCs w:val="21"/>
              </w:rPr>
              <w:t>咨询服务</w:t>
            </w:r>
          </w:p>
        </w:tc>
        <w:tc>
          <w:tcPr>
            <w:tcW w:w="6945" w:type="dxa"/>
            <w:vAlign w:val="center"/>
          </w:tcPr>
          <w:p>
            <w:pPr>
              <w:spacing w:line="312" w:lineRule="auto"/>
              <w:ind w:firstLine="482"/>
              <w:rPr>
                <w:rFonts w:cs="Calibri"/>
                <w:szCs w:val="21"/>
              </w:rPr>
            </w:pPr>
            <w:r>
              <w:rPr>
                <w:rFonts w:hint="eastAsia" w:ascii="宋体" w:cs="宋体"/>
                <w:szCs w:val="21"/>
                <w:lang w:val="zh-CN"/>
              </w:rPr>
              <w:t>提供日常安全保障、安全事故响应，为系统升级、安全改造提供相应的技术咨询和解决方案等。提供常用网络安全检测，为全网范围内，所有与网络安全相关的技术问题提供解决处理方案。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8</w:t>
            </w:r>
          </w:p>
        </w:tc>
        <w:tc>
          <w:tcPr>
            <w:tcW w:w="1181" w:type="dxa"/>
            <w:vAlign w:val="center"/>
          </w:tcPr>
          <w:p>
            <w:pPr>
              <w:spacing w:line="312" w:lineRule="auto"/>
              <w:rPr>
                <w:rFonts w:cs="Calibri"/>
                <w:szCs w:val="21"/>
              </w:rPr>
            </w:pPr>
            <w:r>
              <w:rPr>
                <w:rFonts w:hint="eastAsia" w:cs="Calibri"/>
                <w:szCs w:val="21"/>
              </w:rPr>
              <w:t>等保测评</w:t>
            </w:r>
          </w:p>
        </w:tc>
        <w:tc>
          <w:tcPr>
            <w:tcW w:w="6945" w:type="dxa"/>
            <w:vAlign w:val="center"/>
          </w:tcPr>
          <w:p>
            <w:pPr>
              <w:spacing w:line="312" w:lineRule="auto"/>
              <w:ind w:firstLine="482"/>
              <w:rPr>
                <w:rFonts w:cs="Calibri"/>
                <w:szCs w:val="21"/>
              </w:rPr>
            </w:pPr>
            <w:r>
              <w:rPr>
                <w:rFonts w:hint="eastAsia" w:ascii="宋体" w:cs="宋体"/>
                <w:szCs w:val="21"/>
                <w:lang w:val="zh-CN"/>
              </w:rPr>
              <w:t>按照用户要求配合第三方测评机构开展漏洞扫描及渗透测试等工作，负责等保测评发现问题的整改工作。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9</w:t>
            </w:r>
          </w:p>
        </w:tc>
        <w:tc>
          <w:tcPr>
            <w:tcW w:w="1181" w:type="dxa"/>
            <w:vAlign w:val="center"/>
          </w:tcPr>
          <w:p>
            <w:pPr>
              <w:spacing w:line="312" w:lineRule="auto"/>
              <w:rPr>
                <w:rFonts w:cs="Calibri"/>
                <w:szCs w:val="21"/>
              </w:rPr>
            </w:pPr>
            <w:r>
              <w:rPr>
                <w:rFonts w:hint="eastAsia" w:ascii="宋体" w:cs="宋体"/>
                <w:szCs w:val="21"/>
                <w:lang w:val="zh-CN"/>
              </w:rPr>
              <w:t>故障处理</w:t>
            </w:r>
          </w:p>
        </w:tc>
        <w:tc>
          <w:tcPr>
            <w:tcW w:w="6945" w:type="dxa"/>
            <w:vAlign w:val="center"/>
          </w:tcPr>
          <w:p>
            <w:pPr>
              <w:spacing w:line="312" w:lineRule="auto"/>
              <w:ind w:firstLine="482"/>
              <w:rPr>
                <w:rFonts w:cs="Calibri"/>
                <w:szCs w:val="21"/>
              </w:rPr>
            </w:pPr>
            <w:r>
              <w:rPr>
                <w:rFonts w:hint="eastAsia" w:ascii="宋体" w:cs="宋体"/>
                <w:szCs w:val="21"/>
                <w:lang w:val="zh-CN"/>
              </w:rPr>
              <w:t>在用户要求时限内（见具体要求），解决全省范围内安全设备软硬件各类故障。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10</w:t>
            </w:r>
          </w:p>
        </w:tc>
        <w:tc>
          <w:tcPr>
            <w:tcW w:w="1181" w:type="dxa"/>
            <w:vAlign w:val="center"/>
          </w:tcPr>
          <w:p>
            <w:pPr>
              <w:spacing w:line="312" w:lineRule="auto"/>
              <w:rPr>
                <w:rFonts w:ascii="宋体" w:cs="宋体"/>
                <w:szCs w:val="21"/>
                <w:lang w:val="zh-CN"/>
              </w:rPr>
            </w:pPr>
            <w:r>
              <w:rPr>
                <w:rFonts w:hint="eastAsia" w:ascii="宋体" w:cs="宋体"/>
                <w:szCs w:val="21"/>
                <w:lang w:val="zh-CN"/>
              </w:rPr>
              <w:t>授权新增</w:t>
            </w:r>
          </w:p>
        </w:tc>
        <w:tc>
          <w:tcPr>
            <w:tcW w:w="6945" w:type="dxa"/>
            <w:vAlign w:val="center"/>
          </w:tcPr>
          <w:p>
            <w:pPr>
              <w:spacing w:line="312" w:lineRule="auto"/>
              <w:ind w:firstLine="482"/>
              <w:rPr>
                <w:rFonts w:ascii="宋体" w:cs="宋体"/>
                <w:szCs w:val="21"/>
                <w:lang w:val="zh-CN"/>
              </w:rPr>
            </w:pPr>
            <w:r>
              <w:rPr>
                <w:rFonts w:hint="eastAsia" w:ascii="宋体" w:cs="宋体"/>
                <w:szCs w:val="21"/>
                <w:lang w:val="zh-CN"/>
              </w:rPr>
              <w:t>增加省站目前在用的网御星云数据库安全网关LA-DAP-FT-3000GR软件相关授权，至少提供10个数据库审计所需3年软件授权。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11</w:t>
            </w:r>
          </w:p>
        </w:tc>
        <w:tc>
          <w:tcPr>
            <w:tcW w:w="1181" w:type="dxa"/>
            <w:vAlign w:val="center"/>
          </w:tcPr>
          <w:p>
            <w:pPr>
              <w:spacing w:line="312" w:lineRule="auto"/>
              <w:rPr>
                <w:rFonts w:cs="Calibri"/>
                <w:szCs w:val="21"/>
              </w:rPr>
            </w:pPr>
            <w:r>
              <w:rPr>
                <w:rFonts w:hint="eastAsia" w:cs="Calibri"/>
                <w:szCs w:val="21"/>
              </w:rPr>
              <w:t>技术支持</w:t>
            </w:r>
          </w:p>
        </w:tc>
        <w:tc>
          <w:tcPr>
            <w:tcW w:w="6945" w:type="dxa"/>
            <w:vAlign w:val="center"/>
          </w:tcPr>
          <w:p>
            <w:pPr>
              <w:spacing w:line="312" w:lineRule="auto"/>
              <w:ind w:firstLine="482"/>
              <w:rPr>
                <w:rFonts w:cs="Calibri"/>
                <w:szCs w:val="21"/>
              </w:rPr>
            </w:pPr>
            <w:r>
              <w:rPr>
                <w:rFonts w:hint="eastAsia" w:ascii="宋体" w:cs="宋体"/>
                <w:szCs w:val="21"/>
                <w:lang w:val="zh-CN"/>
              </w:rPr>
              <w:t>根据用户工作需要，能够配合提供行业内安全相关技术支持和软硬件技术服务。</w:t>
            </w:r>
            <w:r>
              <w:rPr>
                <w:rFonts w:hint="eastAsia" w:ascii="宋体" w:hAnsi="宋体" w:cs="宋体"/>
                <w:szCs w:val="21"/>
                <w:lang w:val="zh-CN"/>
              </w:rPr>
              <w:t>提供上述清单中安全设备不低于原厂级别软硬件质保服务，</w:t>
            </w:r>
            <w:r>
              <w:rPr>
                <w:rFonts w:hint="eastAsia" w:ascii="宋体" w:hAnsi="宋体" w:cs="宋体"/>
                <w:b/>
                <w:bCs/>
                <w:szCs w:val="21"/>
                <w:lang w:val="zh-CN"/>
              </w:rPr>
              <w:t>要求提供承诺函并加盖公章。</w:t>
            </w:r>
          </w:p>
        </w:tc>
      </w:tr>
    </w:tbl>
    <w:p>
      <w:pPr>
        <w:spacing w:line="560" w:lineRule="atLeast"/>
        <w:ind w:firstLine="480"/>
        <w:rPr>
          <w:rFonts w:ascii="宋体" w:cs="宋体"/>
          <w:sz w:val="24"/>
          <w:szCs w:val="24"/>
          <w:lang w:val="zh-CN"/>
        </w:rPr>
      </w:pPr>
      <w:r>
        <w:rPr>
          <w:rFonts w:hint="eastAsia" w:ascii="宋体" w:cs="宋体"/>
          <w:sz w:val="24"/>
          <w:szCs w:val="24"/>
          <w:lang w:val="zh-CN"/>
        </w:rPr>
        <w:t>（</w:t>
      </w:r>
      <w:r>
        <w:rPr>
          <w:rFonts w:ascii="宋体" w:cs="宋体"/>
          <w:sz w:val="24"/>
          <w:szCs w:val="24"/>
          <w:lang w:val="zh-CN"/>
        </w:rPr>
        <w:t>2</w:t>
      </w:r>
      <w:r>
        <w:rPr>
          <w:rFonts w:hint="eastAsia" w:ascii="宋体" w:cs="宋体"/>
          <w:sz w:val="24"/>
          <w:szCs w:val="24"/>
          <w:lang w:val="zh-CN"/>
        </w:rPr>
        <w:t>）运维频次要求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序号</w:t>
            </w:r>
          </w:p>
        </w:tc>
        <w:tc>
          <w:tcPr>
            <w:tcW w:w="4252" w:type="dxa"/>
            <w:vAlign w:val="center"/>
          </w:tcPr>
          <w:p>
            <w:pPr>
              <w:spacing w:line="312" w:lineRule="auto"/>
              <w:jc w:val="center"/>
              <w:rPr>
                <w:szCs w:val="21"/>
                <w:lang w:val="zh-CN"/>
              </w:rPr>
            </w:pPr>
            <w:r>
              <w:rPr>
                <w:szCs w:val="21"/>
                <w:lang w:val="zh-CN"/>
              </w:rPr>
              <w:t>运维内容</w:t>
            </w:r>
          </w:p>
        </w:tc>
        <w:tc>
          <w:tcPr>
            <w:tcW w:w="2225" w:type="dxa"/>
            <w:vAlign w:val="center"/>
          </w:tcPr>
          <w:p>
            <w:pPr>
              <w:spacing w:line="312" w:lineRule="auto"/>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1</w:t>
            </w:r>
          </w:p>
        </w:tc>
        <w:tc>
          <w:tcPr>
            <w:tcW w:w="4252" w:type="dxa"/>
            <w:vAlign w:val="center"/>
          </w:tcPr>
          <w:p>
            <w:pPr>
              <w:spacing w:line="312" w:lineRule="auto"/>
              <w:jc w:val="center"/>
              <w:rPr>
                <w:szCs w:val="21"/>
                <w:lang w:val="zh-CN"/>
              </w:rPr>
            </w:pPr>
            <w:r>
              <w:rPr>
                <w:rFonts w:hint="eastAsia" w:ascii="宋体" w:cs="宋体"/>
                <w:szCs w:val="21"/>
                <w:lang w:val="zh-CN"/>
              </w:rPr>
              <w:t>检查省站和各地市站设备</w:t>
            </w:r>
            <w:r>
              <w:rPr>
                <w:rFonts w:cs="Calibri"/>
                <w:szCs w:val="21"/>
              </w:rPr>
              <w:t>/</w:t>
            </w:r>
            <w:r>
              <w:rPr>
                <w:rFonts w:hint="eastAsia" w:ascii="宋体" w:cs="宋体"/>
                <w:szCs w:val="21"/>
                <w:lang w:val="zh-CN"/>
              </w:rPr>
              <w:t>系统运行状态</w:t>
            </w:r>
          </w:p>
        </w:tc>
        <w:tc>
          <w:tcPr>
            <w:tcW w:w="2225" w:type="dxa"/>
            <w:vAlign w:val="center"/>
          </w:tcPr>
          <w:p>
            <w:pPr>
              <w:spacing w:line="312" w:lineRule="auto"/>
              <w:jc w:val="center"/>
              <w:rPr>
                <w:szCs w:val="21"/>
                <w:lang w:val="zh-CN"/>
              </w:rPr>
            </w:pPr>
            <w:r>
              <w:rPr>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2</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检查安全设备软件版本信息，与官方最新版本进行比较，及时进行软件升级，检查设备硬件配置、策略部署等信息并分析其合理性</w:t>
            </w:r>
            <w:r>
              <w:rPr>
                <w:rFonts w:ascii="宋体" w:cs="宋体"/>
                <w:szCs w:val="21"/>
                <w:lang w:val="zh-CN"/>
              </w:rPr>
              <w:t xml:space="preserve">  </w:t>
            </w:r>
          </w:p>
        </w:tc>
        <w:tc>
          <w:tcPr>
            <w:tcW w:w="2225" w:type="dxa"/>
            <w:vAlign w:val="center"/>
          </w:tcPr>
          <w:p>
            <w:pPr>
              <w:spacing w:line="312" w:lineRule="auto"/>
              <w:jc w:val="center"/>
              <w:rPr>
                <w:szCs w:val="21"/>
                <w:lang w:val="zh-CN"/>
              </w:rPr>
            </w:pPr>
            <w:r>
              <w:rPr>
                <w:rFonts w:hint="eastAsia"/>
                <w:szCs w:val="21"/>
                <w:lang w:val="zh-CN"/>
              </w:rPr>
              <w:t>每周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3</w:t>
            </w:r>
          </w:p>
        </w:tc>
        <w:tc>
          <w:tcPr>
            <w:tcW w:w="4252" w:type="dxa"/>
            <w:vAlign w:val="center"/>
          </w:tcPr>
          <w:p>
            <w:pPr>
              <w:spacing w:line="312" w:lineRule="auto"/>
              <w:jc w:val="center"/>
              <w:rPr>
                <w:szCs w:val="21"/>
                <w:lang w:val="zh-CN"/>
              </w:rPr>
            </w:pPr>
            <w:r>
              <w:rPr>
                <w:rFonts w:hint="eastAsia" w:ascii="宋体" w:cs="宋体"/>
                <w:szCs w:val="21"/>
                <w:lang w:val="zh-CN"/>
              </w:rPr>
              <w:t>进行全网病毒查杀及安全检查，出具安全月报</w:t>
            </w:r>
          </w:p>
        </w:tc>
        <w:tc>
          <w:tcPr>
            <w:tcW w:w="2225" w:type="dxa"/>
            <w:vAlign w:val="center"/>
          </w:tcPr>
          <w:p>
            <w:pPr>
              <w:spacing w:line="312" w:lineRule="auto"/>
              <w:jc w:val="center"/>
              <w:rPr>
                <w:szCs w:val="21"/>
                <w:lang w:val="zh-CN"/>
              </w:rPr>
            </w:pPr>
            <w:r>
              <w:rPr>
                <w:rFonts w:hint="eastAsia"/>
                <w:szCs w:val="21"/>
                <w:lang w:val="zh-CN"/>
              </w:rPr>
              <w:t>每月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szCs w:val="21"/>
                <w:lang w:val="zh-CN"/>
              </w:rPr>
              <w:t>4</w:t>
            </w:r>
          </w:p>
        </w:tc>
        <w:tc>
          <w:tcPr>
            <w:tcW w:w="4252" w:type="dxa"/>
            <w:vAlign w:val="center"/>
          </w:tcPr>
          <w:p>
            <w:pPr>
              <w:spacing w:line="312" w:lineRule="auto"/>
              <w:jc w:val="center"/>
              <w:rPr>
                <w:szCs w:val="21"/>
                <w:lang w:val="zh-CN"/>
              </w:rPr>
            </w:pPr>
            <w:r>
              <w:rPr>
                <w:rFonts w:hint="eastAsia" w:ascii="宋体" w:cs="宋体"/>
                <w:szCs w:val="21"/>
                <w:lang w:val="zh-CN"/>
              </w:rPr>
              <w:t>安全设备配置策略数据备份</w:t>
            </w:r>
          </w:p>
        </w:tc>
        <w:tc>
          <w:tcPr>
            <w:tcW w:w="2225" w:type="dxa"/>
            <w:vAlign w:val="center"/>
          </w:tcPr>
          <w:p>
            <w:pPr>
              <w:spacing w:line="312" w:lineRule="auto"/>
              <w:jc w:val="center"/>
              <w:rPr>
                <w:szCs w:val="21"/>
                <w:lang w:val="zh-CN"/>
              </w:rPr>
            </w:pPr>
            <w:r>
              <w:rPr>
                <w:szCs w:val="21"/>
                <w:lang w:val="zh-CN"/>
              </w:rPr>
              <w:t>每月全量备份一次，配置</w:t>
            </w:r>
            <w:r>
              <w:rPr>
                <w:rFonts w:hint="eastAsia"/>
                <w:szCs w:val="21"/>
                <w:lang w:val="zh-CN"/>
              </w:rPr>
              <w:t>有变动</w:t>
            </w:r>
            <w:r>
              <w:rPr>
                <w:szCs w:val="21"/>
                <w:lang w:val="zh-CN"/>
              </w:rPr>
              <w:t>时及时备份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5</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解决全省范围内安全设备各类故障</w:t>
            </w:r>
          </w:p>
        </w:tc>
        <w:tc>
          <w:tcPr>
            <w:tcW w:w="2225" w:type="dxa"/>
            <w:vAlign w:val="center"/>
          </w:tcPr>
          <w:p>
            <w:pPr>
              <w:spacing w:line="312" w:lineRule="auto"/>
              <w:jc w:val="center"/>
              <w:rPr>
                <w:szCs w:val="21"/>
                <w:lang w:val="zh-CN"/>
              </w:rPr>
            </w:pPr>
            <w:r>
              <w:rPr>
                <w:rFonts w:hint="eastAsia"/>
                <w:szCs w:val="21"/>
                <w:lang w:val="zh-CN"/>
              </w:rPr>
              <w:t>用户要求时限内</w:t>
            </w:r>
          </w:p>
        </w:tc>
      </w:tr>
    </w:tbl>
    <w:p>
      <w:pPr>
        <w:spacing w:line="560" w:lineRule="atLeas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9、江苏省无线电监测站信息网络机房运维</w:t>
      </w:r>
    </w:p>
    <w:p>
      <w:pPr>
        <w:spacing w:line="520" w:lineRule="exact"/>
        <w:ind w:firstLine="480"/>
        <w:rPr>
          <w:rFonts w:ascii="宋体" w:cs="宋体"/>
          <w:sz w:val="24"/>
          <w:szCs w:val="24"/>
          <w:lang w:val="zh-CN"/>
        </w:rPr>
      </w:pPr>
      <w:r>
        <w:rPr>
          <w:rFonts w:hint="eastAsia" w:ascii="宋体" w:cs="宋体"/>
          <w:sz w:val="24"/>
          <w:szCs w:val="24"/>
          <w:lang w:val="zh-CN"/>
        </w:rPr>
        <w:t>江苏省无线电监测站信息网络机房系统：主要包括</w:t>
      </w:r>
      <w:r>
        <w:rPr>
          <w:rFonts w:ascii="宋体" w:cs="宋体"/>
          <w:sz w:val="24"/>
          <w:szCs w:val="24"/>
          <w:lang w:val="zh-CN"/>
        </w:rPr>
        <w:t>UPS</w:t>
      </w:r>
      <w:r>
        <w:rPr>
          <w:rFonts w:hint="eastAsia" w:ascii="宋体" w:cs="宋体"/>
          <w:sz w:val="24"/>
          <w:szCs w:val="24"/>
          <w:lang w:val="zh-CN"/>
        </w:rPr>
        <w:t>及配电系统、机柜及通道系统、精密空调系统、动环监控系统、电气系统、防雷系统、气体灭火系统、</w:t>
      </w:r>
      <w:r>
        <w:rPr>
          <w:rFonts w:ascii="宋体" w:cs="宋体"/>
          <w:sz w:val="24"/>
          <w:szCs w:val="24"/>
          <w:lang w:val="zh-CN"/>
        </w:rPr>
        <w:t>IT</w:t>
      </w:r>
      <w:r>
        <w:rPr>
          <w:rFonts w:hint="eastAsia" w:ascii="宋体" w:cs="宋体"/>
          <w:sz w:val="24"/>
          <w:szCs w:val="24"/>
          <w:lang w:val="zh-CN"/>
        </w:rPr>
        <w:t>设备监控系统、装修系统、机房加固系统、监控区、缓冲区配套系统的软硬件维护、维修、更换、耗材补充及技术支持等。（基本情况，详见列表）。投标人应提供江苏省无线电监测站信息网络机房运维方案，至少应包含机房运维内容响应、运维频次响应等内容。</w:t>
      </w:r>
    </w:p>
    <w:tbl>
      <w:tblPr>
        <w:tblStyle w:val="4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855"/>
        <w:gridCol w:w="4594"/>
        <w:gridCol w:w="1434"/>
        <w:gridCol w:w="14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61" w:hRule="atLeast"/>
          <w:jc w:val="center"/>
        </w:trPr>
        <w:tc>
          <w:tcPr>
            <w:tcW w:w="855" w:type="dxa"/>
            <w:shd w:val="clear" w:color="000000" w:fill="auto"/>
          </w:tcPr>
          <w:p>
            <w:pPr>
              <w:spacing w:line="312" w:lineRule="auto"/>
              <w:jc w:val="center"/>
              <w:rPr>
                <w:rFonts w:ascii="宋体" w:cs="宋体"/>
                <w:szCs w:val="21"/>
                <w:lang w:val="zh-CN"/>
              </w:rPr>
            </w:pPr>
            <w:r>
              <w:rPr>
                <w:rFonts w:hint="eastAsia" w:ascii="宋体" w:cs="宋体"/>
                <w:szCs w:val="21"/>
                <w:lang w:val="zh-CN"/>
              </w:rPr>
              <w:t>序号</w:t>
            </w:r>
          </w:p>
        </w:tc>
        <w:tc>
          <w:tcPr>
            <w:tcW w:w="4594" w:type="dxa"/>
            <w:shd w:val="clear" w:color="000000" w:fill="auto"/>
          </w:tcPr>
          <w:p>
            <w:pPr>
              <w:spacing w:line="312" w:lineRule="auto"/>
              <w:jc w:val="center"/>
              <w:rPr>
                <w:rFonts w:ascii="宋体" w:cs="宋体"/>
                <w:szCs w:val="21"/>
                <w:lang w:val="zh-CN"/>
              </w:rPr>
            </w:pPr>
            <w:r>
              <w:rPr>
                <w:rFonts w:hint="eastAsia" w:ascii="宋体" w:cs="宋体"/>
                <w:szCs w:val="21"/>
                <w:lang w:val="zh-CN"/>
              </w:rPr>
              <w:t>维保设备名称</w:t>
            </w:r>
          </w:p>
        </w:tc>
        <w:tc>
          <w:tcPr>
            <w:tcW w:w="1434" w:type="dxa"/>
            <w:shd w:val="clear" w:color="000000" w:fill="auto"/>
          </w:tcPr>
          <w:p>
            <w:pPr>
              <w:spacing w:line="312" w:lineRule="auto"/>
              <w:jc w:val="center"/>
              <w:rPr>
                <w:rFonts w:ascii="宋体" w:cs="宋体"/>
                <w:szCs w:val="21"/>
                <w:lang w:val="zh-CN"/>
              </w:rPr>
            </w:pPr>
            <w:r>
              <w:rPr>
                <w:rFonts w:hint="eastAsia" w:ascii="宋体" w:cs="宋体"/>
                <w:szCs w:val="21"/>
                <w:lang w:val="zh-CN"/>
              </w:rPr>
              <w:t>数量</w:t>
            </w:r>
          </w:p>
        </w:tc>
        <w:tc>
          <w:tcPr>
            <w:tcW w:w="1434" w:type="dxa"/>
            <w:shd w:val="clear" w:color="000000" w:fill="auto"/>
          </w:tcPr>
          <w:p>
            <w:pPr>
              <w:spacing w:line="312" w:lineRule="auto"/>
              <w:jc w:val="center"/>
              <w:rPr>
                <w:rFonts w:ascii="宋体" w:cs="宋体"/>
                <w:szCs w:val="21"/>
                <w:lang w:val="zh-CN"/>
              </w:rPr>
            </w:pPr>
            <w:r>
              <w:rPr>
                <w:rFonts w:hint="eastAsia" w:ascii="宋体" w:cs="宋体"/>
                <w:szCs w:val="21"/>
                <w:lang w:val="zh-CN"/>
              </w:rPr>
              <w:t>设备所在地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84"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1</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英威腾</w:t>
            </w:r>
            <w:r>
              <w:rPr>
                <w:rFonts w:cs="Calibri"/>
                <w:szCs w:val="21"/>
              </w:rPr>
              <w:t>UPS</w:t>
            </w:r>
            <w:r>
              <w:rPr>
                <w:rFonts w:hint="eastAsia" w:ascii="宋体" w:cs="宋体"/>
                <w:szCs w:val="21"/>
                <w:lang w:val="zh-CN"/>
              </w:rPr>
              <w:t>及配电系统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88"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2</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英威腾机柜及通道系统（22个机柜）</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78"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3</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英威腾精密空调系统（4个精密空调）</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4</w:t>
            </w:r>
            <w:r>
              <w:rPr>
                <w:rFonts w:hint="eastAsia" w:ascii="宋体" w:cs="宋体"/>
                <w:szCs w:val="21"/>
                <w:lang w:val="zh-CN"/>
              </w:rPr>
              <w:t>台</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82"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4</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动环监控系统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86"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5</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电气系统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18"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6</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防雷系统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295"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7</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气体灭火系统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14"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8</w:t>
            </w:r>
          </w:p>
        </w:tc>
        <w:tc>
          <w:tcPr>
            <w:tcW w:w="4594" w:type="dxa"/>
            <w:shd w:val="clear" w:color="000000" w:fill="auto"/>
            <w:vAlign w:val="center"/>
          </w:tcPr>
          <w:p>
            <w:pPr>
              <w:spacing w:line="312" w:lineRule="auto"/>
              <w:jc w:val="center"/>
              <w:rPr>
                <w:rFonts w:ascii="宋体" w:cs="宋体"/>
                <w:szCs w:val="21"/>
                <w:lang w:val="zh-CN"/>
              </w:rPr>
            </w:pPr>
            <w:r>
              <w:rPr>
                <w:rFonts w:hint="eastAsia" w:cs="Calibri"/>
                <w:szCs w:val="21"/>
              </w:rPr>
              <w:t>北塔</w:t>
            </w:r>
            <w:r>
              <w:rPr>
                <w:rFonts w:cs="Calibri"/>
                <w:szCs w:val="21"/>
              </w:rPr>
              <w:t>IT</w:t>
            </w:r>
            <w:r>
              <w:rPr>
                <w:rFonts w:hint="eastAsia" w:ascii="宋体" w:cs="宋体"/>
                <w:szCs w:val="21"/>
                <w:lang w:val="zh-CN"/>
              </w:rPr>
              <w:t>设备监控系统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4"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9</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装修系统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11"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10</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机房加固系统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2" w:hRule="atLeast"/>
          <w:jc w:val="center"/>
        </w:trPr>
        <w:tc>
          <w:tcPr>
            <w:tcW w:w="855" w:type="dxa"/>
            <w:shd w:val="clear" w:color="000000" w:fill="auto"/>
          </w:tcPr>
          <w:p>
            <w:pPr>
              <w:spacing w:line="312" w:lineRule="auto"/>
              <w:jc w:val="center"/>
              <w:rPr>
                <w:rFonts w:ascii="宋体" w:cs="宋体"/>
                <w:szCs w:val="21"/>
                <w:lang w:val="zh-CN"/>
              </w:rPr>
            </w:pPr>
            <w:r>
              <w:rPr>
                <w:rFonts w:cs="Calibri"/>
                <w:szCs w:val="21"/>
              </w:rPr>
              <w:t>11</w:t>
            </w:r>
          </w:p>
        </w:tc>
        <w:tc>
          <w:tcPr>
            <w:tcW w:w="4594" w:type="dxa"/>
            <w:shd w:val="clear" w:color="000000" w:fill="auto"/>
            <w:vAlign w:val="center"/>
          </w:tcPr>
          <w:p>
            <w:pPr>
              <w:spacing w:line="312" w:lineRule="auto"/>
              <w:jc w:val="center"/>
              <w:rPr>
                <w:rFonts w:ascii="宋体" w:cs="宋体"/>
                <w:szCs w:val="21"/>
                <w:lang w:val="zh-CN"/>
              </w:rPr>
            </w:pPr>
            <w:r>
              <w:rPr>
                <w:rFonts w:hint="eastAsia" w:ascii="宋体" w:cs="宋体"/>
                <w:szCs w:val="21"/>
                <w:lang w:val="zh-CN"/>
              </w:rPr>
              <w:t>监控区、缓冲区配套系统</w:t>
            </w:r>
          </w:p>
        </w:tc>
        <w:tc>
          <w:tcPr>
            <w:tcW w:w="1434" w:type="dxa"/>
            <w:shd w:val="clear" w:color="000000" w:fill="auto"/>
            <w:vAlign w:val="center"/>
          </w:tcPr>
          <w:p>
            <w:pPr>
              <w:spacing w:line="312" w:lineRule="auto"/>
              <w:jc w:val="center"/>
              <w:rPr>
                <w:rFonts w:ascii="宋体" w:cs="宋体"/>
                <w:szCs w:val="21"/>
                <w:lang w:val="zh-CN"/>
              </w:rPr>
            </w:pPr>
            <w:r>
              <w:rPr>
                <w:rFonts w:cs="Calibri"/>
                <w:szCs w:val="21"/>
              </w:rPr>
              <w:t>1</w:t>
            </w:r>
            <w:r>
              <w:rPr>
                <w:rFonts w:hint="eastAsia" w:ascii="宋体" w:cs="宋体"/>
                <w:szCs w:val="21"/>
                <w:lang w:val="zh-CN"/>
              </w:rPr>
              <w:t>套</w:t>
            </w:r>
          </w:p>
        </w:tc>
        <w:tc>
          <w:tcPr>
            <w:tcW w:w="1434" w:type="dxa"/>
            <w:shd w:val="clear" w:color="000000" w:fill="auto"/>
          </w:tcPr>
          <w:p>
            <w:pPr>
              <w:spacing w:line="312" w:lineRule="auto"/>
              <w:jc w:val="center"/>
              <w:rPr>
                <w:rFonts w:cs="Calibri"/>
                <w:szCs w:val="21"/>
              </w:rPr>
            </w:pPr>
            <w:r>
              <w:rPr>
                <w:rFonts w:hint="eastAsia" w:cs="Calibri"/>
                <w:szCs w:val="21"/>
              </w:rPr>
              <w:t>南京</w:t>
            </w:r>
          </w:p>
        </w:tc>
      </w:tr>
    </w:tbl>
    <w:p>
      <w:pPr>
        <w:spacing w:line="560" w:lineRule="atLeast"/>
        <w:ind w:firstLine="480"/>
        <w:jc w:val="left"/>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szCs w:val="21"/>
              </w:rPr>
            </w:pPr>
            <w:r>
              <w:rPr>
                <w:szCs w:val="21"/>
              </w:rPr>
              <w:t>序号</w:t>
            </w:r>
          </w:p>
        </w:tc>
        <w:tc>
          <w:tcPr>
            <w:tcW w:w="1181" w:type="dxa"/>
            <w:vAlign w:val="center"/>
          </w:tcPr>
          <w:p>
            <w:pPr>
              <w:spacing w:line="312" w:lineRule="auto"/>
              <w:jc w:val="center"/>
              <w:rPr>
                <w:szCs w:val="21"/>
              </w:rPr>
            </w:pPr>
            <w:r>
              <w:rPr>
                <w:szCs w:val="21"/>
              </w:rPr>
              <w:t>运维内容</w:t>
            </w:r>
          </w:p>
        </w:tc>
        <w:tc>
          <w:tcPr>
            <w:tcW w:w="6945" w:type="dxa"/>
            <w:vAlign w:val="center"/>
          </w:tcPr>
          <w:p>
            <w:pPr>
              <w:spacing w:line="312" w:lineRule="auto"/>
              <w:jc w:val="center"/>
              <w:rPr>
                <w:szCs w:val="21"/>
              </w:rPr>
            </w:pPr>
            <w:r>
              <w:rPr>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457" w:type="dxa"/>
            <w:vAlign w:val="center"/>
          </w:tcPr>
          <w:p>
            <w:pPr>
              <w:spacing w:line="312" w:lineRule="auto"/>
              <w:jc w:val="center"/>
              <w:rPr>
                <w:szCs w:val="21"/>
              </w:rPr>
            </w:pPr>
            <w:r>
              <w:rPr>
                <w:szCs w:val="21"/>
              </w:rPr>
              <w:t>1</w:t>
            </w:r>
          </w:p>
        </w:tc>
        <w:tc>
          <w:tcPr>
            <w:tcW w:w="1181" w:type="dxa"/>
            <w:vAlign w:val="center"/>
          </w:tcPr>
          <w:p>
            <w:pPr>
              <w:spacing w:line="312" w:lineRule="auto"/>
              <w:rPr>
                <w:szCs w:val="21"/>
              </w:rPr>
            </w:pPr>
            <w:r>
              <w:rPr>
                <w:szCs w:val="21"/>
              </w:rPr>
              <w:t>日常运维</w:t>
            </w:r>
          </w:p>
        </w:tc>
        <w:tc>
          <w:tcPr>
            <w:tcW w:w="6945" w:type="dxa"/>
            <w:vAlign w:val="center"/>
          </w:tcPr>
          <w:p>
            <w:pPr>
              <w:spacing w:line="312" w:lineRule="auto"/>
              <w:ind w:firstLine="482"/>
              <w:rPr>
                <w:b/>
                <w:bCs/>
                <w:szCs w:val="21"/>
              </w:rPr>
            </w:pPr>
            <w:r>
              <w:rPr>
                <w:szCs w:val="21"/>
                <w:lang w:val="zh-CN"/>
              </w:rPr>
              <w:t>提供</w:t>
            </w:r>
            <w:r>
              <w:rPr>
                <w:rFonts w:hint="eastAsia"/>
                <w:szCs w:val="21"/>
                <w:lang w:val="zh-CN"/>
              </w:rPr>
              <w:t>清单中</w:t>
            </w:r>
            <w:r>
              <w:rPr>
                <w:szCs w:val="21"/>
                <w:lang w:val="zh-CN"/>
              </w:rPr>
              <w:t>全部软硬件设备的日常运维、故障处理（设备整机或配件，在无法修复时免费更换）、技术改造、耗材补充、以及机房内综合整治等服务。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2</w:t>
            </w:r>
          </w:p>
        </w:tc>
        <w:tc>
          <w:tcPr>
            <w:tcW w:w="1181" w:type="dxa"/>
            <w:vAlign w:val="center"/>
          </w:tcPr>
          <w:p>
            <w:pPr>
              <w:spacing w:line="312" w:lineRule="auto"/>
              <w:rPr>
                <w:szCs w:val="21"/>
                <w:lang w:val="zh-CN"/>
              </w:rPr>
            </w:pPr>
            <w:r>
              <w:rPr>
                <w:szCs w:val="21"/>
                <w:lang w:val="zh-CN"/>
              </w:rPr>
              <w:t>机房</w:t>
            </w:r>
            <w:r>
              <w:rPr>
                <w:rFonts w:hint="eastAsia"/>
                <w:szCs w:val="21"/>
                <w:lang w:val="zh-CN"/>
              </w:rPr>
              <w:t>软硬件</w:t>
            </w:r>
            <w:r>
              <w:rPr>
                <w:szCs w:val="21"/>
                <w:lang w:val="zh-CN"/>
              </w:rPr>
              <w:t>优化</w:t>
            </w:r>
          </w:p>
        </w:tc>
        <w:tc>
          <w:tcPr>
            <w:tcW w:w="6945" w:type="dxa"/>
            <w:vAlign w:val="center"/>
          </w:tcPr>
          <w:p>
            <w:pPr>
              <w:spacing w:line="312" w:lineRule="auto"/>
              <w:ind w:firstLine="480"/>
              <w:rPr>
                <w:b/>
                <w:bCs/>
                <w:szCs w:val="21"/>
              </w:rPr>
            </w:pPr>
            <w:r>
              <w:rPr>
                <w:szCs w:val="21"/>
                <w:lang w:val="zh-CN"/>
              </w:rPr>
              <w:t>提供信息机房内所有</w:t>
            </w:r>
            <w:r>
              <w:rPr>
                <w:rFonts w:hint="eastAsia"/>
                <w:szCs w:val="21"/>
                <w:lang w:val="zh-CN"/>
              </w:rPr>
              <w:t>软硬件</w:t>
            </w:r>
            <w:r>
              <w:rPr>
                <w:szCs w:val="21"/>
                <w:lang w:val="zh-CN"/>
              </w:rPr>
              <w:t>系统的日常运维、综合演练、故障分析处理、以及策略优化。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3</w:t>
            </w:r>
          </w:p>
        </w:tc>
        <w:tc>
          <w:tcPr>
            <w:tcW w:w="1181" w:type="dxa"/>
            <w:vAlign w:val="center"/>
          </w:tcPr>
          <w:p>
            <w:pPr>
              <w:spacing w:line="312" w:lineRule="auto"/>
              <w:rPr>
                <w:szCs w:val="21"/>
                <w:lang w:val="zh-CN"/>
              </w:rPr>
            </w:pPr>
            <w:r>
              <w:rPr>
                <w:szCs w:val="21"/>
                <w:lang w:val="zh-CN"/>
              </w:rPr>
              <w:t>机房监控系统维护</w:t>
            </w:r>
          </w:p>
        </w:tc>
        <w:tc>
          <w:tcPr>
            <w:tcW w:w="6945" w:type="dxa"/>
            <w:vAlign w:val="center"/>
          </w:tcPr>
          <w:p>
            <w:pPr>
              <w:spacing w:line="312" w:lineRule="auto"/>
              <w:ind w:firstLine="480"/>
              <w:rPr>
                <w:b/>
                <w:bCs/>
                <w:szCs w:val="21"/>
              </w:rPr>
            </w:pPr>
            <w:r>
              <w:rPr>
                <w:szCs w:val="21"/>
                <w:lang w:val="zh-CN"/>
              </w:rPr>
              <w:t>做好对机房动环、视频、</w:t>
            </w:r>
            <w:r>
              <w:rPr>
                <w:szCs w:val="21"/>
              </w:rPr>
              <w:t>IT</w:t>
            </w:r>
            <w:r>
              <w:rPr>
                <w:szCs w:val="21"/>
                <w:lang w:val="zh-CN"/>
              </w:rPr>
              <w:t>设备等各类监控系统维护，能够根据机房变化情况实时更新软件系统配置，免费进行各类软件系统升级及更新。确保动环监控系统短信告警正常运行，其产生的短信费等费用包含在本项目中。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4</w:t>
            </w:r>
          </w:p>
        </w:tc>
        <w:tc>
          <w:tcPr>
            <w:tcW w:w="1181" w:type="dxa"/>
            <w:vAlign w:val="center"/>
          </w:tcPr>
          <w:p>
            <w:pPr>
              <w:spacing w:line="312" w:lineRule="auto"/>
              <w:rPr>
                <w:szCs w:val="21"/>
                <w:lang w:val="zh-CN"/>
              </w:rPr>
            </w:pPr>
            <w:r>
              <w:rPr>
                <w:szCs w:val="21"/>
                <w:lang w:val="zh-CN"/>
              </w:rPr>
              <w:t>机房环境检查</w:t>
            </w:r>
          </w:p>
        </w:tc>
        <w:tc>
          <w:tcPr>
            <w:tcW w:w="6945" w:type="dxa"/>
            <w:vAlign w:val="center"/>
          </w:tcPr>
          <w:p>
            <w:pPr>
              <w:spacing w:line="312" w:lineRule="auto"/>
              <w:ind w:firstLine="480"/>
              <w:rPr>
                <w:b/>
                <w:bCs/>
                <w:szCs w:val="21"/>
              </w:rPr>
            </w:pPr>
            <w:r>
              <w:rPr>
                <w:szCs w:val="21"/>
                <w:lang w:val="zh-CN"/>
              </w:rPr>
              <w:t>对机房区域所有设备及环境进行检查，记录检查结果，包括机房内的动环监控系统、视频监控系统、</w:t>
            </w:r>
            <w:r>
              <w:rPr>
                <w:szCs w:val="21"/>
              </w:rPr>
              <w:t>IT</w:t>
            </w:r>
            <w:r>
              <w:rPr>
                <w:szCs w:val="21"/>
                <w:lang w:val="zh-CN"/>
              </w:rPr>
              <w:t>设备监控系统、配电系统、机柜系统、消防系统</w:t>
            </w:r>
            <w:r>
              <w:rPr>
                <w:rFonts w:hint="eastAsia"/>
                <w:szCs w:val="21"/>
                <w:lang w:val="zh-CN"/>
              </w:rPr>
              <w:t>、防雷系统</w:t>
            </w:r>
            <w:r>
              <w:rPr>
                <w:szCs w:val="21"/>
                <w:lang w:val="zh-CN"/>
              </w:rPr>
              <w:t>等系统，发现告警或故障及时处理。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5</w:t>
            </w:r>
          </w:p>
        </w:tc>
        <w:tc>
          <w:tcPr>
            <w:tcW w:w="1181" w:type="dxa"/>
            <w:vAlign w:val="center"/>
          </w:tcPr>
          <w:p>
            <w:pPr>
              <w:spacing w:line="312" w:lineRule="auto"/>
              <w:rPr>
                <w:szCs w:val="21"/>
                <w:lang w:val="zh-CN"/>
              </w:rPr>
            </w:pPr>
            <w:r>
              <w:rPr>
                <w:szCs w:val="21"/>
                <w:lang w:val="zh-CN"/>
              </w:rPr>
              <w:t>空调系统运维</w:t>
            </w:r>
          </w:p>
        </w:tc>
        <w:tc>
          <w:tcPr>
            <w:tcW w:w="6945" w:type="dxa"/>
            <w:vAlign w:val="center"/>
          </w:tcPr>
          <w:p>
            <w:pPr>
              <w:spacing w:line="312" w:lineRule="auto"/>
              <w:ind w:firstLine="480"/>
              <w:rPr>
                <w:b/>
                <w:bCs/>
                <w:szCs w:val="21"/>
              </w:rPr>
            </w:pPr>
            <w:r>
              <w:rPr>
                <w:szCs w:val="21"/>
                <w:lang w:val="zh-CN"/>
              </w:rPr>
              <w:t>检查精密空调系统检查空调运行状态，记录检查结果，重点查看有无报警信息，定期检查温湿度传感器、压缩机、冷凝器、加湿器、以及进水排水系统。定期更换过滤网、加湿罐等易耗品。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181" w:type="dxa"/>
            <w:vAlign w:val="center"/>
          </w:tcPr>
          <w:p>
            <w:pPr>
              <w:spacing w:line="312" w:lineRule="auto"/>
              <w:rPr>
                <w:szCs w:val="21"/>
              </w:rPr>
            </w:pPr>
            <w:r>
              <w:rPr>
                <w:szCs w:val="21"/>
              </w:rPr>
              <w:t>配电系统运维</w:t>
            </w:r>
          </w:p>
        </w:tc>
        <w:tc>
          <w:tcPr>
            <w:tcW w:w="6945" w:type="dxa"/>
            <w:vAlign w:val="center"/>
          </w:tcPr>
          <w:p>
            <w:pPr>
              <w:spacing w:line="312" w:lineRule="auto"/>
              <w:ind w:firstLine="480"/>
              <w:rPr>
                <w:b/>
                <w:bCs/>
                <w:szCs w:val="21"/>
              </w:rPr>
            </w:pPr>
            <w:r>
              <w:rPr>
                <w:szCs w:val="21"/>
                <w:lang w:val="zh-CN"/>
              </w:rPr>
              <w:t>检查</w:t>
            </w:r>
            <w:r>
              <w:rPr>
                <w:szCs w:val="21"/>
              </w:rPr>
              <w:t>UPS</w:t>
            </w:r>
            <w:r>
              <w:rPr>
                <w:szCs w:val="21"/>
                <w:lang w:val="zh-CN"/>
              </w:rPr>
              <w:t>及配电系统运行状态，出具检查报告。重点检查电池组、</w:t>
            </w:r>
            <w:r>
              <w:rPr>
                <w:szCs w:val="21"/>
              </w:rPr>
              <w:t>UPS</w:t>
            </w:r>
            <w:r>
              <w:rPr>
                <w:szCs w:val="21"/>
                <w:lang w:val="zh-CN"/>
              </w:rPr>
              <w:t>主机风扇、环境温度、电压以及市电交流供电情况。对电池组进行充放电测试，对电池组的安全情况进行评估，</w:t>
            </w:r>
            <w:r>
              <w:rPr>
                <w:rFonts w:hint="eastAsia"/>
                <w:szCs w:val="21"/>
                <w:lang w:val="zh-CN"/>
              </w:rPr>
              <w:t>如果需要更换，及时更换相应电池等，</w:t>
            </w:r>
            <w:r>
              <w:rPr>
                <w:szCs w:val="21"/>
                <w:lang w:val="zh-CN"/>
              </w:rPr>
              <w:t>保持电池组良好状态。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7</w:t>
            </w:r>
          </w:p>
        </w:tc>
        <w:tc>
          <w:tcPr>
            <w:tcW w:w="1181" w:type="dxa"/>
            <w:vAlign w:val="center"/>
          </w:tcPr>
          <w:p>
            <w:pPr>
              <w:spacing w:line="312" w:lineRule="auto"/>
              <w:rPr>
                <w:szCs w:val="21"/>
              </w:rPr>
            </w:pPr>
            <w:r>
              <w:rPr>
                <w:szCs w:val="21"/>
              </w:rPr>
              <w:t>消防</w:t>
            </w:r>
            <w:r>
              <w:rPr>
                <w:rFonts w:hint="eastAsia"/>
                <w:szCs w:val="21"/>
              </w:rPr>
              <w:t>系统</w:t>
            </w:r>
            <w:r>
              <w:rPr>
                <w:szCs w:val="21"/>
              </w:rPr>
              <w:t>运维</w:t>
            </w:r>
          </w:p>
        </w:tc>
        <w:tc>
          <w:tcPr>
            <w:tcW w:w="6945" w:type="dxa"/>
            <w:vAlign w:val="center"/>
          </w:tcPr>
          <w:p>
            <w:pPr>
              <w:spacing w:line="312" w:lineRule="auto"/>
              <w:ind w:firstLine="480"/>
              <w:rPr>
                <w:szCs w:val="21"/>
                <w:lang w:val="zh-CN"/>
              </w:rPr>
            </w:pPr>
            <w:r>
              <w:rPr>
                <w:szCs w:val="21"/>
                <w:lang w:val="zh-CN"/>
              </w:rPr>
              <w:t>全面检查消防设施设备运行状况，出具检查报告。主要包括：检查烟雾和温度探测器的外表面应清洁，无灰尘和环境污染，</w:t>
            </w:r>
            <w:r>
              <w:rPr>
                <w:rFonts w:hint="eastAsia"/>
                <w:szCs w:val="21"/>
                <w:lang w:val="zh-CN"/>
              </w:rPr>
              <w:t>检查运行状态，</w:t>
            </w:r>
            <w:r>
              <w:rPr>
                <w:szCs w:val="21"/>
                <w:lang w:val="zh-CN"/>
              </w:rPr>
              <w:t>以确保它们的敏感性</w:t>
            </w:r>
            <w:r>
              <w:rPr>
                <w:szCs w:val="21"/>
              </w:rPr>
              <w:t>;</w:t>
            </w:r>
            <w:r>
              <w:rPr>
                <w:szCs w:val="21"/>
                <w:lang w:val="zh-CN"/>
              </w:rPr>
              <w:t>检查喷嘴孔是否堵塞；检查所有气缸的外观是否有腐蚀和涂层脱落，检查灭火剂储存容器的储存压力</w:t>
            </w:r>
            <w:r>
              <w:rPr>
                <w:rFonts w:hint="eastAsia"/>
                <w:szCs w:val="21"/>
                <w:lang w:val="zh-CN"/>
              </w:rPr>
              <w:t>；检查七氟丙烷气体灭火系统、相关消防报警及控制系统运行状况，确保系统处于正常运行状态；检查</w:t>
            </w:r>
            <w:r>
              <w:rPr>
                <w:rFonts w:hint="eastAsia"/>
                <w:lang w:val="zh-CN"/>
              </w:rPr>
              <w:t>排风机等运行状态，确保其属于正常运行状态；</w:t>
            </w:r>
            <w:r>
              <w:rPr>
                <w:rFonts w:hint="eastAsia"/>
                <w:szCs w:val="21"/>
                <w:lang w:val="zh-CN"/>
              </w:rPr>
              <w:t>检查</w:t>
            </w:r>
            <w:r>
              <w:rPr>
                <w:szCs w:val="21"/>
                <w:lang w:val="zh-CN"/>
              </w:rPr>
              <w:t>机房</w:t>
            </w:r>
            <w:r>
              <w:rPr>
                <w:rFonts w:hint="eastAsia"/>
                <w:szCs w:val="21"/>
                <w:lang w:val="zh-CN"/>
              </w:rPr>
              <w:t>内部及</w:t>
            </w:r>
            <w:r>
              <w:rPr>
                <w:szCs w:val="21"/>
                <w:lang w:val="zh-CN"/>
              </w:rPr>
              <w:t>办公区域配备灭火器等消防设备</w:t>
            </w:r>
            <w:r>
              <w:rPr>
                <w:rFonts w:hint="eastAsia"/>
                <w:szCs w:val="21"/>
                <w:lang w:val="zh-CN"/>
              </w:rPr>
              <w:t>状态，使其</w:t>
            </w:r>
            <w:r>
              <w:rPr>
                <w:szCs w:val="21"/>
                <w:lang w:val="zh-CN"/>
              </w:rPr>
              <w:t>并保持良好状态。</w:t>
            </w:r>
            <w:r>
              <w:t>巡检发现问题及时进行维修处理</w:t>
            </w:r>
            <w:r>
              <w:rPr>
                <w:rFonts w:hint="eastAsi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8</w:t>
            </w:r>
          </w:p>
        </w:tc>
        <w:tc>
          <w:tcPr>
            <w:tcW w:w="1181" w:type="dxa"/>
            <w:vAlign w:val="center"/>
          </w:tcPr>
          <w:p>
            <w:pPr>
              <w:spacing w:line="312" w:lineRule="auto"/>
              <w:rPr>
                <w:szCs w:val="21"/>
              </w:rPr>
            </w:pPr>
            <w:r>
              <w:rPr>
                <w:rFonts w:hint="eastAsia"/>
                <w:szCs w:val="21"/>
              </w:rPr>
              <w:t>新设备上架支撑</w:t>
            </w:r>
          </w:p>
        </w:tc>
        <w:tc>
          <w:tcPr>
            <w:tcW w:w="6945" w:type="dxa"/>
            <w:vAlign w:val="center"/>
          </w:tcPr>
          <w:p>
            <w:pPr>
              <w:spacing w:line="312" w:lineRule="auto"/>
              <w:ind w:firstLine="480"/>
              <w:rPr>
                <w:szCs w:val="21"/>
                <w:lang w:val="zh-CN"/>
              </w:rPr>
            </w:pPr>
            <w:r>
              <w:rPr>
                <w:rFonts w:hint="eastAsia"/>
                <w:szCs w:val="21"/>
                <w:lang w:val="zh-CN"/>
              </w:rPr>
              <w:t>机房内如有新设备上架，根据用户工作需要提供设备在机柜内上架所需的支架、网线、光纤、电源线等辅助材料，协助开展设备上架相关工作。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9</w:t>
            </w:r>
          </w:p>
        </w:tc>
        <w:tc>
          <w:tcPr>
            <w:tcW w:w="1181" w:type="dxa"/>
            <w:vAlign w:val="center"/>
          </w:tcPr>
          <w:p>
            <w:pPr>
              <w:spacing w:line="312" w:lineRule="auto"/>
              <w:rPr>
                <w:szCs w:val="21"/>
              </w:rPr>
            </w:pPr>
            <w:r>
              <w:rPr>
                <w:szCs w:val="21"/>
              </w:rPr>
              <w:t>耗材补充</w:t>
            </w:r>
          </w:p>
        </w:tc>
        <w:tc>
          <w:tcPr>
            <w:tcW w:w="6945" w:type="dxa"/>
            <w:vAlign w:val="center"/>
          </w:tcPr>
          <w:p>
            <w:pPr>
              <w:spacing w:line="312" w:lineRule="auto"/>
              <w:ind w:firstLine="482"/>
              <w:rPr>
                <w:szCs w:val="21"/>
              </w:rPr>
            </w:pPr>
            <w:r>
              <w:rPr>
                <w:szCs w:val="21"/>
                <w:lang w:val="zh-CN"/>
              </w:rPr>
              <w:t>按照保养和运维要求，检查机房内各类设备及系统耗材损耗情况，对设备所需使用的各类耗材及时进行补充，保证设备状态符合技术要求。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10</w:t>
            </w:r>
          </w:p>
        </w:tc>
        <w:tc>
          <w:tcPr>
            <w:tcW w:w="1181" w:type="dxa"/>
            <w:vAlign w:val="center"/>
          </w:tcPr>
          <w:p>
            <w:pPr>
              <w:spacing w:line="312" w:lineRule="auto"/>
              <w:rPr>
                <w:szCs w:val="21"/>
              </w:rPr>
            </w:pPr>
            <w:r>
              <w:rPr>
                <w:szCs w:val="21"/>
              </w:rPr>
              <w:t>故障处理</w:t>
            </w:r>
          </w:p>
        </w:tc>
        <w:tc>
          <w:tcPr>
            <w:tcW w:w="6945" w:type="dxa"/>
            <w:vAlign w:val="center"/>
          </w:tcPr>
          <w:p>
            <w:pPr>
              <w:spacing w:line="312" w:lineRule="auto"/>
              <w:ind w:firstLine="480"/>
              <w:rPr>
                <w:b/>
                <w:bCs/>
                <w:szCs w:val="21"/>
              </w:rPr>
            </w:pPr>
            <w:r>
              <w:rPr>
                <w:szCs w:val="21"/>
                <w:lang w:val="zh-CN"/>
              </w:rPr>
              <w:t>在用户要求时限内，解决机房范围内各类设备及系统故障。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szCs w:val="21"/>
              </w:rPr>
              <w:t>1</w:t>
            </w:r>
            <w:r>
              <w:rPr>
                <w:rFonts w:hint="eastAsia"/>
                <w:szCs w:val="21"/>
              </w:rPr>
              <w:t>1</w:t>
            </w:r>
          </w:p>
        </w:tc>
        <w:tc>
          <w:tcPr>
            <w:tcW w:w="1181" w:type="dxa"/>
            <w:vAlign w:val="center"/>
          </w:tcPr>
          <w:p>
            <w:pPr>
              <w:spacing w:line="312" w:lineRule="auto"/>
              <w:rPr>
                <w:szCs w:val="21"/>
              </w:rPr>
            </w:pPr>
            <w:r>
              <w:rPr>
                <w:szCs w:val="21"/>
              </w:rPr>
              <w:t>技术支持</w:t>
            </w:r>
            <w:r>
              <w:rPr>
                <w:rFonts w:hint="eastAsia"/>
                <w:szCs w:val="21"/>
              </w:rPr>
              <w:t>及安全应急演练</w:t>
            </w:r>
          </w:p>
        </w:tc>
        <w:tc>
          <w:tcPr>
            <w:tcW w:w="6945" w:type="dxa"/>
            <w:vAlign w:val="center"/>
          </w:tcPr>
          <w:p>
            <w:pPr>
              <w:spacing w:line="312" w:lineRule="auto"/>
              <w:ind w:firstLine="482"/>
              <w:rPr>
                <w:szCs w:val="21"/>
              </w:rPr>
            </w:pPr>
            <w:r>
              <w:rPr>
                <w:szCs w:val="21"/>
                <w:lang w:val="zh-CN"/>
              </w:rPr>
              <w:t>根据用户工作需要，能够配合提供行业内机房相关技术支持和软硬件技术服务。</w:t>
            </w:r>
            <w:r>
              <w:rPr>
                <w:rFonts w:hint="eastAsia"/>
                <w:szCs w:val="21"/>
                <w:lang w:val="zh-CN"/>
              </w:rPr>
              <w:t>同时，至少开展一次机房消防安全应急演练。</w:t>
            </w:r>
            <w:r>
              <w:rPr>
                <w:rFonts w:hint="eastAsia" w:ascii="宋体" w:hAnsi="宋体" w:cs="宋体"/>
                <w:szCs w:val="21"/>
                <w:lang w:val="zh-CN"/>
              </w:rPr>
              <w:t>UPS及配电系统、英威腾机柜及通道系统、精密空调系统、动环监控系统等相关软硬件需提供不低于原厂级别的质保服务。</w:t>
            </w:r>
            <w:r>
              <w:rPr>
                <w:rFonts w:hint="eastAsia" w:ascii="宋体" w:hAnsi="宋体" w:cs="宋体"/>
                <w:b/>
                <w:bCs/>
                <w:szCs w:val="21"/>
                <w:lang w:val="zh-CN"/>
              </w:rPr>
              <w:t>要求提供承诺函并加盖公章。</w:t>
            </w:r>
          </w:p>
        </w:tc>
      </w:tr>
    </w:tbl>
    <w:p>
      <w:pPr>
        <w:spacing w:line="560" w:lineRule="atLeast"/>
        <w:ind w:firstLine="480"/>
        <w:rPr>
          <w:rFonts w:ascii="宋体" w:cs="宋体"/>
          <w:sz w:val="24"/>
          <w:szCs w:val="24"/>
          <w:lang w:val="zh-CN"/>
        </w:rPr>
      </w:pPr>
      <w:r>
        <w:rPr>
          <w:rFonts w:hint="eastAsia" w:ascii="宋体" w:cs="宋体"/>
          <w:sz w:val="24"/>
          <w:szCs w:val="24"/>
          <w:lang w:val="zh-CN"/>
        </w:rPr>
        <w:t>（2）运维频次要求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序号</w:t>
            </w:r>
          </w:p>
        </w:tc>
        <w:tc>
          <w:tcPr>
            <w:tcW w:w="4252" w:type="dxa"/>
            <w:vAlign w:val="center"/>
          </w:tcPr>
          <w:p>
            <w:pPr>
              <w:spacing w:line="312" w:lineRule="auto"/>
              <w:jc w:val="center"/>
              <w:rPr>
                <w:szCs w:val="21"/>
                <w:lang w:val="zh-CN"/>
              </w:rPr>
            </w:pPr>
            <w:r>
              <w:rPr>
                <w:szCs w:val="21"/>
                <w:lang w:val="zh-CN"/>
              </w:rPr>
              <w:t>运维内容</w:t>
            </w:r>
          </w:p>
        </w:tc>
        <w:tc>
          <w:tcPr>
            <w:tcW w:w="2225" w:type="dxa"/>
            <w:vAlign w:val="center"/>
          </w:tcPr>
          <w:p>
            <w:pPr>
              <w:spacing w:line="312" w:lineRule="auto"/>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1</w:t>
            </w:r>
          </w:p>
        </w:tc>
        <w:tc>
          <w:tcPr>
            <w:tcW w:w="4252" w:type="dxa"/>
            <w:vAlign w:val="center"/>
          </w:tcPr>
          <w:p>
            <w:pPr>
              <w:spacing w:line="312" w:lineRule="auto"/>
              <w:jc w:val="center"/>
              <w:rPr>
                <w:szCs w:val="21"/>
                <w:lang w:val="zh-CN"/>
              </w:rPr>
            </w:pPr>
            <w:r>
              <w:rPr>
                <w:rFonts w:hint="eastAsia" w:ascii="宋体" w:cs="宋体"/>
                <w:szCs w:val="21"/>
                <w:lang w:val="zh-CN"/>
              </w:rPr>
              <w:t>对机房区域所有设备及环境进行检查</w:t>
            </w:r>
          </w:p>
        </w:tc>
        <w:tc>
          <w:tcPr>
            <w:tcW w:w="2225" w:type="dxa"/>
            <w:vAlign w:val="center"/>
          </w:tcPr>
          <w:p>
            <w:pPr>
              <w:spacing w:line="312" w:lineRule="auto"/>
              <w:jc w:val="center"/>
              <w:rPr>
                <w:szCs w:val="21"/>
                <w:lang w:val="zh-CN"/>
              </w:rPr>
            </w:pPr>
            <w:r>
              <w:rPr>
                <w:rFonts w:hint="eastAsia"/>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2</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检查精密空调系统检查空调运行状态</w:t>
            </w:r>
          </w:p>
        </w:tc>
        <w:tc>
          <w:tcPr>
            <w:tcW w:w="2225" w:type="dxa"/>
            <w:vAlign w:val="center"/>
          </w:tcPr>
          <w:p>
            <w:pPr>
              <w:spacing w:line="312" w:lineRule="auto"/>
              <w:jc w:val="center"/>
              <w:rPr>
                <w:szCs w:val="21"/>
                <w:lang w:val="zh-CN"/>
              </w:rPr>
            </w:pPr>
            <w:r>
              <w:rPr>
                <w:rFonts w:hint="eastAsia"/>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3</w:t>
            </w:r>
          </w:p>
        </w:tc>
        <w:tc>
          <w:tcPr>
            <w:tcW w:w="4252" w:type="dxa"/>
            <w:vAlign w:val="center"/>
          </w:tcPr>
          <w:p>
            <w:pPr>
              <w:spacing w:line="312" w:lineRule="auto"/>
              <w:jc w:val="center"/>
              <w:rPr>
                <w:szCs w:val="21"/>
                <w:lang w:val="zh-CN"/>
              </w:rPr>
            </w:pPr>
            <w:r>
              <w:rPr>
                <w:rFonts w:hint="eastAsia" w:ascii="宋体" w:cs="宋体"/>
                <w:szCs w:val="21"/>
                <w:lang w:val="zh-CN"/>
              </w:rPr>
              <w:t>全面检查</w:t>
            </w:r>
            <w:r>
              <w:rPr>
                <w:rFonts w:cs="Calibri"/>
                <w:szCs w:val="21"/>
              </w:rPr>
              <w:t>UPS</w:t>
            </w:r>
            <w:r>
              <w:rPr>
                <w:rFonts w:hint="eastAsia" w:ascii="宋体" w:cs="宋体"/>
                <w:szCs w:val="21"/>
                <w:lang w:val="zh-CN"/>
              </w:rPr>
              <w:t>及配电系统运行状态</w:t>
            </w:r>
          </w:p>
        </w:tc>
        <w:tc>
          <w:tcPr>
            <w:tcW w:w="2225" w:type="dxa"/>
            <w:vAlign w:val="center"/>
          </w:tcPr>
          <w:p>
            <w:pPr>
              <w:spacing w:line="312" w:lineRule="auto"/>
              <w:jc w:val="center"/>
              <w:rPr>
                <w:szCs w:val="21"/>
                <w:lang w:val="zh-CN"/>
              </w:rPr>
            </w:pPr>
            <w:r>
              <w:rPr>
                <w:rFonts w:hint="eastAsia"/>
                <w:szCs w:val="21"/>
                <w:lang w:val="zh-CN"/>
              </w:rPr>
              <w:t>每季度至少一次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szCs w:val="21"/>
                <w:lang w:val="zh-CN"/>
              </w:rPr>
              <w:t>4</w:t>
            </w:r>
          </w:p>
        </w:tc>
        <w:tc>
          <w:tcPr>
            <w:tcW w:w="4252" w:type="dxa"/>
            <w:vAlign w:val="center"/>
          </w:tcPr>
          <w:p>
            <w:pPr>
              <w:spacing w:line="312" w:lineRule="auto"/>
              <w:jc w:val="center"/>
              <w:rPr>
                <w:szCs w:val="21"/>
                <w:lang w:val="zh-CN"/>
              </w:rPr>
            </w:pPr>
            <w:r>
              <w:rPr>
                <w:rFonts w:hint="eastAsia" w:ascii="宋体" w:cs="宋体"/>
                <w:szCs w:val="21"/>
                <w:lang w:val="zh-CN"/>
              </w:rPr>
              <w:t>对UPS电池组进行充放电测试</w:t>
            </w:r>
          </w:p>
        </w:tc>
        <w:tc>
          <w:tcPr>
            <w:tcW w:w="2225" w:type="dxa"/>
            <w:vAlign w:val="center"/>
          </w:tcPr>
          <w:p>
            <w:pPr>
              <w:spacing w:line="312" w:lineRule="auto"/>
              <w:jc w:val="center"/>
              <w:rPr>
                <w:szCs w:val="21"/>
                <w:lang w:val="zh-CN"/>
              </w:rPr>
            </w:pPr>
            <w:r>
              <w:rPr>
                <w:rFonts w:hint="eastAsia"/>
                <w:szCs w:val="21"/>
                <w:lang w:val="zh-CN"/>
              </w:rPr>
              <w:t>每半年至少一次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5</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全面检查消防设施设备运行状况</w:t>
            </w:r>
          </w:p>
        </w:tc>
        <w:tc>
          <w:tcPr>
            <w:tcW w:w="2225" w:type="dxa"/>
            <w:vAlign w:val="center"/>
          </w:tcPr>
          <w:p>
            <w:pPr>
              <w:spacing w:line="312" w:lineRule="auto"/>
              <w:jc w:val="center"/>
              <w:rPr>
                <w:szCs w:val="21"/>
                <w:lang w:val="zh-CN"/>
              </w:rPr>
            </w:pPr>
            <w:r>
              <w:rPr>
                <w:rFonts w:hint="eastAsia"/>
                <w:szCs w:val="21"/>
                <w:lang w:val="zh-CN"/>
              </w:rPr>
              <w:t>每季度至少一次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6</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检查机房各类设备及系统耗材损耗情况，及时补充所需耗材</w:t>
            </w:r>
          </w:p>
        </w:tc>
        <w:tc>
          <w:tcPr>
            <w:tcW w:w="2225" w:type="dxa"/>
            <w:vAlign w:val="center"/>
          </w:tcPr>
          <w:p>
            <w:pPr>
              <w:spacing w:line="312" w:lineRule="auto"/>
              <w:jc w:val="center"/>
              <w:rPr>
                <w:szCs w:val="21"/>
                <w:lang w:val="zh-CN"/>
              </w:rPr>
            </w:pPr>
            <w:r>
              <w:rPr>
                <w:rFonts w:hint="eastAsia"/>
                <w:szCs w:val="21"/>
                <w:lang w:val="zh-CN"/>
              </w:rPr>
              <w:t>每周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7</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解决机房范围内各类设备及系统故障</w:t>
            </w:r>
          </w:p>
        </w:tc>
        <w:tc>
          <w:tcPr>
            <w:tcW w:w="2225" w:type="dxa"/>
            <w:vAlign w:val="center"/>
          </w:tcPr>
          <w:p>
            <w:pPr>
              <w:spacing w:line="312" w:lineRule="auto"/>
              <w:jc w:val="center"/>
              <w:rPr>
                <w:szCs w:val="21"/>
                <w:lang w:val="zh-CN"/>
              </w:rPr>
            </w:pPr>
            <w:r>
              <w:rPr>
                <w:rFonts w:hint="eastAsia" w:ascii="宋体" w:cs="宋体"/>
                <w:szCs w:val="21"/>
                <w:lang w:val="zh-CN"/>
              </w:rPr>
              <w:t>用户要求时限内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17" w:hRule="atLeast"/>
          <w:jc w:val="center"/>
        </w:trPr>
        <w:tc>
          <w:tcPr>
            <w:tcW w:w="957" w:type="dxa"/>
          </w:tcPr>
          <w:p>
            <w:pPr>
              <w:spacing w:line="312" w:lineRule="auto"/>
              <w:jc w:val="center"/>
              <w:rPr>
                <w:szCs w:val="21"/>
                <w:lang w:val="zh-CN"/>
              </w:rPr>
            </w:pPr>
            <w:r>
              <w:rPr>
                <w:rFonts w:hint="eastAsia"/>
                <w:szCs w:val="21"/>
                <w:lang w:val="zh-CN"/>
              </w:rPr>
              <w:t>8</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机房消防安全演练</w:t>
            </w:r>
          </w:p>
        </w:tc>
        <w:tc>
          <w:tcPr>
            <w:tcW w:w="2225" w:type="dxa"/>
            <w:vAlign w:val="center"/>
          </w:tcPr>
          <w:p>
            <w:pPr>
              <w:spacing w:line="312" w:lineRule="auto"/>
              <w:jc w:val="center"/>
              <w:rPr>
                <w:rFonts w:ascii="宋体" w:cs="宋体"/>
                <w:szCs w:val="21"/>
                <w:lang w:val="zh-CN"/>
              </w:rPr>
            </w:pPr>
            <w:r>
              <w:rPr>
                <w:rFonts w:hint="eastAsia" w:ascii="宋体" w:cs="宋体"/>
                <w:szCs w:val="21"/>
                <w:lang w:val="zh-CN"/>
              </w:rPr>
              <w:t>每年至少一次</w:t>
            </w:r>
          </w:p>
        </w:tc>
      </w:tr>
    </w:tbl>
    <w:p>
      <w:pPr>
        <w:spacing w:line="560" w:lineRule="atLeas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10、省无线电监测指挥中心大屏会议系统运维</w:t>
      </w:r>
    </w:p>
    <w:p>
      <w:pPr>
        <w:spacing w:line="520" w:lineRule="exact"/>
        <w:ind w:firstLine="480"/>
        <w:rPr>
          <w:rFonts w:ascii="宋体" w:cs="宋体"/>
          <w:sz w:val="24"/>
          <w:szCs w:val="24"/>
          <w:lang w:val="zh-CN"/>
        </w:rPr>
      </w:pPr>
      <w:r>
        <w:rPr>
          <w:rFonts w:hint="eastAsia" w:ascii="宋体" w:cs="宋体"/>
          <w:sz w:val="24"/>
          <w:szCs w:val="24"/>
          <w:lang w:val="zh-CN"/>
        </w:rPr>
        <w:t>江苏省无线电监测指挥中心大屏会议系统主要包括大屏显示系统、视频会议系统、会议扩声系统、听见智能会议系统和分布式音视频系统。提供系统的软硬件维护、维修、更换、耗材补充及技术支持等（基本情况，详见列表）。投标人应提供大屏会议系统运维方案，至少应包含大屏会议系统运维内容响应、运维频次响应等内容。</w:t>
      </w:r>
    </w:p>
    <w:tbl>
      <w:tblPr>
        <w:tblStyle w:val="49"/>
        <w:tblW w:w="90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Layout w:type="fixed"/>
        <w:tblCellMar>
          <w:top w:w="0" w:type="dxa"/>
          <w:left w:w="108" w:type="dxa"/>
          <w:bottom w:w="0" w:type="dxa"/>
          <w:right w:w="108" w:type="dxa"/>
        </w:tblCellMar>
      </w:tblPr>
      <w:tblGrid>
        <w:gridCol w:w="528"/>
        <w:gridCol w:w="1135"/>
        <w:gridCol w:w="1984"/>
        <w:gridCol w:w="1843"/>
        <w:gridCol w:w="1701"/>
        <w:gridCol w:w="18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trHeight w:val="461" w:hRule="atLeast"/>
          <w:jc w:val="center"/>
        </w:trPr>
        <w:tc>
          <w:tcPr>
            <w:tcW w:w="528" w:type="dxa"/>
            <w:shd w:val="clear" w:color="000000" w:fill="auto"/>
            <w:vAlign w:val="center"/>
          </w:tcPr>
          <w:p>
            <w:pPr>
              <w:jc w:val="center"/>
              <w:rPr>
                <w:rFonts w:ascii="宋体" w:cs="宋体"/>
                <w:szCs w:val="21"/>
                <w:lang w:val="zh-CN"/>
              </w:rPr>
            </w:pPr>
            <w:r>
              <w:rPr>
                <w:rFonts w:hint="eastAsia" w:ascii="宋体" w:cs="宋体"/>
                <w:szCs w:val="21"/>
                <w:lang w:val="zh-CN"/>
              </w:rPr>
              <w:t>序号</w:t>
            </w:r>
          </w:p>
        </w:tc>
        <w:tc>
          <w:tcPr>
            <w:tcW w:w="1135" w:type="dxa"/>
            <w:shd w:val="clear" w:color="000000" w:fill="auto"/>
            <w:vAlign w:val="center"/>
          </w:tcPr>
          <w:p>
            <w:pPr>
              <w:jc w:val="center"/>
              <w:rPr>
                <w:rFonts w:ascii="宋体" w:cs="宋体"/>
                <w:szCs w:val="21"/>
                <w:lang w:val="zh-CN"/>
              </w:rPr>
            </w:pPr>
            <w:r>
              <w:rPr>
                <w:rFonts w:hint="eastAsia" w:ascii="宋体" w:cs="宋体"/>
                <w:szCs w:val="21"/>
                <w:lang w:val="zh-CN"/>
              </w:rPr>
              <w:t>设备类别</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维保设备名称</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品牌及型号</w:t>
            </w:r>
          </w:p>
        </w:tc>
        <w:tc>
          <w:tcPr>
            <w:tcW w:w="1701" w:type="dxa"/>
            <w:shd w:val="clear" w:color="000000" w:fill="auto"/>
            <w:vAlign w:val="center"/>
          </w:tcPr>
          <w:p>
            <w:pPr>
              <w:jc w:val="center"/>
              <w:rPr>
                <w:rFonts w:ascii="宋体" w:cs="宋体"/>
                <w:szCs w:val="21"/>
                <w:lang w:val="zh-CN"/>
              </w:rPr>
            </w:pPr>
            <w:r>
              <w:rPr>
                <w:rFonts w:hint="eastAsia" w:ascii="宋体" w:cs="宋体"/>
                <w:szCs w:val="21"/>
                <w:lang w:val="zh-CN"/>
              </w:rPr>
              <w:t>数量</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设备所在地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577" w:hRule="atLeast"/>
          <w:jc w:val="center"/>
        </w:trPr>
        <w:tc>
          <w:tcPr>
            <w:tcW w:w="528" w:type="dxa"/>
            <w:shd w:val="clear" w:color="000000" w:fill="auto"/>
            <w:vAlign w:val="center"/>
          </w:tcPr>
          <w:p>
            <w:pPr>
              <w:jc w:val="center"/>
              <w:rPr>
                <w:rFonts w:ascii="宋体" w:cs="宋体"/>
                <w:szCs w:val="21"/>
                <w:lang w:val="zh-CN"/>
              </w:rPr>
            </w:pPr>
            <w:r>
              <w:rPr>
                <w:rFonts w:cs="Calibri"/>
                <w:szCs w:val="21"/>
              </w:rPr>
              <w:t>1</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大屏显示系统</w:t>
            </w:r>
          </w:p>
        </w:tc>
        <w:tc>
          <w:tcPr>
            <w:tcW w:w="1984" w:type="dxa"/>
            <w:shd w:val="clear" w:color="000000" w:fill="auto"/>
            <w:vAlign w:val="center"/>
          </w:tcPr>
          <w:p>
            <w:pPr>
              <w:jc w:val="center"/>
              <w:rPr>
                <w:rFonts w:ascii="宋体" w:cs="宋体"/>
                <w:szCs w:val="21"/>
                <w:lang w:val="zh-CN"/>
              </w:rPr>
            </w:pPr>
            <w:r>
              <w:rPr>
                <w:rFonts w:cs="Calibri"/>
                <w:szCs w:val="21"/>
              </w:rPr>
              <w:t>LED</w:t>
            </w:r>
            <w:r>
              <w:rPr>
                <w:rFonts w:hint="eastAsia" w:ascii="宋体" w:cs="宋体"/>
                <w:szCs w:val="21"/>
                <w:lang w:val="zh-CN"/>
              </w:rPr>
              <w:t>大屏</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艾比森</w:t>
            </w:r>
            <w:r>
              <w:rPr>
                <w:rFonts w:cs="Calibri"/>
                <w:szCs w:val="21"/>
              </w:rPr>
              <w:t xml:space="preserve"> CP1.2</w:t>
            </w:r>
          </w:p>
        </w:tc>
        <w:tc>
          <w:tcPr>
            <w:tcW w:w="1701" w:type="dxa"/>
            <w:shd w:val="clear" w:color="000000" w:fill="auto"/>
            <w:vAlign w:val="center"/>
          </w:tcPr>
          <w:p>
            <w:pPr>
              <w:jc w:val="center"/>
              <w:rPr>
                <w:rFonts w:ascii="宋体" w:cs="宋体"/>
                <w:szCs w:val="21"/>
                <w:lang w:val="zh-CN"/>
              </w:rPr>
            </w:pPr>
            <w:r>
              <w:rPr>
                <w:rFonts w:cs="Calibri"/>
                <w:szCs w:val="21"/>
              </w:rPr>
              <w:t>15.36</w:t>
            </w:r>
            <w:r>
              <w:rPr>
                <w:rFonts w:hint="eastAsia" w:ascii="宋体" w:cs="宋体"/>
                <w:szCs w:val="21"/>
                <w:lang w:val="zh-CN"/>
              </w:rPr>
              <w:t>平方米</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288" w:hRule="atLeast"/>
          <w:jc w:val="center"/>
        </w:trPr>
        <w:tc>
          <w:tcPr>
            <w:tcW w:w="528" w:type="dxa"/>
            <w:shd w:val="clear" w:color="000000" w:fill="auto"/>
            <w:vAlign w:val="center"/>
          </w:tcPr>
          <w:p>
            <w:pPr>
              <w:jc w:val="center"/>
              <w:rPr>
                <w:rFonts w:ascii="宋体" w:cs="宋体"/>
                <w:szCs w:val="21"/>
                <w:lang w:val="zh-CN"/>
              </w:rPr>
            </w:pPr>
            <w:r>
              <w:rPr>
                <w:rFonts w:cs="Calibri"/>
                <w:szCs w:val="21"/>
              </w:rPr>
              <w:t>2</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配电箱</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艾比森</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08" w:hRule="atLeast"/>
          <w:jc w:val="center"/>
        </w:trPr>
        <w:tc>
          <w:tcPr>
            <w:tcW w:w="528" w:type="dxa"/>
            <w:shd w:val="clear" w:color="000000" w:fill="auto"/>
            <w:vAlign w:val="center"/>
          </w:tcPr>
          <w:p>
            <w:pPr>
              <w:jc w:val="center"/>
              <w:rPr>
                <w:rFonts w:ascii="宋体" w:cs="宋体"/>
                <w:szCs w:val="21"/>
                <w:lang w:val="zh-CN"/>
              </w:rPr>
            </w:pPr>
            <w:r>
              <w:rPr>
                <w:rFonts w:cs="Calibri"/>
                <w:szCs w:val="21"/>
              </w:rPr>
              <w:t>3</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视频会议及视频管理系统</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视频会议终端</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亿联</w:t>
            </w:r>
            <w:r>
              <w:rPr>
                <w:rFonts w:cs="Calibri"/>
                <w:szCs w:val="21"/>
              </w:rPr>
              <w:t xml:space="preserve"> M800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397" w:hRule="atLeast"/>
          <w:jc w:val="center"/>
        </w:trPr>
        <w:tc>
          <w:tcPr>
            <w:tcW w:w="528" w:type="dxa"/>
            <w:shd w:val="clear" w:color="000000" w:fill="auto"/>
            <w:vAlign w:val="center"/>
          </w:tcPr>
          <w:p>
            <w:pPr>
              <w:jc w:val="center"/>
              <w:rPr>
                <w:rFonts w:ascii="宋体" w:cs="宋体"/>
                <w:szCs w:val="21"/>
                <w:lang w:val="zh-CN"/>
              </w:rPr>
            </w:pPr>
            <w:r>
              <w:rPr>
                <w:rFonts w:cs="Calibri"/>
                <w:szCs w:val="21"/>
              </w:rPr>
              <w:t>4</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阵列麦克风</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亿联</w:t>
            </w:r>
            <w:r>
              <w:rPr>
                <w:rFonts w:cs="Calibri"/>
                <w:szCs w:val="21"/>
              </w:rPr>
              <w:t>VCM34</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327" w:hRule="atLeast"/>
          <w:jc w:val="center"/>
        </w:trPr>
        <w:tc>
          <w:tcPr>
            <w:tcW w:w="528" w:type="dxa"/>
            <w:shd w:val="clear" w:color="000000" w:fill="auto"/>
            <w:vAlign w:val="center"/>
          </w:tcPr>
          <w:p>
            <w:pPr>
              <w:jc w:val="center"/>
              <w:rPr>
                <w:rFonts w:ascii="宋体" w:cs="宋体"/>
                <w:szCs w:val="21"/>
                <w:lang w:val="zh-CN"/>
              </w:rPr>
            </w:pPr>
            <w:r>
              <w:rPr>
                <w:rFonts w:cs="Calibri"/>
                <w:szCs w:val="21"/>
              </w:rPr>
              <w:t>5</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cs="Calibri"/>
                <w:szCs w:val="21"/>
              </w:rPr>
              <w:t>4K</w:t>
            </w:r>
            <w:r>
              <w:rPr>
                <w:rFonts w:hint="eastAsia" w:ascii="宋体" w:cs="宋体"/>
                <w:szCs w:val="21"/>
                <w:lang w:val="zh-CN"/>
              </w:rPr>
              <w:t>无线同屏器</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亿联</w:t>
            </w:r>
            <w:r>
              <w:rPr>
                <w:rFonts w:cs="Calibri"/>
                <w:szCs w:val="21"/>
              </w:rPr>
              <w:t>WPP30</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57" w:hRule="atLeast"/>
          <w:jc w:val="center"/>
        </w:trPr>
        <w:tc>
          <w:tcPr>
            <w:tcW w:w="528" w:type="dxa"/>
            <w:shd w:val="clear" w:color="000000" w:fill="auto"/>
            <w:vAlign w:val="center"/>
          </w:tcPr>
          <w:p>
            <w:pPr>
              <w:jc w:val="center"/>
              <w:rPr>
                <w:rFonts w:ascii="宋体" w:cs="宋体"/>
                <w:szCs w:val="21"/>
                <w:lang w:val="zh-CN"/>
              </w:rPr>
            </w:pPr>
            <w:r>
              <w:rPr>
                <w:rFonts w:cs="Calibri"/>
                <w:szCs w:val="21"/>
              </w:rPr>
              <w:t>6</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高清摄像机</w:t>
            </w:r>
          </w:p>
        </w:tc>
        <w:tc>
          <w:tcPr>
            <w:tcW w:w="1843" w:type="dxa"/>
            <w:shd w:val="clear" w:color="000000" w:fill="auto"/>
            <w:vAlign w:val="center"/>
          </w:tcPr>
          <w:p>
            <w:pPr>
              <w:jc w:val="center"/>
              <w:rPr>
                <w:rFonts w:ascii="宋体" w:cs="宋体"/>
                <w:szCs w:val="21"/>
                <w:lang w:val="zh-CN"/>
              </w:rPr>
            </w:pPr>
            <w:r>
              <w:rPr>
                <w:rFonts w:cs="Calibri"/>
                <w:szCs w:val="21"/>
              </w:rPr>
              <w:t>TENDZONE HCAM-400</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PrEx>
        <w:trPr>
          <w:cantSplit/>
          <w:trHeight w:val="868" w:hRule="atLeast"/>
          <w:jc w:val="center"/>
        </w:trPr>
        <w:tc>
          <w:tcPr>
            <w:tcW w:w="528" w:type="dxa"/>
            <w:shd w:val="clear" w:color="000000" w:fill="auto"/>
            <w:vAlign w:val="center"/>
          </w:tcPr>
          <w:p>
            <w:pPr>
              <w:jc w:val="center"/>
              <w:rPr>
                <w:rFonts w:ascii="宋体" w:cs="宋体"/>
                <w:szCs w:val="21"/>
                <w:lang w:val="zh-CN"/>
              </w:rPr>
            </w:pPr>
            <w:r>
              <w:rPr>
                <w:rFonts w:cs="Calibri"/>
                <w:szCs w:val="21"/>
              </w:rPr>
              <w:t>7</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会议扩声系统</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数字短杆有线会议话简</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MQ10</w:t>
            </w:r>
          </w:p>
        </w:tc>
        <w:tc>
          <w:tcPr>
            <w:tcW w:w="1701" w:type="dxa"/>
            <w:shd w:val="clear" w:color="000000" w:fill="auto"/>
            <w:vAlign w:val="center"/>
          </w:tcPr>
          <w:p>
            <w:pPr>
              <w:jc w:val="center"/>
              <w:rPr>
                <w:rFonts w:ascii="宋体" w:cs="宋体"/>
                <w:szCs w:val="21"/>
                <w:lang w:val="zh-CN"/>
              </w:rPr>
            </w:pPr>
            <w:r>
              <w:rPr>
                <w:rFonts w:cs="Calibri"/>
                <w:szCs w:val="21"/>
              </w:rPr>
              <w:t>5</w:t>
            </w:r>
            <w:r>
              <w:rPr>
                <w:rFonts w:hint="eastAsia" w:ascii="宋体" w:cs="宋体"/>
                <w:szCs w:val="21"/>
                <w:lang w:val="zh-CN"/>
              </w:rPr>
              <w:t>只</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0" w:hRule="atLeast"/>
          <w:jc w:val="center"/>
        </w:trPr>
        <w:tc>
          <w:tcPr>
            <w:tcW w:w="528" w:type="dxa"/>
            <w:shd w:val="clear" w:color="000000" w:fill="auto"/>
            <w:vAlign w:val="center"/>
          </w:tcPr>
          <w:p>
            <w:pPr>
              <w:jc w:val="center"/>
              <w:rPr>
                <w:rFonts w:ascii="宋体" w:cs="宋体"/>
                <w:szCs w:val="21"/>
                <w:lang w:val="zh-CN"/>
              </w:rPr>
            </w:pPr>
            <w:r>
              <w:rPr>
                <w:rFonts w:cs="Calibri"/>
                <w:szCs w:val="21"/>
              </w:rPr>
              <w:t>8</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无线会讨主机</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Z-3001</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6" w:hRule="atLeast"/>
          <w:jc w:val="center"/>
        </w:trPr>
        <w:tc>
          <w:tcPr>
            <w:tcW w:w="528" w:type="dxa"/>
            <w:shd w:val="clear" w:color="000000" w:fill="auto"/>
            <w:vAlign w:val="center"/>
          </w:tcPr>
          <w:p>
            <w:pPr>
              <w:jc w:val="center"/>
              <w:rPr>
                <w:rFonts w:ascii="宋体" w:cs="宋体"/>
                <w:szCs w:val="21"/>
                <w:lang w:val="zh-CN"/>
              </w:rPr>
            </w:pPr>
            <w:r>
              <w:rPr>
                <w:rFonts w:cs="Calibri"/>
                <w:szCs w:val="21"/>
              </w:rPr>
              <w:t>9</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无线数字短杆会讨主席单元</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Z-3101C</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只</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6" w:hRule="atLeast"/>
          <w:jc w:val="center"/>
        </w:trPr>
        <w:tc>
          <w:tcPr>
            <w:tcW w:w="528" w:type="dxa"/>
            <w:shd w:val="clear" w:color="000000" w:fill="auto"/>
            <w:vAlign w:val="center"/>
          </w:tcPr>
          <w:p>
            <w:pPr>
              <w:jc w:val="center"/>
              <w:rPr>
                <w:rFonts w:ascii="宋体" w:cs="宋体"/>
                <w:szCs w:val="21"/>
                <w:lang w:val="zh-CN"/>
              </w:rPr>
            </w:pPr>
            <w:r>
              <w:rPr>
                <w:rFonts w:cs="Calibri"/>
                <w:szCs w:val="21"/>
              </w:rPr>
              <w:t>10</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无线数字短杆会讨代表单元</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Z-3101 D</w:t>
            </w:r>
          </w:p>
        </w:tc>
        <w:tc>
          <w:tcPr>
            <w:tcW w:w="1701" w:type="dxa"/>
            <w:shd w:val="clear" w:color="000000" w:fill="auto"/>
            <w:vAlign w:val="center"/>
          </w:tcPr>
          <w:p>
            <w:pPr>
              <w:jc w:val="center"/>
              <w:rPr>
                <w:rFonts w:ascii="宋体" w:cs="宋体"/>
                <w:szCs w:val="21"/>
                <w:lang w:val="zh-CN"/>
              </w:rPr>
            </w:pPr>
            <w:r>
              <w:rPr>
                <w:rFonts w:cs="Calibri"/>
                <w:szCs w:val="21"/>
              </w:rPr>
              <w:t>8</w:t>
            </w:r>
            <w:r>
              <w:rPr>
                <w:rFonts w:hint="eastAsia" w:ascii="宋体" w:cs="宋体"/>
                <w:szCs w:val="21"/>
                <w:lang w:val="zh-CN"/>
              </w:rPr>
              <w:t>只</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2" w:hRule="atLeast"/>
          <w:jc w:val="center"/>
        </w:trPr>
        <w:tc>
          <w:tcPr>
            <w:tcW w:w="528" w:type="dxa"/>
            <w:shd w:val="clear" w:color="000000" w:fill="auto"/>
            <w:vAlign w:val="center"/>
          </w:tcPr>
          <w:p>
            <w:pPr>
              <w:jc w:val="center"/>
              <w:rPr>
                <w:rFonts w:ascii="宋体" w:cs="宋体"/>
                <w:szCs w:val="21"/>
                <w:lang w:val="zh-CN"/>
              </w:rPr>
            </w:pPr>
            <w:r>
              <w:rPr>
                <w:rFonts w:cs="Calibri"/>
                <w:szCs w:val="21"/>
              </w:rPr>
              <w:t>11</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充电箱</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Z- 3C06S</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8" w:hRule="atLeast"/>
          <w:jc w:val="center"/>
        </w:trPr>
        <w:tc>
          <w:tcPr>
            <w:tcW w:w="528" w:type="dxa"/>
            <w:shd w:val="clear" w:color="000000" w:fill="auto"/>
            <w:vAlign w:val="center"/>
          </w:tcPr>
          <w:p>
            <w:pPr>
              <w:jc w:val="center"/>
              <w:rPr>
                <w:rFonts w:ascii="宋体" w:cs="宋体"/>
                <w:szCs w:val="21"/>
                <w:lang w:val="zh-CN"/>
              </w:rPr>
            </w:pPr>
            <w:r>
              <w:rPr>
                <w:rFonts w:cs="Calibri"/>
                <w:szCs w:val="21"/>
              </w:rPr>
              <w:t>12</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无线接收单元</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Z- 324G</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4" w:hRule="atLeast"/>
          <w:jc w:val="center"/>
        </w:trPr>
        <w:tc>
          <w:tcPr>
            <w:tcW w:w="528" w:type="dxa"/>
            <w:shd w:val="clear" w:color="000000" w:fill="auto"/>
            <w:vAlign w:val="center"/>
          </w:tcPr>
          <w:p>
            <w:pPr>
              <w:jc w:val="center"/>
              <w:rPr>
                <w:rFonts w:ascii="宋体" w:cs="宋体"/>
                <w:szCs w:val="21"/>
                <w:lang w:val="zh-CN"/>
              </w:rPr>
            </w:pPr>
            <w:r>
              <w:rPr>
                <w:rFonts w:cs="Calibri"/>
                <w:szCs w:val="21"/>
              </w:rPr>
              <w:t>13</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真分集无线手持话简</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ATW-1002H2</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套</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4" w:hRule="atLeast"/>
          <w:jc w:val="center"/>
        </w:trPr>
        <w:tc>
          <w:tcPr>
            <w:tcW w:w="528" w:type="dxa"/>
            <w:shd w:val="clear" w:color="000000" w:fill="auto"/>
            <w:vAlign w:val="center"/>
          </w:tcPr>
          <w:p>
            <w:pPr>
              <w:jc w:val="center"/>
              <w:rPr>
                <w:rFonts w:ascii="宋体" w:cs="宋体"/>
                <w:szCs w:val="21"/>
                <w:lang w:val="zh-CN"/>
              </w:rPr>
            </w:pPr>
            <w:r>
              <w:rPr>
                <w:rFonts w:cs="Calibri"/>
                <w:szCs w:val="21"/>
              </w:rPr>
              <w:t>14</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主扩声音柱扬声器</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ACL-408</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只</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PrEx>
        <w:trPr>
          <w:cantSplit/>
          <w:trHeight w:val="711" w:hRule="atLeast"/>
          <w:jc w:val="center"/>
        </w:trPr>
        <w:tc>
          <w:tcPr>
            <w:tcW w:w="528" w:type="dxa"/>
            <w:shd w:val="clear" w:color="000000" w:fill="auto"/>
            <w:vAlign w:val="center"/>
          </w:tcPr>
          <w:p>
            <w:pPr>
              <w:jc w:val="center"/>
              <w:rPr>
                <w:rFonts w:ascii="宋体" w:cs="宋体"/>
                <w:szCs w:val="21"/>
                <w:lang w:val="zh-CN"/>
              </w:rPr>
            </w:pPr>
            <w:r>
              <w:rPr>
                <w:rFonts w:cs="Calibri"/>
                <w:szCs w:val="21"/>
              </w:rPr>
              <w:t>15</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辅助音箱扬声器</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EX-8</w:t>
            </w:r>
          </w:p>
        </w:tc>
        <w:tc>
          <w:tcPr>
            <w:tcW w:w="1701" w:type="dxa"/>
            <w:shd w:val="clear" w:color="000000" w:fill="auto"/>
            <w:vAlign w:val="center"/>
          </w:tcPr>
          <w:p>
            <w:pPr>
              <w:jc w:val="center"/>
              <w:rPr>
                <w:rFonts w:ascii="宋体" w:cs="宋体"/>
                <w:szCs w:val="21"/>
                <w:lang w:val="zh-CN"/>
              </w:rPr>
            </w:pPr>
            <w:r>
              <w:rPr>
                <w:rFonts w:cs="Calibri"/>
                <w:szCs w:val="21"/>
              </w:rPr>
              <w:t>4</w:t>
            </w:r>
            <w:r>
              <w:rPr>
                <w:rFonts w:hint="eastAsia" w:ascii="宋体" w:cs="宋体"/>
                <w:szCs w:val="21"/>
                <w:lang w:val="zh-CN"/>
              </w:rPr>
              <w:t>只</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6" w:hRule="atLeast"/>
          <w:jc w:val="center"/>
        </w:trPr>
        <w:tc>
          <w:tcPr>
            <w:tcW w:w="528" w:type="dxa"/>
            <w:shd w:val="clear" w:color="000000" w:fill="auto"/>
            <w:vAlign w:val="center"/>
          </w:tcPr>
          <w:p>
            <w:pPr>
              <w:jc w:val="center"/>
              <w:rPr>
                <w:rFonts w:ascii="宋体" w:cs="宋体"/>
                <w:szCs w:val="21"/>
                <w:lang w:val="zh-CN"/>
              </w:rPr>
            </w:pPr>
            <w:r>
              <w:rPr>
                <w:rFonts w:cs="Calibri"/>
                <w:szCs w:val="21"/>
              </w:rPr>
              <w:t>16</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主扩声扬声器功放</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ADM2650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2" w:hRule="atLeast"/>
          <w:jc w:val="center"/>
        </w:trPr>
        <w:tc>
          <w:tcPr>
            <w:tcW w:w="528" w:type="dxa"/>
            <w:shd w:val="clear" w:color="000000" w:fill="auto"/>
            <w:vAlign w:val="center"/>
          </w:tcPr>
          <w:p>
            <w:pPr>
              <w:jc w:val="center"/>
              <w:rPr>
                <w:rFonts w:ascii="宋体" w:cs="宋体"/>
                <w:szCs w:val="21"/>
                <w:lang w:val="zh-CN"/>
              </w:rPr>
            </w:pPr>
            <w:r>
              <w:rPr>
                <w:rFonts w:cs="Calibri"/>
                <w:szCs w:val="21"/>
              </w:rPr>
              <w:t>17</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四通道辅助扬声器功放</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ADM4350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558" w:hRule="atLeast"/>
          <w:jc w:val="center"/>
        </w:trPr>
        <w:tc>
          <w:tcPr>
            <w:tcW w:w="528" w:type="dxa"/>
            <w:shd w:val="clear" w:color="000000" w:fill="auto"/>
            <w:vAlign w:val="center"/>
          </w:tcPr>
          <w:p>
            <w:pPr>
              <w:jc w:val="center"/>
              <w:rPr>
                <w:rFonts w:ascii="宋体" w:cs="宋体"/>
                <w:szCs w:val="21"/>
                <w:lang w:val="zh-CN"/>
              </w:rPr>
            </w:pPr>
            <w:r>
              <w:rPr>
                <w:rFonts w:cs="Calibri"/>
                <w:szCs w:val="21"/>
              </w:rPr>
              <w:t>18</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数字音频处理器</w:t>
            </w:r>
            <w:r>
              <w:rPr>
                <w:rFonts w:cs="Calibri"/>
                <w:szCs w:val="21"/>
              </w:rPr>
              <w:t>(</w:t>
            </w:r>
            <w:r>
              <w:rPr>
                <w:rFonts w:hint="eastAsia" w:ascii="宋体" w:cs="宋体"/>
                <w:szCs w:val="21"/>
                <w:lang w:val="zh-CN"/>
              </w:rPr>
              <w:t>含配套软件</w:t>
            </w:r>
            <w:r>
              <w:rPr>
                <w:rFonts w:cs="Calibri"/>
                <w:szCs w:val="21"/>
              </w:rPr>
              <w:t>)</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Q1208</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12" w:hRule="atLeast"/>
          <w:jc w:val="center"/>
        </w:trPr>
        <w:tc>
          <w:tcPr>
            <w:tcW w:w="528" w:type="dxa"/>
            <w:shd w:val="clear" w:color="000000" w:fill="auto"/>
            <w:vAlign w:val="center"/>
          </w:tcPr>
          <w:p>
            <w:pPr>
              <w:jc w:val="center"/>
              <w:rPr>
                <w:rFonts w:ascii="宋体" w:cs="宋体"/>
                <w:szCs w:val="21"/>
                <w:lang w:val="zh-CN"/>
              </w:rPr>
            </w:pPr>
            <w:r>
              <w:rPr>
                <w:rFonts w:cs="Calibri"/>
                <w:szCs w:val="21"/>
              </w:rPr>
              <w:t>19</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墨水屏电子铭牌</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DW-7N-S</w:t>
            </w:r>
          </w:p>
        </w:tc>
        <w:tc>
          <w:tcPr>
            <w:tcW w:w="1701" w:type="dxa"/>
            <w:shd w:val="clear" w:color="000000" w:fill="auto"/>
            <w:vAlign w:val="center"/>
          </w:tcPr>
          <w:p>
            <w:pPr>
              <w:jc w:val="center"/>
              <w:rPr>
                <w:rFonts w:ascii="宋体" w:cs="宋体"/>
                <w:szCs w:val="21"/>
                <w:lang w:val="zh-CN"/>
              </w:rPr>
            </w:pPr>
            <w:r>
              <w:rPr>
                <w:rFonts w:cs="Calibri"/>
                <w:szCs w:val="21"/>
              </w:rPr>
              <w:t>30</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08" w:hRule="atLeast"/>
          <w:jc w:val="center"/>
        </w:trPr>
        <w:tc>
          <w:tcPr>
            <w:tcW w:w="528" w:type="dxa"/>
            <w:shd w:val="clear" w:color="000000" w:fill="auto"/>
            <w:vAlign w:val="center"/>
          </w:tcPr>
          <w:p>
            <w:pPr>
              <w:jc w:val="center"/>
              <w:rPr>
                <w:rFonts w:ascii="宋体" w:cs="宋体"/>
                <w:szCs w:val="21"/>
                <w:lang w:val="zh-CN"/>
              </w:rPr>
            </w:pPr>
            <w:r>
              <w:rPr>
                <w:rFonts w:cs="Calibri"/>
                <w:szCs w:val="21"/>
              </w:rPr>
              <w:t>20</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八路时序电源</w:t>
            </w:r>
          </w:p>
        </w:tc>
        <w:tc>
          <w:tcPr>
            <w:tcW w:w="1843" w:type="dxa"/>
            <w:shd w:val="clear" w:color="000000" w:fill="auto"/>
            <w:vAlign w:val="center"/>
          </w:tcPr>
          <w:p>
            <w:pPr>
              <w:jc w:val="center"/>
              <w:rPr>
                <w:rFonts w:cs="Calibri"/>
                <w:b/>
                <w:bCs/>
                <w:szCs w:val="21"/>
              </w:rPr>
            </w:pPr>
            <w:r>
              <w:rPr>
                <w:rFonts w:cs="Calibri"/>
                <w:szCs w:val="21"/>
              </w:rPr>
              <w:t xml:space="preserve">TENDZONE </w:t>
            </w:r>
          </w:p>
          <w:p>
            <w:pPr>
              <w:jc w:val="center"/>
              <w:rPr>
                <w:rFonts w:ascii="宋体" w:cs="宋体"/>
                <w:szCs w:val="21"/>
                <w:lang w:val="zh-CN"/>
              </w:rPr>
            </w:pPr>
            <w:r>
              <w:rPr>
                <w:rFonts w:cs="Calibri"/>
                <w:szCs w:val="21"/>
              </w:rPr>
              <w:t>CC-8T</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00" w:hRule="atLeast"/>
          <w:jc w:val="center"/>
        </w:trPr>
        <w:tc>
          <w:tcPr>
            <w:tcW w:w="528" w:type="dxa"/>
            <w:shd w:val="clear" w:color="000000" w:fill="auto"/>
            <w:vAlign w:val="center"/>
          </w:tcPr>
          <w:p>
            <w:pPr>
              <w:jc w:val="center"/>
              <w:rPr>
                <w:rFonts w:ascii="宋体" w:cs="宋体"/>
                <w:szCs w:val="21"/>
                <w:lang w:val="zh-CN"/>
              </w:rPr>
            </w:pPr>
            <w:r>
              <w:rPr>
                <w:rFonts w:cs="Calibri"/>
                <w:szCs w:val="21"/>
              </w:rPr>
              <w:t>21</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听见智能会议系统</w:t>
            </w:r>
            <w:r>
              <w:rPr>
                <w:rFonts w:cs="Calibri"/>
                <w:szCs w:val="21"/>
              </w:rPr>
              <w:t>(</w:t>
            </w:r>
            <w:r>
              <w:rPr>
                <w:rFonts w:hint="eastAsia" w:ascii="宋体" w:cs="宋体"/>
                <w:szCs w:val="21"/>
                <w:lang w:val="zh-CN"/>
              </w:rPr>
              <w:t>语音转写</w:t>
            </w:r>
            <w:r>
              <w:rPr>
                <w:rFonts w:cs="Calibri"/>
                <w:szCs w:val="21"/>
              </w:rPr>
              <w:t>)</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听见会议系统平台</w:t>
            </w:r>
          </w:p>
        </w:tc>
        <w:tc>
          <w:tcPr>
            <w:tcW w:w="1843" w:type="dxa"/>
            <w:shd w:val="clear" w:color="000000" w:fill="auto"/>
            <w:vAlign w:val="center"/>
          </w:tcPr>
          <w:p>
            <w:pPr>
              <w:jc w:val="center"/>
              <w:rPr>
                <w:rFonts w:cs="Calibri"/>
                <w:b/>
                <w:bCs/>
                <w:szCs w:val="21"/>
              </w:rPr>
            </w:pPr>
            <w:r>
              <w:rPr>
                <w:rFonts w:hint="eastAsia" w:ascii="宋体" w:cs="宋体"/>
                <w:szCs w:val="21"/>
                <w:lang w:val="zh-CN"/>
              </w:rPr>
              <w:t>讯飞听见</w:t>
            </w:r>
          </w:p>
          <w:p>
            <w:pPr>
              <w:jc w:val="center"/>
              <w:rPr>
                <w:rFonts w:ascii="宋体" w:cs="宋体"/>
                <w:szCs w:val="21"/>
                <w:lang w:val="zh-CN"/>
              </w:rPr>
            </w:pPr>
            <w:r>
              <w:rPr>
                <w:rFonts w:hint="eastAsia" w:ascii="宋体" w:cs="宋体"/>
                <w:szCs w:val="21"/>
                <w:lang w:val="zh-CN"/>
              </w:rPr>
              <w:t>听见智能会议系统</w:t>
            </w:r>
            <w:r>
              <w:rPr>
                <w:rFonts w:cs="Calibri"/>
                <w:szCs w:val="21"/>
              </w:rPr>
              <w:t>V5.0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套</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02" w:hRule="atLeast"/>
          <w:jc w:val="center"/>
        </w:trPr>
        <w:tc>
          <w:tcPr>
            <w:tcW w:w="528" w:type="dxa"/>
            <w:shd w:val="clear" w:color="000000" w:fill="auto"/>
            <w:vAlign w:val="center"/>
          </w:tcPr>
          <w:p>
            <w:pPr>
              <w:jc w:val="center"/>
              <w:rPr>
                <w:rFonts w:ascii="宋体" w:cs="宋体"/>
                <w:szCs w:val="21"/>
                <w:lang w:val="zh-CN"/>
              </w:rPr>
            </w:pPr>
            <w:r>
              <w:rPr>
                <w:rFonts w:cs="Calibri"/>
                <w:szCs w:val="21"/>
              </w:rPr>
              <w:t>22</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便携式智能会议主机</w:t>
            </w:r>
          </w:p>
        </w:tc>
        <w:tc>
          <w:tcPr>
            <w:tcW w:w="1843" w:type="dxa"/>
            <w:shd w:val="clear" w:color="000000" w:fill="auto"/>
            <w:vAlign w:val="center"/>
          </w:tcPr>
          <w:p>
            <w:pPr>
              <w:jc w:val="center"/>
              <w:rPr>
                <w:rFonts w:cs="Calibri"/>
                <w:b/>
                <w:bCs/>
                <w:szCs w:val="21"/>
              </w:rPr>
            </w:pPr>
            <w:r>
              <w:rPr>
                <w:rFonts w:hint="eastAsia" w:ascii="宋体" w:cs="宋体"/>
                <w:szCs w:val="21"/>
                <w:lang w:val="zh-CN"/>
              </w:rPr>
              <w:t>讯飞听见</w:t>
            </w:r>
          </w:p>
          <w:p>
            <w:pPr>
              <w:jc w:val="center"/>
              <w:rPr>
                <w:rFonts w:ascii="宋体" w:cs="宋体"/>
                <w:szCs w:val="21"/>
                <w:lang w:val="zh-CN"/>
              </w:rPr>
            </w:pPr>
            <w:r>
              <w:rPr>
                <w:rFonts w:cs="Calibri"/>
                <w:szCs w:val="21"/>
              </w:rPr>
              <w:t>P-101</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5" w:hRule="atLeast"/>
          <w:jc w:val="center"/>
        </w:trPr>
        <w:tc>
          <w:tcPr>
            <w:tcW w:w="528" w:type="dxa"/>
            <w:shd w:val="clear" w:color="000000" w:fill="auto"/>
            <w:vAlign w:val="center"/>
          </w:tcPr>
          <w:p>
            <w:pPr>
              <w:jc w:val="center"/>
              <w:rPr>
                <w:rFonts w:ascii="宋体" w:cs="宋体"/>
                <w:szCs w:val="21"/>
                <w:lang w:val="zh-CN"/>
              </w:rPr>
            </w:pPr>
            <w:r>
              <w:rPr>
                <w:rFonts w:cs="Calibri"/>
                <w:szCs w:val="21"/>
              </w:rPr>
              <w:t>23</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分布式音视频系统</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可视化交互管理系统客户端软件</w:t>
            </w:r>
          </w:p>
        </w:tc>
        <w:tc>
          <w:tcPr>
            <w:tcW w:w="1843" w:type="dxa"/>
            <w:shd w:val="clear" w:color="000000" w:fill="auto"/>
            <w:vAlign w:val="center"/>
          </w:tcPr>
          <w:p>
            <w:pPr>
              <w:jc w:val="center"/>
              <w:rPr>
                <w:rFonts w:cs="Calibri"/>
                <w:b/>
                <w:bCs/>
                <w:szCs w:val="21"/>
              </w:rPr>
            </w:pPr>
            <w:r>
              <w:rPr>
                <w:rFonts w:hint="eastAsia" w:ascii="宋体" w:cs="宋体"/>
                <w:szCs w:val="21"/>
                <w:lang w:val="zh-CN"/>
              </w:rPr>
              <w:t>创凯</w:t>
            </w:r>
            <w:r>
              <w:rPr>
                <w:rFonts w:cs="Calibri"/>
                <w:szCs w:val="21"/>
              </w:rPr>
              <w:t>(CKZN)</w:t>
            </w:r>
          </w:p>
          <w:p>
            <w:pPr>
              <w:jc w:val="center"/>
              <w:rPr>
                <w:rFonts w:ascii="宋体" w:cs="宋体"/>
                <w:szCs w:val="21"/>
                <w:lang w:val="zh-CN"/>
              </w:rPr>
            </w:pPr>
            <w:r>
              <w:rPr>
                <w:rFonts w:cs="Calibri"/>
                <w:szCs w:val="21"/>
              </w:rPr>
              <w:t>K6I-FU2.0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套</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97" w:hRule="atLeast"/>
          <w:jc w:val="center"/>
        </w:trPr>
        <w:tc>
          <w:tcPr>
            <w:tcW w:w="528" w:type="dxa"/>
            <w:shd w:val="clear" w:color="000000" w:fill="auto"/>
            <w:vAlign w:val="center"/>
          </w:tcPr>
          <w:p>
            <w:pPr>
              <w:jc w:val="center"/>
              <w:rPr>
                <w:rFonts w:ascii="宋体" w:cs="宋体"/>
                <w:szCs w:val="21"/>
                <w:lang w:val="zh-CN"/>
              </w:rPr>
            </w:pPr>
            <w:r>
              <w:rPr>
                <w:rFonts w:cs="Calibri"/>
                <w:szCs w:val="21"/>
              </w:rPr>
              <w:t>24</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分布式</w:t>
            </w:r>
            <w:r>
              <w:rPr>
                <w:rFonts w:cs="Calibri"/>
                <w:szCs w:val="21"/>
              </w:rPr>
              <w:t>HDMI</w:t>
            </w:r>
            <w:r>
              <w:rPr>
                <w:rFonts w:hint="eastAsia" w:ascii="宋体" w:cs="宋体"/>
                <w:szCs w:val="21"/>
                <w:lang w:val="zh-CN"/>
              </w:rPr>
              <w:t>输入节点</w:t>
            </w:r>
          </w:p>
        </w:tc>
        <w:tc>
          <w:tcPr>
            <w:tcW w:w="1843" w:type="dxa"/>
            <w:shd w:val="clear" w:color="000000" w:fill="auto"/>
            <w:vAlign w:val="center"/>
          </w:tcPr>
          <w:p>
            <w:pPr>
              <w:jc w:val="center"/>
              <w:rPr>
                <w:rFonts w:cs="Calibri"/>
                <w:b/>
                <w:bCs/>
                <w:szCs w:val="21"/>
              </w:rPr>
            </w:pPr>
            <w:r>
              <w:rPr>
                <w:rFonts w:hint="eastAsia" w:ascii="宋体" w:cs="宋体"/>
                <w:szCs w:val="21"/>
                <w:lang w:val="zh-CN"/>
              </w:rPr>
              <w:t>创凯</w:t>
            </w:r>
            <w:r>
              <w:rPr>
                <w:rFonts w:cs="Calibri"/>
                <w:szCs w:val="21"/>
              </w:rPr>
              <w:t>(CKZN)</w:t>
            </w:r>
          </w:p>
          <w:p>
            <w:pPr>
              <w:jc w:val="center"/>
              <w:rPr>
                <w:rFonts w:ascii="宋体" w:cs="宋体"/>
                <w:szCs w:val="21"/>
                <w:lang w:val="zh-CN"/>
              </w:rPr>
            </w:pPr>
            <w:r>
              <w:rPr>
                <w:rFonts w:cs="Calibri"/>
                <w:szCs w:val="21"/>
              </w:rPr>
              <w:t>CK6I-HI2KHGF</w:t>
            </w:r>
          </w:p>
        </w:tc>
        <w:tc>
          <w:tcPr>
            <w:tcW w:w="1701" w:type="dxa"/>
            <w:shd w:val="clear" w:color="000000" w:fill="auto"/>
            <w:vAlign w:val="center"/>
          </w:tcPr>
          <w:p>
            <w:pPr>
              <w:jc w:val="center"/>
              <w:rPr>
                <w:rFonts w:ascii="宋体" w:cs="宋体"/>
                <w:szCs w:val="21"/>
                <w:lang w:val="zh-CN"/>
              </w:rPr>
            </w:pPr>
            <w:r>
              <w:rPr>
                <w:rFonts w:cs="Calibri"/>
                <w:szCs w:val="21"/>
              </w:rPr>
              <w:t>8</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20" w:hRule="atLeast"/>
          <w:jc w:val="center"/>
        </w:trPr>
        <w:tc>
          <w:tcPr>
            <w:tcW w:w="528" w:type="dxa"/>
            <w:shd w:val="clear" w:color="000000" w:fill="auto"/>
            <w:vAlign w:val="center"/>
          </w:tcPr>
          <w:p>
            <w:pPr>
              <w:jc w:val="center"/>
              <w:rPr>
                <w:rFonts w:ascii="宋体" w:cs="宋体"/>
                <w:szCs w:val="21"/>
                <w:lang w:val="zh-CN"/>
              </w:rPr>
            </w:pPr>
            <w:r>
              <w:rPr>
                <w:rFonts w:cs="Calibri"/>
                <w:szCs w:val="21"/>
              </w:rPr>
              <w:t>25</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分布式</w:t>
            </w:r>
            <w:r>
              <w:rPr>
                <w:rFonts w:cs="Calibri"/>
                <w:szCs w:val="21"/>
              </w:rPr>
              <w:t>HDMI</w:t>
            </w:r>
            <w:r>
              <w:rPr>
                <w:rFonts w:hint="eastAsia" w:ascii="宋体" w:cs="宋体"/>
                <w:szCs w:val="21"/>
                <w:lang w:val="zh-CN"/>
              </w:rPr>
              <w:t>输出节点</w:t>
            </w:r>
          </w:p>
        </w:tc>
        <w:tc>
          <w:tcPr>
            <w:tcW w:w="1843" w:type="dxa"/>
            <w:shd w:val="clear" w:color="000000" w:fill="auto"/>
            <w:vAlign w:val="center"/>
          </w:tcPr>
          <w:p>
            <w:pPr>
              <w:jc w:val="center"/>
              <w:rPr>
                <w:rFonts w:cs="Calibri"/>
                <w:b/>
                <w:bCs/>
                <w:szCs w:val="21"/>
              </w:rPr>
            </w:pPr>
            <w:r>
              <w:rPr>
                <w:rFonts w:hint="eastAsia" w:ascii="宋体" w:cs="宋体"/>
                <w:szCs w:val="21"/>
                <w:lang w:val="zh-CN"/>
              </w:rPr>
              <w:t>创凯</w:t>
            </w:r>
            <w:r>
              <w:rPr>
                <w:rFonts w:cs="Calibri"/>
                <w:szCs w:val="21"/>
              </w:rPr>
              <w:t>(CKZN)</w:t>
            </w:r>
          </w:p>
          <w:p>
            <w:pPr>
              <w:jc w:val="center"/>
              <w:rPr>
                <w:rFonts w:ascii="宋体" w:cs="宋体"/>
                <w:szCs w:val="21"/>
                <w:lang w:val="zh-CN"/>
              </w:rPr>
            </w:pPr>
            <w:r>
              <w:rPr>
                <w:rFonts w:cs="Calibri"/>
                <w:szCs w:val="21"/>
              </w:rPr>
              <w:t>CK6I-H02KHGF</w:t>
            </w:r>
          </w:p>
        </w:tc>
        <w:tc>
          <w:tcPr>
            <w:tcW w:w="1701" w:type="dxa"/>
            <w:shd w:val="clear" w:color="000000" w:fill="auto"/>
            <w:vAlign w:val="center"/>
          </w:tcPr>
          <w:p>
            <w:pPr>
              <w:jc w:val="center"/>
              <w:rPr>
                <w:rFonts w:ascii="宋体" w:cs="宋体"/>
                <w:szCs w:val="21"/>
                <w:lang w:val="zh-CN"/>
              </w:rPr>
            </w:pPr>
            <w:r>
              <w:rPr>
                <w:rFonts w:cs="Calibri"/>
                <w:szCs w:val="21"/>
              </w:rPr>
              <w:t>6</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558" w:hRule="atLeast"/>
          <w:jc w:val="center"/>
        </w:trPr>
        <w:tc>
          <w:tcPr>
            <w:tcW w:w="528" w:type="dxa"/>
            <w:shd w:val="clear" w:color="000000" w:fill="auto"/>
            <w:vAlign w:val="center"/>
          </w:tcPr>
          <w:p>
            <w:pPr>
              <w:jc w:val="center"/>
              <w:rPr>
                <w:rFonts w:ascii="宋体" w:cs="宋体"/>
                <w:szCs w:val="21"/>
                <w:lang w:val="zh-CN"/>
              </w:rPr>
            </w:pPr>
            <w:r>
              <w:rPr>
                <w:rFonts w:cs="Calibri"/>
                <w:szCs w:val="21"/>
              </w:rPr>
              <w:t>26</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中央智能控制主机</w:t>
            </w:r>
          </w:p>
        </w:tc>
        <w:tc>
          <w:tcPr>
            <w:tcW w:w="1843" w:type="dxa"/>
            <w:shd w:val="clear" w:color="000000" w:fill="auto"/>
            <w:vAlign w:val="center"/>
          </w:tcPr>
          <w:p>
            <w:pPr>
              <w:jc w:val="center"/>
              <w:rPr>
                <w:rFonts w:cs="Calibri"/>
                <w:b/>
                <w:bCs/>
                <w:szCs w:val="21"/>
              </w:rPr>
            </w:pPr>
            <w:r>
              <w:rPr>
                <w:rFonts w:hint="eastAsia" w:ascii="宋体" w:cs="宋体"/>
                <w:szCs w:val="21"/>
                <w:lang w:val="zh-CN"/>
              </w:rPr>
              <w:t>创凯</w:t>
            </w:r>
            <w:r>
              <w:rPr>
                <w:rFonts w:cs="Calibri"/>
                <w:szCs w:val="21"/>
              </w:rPr>
              <w:t>(CKZN)</w:t>
            </w:r>
          </w:p>
          <w:p>
            <w:pPr>
              <w:jc w:val="center"/>
              <w:rPr>
                <w:rFonts w:ascii="宋体" w:cs="宋体"/>
                <w:szCs w:val="21"/>
                <w:lang w:val="zh-CN"/>
              </w:rPr>
            </w:pPr>
            <w:r>
              <w:rPr>
                <w:rFonts w:cs="Calibri"/>
                <w:szCs w:val="21"/>
              </w:rPr>
              <w:t>CK-CS</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38" w:hRule="atLeast"/>
          <w:jc w:val="center"/>
        </w:trPr>
        <w:tc>
          <w:tcPr>
            <w:tcW w:w="528" w:type="dxa"/>
            <w:shd w:val="clear" w:color="000000" w:fill="auto"/>
            <w:vAlign w:val="center"/>
          </w:tcPr>
          <w:p>
            <w:pPr>
              <w:jc w:val="center"/>
              <w:rPr>
                <w:rFonts w:ascii="宋体" w:cs="宋体"/>
                <w:szCs w:val="21"/>
                <w:lang w:val="zh-CN"/>
              </w:rPr>
            </w:pPr>
            <w:r>
              <w:rPr>
                <w:rFonts w:cs="Calibri"/>
                <w:szCs w:val="21"/>
              </w:rPr>
              <w:t>27</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系统编程软件</w:t>
            </w:r>
          </w:p>
        </w:tc>
        <w:tc>
          <w:tcPr>
            <w:tcW w:w="1843" w:type="dxa"/>
            <w:shd w:val="clear" w:color="000000" w:fill="auto"/>
            <w:vAlign w:val="center"/>
          </w:tcPr>
          <w:p>
            <w:pPr>
              <w:jc w:val="center"/>
              <w:rPr>
                <w:rFonts w:cs="Calibri"/>
                <w:b/>
                <w:bCs/>
                <w:szCs w:val="21"/>
              </w:rPr>
            </w:pPr>
            <w:r>
              <w:rPr>
                <w:rFonts w:hint="eastAsia" w:ascii="宋体" w:cs="宋体"/>
                <w:szCs w:val="21"/>
                <w:lang w:val="zh-CN"/>
              </w:rPr>
              <w:t>创凯</w:t>
            </w:r>
            <w:r>
              <w:rPr>
                <w:rFonts w:cs="Calibri"/>
                <w:szCs w:val="21"/>
              </w:rPr>
              <w:t>(CKZN)</w:t>
            </w:r>
          </w:p>
          <w:p>
            <w:pPr>
              <w:jc w:val="center"/>
              <w:rPr>
                <w:rFonts w:ascii="宋体" w:cs="宋体"/>
                <w:szCs w:val="21"/>
                <w:lang w:val="zh-CN"/>
              </w:rPr>
            </w:pPr>
            <w:r>
              <w:rPr>
                <w:rFonts w:cs="Calibri"/>
                <w:szCs w:val="21"/>
              </w:rPr>
              <w:t>CK6I-FU1.0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套</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336" w:hRule="atLeast"/>
          <w:jc w:val="center"/>
        </w:trPr>
        <w:tc>
          <w:tcPr>
            <w:tcW w:w="528" w:type="dxa"/>
            <w:shd w:val="clear" w:color="000000" w:fill="auto"/>
            <w:vAlign w:val="center"/>
          </w:tcPr>
          <w:p>
            <w:pPr>
              <w:jc w:val="center"/>
              <w:rPr>
                <w:rFonts w:ascii="宋体" w:cs="宋体"/>
                <w:szCs w:val="21"/>
                <w:lang w:val="zh-CN"/>
              </w:rPr>
            </w:pPr>
            <w:r>
              <w:rPr>
                <w:rFonts w:cs="Calibri"/>
                <w:szCs w:val="21"/>
              </w:rPr>
              <w:t>28</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触摸控制平板</w:t>
            </w:r>
          </w:p>
        </w:tc>
        <w:tc>
          <w:tcPr>
            <w:tcW w:w="1843" w:type="dxa"/>
            <w:shd w:val="clear" w:color="000000" w:fill="auto"/>
            <w:vAlign w:val="center"/>
          </w:tcPr>
          <w:p>
            <w:pPr>
              <w:jc w:val="center"/>
              <w:rPr>
                <w:rFonts w:cs="Calibri"/>
                <w:b/>
                <w:bCs/>
                <w:szCs w:val="21"/>
              </w:rPr>
            </w:pPr>
            <w:r>
              <w:rPr>
                <w:rFonts w:hint="eastAsia" w:ascii="宋体" w:cs="宋体"/>
                <w:szCs w:val="21"/>
                <w:lang w:val="zh-CN"/>
              </w:rPr>
              <w:t>华为</w:t>
            </w:r>
          </w:p>
          <w:p>
            <w:pPr>
              <w:jc w:val="center"/>
              <w:rPr>
                <w:rFonts w:ascii="宋体" w:cs="宋体"/>
                <w:szCs w:val="21"/>
                <w:lang w:val="zh-CN"/>
              </w:rPr>
            </w:pPr>
            <w:r>
              <w:rPr>
                <w:rFonts w:cs="Calibri"/>
                <w:szCs w:val="21"/>
              </w:rPr>
              <w:t>MatePad SE</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15" w:hRule="atLeast"/>
          <w:jc w:val="center"/>
        </w:trPr>
        <w:tc>
          <w:tcPr>
            <w:tcW w:w="528" w:type="dxa"/>
            <w:shd w:val="clear" w:color="000000" w:fill="auto"/>
            <w:vAlign w:val="center"/>
          </w:tcPr>
          <w:p>
            <w:pPr>
              <w:jc w:val="center"/>
              <w:rPr>
                <w:rFonts w:ascii="宋体" w:cs="宋体"/>
                <w:szCs w:val="21"/>
                <w:lang w:val="zh-CN"/>
              </w:rPr>
            </w:pPr>
            <w:r>
              <w:rPr>
                <w:rFonts w:cs="Calibri"/>
                <w:szCs w:val="21"/>
              </w:rPr>
              <w:t>29</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无线路由器</w:t>
            </w:r>
          </w:p>
        </w:tc>
        <w:tc>
          <w:tcPr>
            <w:tcW w:w="1843" w:type="dxa"/>
            <w:shd w:val="clear" w:color="000000" w:fill="auto"/>
            <w:vAlign w:val="center"/>
          </w:tcPr>
          <w:p>
            <w:pPr>
              <w:jc w:val="center"/>
              <w:rPr>
                <w:rFonts w:cs="Calibri"/>
                <w:b/>
                <w:bCs/>
                <w:szCs w:val="21"/>
              </w:rPr>
            </w:pPr>
            <w:r>
              <w:rPr>
                <w:rFonts w:cs="Calibri"/>
                <w:szCs w:val="21"/>
              </w:rPr>
              <w:t>TP-LINK</w:t>
            </w:r>
          </w:p>
          <w:p>
            <w:pPr>
              <w:jc w:val="center"/>
              <w:rPr>
                <w:rFonts w:ascii="宋体" w:cs="宋体"/>
                <w:szCs w:val="21"/>
                <w:lang w:val="zh-CN"/>
              </w:rPr>
            </w:pPr>
            <w:r>
              <w:rPr>
                <w:rFonts w:cs="Calibri"/>
                <w:szCs w:val="21"/>
              </w:rPr>
              <w:t>AX5400</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12" w:hRule="atLeast"/>
          <w:jc w:val="center"/>
        </w:trPr>
        <w:tc>
          <w:tcPr>
            <w:tcW w:w="528" w:type="dxa"/>
            <w:shd w:val="clear" w:color="000000" w:fill="auto"/>
            <w:vAlign w:val="center"/>
          </w:tcPr>
          <w:p>
            <w:pPr>
              <w:jc w:val="center"/>
              <w:rPr>
                <w:rFonts w:ascii="宋体" w:cs="宋体"/>
                <w:szCs w:val="21"/>
                <w:lang w:val="zh-CN"/>
              </w:rPr>
            </w:pPr>
            <w:r>
              <w:rPr>
                <w:rFonts w:cs="Calibri"/>
                <w:szCs w:val="21"/>
              </w:rPr>
              <w:t>30</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交换机</w:t>
            </w:r>
          </w:p>
        </w:tc>
        <w:tc>
          <w:tcPr>
            <w:tcW w:w="1843" w:type="dxa"/>
            <w:shd w:val="clear" w:color="000000" w:fill="auto"/>
            <w:vAlign w:val="center"/>
          </w:tcPr>
          <w:p>
            <w:pPr>
              <w:jc w:val="center"/>
              <w:rPr>
                <w:rFonts w:cs="Calibri"/>
                <w:b/>
                <w:bCs/>
                <w:szCs w:val="21"/>
              </w:rPr>
            </w:pPr>
            <w:r>
              <w:rPr>
                <w:rFonts w:cs="Calibri"/>
                <w:szCs w:val="21"/>
              </w:rPr>
              <w:t>H3C</w:t>
            </w:r>
          </w:p>
          <w:p>
            <w:pPr>
              <w:jc w:val="center"/>
              <w:rPr>
                <w:rFonts w:ascii="宋体" w:cs="宋体"/>
                <w:szCs w:val="21"/>
                <w:lang w:val="zh-CN"/>
              </w:rPr>
            </w:pPr>
            <w:r>
              <w:rPr>
                <w:rFonts w:cs="Calibri"/>
                <w:szCs w:val="21"/>
              </w:rPr>
              <w:t>S1850V2-28P-EI</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301" w:hRule="atLeast"/>
          <w:jc w:val="center"/>
        </w:trPr>
        <w:tc>
          <w:tcPr>
            <w:tcW w:w="528" w:type="dxa"/>
            <w:shd w:val="clear" w:color="000000" w:fill="auto"/>
            <w:vAlign w:val="center"/>
          </w:tcPr>
          <w:p>
            <w:pPr>
              <w:jc w:val="center"/>
              <w:rPr>
                <w:rFonts w:ascii="宋体" w:cs="宋体"/>
                <w:szCs w:val="21"/>
                <w:lang w:val="zh-CN"/>
              </w:rPr>
            </w:pPr>
            <w:r>
              <w:rPr>
                <w:rFonts w:cs="Calibri"/>
                <w:szCs w:val="21"/>
              </w:rPr>
              <w:t>31</w:t>
            </w:r>
          </w:p>
        </w:tc>
        <w:tc>
          <w:tcPr>
            <w:tcW w:w="1135" w:type="dxa"/>
            <w:vMerge w:val="restart"/>
            <w:shd w:val="clear" w:color="000000" w:fill="auto"/>
            <w:vAlign w:val="center"/>
          </w:tcPr>
          <w:p>
            <w:pPr>
              <w:jc w:val="center"/>
              <w:rPr>
                <w:rFonts w:ascii="宋体" w:cs="宋体"/>
                <w:szCs w:val="21"/>
                <w:lang w:val="zh-CN"/>
              </w:rPr>
            </w:pPr>
            <w:r>
              <w:rPr>
                <w:rFonts w:hint="eastAsia" w:ascii="宋体" w:cs="宋体"/>
                <w:szCs w:val="21"/>
                <w:lang w:val="zh-CN"/>
              </w:rPr>
              <w:t>配套辅助设备及系统集成</w:t>
            </w: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控制电脑</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联想</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33" w:hRule="atLeast"/>
          <w:jc w:val="center"/>
        </w:trPr>
        <w:tc>
          <w:tcPr>
            <w:tcW w:w="528" w:type="dxa"/>
            <w:shd w:val="clear" w:color="000000" w:fill="auto"/>
            <w:vAlign w:val="center"/>
          </w:tcPr>
          <w:p>
            <w:pPr>
              <w:jc w:val="center"/>
              <w:rPr>
                <w:rFonts w:ascii="宋体" w:cs="宋体"/>
                <w:szCs w:val="21"/>
                <w:lang w:val="zh-CN"/>
              </w:rPr>
            </w:pPr>
            <w:r>
              <w:rPr>
                <w:rFonts w:cs="Calibri"/>
                <w:szCs w:val="21"/>
              </w:rPr>
              <w:t>32</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机柜</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图腾</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717" w:hRule="atLeast"/>
          <w:jc w:val="center"/>
        </w:trPr>
        <w:tc>
          <w:tcPr>
            <w:tcW w:w="528" w:type="dxa"/>
            <w:shd w:val="clear" w:color="000000" w:fill="auto"/>
            <w:vAlign w:val="center"/>
          </w:tcPr>
          <w:p>
            <w:pPr>
              <w:jc w:val="center"/>
              <w:rPr>
                <w:rFonts w:ascii="宋体" w:cs="宋体"/>
                <w:szCs w:val="21"/>
                <w:lang w:val="zh-CN"/>
              </w:rPr>
            </w:pPr>
            <w:r>
              <w:rPr>
                <w:rFonts w:cs="Calibri"/>
                <w:szCs w:val="21"/>
              </w:rPr>
              <w:t>33</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返看电视</w:t>
            </w:r>
            <w:r>
              <w:rPr>
                <w:rFonts w:cs="Calibri"/>
                <w:szCs w:val="21"/>
              </w:rPr>
              <w:t>(</w:t>
            </w:r>
            <w:r>
              <w:rPr>
                <w:rFonts w:hint="eastAsia" w:ascii="宋体" w:cs="宋体"/>
                <w:szCs w:val="21"/>
                <w:lang w:val="zh-CN"/>
              </w:rPr>
              <w:t>配可移动支架</w:t>
            </w:r>
            <w:r>
              <w:rPr>
                <w:rFonts w:cs="Calibri"/>
                <w:szCs w:val="21"/>
              </w:rPr>
              <w:t>)</w:t>
            </w:r>
          </w:p>
        </w:tc>
        <w:tc>
          <w:tcPr>
            <w:tcW w:w="1843" w:type="dxa"/>
            <w:shd w:val="clear" w:color="000000" w:fill="auto"/>
            <w:vAlign w:val="center"/>
          </w:tcPr>
          <w:p>
            <w:pPr>
              <w:jc w:val="center"/>
              <w:rPr>
                <w:rFonts w:cs="Calibri"/>
                <w:b/>
                <w:bCs/>
                <w:szCs w:val="21"/>
              </w:rPr>
            </w:pPr>
            <w:r>
              <w:rPr>
                <w:rFonts w:hint="eastAsia" w:ascii="宋体" w:cs="宋体"/>
                <w:szCs w:val="21"/>
                <w:lang w:val="zh-CN"/>
              </w:rPr>
              <w:t>小米</w:t>
            </w:r>
          </w:p>
          <w:p>
            <w:pPr>
              <w:jc w:val="center"/>
              <w:rPr>
                <w:rFonts w:ascii="宋体" w:cs="宋体"/>
                <w:szCs w:val="21"/>
                <w:lang w:val="zh-CN"/>
              </w:rPr>
            </w:pPr>
            <w:r>
              <w:rPr>
                <w:rFonts w:cs="Calibri"/>
                <w:szCs w:val="21"/>
              </w:rPr>
              <w:t>Redmi A55</w:t>
            </w:r>
          </w:p>
        </w:tc>
        <w:tc>
          <w:tcPr>
            <w:tcW w:w="1701" w:type="dxa"/>
            <w:shd w:val="clear" w:color="000000" w:fill="auto"/>
            <w:vAlign w:val="center"/>
          </w:tcPr>
          <w:p>
            <w:pPr>
              <w:jc w:val="center"/>
              <w:rPr>
                <w:rFonts w:ascii="宋体" w:cs="宋体"/>
                <w:szCs w:val="21"/>
                <w:lang w:val="zh-CN"/>
              </w:rPr>
            </w:pPr>
            <w:r>
              <w:rPr>
                <w:rFonts w:cs="Calibri"/>
                <w:szCs w:val="21"/>
              </w:rPr>
              <w:t>2</w:t>
            </w:r>
            <w:r>
              <w:rPr>
                <w:rFonts w:hint="eastAsia" w:ascii="宋体" w:cs="宋体"/>
                <w:szCs w:val="21"/>
                <w:lang w:val="zh-CN"/>
              </w:rPr>
              <w:t>台</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32" w:hRule="atLeast"/>
          <w:jc w:val="center"/>
        </w:trPr>
        <w:tc>
          <w:tcPr>
            <w:tcW w:w="528" w:type="dxa"/>
            <w:shd w:val="clear" w:color="000000" w:fill="auto"/>
            <w:vAlign w:val="center"/>
          </w:tcPr>
          <w:p>
            <w:pPr>
              <w:jc w:val="center"/>
              <w:rPr>
                <w:rFonts w:ascii="宋体" w:cs="宋体"/>
                <w:szCs w:val="21"/>
                <w:lang w:val="zh-CN"/>
              </w:rPr>
            </w:pPr>
            <w:r>
              <w:rPr>
                <w:rFonts w:cs="Calibri"/>
                <w:szCs w:val="21"/>
              </w:rPr>
              <w:t>34</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多媒体信息插</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国产优质</w:t>
            </w:r>
          </w:p>
        </w:tc>
        <w:tc>
          <w:tcPr>
            <w:tcW w:w="1701" w:type="dxa"/>
            <w:shd w:val="clear" w:color="000000" w:fill="auto"/>
            <w:vAlign w:val="center"/>
          </w:tcPr>
          <w:p>
            <w:pPr>
              <w:jc w:val="center"/>
              <w:rPr>
                <w:rFonts w:ascii="宋体" w:cs="宋体"/>
                <w:szCs w:val="21"/>
                <w:lang w:val="zh-CN"/>
              </w:rPr>
            </w:pPr>
            <w:r>
              <w:rPr>
                <w:rFonts w:cs="Calibri"/>
                <w:szCs w:val="21"/>
              </w:rPr>
              <w:t>6</w:t>
            </w:r>
            <w:r>
              <w:rPr>
                <w:rFonts w:hint="eastAsia" w:ascii="宋体" w:cs="宋体"/>
                <w:szCs w:val="21"/>
                <w:lang w:val="zh-CN"/>
              </w:rPr>
              <w:t>套</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432" w:hRule="atLeast"/>
          <w:jc w:val="center"/>
        </w:trPr>
        <w:tc>
          <w:tcPr>
            <w:tcW w:w="528" w:type="dxa"/>
            <w:shd w:val="clear" w:color="000000" w:fill="auto"/>
            <w:vAlign w:val="center"/>
          </w:tcPr>
          <w:p>
            <w:pPr>
              <w:jc w:val="center"/>
              <w:rPr>
                <w:rFonts w:ascii="宋体" w:cs="宋体"/>
                <w:szCs w:val="21"/>
                <w:lang w:val="zh-CN"/>
              </w:rPr>
            </w:pPr>
            <w:r>
              <w:rPr>
                <w:rFonts w:cs="Calibri"/>
                <w:szCs w:val="21"/>
              </w:rPr>
              <w:t>35</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各类管线</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国产优质</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批</w:t>
            </w:r>
          </w:p>
        </w:tc>
        <w:tc>
          <w:tcPr>
            <w:tcW w:w="1843" w:type="dxa"/>
            <w:shd w:val="clear" w:color="000000" w:fill="auto"/>
            <w:vAlign w:val="center"/>
          </w:tcPr>
          <w:p>
            <w:pPr>
              <w:jc w:val="center"/>
              <w:rPr>
                <w:rFonts w:cs="Calibri"/>
                <w:szCs w:val="21"/>
              </w:rPr>
            </w:pPr>
            <w:r>
              <w:rPr>
                <w:rFonts w:hint="eastAsia" w:cs="Calibri"/>
                <w:szCs w:val="21"/>
              </w:rPr>
              <w:t>南京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000000" w:fill="auto"/>
          <w:tblCellMar>
            <w:top w:w="0" w:type="dxa"/>
            <w:left w:w="108" w:type="dxa"/>
            <w:bottom w:w="0" w:type="dxa"/>
            <w:right w:w="108" w:type="dxa"/>
          </w:tblCellMar>
        </w:tblPrEx>
        <w:trPr>
          <w:cantSplit/>
          <w:trHeight w:val="697" w:hRule="atLeast"/>
          <w:jc w:val="center"/>
        </w:trPr>
        <w:tc>
          <w:tcPr>
            <w:tcW w:w="528" w:type="dxa"/>
            <w:shd w:val="clear" w:color="000000" w:fill="auto"/>
            <w:vAlign w:val="center"/>
          </w:tcPr>
          <w:p>
            <w:pPr>
              <w:jc w:val="center"/>
              <w:rPr>
                <w:rFonts w:ascii="宋体" w:cs="宋体"/>
                <w:szCs w:val="21"/>
                <w:lang w:val="zh-CN"/>
              </w:rPr>
            </w:pPr>
            <w:r>
              <w:rPr>
                <w:rFonts w:cs="Calibri"/>
                <w:szCs w:val="21"/>
              </w:rPr>
              <w:t>36</w:t>
            </w:r>
          </w:p>
        </w:tc>
        <w:tc>
          <w:tcPr>
            <w:tcW w:w="1135" w:type="dxa"/>
            <w:vMerge w:val="continue"/>
            <w:shd w:val="clear" w:color="000000" w:fill="auto"/>
            <w:vAlign w:val="center"/>
          </w:tcPr>
          <w:p>
            <w:pPr>
              <w:spacing w:before="120" w:after="120" w:line="360" w:lineRule="auto"/>
              <w:jc w:val="left"/>
              <w:rPr>
                <w:rFonts w:ascii="宋体" w:cs="宋体"/>
                <w:szCs w:val="21"/>
                <w:lang w:val="zh-CN"/>
              </w:rPr>
            </w:pPr>
          </w:p>
        </w:tc>
        <w:tc>
          <w:tcPr>
            <w:tcW w:w="1984" w:type="dxa"/>
            <w:shd w:val="clear" w:color="000000" w:fill="auto"/>
            <w:vAlign w:val="center"/>
          </w:tcPr>
          <w:p>
            <w:pPr>
              <w:jc w:val="center"/>
              <w:rPr>
                <w:rFonts w:ascii="宋体" w:cs="宋体"/>
                <w:szCs w:val="21"/>
                <w:lang w:val="zh-CN"/>
              </w:rPr>
            </w:pPr>
            <w:r>
              <w:rPr>
                <w:rFonts w:hint="eastAsia" w:ascii="宋体" w:cs="宋体"/>
                <w:szCs w:val="21"/>
                <w:lang w:val="zh-CN"/>
              </w:rPr>
              <w:t>各类附件、接插件</w:t>
            </w:r>
          </w:p>
        </w:tc>
        <w:tc>
          <w:tcPr>
            <w:tcW w:w="1843" w:type="dxa"/>
            <w:shd w:val="clear" w:color="000000" w:fill="auto"/>
            <w:vAlign w:val="center"/>
          </w:tcPr>
          <w:p>
            <w:pPr>
              <w:jc w:val="center"/>
              <w:rPr>
                <w:rFonts w:ascii="宋体" w:cs="宋体"/>
                <w:szCs w:val="21"/>
                <w:lang w:val="zh-CN"/>
              </w:rPr>
            </w:pPr>
            <w:r>
              <w:rPr>
                <w:rFonts w:hint="eastAsia" w:ascii="宋体" w:cs="宋体"/>
                <w:szCs w:val="21"/>
                <w:lang w:val="zh-CN"/>
              </w:rPr>
              <w:t>国产优质</w:t>
            </w:r>
          </w:p>
        </w:tc>
        <w:tc>
          <w:tcPr>
            <w:tcW w:w="1701" w:type="dxa"/>
            <w:shd w:val="clear" w:color="000000" w:fill="auto"/>
            <w:vAlign w:val="center"/>
          </w:tcPr>
          <w:p>
            <w:pPr>
              <w:jc w:val="center"/>
              <w:rPr>
                <w:rFonts w:ascii="宋体" w:cs="宋体"/>
                <w:szCs w:val="21"/>
                <w:lang w:val="zh-CN"/>
              </w:rPr>
            </w:pPr>
            <w:r>
              <w:rPr>
                <w:rFonts w:cs="Calibri"/>
                <w:szCs w:val="21"/>
              </w:rPr>
              <w:t>1</w:t>
            </w:r>
            <w:r>
              <w:rPr>
                <w:rFonts w:hint="eastAsia" w:ascii="宋体" w:cs="宋体"/>
                <w:szCs w:val="21"/>
                <w:lang w:val="zh-CN"/>
              </w:rPr>
              <w:t>批</w:t>
            </w:r>
          </w:p>
        </w:tc>
        <w:tc>
          <w:tcPr>
            <w:tcW w:w="1843" w:type="dxa"/>
            <w:shd w:val="clear" w:color="000000" w:fill="auto"/>
            <w:vAlign w:val="center"/>
          </w:tcPr>
          <w:p>
            <w:pPr>
              <w:jc w:val="center"/>
              <w:rPr>
                <w:rFonts w:cs="Calibri"/>
                <w:szCs w:val="21"/>
              </w:rPr>
            </w:pPr>
            <w:r>
              <w:rPr>
                <w:rFonts w:hint="eastAsia" w:cs="Calibri"/>
                <w:szCs w:val="21"/>
              </w:rPr>
              <w:t>南京</w:t>
            </w:r>
          </w:p>
        </w:tc>
      </w:tr>
    </w:tbl>
    <w:p>
      <w:pPr>
        <w:spacing w:line="560" w:lineRule="atLeast"/>
        <w:ind w:firstLine="480"/>
        <w:rPr>
          <w:rFonts w:cs="Calibri"/>
          <w:b/>
          <w:bCs/>
          <w:sz w:val="24"/>
          <w:szCs w:val="24"/>
        </w:rPr>
      </w:pPr>
      <w:r>
        <w:rPr>
          <w:rFonts w:hint="eastAsia" w:ascii="宋体" w:cs="宋体"/>
          <w:sz w:val="24"/>
          <w:szCs w:val="24"/>
          <w:lang w:val="zh-CN"/>
        </w:rPr>
        <w:t>（1）运维内容要求</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181"/>
        <w:gridCol w:w="69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jc w:val="center"/>
        </w:trPr>
        <w:tc>
          <w:tcPr>
            <w:tcW w:w="457" w:type="dxa"/>
            <w:vAlign w:val="center"/>
          </w:tcPr>
          <w:p>
            <w:pPr>
              <w:spacing w:line="312" w:lineRule="auto"/>
              <w:jc w:val="center"/>
              <w:rPr>
                <w:rFonts w:cs="Calibri"/>
                <w:szCs w:val="21"/>
              </w:rPr>
            </w:pPr>
            <w:r>
              <w:rPr>
                <w:rFonts w:hint="eastAsia" w:cs="Calibri"/>
                <w:szCs w:val="21"/>
              </w:rPr>
              <w:t>序号</w:t>
            </w:r>
          </w:p>
        </w:tc>
        <w:tc>
          <w:tcPr>
            <w:tcW w:w="1181" w:type="dxa"/>
            <w:vAlign w:val="center"/>
          </w:tcPr>
          <w:p>
            <w:pPr>
              <w:spacing w:line="312" w:lineRule="auto"/>
              <w:jc w:val="center"/>
              <w:rPr>
                <w:rFonts w:cs="Calibri"/>
                <w:szCs w:val="21"/>
              </w:rPr>
            </w:pPr>
            <w:r>
              <w:rPr>
                <w:rFonts w:hint="eastAsia" w:cs="Calibri"/>
                <w:szCs w:val="21"/>
              </w:rPr>
              <w:t>运维内容</w:t>
            </w:r>
          </w:p>
        </w:tc>
        <w:tc>
          <w:tcPr>
            <w:tcW w:w="6945" w:type="dxa"/>
            <w:vAlign w:val="center"/>
          </w:tcPr>
          <w:p>
            <w:pPr>
              <w:spacing w:line="312" w:lineRule="auto"/>
              <w:jc w:val="center"/>
              <w:rPr>
                <w:rFonts w:cs="Calibri"/>
                <w:szCs w:val="21"/>
              </w:rPr>
            </w:pPr>
            <w:r>
              <w:rPr>
                <w:rFonts w:hint="eastAsia" w:cs="Calibri"/>
                <w:szCs w:val="21"/>
              </w:rPr>
              <w:t>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457" w:type="dxa"/>
            <w:vAlign w:val="center"/>
          </w:tcPr>
          <w:p>
            <w:pPr>
              <w:spacing w:line="312" w:lineRule="auto"/>
              <w:jc w:val="center"/>
              <w:rPr>
                <w:szCs w:val="21"/>
              </w:rPr>
            </w:pPr>
            <w:r>
              <w:rPr>
                <w:rFonts w:hint="eastAsia"/>
                <w:szCs w:val="21"/>
              </w:rPr>
              <w:t>1</w:t>
            </w:r>
          </w:p>
        </w:tc>
        <w:tc>
          <w:tcPr>
            <w:tcW w:w="1181" w:type="dxa"/>
            <w:vAlign w:val="center"/>
          </w:tcPr>
          <w:p>
            <w:pPr>
              <w:spacing w:line="312" w:lineRule="auto"/>
              <w:rPr>
                <w:rFonts w:cs="Calibri"/>
                <w:szCs w:val="21"/>
              </w:rPr>
            </w:pPr>
            <w:r>
              <w:rPr>
                <w:rFonts w:hint="eastAsia" w:cs="Calibri"/>
                <w:szCs w:val="21"/>
              </w:rPr>
              <w:t>日常运维</w:t>
            </w:r>
          </w:p>
        </w:tc>
        <w:tc>
          <w:tcPr>
            <w:tcW w:w="6945" w:type="dxa"/>
            <w:vAlign w:val="center"/>
          </w:tcPr>
          <w:p>
            <w:pPr>
              <w:spacing w:line="312" w:lineRule="auto"/>
              <w:ind w:firstLine="482"/>
              <w:rPr>
                <w:rFonts w:cs="Calibri"/>
                <w:b/>
                <w:bCs/>
                <w:szCs w:val="21"/>
              </w:rPr>
            </w:pPr>
            <w:r>
              <w:rPr>
                <w:rFonts w:hint="eastAsia" w:ascii="宋体" w:cs="宋体"/>
                <w:szCs w:val="21"/>
                <w:lang w:val="zh-CN"/>
              </w:rPr>
              <w:t>提供全部软硬件设备的日常运维、故障处理（设备整机或配件，在无法修复时免费更换）、技术改造、耗材补充等服务。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2</w:t>
            </w:r>
          </w:p>
        </w:tc>
        <w:tc>
          <w:tcPr>
            <w:tcW w:w="1181" w:type="dxa"/>
            <w:vAlign w:val="center"/>
          </w:tcPr>
          <w:p>
            <w:pPr>
              <w:spacing w:line="312" w:lineRule="auto"/>
              <w:rPr>
                <w:rFonts w:ascii="宋体" w:cs="宋体"/>
                <w:szCs w:val="21"/>
                <w:lang w:val="zh-CN"/>
              </w:rPr>
            </w:pPr>
            <w:r>
              <w:rPr>
                <w:rFonts w:hint="eastAsia" w:ascii="宋体" w:cs="宋体"/>
                <w:szCs w:val="21"/>
                <w:lang w:val="zh-CN"/>
              </w:rPr>
              <w:t>设备状态检查</w:t>
            </w:r>
          </w:p>
        </w:tc>
        <w:tc>
          <w:tcPr>
            <w:tcW w:w="6945" w:type="dxa"/>
            <w:vAlign w:val="center"/>
          </w:tcPr>
          <w:p>
            <w:pPr>
              <w:spacing w:line="312" w:lineRule="auto"/>
              <w:ind w:firstLine="480"/>
              <w:rPr>
                <w:rFonts w:cs="Calibri"/>
                <w:b/>
                <w:bCs/>
                <w:szCs w:val="21"/>
              </w:rPr>
            </w:pPr>
            <w:r>
              <w:rPr>
                <w:rFonts w:hint="eastAsia" w:ascii="宋体" w:hAnsi="宋体" w:cs="宋体"/>
                <w:szCs w:val="21"/>
                <w:lang w:val="zh-CN"/>
              </w:rPr>
              <w:t>定期检查系统各类设备运行状态。</w:t>
            </w:r>
            <w:r>
              <w:rPr>
                <w:rFonts w:hint="eastAsia" w:ascii="宋体" w:cs="宋体"/>
                <w:szCs w:val="21"/>
                <w:lang w:val="zh-CN"/>
              </w:rPr>
              <w:t>安排人员负责现场设备的巡检、设备调试、设备维修、耗材补充、会议或活动保障等内容。按照采购人需求提供会议现场保障及技术支持服务。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3</w:t>
            </w:r>
          </w:p>
        </w:tc>
        <w:tc>
          <w:tcPr>
            <w:tcW w:w="1181" w:type="dxa"/>
            <w:vAlign w:val="center"/>
          </w:tcPr>
          <w:p>
            <w:pPr>
              <w:spacing w:line="312" w:lineRule="auto"/>
              <w:rPr>
                <w:rFonts w:ascii="宋体" w:cs="宋体"/>
                <w:szCs w:val="21"/>
                <w:lang w:val="zh-CN"/>
              </w:rPr>
            </w:pPr>
            <w:r>
              <w:rPr>
                <w:rFonts w:hint="eastAsia" w:ascii="宋体" w:cs="宋体"/>
                <w:szCs w:val="21"/>
                <w:lang w:val="zh-CN"/>
              </w:rPr>
              <w:t>软件升级</w:t>
            </w:r>
          </w:p>
        </w:tc>
        <w:tc>
          <w:tcPr>
            <w:tcW w:w="6945" w:type="dxa"/>
            <w:vAlign w:val="center"/>
          </w:tcPr>
          <w:p>
            <w:pPr>
              <w:spacing w:line="312" w:lineRule="auto"/>
              <w:ind w:firstLine="480"/>
              <w:rPr>
                <w:rFonts w:cs="Calibri"/>
                <w:b/>
                <w:bCs/>
                <w:szCs w:val="21"/>
              </w:rPr>
            </w:pPr>
            <w:r>
              <w:rPr>
                <w:rFonts w:hint="eastAsia" w:ascii="宋体" w:cs="宋体"/>
                <w:szCs w:val="21"/>
                <w:lang w:val="zh-CN"/>
              </w:rPr>
              <w:t>使用过程中如遇产品软件版本升级，投标人必须免费为采购人提供升级服务。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4</w:t>
            </w:r>
          </w:p>
        </w:tc>
        <w:tc>
          <w:tcPr>
            <w:tcW w:w="1181" w:type="dxa"/>
            <w:vAlign w:val="center"/>
          </w:tcPr>
          <w:p>
            <w:pPr>
              <w:spacing w:line="312" w:lineRule="auto"/>
              <w:rPr>
                <w:rFonts w:ascii="宋体" w:cs="宋体"/>
                <w:szCs w:val="21"/>
                <w:lang w:val="zh-CN"/>
              </w:rPr>
            </w:pPr>
            <w:r>
              <w:rPr>
                <w:rFonts w:hint="eastAsia" w:ascii="宋体" w:cs="宋体"/>
                <w:szCs w:val="21"/>
                <w:lang w:val="zh-CN"/>
              </w:rPr>
              <w:t>系统培训</w:t>
            </w:r>
          </w:p>
        </w:tc>
        <w:tc>
          <w:tcPr>
            <w:tcW w:w="6945" w:type="dxa"/>
            <w:vAlign w:val="center"/>
          </w:tcPr>
          <w:p>
            <w:pPr>
              <w:spacing w:line="312" w:lineRule="auto"/>
              <w:ind w:firstLine="480"/>
              <w:rPr>
                <w:rFonts w:cs="Calibri"/>
                <w:b/>
                <w:bCs/>
                <w:szCs w:val="21"/>
              </w:rPr>
            </w:pPr>
            <w:r>
              <w:rPr>
                <w:rFonts w:hint="eastAsia" w:ascii="宋体" w:cs="宋体"/>
                <w:szCs w:val="21"/>
                <w:lang w:val="zh-CN"/>
              </w:rPr>
              <w:t>在巡检时或在客户需要时，需对相关人员进行培训，使其熟悉系统的设备、器材的性能、工作原理、操作、故障分析与处理等，达到熟练操作、维护系统的设备和器材的程度，确保今后显示系统日常维护和管理工作正常进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5</w:t>
            </w:r>
          </w:p>
        </w:tc>
        <w:tc>
          <w:tcPr>
            <w:tcW w:w="1181" w:type="dxa"/>
            <w:vAlign w:val="center"/>
          </w:tcPr>
          <w:p>
            <w:pPr>
              <w:spacing w:line="312" w:lineRule="auto"/>
              <w:rPr>
                <w:rFonts w:ascii="宋体" w:cs="宋体"/>
                <w:szCs w:val="21"/>
                <w:lang w:val="zh-CN"/>
              </w:rPr>
            </w:pPr>
            <w:r>
              <w:rPr>
                <w:rFonts w:hint="eastAsia" w:ascii="宋体" w:cs="宋体"/>
                <w:szCs w:val="21"/>
                <w:lang w:val="zh-CN"/>
              </w:rPr>
              <w:t>相关授权</w:t>
            </w:r>
          </w:p>
        </w:tc>
        <w:tc>
          <w:tcPr>
            <w:tcW w:w="6945" w:type="dxa"/>
            <w:vAlign w:val="center"/>
          </w:tcPr>
          <w:p>
            <w:pPr>
              <w:spacing w:line="312" w:lineRule="auto"/>
              <w:ind w:firstLine="420" w:firstLineChars="200"/>
              <w:rPr>
                <w:rFonts w:ascii="宋体" w:cs="宋体"/>
                <w:szCs w:val="21"/>
                <w:lang w:val="zh-CN"/>
              </w:rPr>
            </w:pPr>
            <w:r>
              <w:rPr>
                <w:rFonts w:hint="eastAsia" w:ascii="宋体" w:cs="宋体"/>
                <w:szCs w:val="21"/>
                <w:lang w:val="zh-CN"/>
              </w:rPr>
              <w:t>1、提供省站在用亿联视频会议软件</w:t>
            </w:r>
            <w:r>
              <w:rPr>
                <w:rFonts w:cs="Calibri"/>
                <w:szCs w:val="21"/>
              </w:rPr>
              <w:t>1</w:t>
            </w:r>
            <w:r>
              <w:rPr>
                <w:rFonts w:hint="eastAsia" w:ascii="宋体" w:cs="宋体"/>
                <w:szCs w:val="21"/>
                <w:lang w:val="zh-CN"/>
              </w:rPr>
              <w:t>年相关使用授权，至少包含：云虚拟会议室（不低于</w:t>
            </w:r>
            <w:r>
              <w:rPr>
                <w:rFonts w:cs="Calibri"/>
                <w:szCs w:val="21"/>
              </w:rPr>
              <w:t>100</w:t>
            </w:r>
            <w:r>
              <w:rPr>
                <w:rFonts w:hint="eastAsia" w:ascii="宋体" w:cs="宋体"/>
                <w:szCs w:val="21"/>
                <w:lang w:val="zh-CN"/>
              </w:rPr>
              <w:t>方），第三方会议室连接器（不少于</w:t>
            </w:r>
            <w:r>
              <w:rPr>
                <w:rFonts w:cs="Calibri"/>
                <w:szCs w:val="21"/>
              </w:rPr>
              <w:t>2</w:t>
            </w:r>
            <w:r>
              <w:rPr>
                <w:rFonts w:hint="eastAsia" w:ascii="宋体" w:cs="宋体"/>
                <w:szCs w:val="21"/>
                <w:lang w:val="zh-CN"/>
              </w:rPr>
              <w:t>个）。并提供第三方视频会议终端或摄像头接入调试服务。</w:t>
            </w:r>
          </w:p>
          <w:p>
            <w:pPr>
              <w:spacing w:line="312" w:lineRule="auto"/>
              <w:ind w:firstLine="420" w:firstLineChars="200"/>
              <w:rPr>
                <w:rFonts w:cs="Calibri"/>
                <w:b/>
                <w:bCs/>
                <w:szCs w:val="21"/>
              </w:rPr>
            </w:pPr>
            <w:r>
              <w:rPr>
                <w:rFonts w:hint="eastAsia" w:ascii="宋体" w:cs="宋体"/>
                <w:szCs w:val="21"/>
                <w:lang w:val="zh-CN"/>
              </w:rPr>
              <w:t>2、提供腾讯会议商业版软件1年相关使用授权（不低于100人同时在线）。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6</w:t>
            </w:r>
          </w:p>
        </w:tc>
        <w:tc>
          <w:tcPr>
            <w:tcW w:w="1181" w:type="dxa"/>
            <w:vAlign w:val="center"/>
          </w:tcPr>
          <w:p>
            <w:pPr>
              <w:spacing w:line="312" w:lineRule="auto"/>
              <w:rPr>
                <w:rFonts w:ascii="宋体" w:cs="宋体"/>
                <w:szCs w:val="21"/>
                <w:lang w:val="zh-CN"/>
              </w:rPr>
            </w:pPr>
            <w:r>
              <w:rPr>
                <w:rFonts w:hint="eastAsia" w:ascii="宋体" w:cs="宋体"/>
                <w:szCs w:val="21"/>
                <w:lang w:val="zh-CN"/>
              </w:rPr>
              <w:t>故障处理</w:t>
            </w:r>
          </w:p>
        </w:tc>
        <w:tc>
          <w:tcPr>
            <w:tcW w:w="6945" w:type="dxa"/>
            <w:vAlign w:val="center"/>
          </w:tcPr>
          <w:p>
            <w:pPr>
              <w:spacing w:line="312" w:lineRule="auto"/>
              <w:ind w:firstLine="480"/>
              <w:rPr>
                <w:rFonts w:cs="Calibri"/>
                <w:b/>
                <w:bCs/>
                <w:szCs w:val="21"/>
              </w:rPr>
            </w:pPr>
            <w:r>
              <w:rPr>
                <w:rFonts w:hint="eastAsia" w:ascii="宋体" w:cs="宋体"/>
                <w:szCs w:val="21"/>
                <w:lang w:val="zh-CN"/>
              </w:rPr>
              <w:t>在用户要求时限内，解决大屏会议系统各类设备及系统故障。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7" w:type="dxa"/>
            <w:vAlign w:val="center"/>
          </w:tcPr>
          <w:p>
            <w:pPr>
              <w:spacing w:line="312" w:lineRule="auto"/>
              <w:jc w:val="center"/>
              <w:rPr>
                <w:szCs w:val="21"/>
              </w:rPr>
            </w:pPr>
            <w:r>
              <w:rPr>
                <w:rFonts w:hint="eastAsia"/>
                <w:szCs w:val="21"/>
              </w:rPr>
              <w:t>7</w:t>
            </w:r>
          </w:p>
        </w:tc>
        <w:tc>
          <w:tcPr>
            <w:tcW w:w="1181" w:type="dxa"/>
            <w:vAlign w:val="center"/>
          </w:tcPr>
          <w:p>
            <w:pPr>
              <w:spacing w:line="312" w:lineRule="auto"/>
              <w:rPr>
                <w:rFonts w:cs="Calibri"/>
                <w:szCs w:val="21"/>
              </w:rPr>
            </w:pPr>
            <w:r>
              <w:rPr>
                <w:rFonts w:hint="eastAsia" w:cs="Calibri"/>
                <w:szCs w:val="21"/>
              </w:rPr>
              <w:t>技术支持</w:t>
            </w:r>
          </w:p>
        </w:tc>
        <w:tc>
          <w:tcPr>
            <w:tcW w:w="6945" w:type="dxa"/>
            <w:vAlign w:val="center"/>
          </w:tcPr>
          <w:p>
            <w:pPr>
              <w:spacing w:line="312" w:lineRule="auto"/>
              <w:ind w:firstLine="480"/>
              <w:rPr>
                <w:rFonts w:ascii="宋体" w:cs="宋体"/>
                <w:szCs w:val="21"/>
                <w:lang w:val="zh-CN"/>
              </w:rPr>
            </w:pPr>
            <w:r>
              <w:rPr>
                <w:rFonts w:hint="eastAsia" w:ascii="宋体" w:cs="宋体"/>
                <w:szCs w:val="21"/>
                <w:lang w:val="zh-CN"/>
              </w:rPr>
              <w:t>根据用户工作需要，能够配合提供行业内相关技术支持和软硬件技术服务。</w:t>
            </w:r>
            <w:r>
              <w:rPr>
                <w:rFonts w:hint="eastAsia" w:ascii="宋体" w:hAnsi="宋体" w:cs="宋体"/>
                <w:szCs w:val="21"/>
                <w:lang w:val="zh-CN"/>
              </w:rPr>
              <w:t>大屏显示系统相关软硬件需提供不低于原厂级别的质保服务。</w:t>
            </w:r>
            <w:r>
              <w:rPr>
                <w:rFonts w:hint="eastAsia" w:ascii="宋体" w:hAnsi="宋体" w:cs="宋体"/>
                <w:b/>
                <w:bCs/>
                <w:szCs w:val="21"/>
                <w:lang w:val="zh-CN"/>
              </w:rPr>
              <w:t>要求提供承诺函并加盖公章。</w:t>
            </w:r>
          </w:p>
        </w:tc>
      </w:tr>
    </w:tbl>
    <w:p>
      <w:pPr>
        <w:spacing w:line="560" w:lineRule="atLeast"/>
        <w:ind w:firstLine="480"/>
        <w:rPr>
          <w:rFonts w:ascii="宋体" w:cs="宋体"/>
          <w:sz w:val="24"/>
          <w:szCs w:val="24"/>
          <w:lang w:val="zh-CN"/>
        </w:rPr>
      </w:pPr>
      <w:r>
        <w:rPr>
          <w:rFonts w:hint="eastAsia" w:ascii="宋体" w:cs="宋体"/>
          <w:sz w:val="24"/>
          <w:szCs w:val="24"/>
          <w:lang w:val="zh-CN"/>
        </w:rPr>
        <w:t>（2）运维频次要求</w:t>
      </w:r>
    </w:p>
    <w:tbl>
      <w:tblPr>
        <w:tblStyle w:val="49"/>
        <w:tblW w:w="7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57"/>
        <w:gridCol w:w="4252"/>
        <w:gridCol w:w="22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序号</w:t>
            </w:r>
          </w:p>
        </w:tc>
        <w:tc>
          <w:tcPr>
            <w:tcW w:w="4252" w:type="dxa"/>
            <w:vAlign w:val="center"/>
          </w:tcPr>
          <w:p>
            <w:pPr>
              <w:spacing w:line="312" w:lineRule="auto"/>
              <w:jc w:val="center"/>
              <w:rPr>
                <w:szCs w:val="21"/>
                <w:lang w:val="zh-CN"/>
              </w:rPr>
            </w:pPr>
            <w:r>
              <w:rPr>
                <w:szCs w:val="21"/>
                <w:lang w:val="zh-CN"/>
              </w:rPr>
              <w:t>运维内容</w:t>
            </w:r>
          </w:p>
        </w:tc>
        <w:tc>
          <w:tcPr>
            <w:tcW w:w="2225" w:type="dxa"/>
            <w:vAlign w:val="center"/>
          </w:tcPr>
          <w:p>
            <w:pPr>
              <w:spacing w:line="312" w:lineRule="auto"/>
              <w:jc w:val="center"/>
              <w:rPr>
                <w:szCs w:val="21"/>
                <w:lang w:val="zh-CN"/>
              </w:rPr>
            </w:pPr>
            <w:r>
              <w:rPr>
                <w:szCs w:val="21"/>
                <w:lang w:val="zh-CN"/>
              </w:rPr>
              <w:t>运维频次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1</w:t>
            </w:r>
          </w:p>
        </w:tc>
        <w:tc>
          <w:tcPr>
            <w:tcW w:w="4252" w:type="dxa"/>
            <w:vAlign w:val="center"/>
          </w:tcPr>
          <w:p>
            <w:pPr>
              <w:spacing w:line="312" w:lineRule="auto"/>
              <w:jc w:val="center"/>
              <w:rPr>
                <w:szCs w:val="21"/>
                <w:lang w:val="zh-CN"/>
              </w:rPr>
            </w:pPr>
            <w:r>
              <w:rPr>
                <w:rFonts w:hint="eastAsia"/>
                <w:szCs w:val="21"/>
                <w:lang w:val="zh-CN"/>
              </w:rPr>
              <w:t>检查视频会议系统各类软硬件运行状态</w:t>
            </w:r>
          </w:p>
        </w:tc>
        <w:tc>
          <w:tcPr>
            <w:tcW w:w="2225" w:type="dxa"/>
            <w:vAlign w:val="center"/>
          </w:tcPr>
          <w:p>
            <w:pPr>
              <w:spacing w:line="312" w:lineRule="auto"/>
              <w:jc w:val="center"/>
              <w:rPr>
                <w:szCs w:val="21"/>
                <w:lang w:val="zh-CN"/>
              </w:rPr>
            </w:pPr>
            <w:r>
              <w:rPr>
                <w:rFonts w:hint="eastAsia"/>
                <w:szCs w:val="21"/>
                <w:lang w:val="zh-CN"/>
              </w:rPr>
              <w:t>每天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2</w:t>
            </w:r>
          </w:p>
        </w:tc>
        <w:tc>
          <w:tcPr>
            <w:tcW w:w="4252" w:type="dxa"/>
            <w:vAlign w:val="center"/>
          </w:tcPr>
          <w:p>
            <w:pPr>
              <w:spacing w:line="312" w:lineRule="auto"/>
              <w:jc w:val="center"/>
              <w:rPr>
                <w:rFonts w:ascii="宋体" w:cs="宋体"/>
                <w:szCs w:val="21"/>
                <w:lang w:val="zh-CN"/>
              </w:rPr>
            </w:pPr>
            <w:r>
              <w:rPr>
                <w:rFonts w:hint="eastAsia" w:ascii="宋体" w:cs="宋体"/>
                <w:szCs w:val="21"/>
                <w:lang w:val="zh-CN"/>
              </w:rPr>
              <w:t>提供会议现场保障及技术支持服务</w:t>
            </w:r>
          </w:p>
        </w:tc>
        <w:tc>
          <w:tcPr>
            <w:tcW w:w="2225" w:type="dxa"/>
            <w:vAlign w:val="center"/>
          </w:tcPr>
          <w:p>
            <w:pPr>
              <w:spacing w:line="312" w:lineRule="auto"/>
              <w:jc w:val="center"/>
              <w:rPr>
                <w:szCs w:val="21"/>
                <w:lang w:val="zh-CN"/>
              </w:rPr>
            </w:pPr>
            <w:r>
              <w:rPr>
                <w:rFonts w:hint="eastAsia"/>
                <w:szCs w:val="21"/>
                <w:lang w:val="zh-CN"/>
              </w:rPr>
              <w:t>根据用户要求提供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 w:hRule="atLeast"/>
          <w:jc w:val="center"/>
        </w:trPr>
        <w:tc>
          <w:tcPr>
            <w:tcW w:w="957" w:type="dxa"/>
          </w:tcPr>
          <w:p>
            <w:pPr>
              <w:spacing w:line="312" w:lineRule="auto"/>
              <w:jc w:val="center"/>
              <w:rPr>
                <w:szCs w:val="21"/>
                <w:lang w:val="zh-CN"/>
              </w:rPr>
            </w:pPr>
            <w:r>
              <w:rPr>
                <w:szCs w:val="21"/>
                <w:lang w:val="zh-CN"/>
              </w:rPr>
              <w:t>3</w:t>
            </w:r>
          </w:p>
        </w:tc>
        <w:tc>
          <w:tcPr>
            <w:tcW w:w="4252" w:type="dxa"/>
            <w:vAlign w:val="center"/>
          </w:tcPr>
          <w:p>
            <w:pPr>
              <w:spacing w:line="312" w:lineRule="auto"/>
              <w:jc w:val="center"/>
              <w:rPr>
                <w:szCs w:val="21"/>
                <w:lang w:val="zh-CN"/>
              </w:rPr>
            </w:pPr>
            <w:r>
              <w:rPr>
                <w:rFonts w:hint="eastAsia" w:ascii="宋体" w:cs="宋体"/>
                <w:szCs w:val="21"/>
                <w:lang w:val="zh-CN"/>
              </w:rPr>
              <w:t>解决大屏会议系统各类设备及系统故障</w:t>
            </w:r>
          </w:p>
        </w:tc>
        <w:tc>
          <w:tcPr>
            <w:tcW w:w="2225" w:type="dxa"/>
            <w:vAlign w:val="center"/>
          </w:tcPr>
          <w:p>
            <w:pPr>
              <w:spacing w:line="312" w:lineRule="auto"/>
              <w:jc w:val="center"/>
              <w:rPr>
                <w:szCs w:val="21"/>
                <w:lang w:val="zh-CN"/>
              </w:rPr>
            </w:pPr>
            <w:r>
              <w:rPr>
                <w:rFonts w:hint="eastAsia"/>
                <w:szCs w:val="21"/>
                <w:lang w:val="zh-CN"/>
              </w:rPr>
              <w:t>用户要求时限内</w:t>
            </w:r>
          </w:p>
        </w:tc>
      </w:tr>
    </w:tbl>
    <w:p>
      <w:pPr>
        <w:spacing w:line="560" w:lineRule="atLeast"/>
        <w:ind w:firstLine="482"/>
        <w:rPr>
          <w:rFonts w:ascii="楷体_GB2312" w:eastAsia="楷体_GB2312" w:cs="楷体_GB2312"/>
          <w:b/>
          <w:bCs/>
          <w:sz w:val="24"/>
          <w:szCs w:val="24"/>
          <w:lang w:val="zh-CN"/>
        </w:rPr>
      </w:pPr>
      <w:r>
        <w:rPr>
          <w:rFonts w:hint="eastAsia" w:ascii="楷体_GB2312" w:eastAsia="楷体_GB2312" w:cs="楷体_GB2312"/>
          <w:b/>
          <w:bCs/>
          <w:sz w:val="24"/>
          <w:szCs w:val="24"/>
          <w:lang w:val="zh-CN"/>
        </w:rPr>
        <w:t>11、其他需求内容</w:t>
      </w:r>
    </w:p>
    <w:p>
      <w:pPr>
        <w:spacing w:line="360" w:lineRule="auto"/>
        <w:ind w:firstLine="482" w:firstLineChars="200"/>
        <w:rPr>
          <w:rFonts w:ascii="楷体_GB2312" w:eastAsia="楷体_GB2312" w:cs="楷体_GB2312"/>
          <w:b/>
          <w:bCs/>
          <w:sz w:val="24"/>
          <w:szCs w:val="24"/>
          <w:lang w:val="zh-CN"/>
        </w:rPr>
      </w:pPr>
      <w:r>
        <w:rPr>
          <w:rFonts w:ascii="楷体_GB2312" w:eastAsia="楷体_GB2312" w:cs="楷体_GB2312"/>
          <w:b/>
          <w:bCs/>
          <w:sz w:val="24"/>
          <w:szCs w:val="24"/>
          <w:lang w:val="zh-CN"/>
        </w:rPr>
        <w:t>（</w:t>
      </w:r>
      <w:r>
        <w:rPr>
          <w:rFonts w:hint="eastAsia" w:ascii="楷体_GB2312" w:eastAsia="楷体_GB2312" w:cs="楷体_GB2312"/>
          <w:b/>
          <w:bCs/>
          <w:sz w:val="24"/>
          <w:szCs w:val="24"/>
          <w:lang w:val="zh-CN"/>
        </w:rPr>
        <w:t>1</w:t>
      </w:r>
      <w:r>
        <w:rPr>
          <w:rFonts w:ascii="楷体_GB2312" w:eastAsia="楷体_GB2312" w:cs="楷体_GB2312"/>
          <w:b/>
          <w:bCs/>
          <w:sz w:val="24"/>
          <w:szCs w:val="24"/>
          <w:lang w:val="zh-CN"/>
        </w:rPr>
        <w:t>）商用密码改造相关服务</w:t>
      </w:r>
    </w:p>
    <w:p>
      <w:pPr>
        <w:spacing w:line="360" w:lineRule="auto"/>
        <w:ind w:firstLine="480" w:firstLineChars="200"/>
        <w:rPr>
          <w:sz w:val="24"/>
          <w:szCs w:val="24"/>
        </w:rPr>
      </w:pPr>
      <w:r>
        <w:rPr>
          <w:rFonts w:hint="eastAsia"/>
          <w:sz w:val="24"/>
          <w:szCs w:val="24"/>
        </w:rPr>
        <w:t>提供商用密码改造相关服务。依据江苏省无线电监测站《内网办公系统密码应用方案》，提供运维期内江苏省无线电管理一体化平台（内网办公系统）通过密评所必须的软硬件及其他服务。具体要求如下：</w:t>
      </w:r>
    </w:p>
    <w:p>
      <w:pPr>
        <w:spacing w:line="360" w:lineRule="auto"/>
        <w:ind w:firstLine="480" w:firstLineChars="200"/>
        <w:rPr>
          <w:sz w:val="24"/>
          <w:szCs w:val="24"/>
        </w:rPr>
      </w:pPr>
      <w:r>
        <w:rPr>
          <w:rFonts w:hint="eastAsia" w:ascii="宋体" w:hAnsi="宋体"/>
          <w:sz w:val="24"/>
          <w:szCs w:val="24"/>
        </w:rPr>
        <w:t>①</w:t>
      </w:r>
      <w:r>
        <w:rPr>
          <w:rFonts w:hint="eastAsia"/>
          <w:sz w:val="24"/>
          <w:szCs w:val="24"/>
        </w:rPr>
        <w:t>需提供通过密评所需的服务器密码机、IPSec/SSL VPN综合安全网关、国密浏览器等软硬件。所提供的相关软硬件等需具备国家密码局管理局商用密码检测中心颁发的《商用密码产品认证证书》。需提供相关软硬件调测支撑对接相关服务。</w:t>
      </w:r>
    </w:p>
    <w:p>
      <w:pPr>
        <w:spacing w:line="360" w:lineRule="auto"/>
        <w:ind w:firstLine="480" w:firstLineChars="200"/>
        <w:rPr>
          <w:sz w:val="24"/>
          <w:szCs w:val="24"/>
        </w:rPr>
      </w:pPr>
      <w:r>
        <w:rPr>
          <w:rFonts w:hint="eastAsia" w:ascii="宋体" w:hAnsi="宋体"/>
          <w:sz w:val="24"/>
          <w:szCs w:val="24"/>
        </w:rPr>
        <w:t>②</w:t>
      </w:r>
      <w:r>
        <w:rPr>
          <w:rFonts w:hint="eastAsia"/>
          <w:sz w:val="24"/>
          <w:szCs w:val="24"/>
        </w:rPr>
        <w:t>提供商用密码改造所需的一体化平台相关应用系统开发及改造调测等服务。</w:t>
      </w:r>
    </w:p>
    <w:p>
      <w:pPr>
        <w:spacing w:line="360" w:lineRule="auto"/>
        <w:ind w:firstLine="480" w:firstLineChars="200"/>
        <w:rPr>
          <w:sz w:val="24"/>
          <w:szCs w:val="24"/>
        </w:rPr>
      </w:pPr>
      <w:r>
        <w:rPr>
          <w:rFonts w:hint="eastAsia" w:ascii="宋体" w:hAnsi="宋体"/>
          <w:sz w:val="24"/>
          <w:szCs w:val="24"/>
        </w:rPr>
        <w:t>③投标人需积极</w:t>
      </w:r>
      <w:r>
        <w:rPr>
          <w:rFonts w:hint="eastAsia"/>
          <w:sz w:val="24"/>
          <w:szCs w:val="24"/>
        </w:rPr>
        <w:t xml:space="preserve">配合第三方密评测评公司针对江苏省无线电管理一体化平台（内网办公系统）开展的商用密码测评工作，及时解决测评过程中发现的问题，保障该系统2026年11月底之前顺利通过密码测评。 </w:t>
      </w:r>
    </w:p>
    <w:p>
      <w:pPr>
        <w:spacing w:line="360" w:lineRule="auto"/>
        <w:ind w:firstLine="482" w:firstLineChars="200"/>
        <w:rPr>
          <w:rFonts w:ascii="楷体_GB2312" w:eastAsia="楷体_GB2312" w:cs="楷体_GB2312"/>
          <w:b/>
          <w:bCs/>
          <w:sz w:val="24"/>
          <w:szCs w:val="24"/>
          <w:lang w:val="zh-CN"/>
        </w:rPr>
      </w:pPr>
      <w:r>
        <w:rPr>
          <w:rFonts w:ascii="楷体_GB2312" w:eastAsia="楷体_GB2312" w:cs="楷体_GB2312"/>
          <w:b/>
          <w:bCs/>
          <w:sz w:val="24"/>
          <w:szCs w:val="24"/>
          <w:lang w:val="zh-CN"/>
        </w:rPr>
        <w:t>（</w:t>
      </w:r>
      <w:r>
        <w:rPr>
          <w:rFonts w:hint="eastAsia" w:ascii="楷体_GB2312" w:eastAsia="楷体_GB2312" w:cs="楷体_GB2312"/>
          <w:b/>
          <w:bCs/>
          <w:sz w:val="24"/>
          <w:szCs w:val="24"/>
          <w:lang w:val="zh-CN"/>
        </w:rPr>
        <w:t>2）风险评估及网络安全相关服务</w:t>
      </w:r>
    </w:p>
    <w:p>
      <w:pPr>
        <w:spacing w:line="360" w:lineRule="auto"/>
        <w:ind w:firstLine="480"/>
        <w:rPr>
          <w:rFonts w:ascii="楷体_GB2312" w:eastAsia="楷体_GB2312" w:cs="楷体_GB2312"/>
          <w:sz w:val="24"/>
          <w:szCs w:val="24"/>
          <w:lang w:val="zh-CN"/>
        </w:rPr>
      </w:pPr>
      <w:r>
        <w:rPr>
          <w:rFonts w:hint="eastAsia" w:ascii="楷体_GB2312" w:eastAsia="楷体_GB2312" w:cs="楷体_GB2312"/>
          <w:sz w:val="24"/>
          <w:szCs w:val="24"/>
          <w:lang w:val="zh-CN"/>
        </w:rPr>
        <w:t>①风险评估服务</w:t>
      </w:r>
    </w:p>
    <w:p>
      <w:pPr>
        <w:spacing w:line="360" w:lineRule="auto"/>
        <w:ind w:firstLine="482"/>
        <w:rPr>
          <w:rFonts w:ascii="宋体" w:cs="宋体"/>
          <w:sz w:val="24"/>
          <w:szCs w:val="24"/>
          <w:lang w:val="zh-CN"/>
        </w:rPr>
      </w:pPr>
      <w:r>
        <w:rPr>
          <w:rFonts w:hint="eastAsia" w:ascii="宋体" w:hAnsi="宋体"/>
          <w:sz w:val="24"/>
          <w:szCs w:val="24"/>
        </w:rPr>
        <w:t>投标人</w:t>
      </w:r>
      <w:r>
        <w:rPr>
          <w:rFonts w:hint="eastAsia" w:ascii="宋体" w:cs="宋体"/>
          <w:sz w:val="24"/>
          <w:szCs w:val="24"/>
          <w:lang w:val="zh-CN"/>
        </w:rPr>
        <w:t>应对江苏省无线电管理专网各类设备及系统进行安全风险评估（</w:t>
      </w:r>
      <w:r>
        <w:rPr>
          <w:rFonts w:hint="eastAsia" w:ascii="宋体" w:cs="宋体"/>
          <w:sz w:val="24"/>
          <w:szCs w:val="24"/>
        </w:rPr>
        <w:t>每半年至少一次</w:t>
      </w:r>
      <w:r>
        <w:rPr>
          <w:rFonts w:hint="eastAsia" w:ascii="宋体" w:cs="宋体"/>
          <w:sz w:val="24"/>
          <w:szCs w:val="24"/>
          <w:lang w:val="zh-CN"/>
        </w:rPr>
        <w:t>），投标时需提供风险评估服务方案。主要要求如下：</w:t>
      </w:r>
    </w:p>
    <w:p>
      <w:pPr>
        <w:spacing w:line="360" w:lineRule="auto"/>
        <w:ind w:firstLine="482"/>
        <w:rPr>
          <w:rFonts w:ascii="宋体" w:cs="宋体"/>
          <w:sz w:val="24"/>
          <w:szCs w:val="24"/>
          <w:lang w:val="zh-CN"/>
        </w:rPr>
      </w:pPr>
      <w:r>
        <w:rPr>
          <w:rFonts w:hint="eastAsia" w:ascii="仿宋" w:hAnsi="仿宋" w:eastAsia="仿宋" w:cs="宋体"/>
          <w:sz w:val="24"/>
          <w:szCs w:val="24"/>
          <w:lang w:val="zh-CN"/>
        </w:rPr>
        <w:t>■</w:t>
      </w:r>
      <w:r>
        <w:rPr>
          <w:rFonts w:hint="eastAsia" w:ascii="宋体" w:hAnsi="宋体"/>
          <w:sz w:val="24"/>
          <w:szCs w:val="24"/>
        </w:rPr>
        <w:t>投标人</w:t>
      </w:r>
      <w:r>
        <w:rPr>
          <w:rFonts w:hint="eastAsia" w:ascii="宋体" w:cs="宋体"/>
          <w:sz w:val="24"/>
          <w:szCs w:val="24"/>
          <w:lang w:val="zh-CN"/>
        </w:rPr>
        <w:t>应实时关注各系统路由器、交换机、服务器、安全防护设备、防护软件等设备流量、会话、系统日志等信息，并形成趋势分析记录，及时发现异常流量和异常行为并及时处理；结合日常安全趋势分析，按采购人要求对系统进行全面风险评估，全面排查系统安全隐患，并采取必要的干预和改进措施。</w:t>
      </w:r>
    </w:p>
    <w:p>
      <w:pPr>
        <w:spacing w:line="360" w:lineRule="auto"/>
        <w:ind w:firstLine="482"/>
        <w:rPr>
          <w:rFonts w:ascii="宋体" w:cs="宋体"/>
          <w:sz w:val="24"/>
          <w:szCs w:val="24"/>
          <w:lang w:val="zh-CN"/>
        </w:rPr>
      </w:pPr>
      <w:r>
        <w:rPr>
          <w:rFonts w:hint="eastAsia" w:ascii="仿宋" w:hAnsi="仿宋" w:eastAsia="仿宋" w:cs="宋体"/>
          <w:sz w:val="24"/>
          <w:szCs w:val="24"/>
        </w:rPr>
        <w:t>■</w:t>
      </w:r>
      <w:r>
        <w:rPr>
          <w:rFonts w:hint="eastAsia" w:ascii="宋体" w:cs="宋体"/>
          <w:sz w:val="24"/>
          <w:szCs w:val="24"/>
          <w:lang w:val="zh-CN"/>
        </w:rPr>
        <w:t>要求结合上级要求，从制度规范、网络安全工作责任制、网络安全防护、数据安全、专项任务、应急演练、重要保障、信创改造及适配等各个方面落实情况对省监测站网络安全工作落实情况进行风险评估。同时，对省监测站在用互联网、电子政务网及无线电管理专网各类系统、设备及终端安全性进行体检。出具网络安全自查评估报告，提出相应的整改建议，并协助采购人进行整改，以便提升省监测站网络安全工作落实水平。</w:t>
      </w:r>
    </w:p>
    <w:p>
      <w:pPr>
        <w:spacing w:line="360" w:lineRule="auto"/>
        <w:ind w:firstLine="482"/>
        <w:rPr>
          <w:rFonts w:ascii="楷体_GB2312" w:eastAsia="楷体_GB2312" w:cs="楷体_GB2312"/>
          <w:sz w:val="24"/>
          <w:szCs w:val="24"/>
          <w:lang w:val="zh-CN"/>
        </w:rPr>
      </w:pPr>
      <w:r>
        <w:rPr>
          <w:rFonts w:hint="eastAsia" w:ascii="楷体_GB2312" w:eastAsia="楷体_GB2312" w:cs="楷体_GB2312"/>
          <w:sz w:val="24"/>
          <w:szCs w:val="24"/>
          <w:lang w:val="zh-CN"/>
        </w:rPr>
        <w:t>②网络安全增值服务</w:t>
      </w:r>
    </w:p>
    <w:p>
      <w:pPr>
        <w:spacing w:line="360" w:lineRule="auto"/>
        <w:ind w:firstLine="482"/>
        <w:rPr>
          <w:rFonts w:ascii="宋体" w:cs="宋体"/>
          <w:sz w:val="24"/>
          <w:szCs w:val="24"/>
          <w:lang w:val="zh-CN"/>
        </w:rPr>
      </w:pPr>
      <w:r>
        <w:rPr>
          <w:rFonts w:hint="eastAsia" w:ascii="宋体" w:cs="宋体"/>
          <w:sz w:val="24"/>
          <w:szCs w:val="24"/>
          <w:lang w:val="zh-CN"/>
        </w:rPr>
        <w:t>按照要求提供相关网络安全增值服务，其中新系统安全风险评估服务及数据安全服务所需出具的报告，应由具备相应网络安全系统风险评估资质的机构出具。</w:t>
      </w:r>
    </w:p>
    <w:tbl>
      <w:tblPr>
        <w:tblStyle w:val="49"/>
        <w:tblW w:w="5000" w:type="pct"/>
        <w:jc w:val="center"/>
        <w:tblLayout w:type="autofit"/>
        <w:tblCellMar>
          <w:top w:w="0" w:type="dxa"/>
          <w:left w:w="108" w:type="dxa"/>
          <w:bottom w:w="0" w:type="dxa"/>
          <w:right w:w="108" w:type="dxa"/>
        </w:tblCellMar>
      </w:tblPr>
      <w:tblGrid>
        <w:gridCol w:w="934"/>
        <w:gridCol w:w="1910"/>
        <w:gridCol w:w="7010"/>
      </w:tblGrid>
      <w:tr>
        <w:tblPrEx>
          <w:tblCellMar>
            <w:top w:w="0" w:type="dxa"/>
            <w:left w:w="108" w:type="dxa"/>
            <w:bottom w:w="0" w:type="dxa"/>
            <w:right w:w="108" w:type="dxa"/>
          </w:tblCellMar>
        </w:tblPrEx>
        <w:trPr>
          <w:trHeight w:val="363"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pPr>
              <w:jc w:val="center"/>
              <w:rPr>
                <w:rFonts w:ascii="方正黑体_GBK" w:eastAsia="方正黑体_GBK"/>
                <w:szCs w:val="21"/>
                <w:lang w:bidi="en-US"/>
              </w:rPr>
            </w:pPr>
            <w:r>
              <w:rPr>
                <w:rFonts w:hint="eastAsia" w:ascii="方正黑体_GBK" w:eastAsia="方正黑体_GBK"/>
                <w:szCs w:val="21"/>
                <w:lang w:bidi="en-US"/>
              </w:rPr>
              <w:t>序号</w:t>
            </w:r>
          </w:p>
        </w:tc>
        <w:tc>
          <w:tcPr>
            <w:tcW w:w="969" w:type="pct"/>
            <w:tcBorders>
              <w:top w:val="single" w:color="auto" w:sz="4" w:space="0"/>
              <w:left w:val="nil"/>
              <w:bottom w:val="single" w:color="auto" w:sz="4" w:space="0"/>
              <w:right w:val="single" w:color="auto" w:sz="4" w:space="0"/>
            </w:tcBorders>
            <w:vAlign w:val="center"/>
          </w:tcPr>
          <w:p>
            <w:pPr>
              <w:jc w:val="center"/>
              <w:rPr>
                <w:rFonts w:ascii="方正黑体_GBK" w:eastAsia="方正黑体_GBK"/>
                <w:szCs w:val="21"/>
                <w:lang w:bidi="en-US"/>
              </w:rPr>
            </w:pPr>
            <w:r>
              <w:rPr>
                <w:rFonts w:hint="eastAsia" w:ascii="方正黑体_GBK" w:eastAsia="方正黑体_GBK"/>
                <w:szCs w:val="21"/>
                <w:lang w:bidi="en-US"/>
              </w:rPr>
              <w:t>服务名称</w:t>
            </w:r>
          </w:p>
        </w:tc>
        <w:tc>
          <w:tcPr>
            <w:tcW w:w="3557" w:type="pct"/>
            <w:tcBorders>
              <w:top w:val="single" w:color="auto" w:sz="4" w:space="0"/>
              <w:left w:val="nil"/>
              <w:bottom w:val="single" w:color="auto" w:sz="4" w:space="0"/>
              <w:right w:val="single" w:color="auto" w:sz="4" w:space="0"/>
            </w:tcBorders>
            <w:vAlign w:val="center"/>
          </w:tcPr>
          <w:p>
            <w:pPr>
              <w:jc w:val="center"/>
              <w:rPr>
                <w:rFonts w:ascii="方正黑体_GBK" w:eastAsia="方正黑体_GBK"/>
                <w:szCs w:val="21"/>
                <w:lang w:bidi="en-US"/>
              </w:rPr>
            </w:pPr>
            <w:r>
              <w:rPr>
                <w:rFonts w:hint="eastAsia" w:ascii="方正黑体_GBK" w:eastAsia="方正黑体_GBK"/>
                <w:szCs w:val="21"/>
                <w:lang w:bidi="en-US"/>
              </w:rPr>
              <w:t>服务要求</w:t>
            </w:r>
          </w:p>
        </w:tc>
      </w:tr>
      <w:tr>
        <w:tblPrEx>
          <w:tblCellMar>
            <w:top w:w="0" w:type="dxa"/>
            <w:left w:w="108" w:type="dxa"/>
            <w:bottom w:w="0" w:type="dxa"/>
            <w:right w:w="108" w:type="dxa"/>
          </w:tblCellMar>
        </w:tblPrEx>
        <w:trPr>
          <w:trHeight w:val="415" w:hRule="atLeast"/>
          <w:jc w:val="center"/>
        </w:trPr>
        <w:tc>
          <w:tcPr>
            <w:tcW w:w="474" w:type="pct"/>
            <w:tcBorders>
              <w:top w:val="nil"/>
              <w:left w:val="single" w:color="auto" w:sz="4" w:space="0"/>
              <w:bottom w:val="single" w:color="auto" w:sz="4" w:space="0"/>
              <w:right w:val="single" w:color="auto" w:sz="4" w:space="0"/>
            </w:tcBorders>
            <w:vAlign w:val="center"/>
          </w:tcPr>
          <w:p>
            <w:pPr>
              <w:jc w:val="center"/>
              <w:rPr>
                <w:b/>
                <w:bCs/>
                <w:szCs w:val="21"/>
                <w:lang w:val="zh-CN"/>
              </w:rPr>
            </w:pPr>
            <w:r>
              <w:rPr>
                <w:szCs w:val="21"/>
                <w:lang w:val="zh-CN"/>
              </w:rPr>
              <w:t>1</w:t>
            </w:r>
          </w:p>
        </w:tc>
        <w:tc>
          <w:tcPr>
            <w:tcW w:w="969"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安全事件应急响应</w:t>
            </w:r>
          </w:p>
        </w:tc>
        <w:tc>
          <w:tcPr>
            <w:tcW w:w="3557"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运维期内</w:t>
            </w:r>
            <w:r>
              <w:rPr>
                <w:szCs w:val="21"/>
                <w:lang w:val="zh-CN"/>
              </w:rPr>
              <w:t>，提供7×24小时安全事件应急响应服务。若发生重大安全事件，按照</w:t>
            </w:r>
            <w:r>
              <w:rPr>
                <w:rFonts w:hint="eastAsia"/>
                <w:szCs w:val="21"/>
                <w:lang w:val="zh-CN"/>
              </w:rPr>
              <w:t>采购人</w:t>
            </w:r>
            <w:r>
              <w:rPr>
                <w:szCs w:val="21"/>
                <w:lang w:val="zh-CN"/>
              </w:rPr>
              <w:t>需求及时安排技术人员响应并协助处理安全事件。</w:t>
            </w:r>
          </w:p>
        </w:tc>
      </w:tr>
      <w:tr>
        <w:tblPrEx>
          <w:tblCellMar>
            <w:top w:w="0" w:type="dxa"/>
            <w:left w:w="108" w:type="dxa"/>
            <w:bottom w:w="0" w:type="dxa"/>
            <w:right w:w="108" w:type="dxa"/>
          </w:tblCellMar>
        </w:tblPrEx>
        <w:trPr>
          <w:trHeight w:val="630" w:hRule="atLeast"/>
          <w:jc w:val="center"/>
        </w:trPr>
        <w:tc>
          <w:tcPr>
            <w:tcW w:w="474" w:type="pct"/>
            <w:tcBorders>
              <w:top w:val="nil"/>
              <w:left w:val="single" w:color="auto" w:sz="4" w:space="0"/>
              <w:bottom w:val="single" w:color="auto" w:sz="4" w:space="0"/>
              <w:right w:val="single" w:color="auto" w:sz="4" w:space="0"/>
            </w:tcBorders>
            <w:vAlign w:val="center"/>
          </w:tcPr>
          <w:p>
            <w:pPr>
              <w:jc w:val="center"/>
              <w:rPr>
                <w:b/>
                <w:bCs/>
                <w:szCs w:val="21"/>
                <w:lang w:val="zh-CN"/>
              </w:rPr>
            </w:pPr>
            <w:r>
              <w:rPr>
                <w:szCs w:val="21"/>
                <w:lang w:val="zh-CN"/>
              </w:rPr>
              <w:t>2</w:t>
            </w:r>
          </w:p>
        </w:tc>
        <w:tc>
          <w:tcPr>
            <w:tcW w:w="969"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安全咨询服务</w:t>
            </w:r>
          </w:p>
        </w:tc>
        <w:tc>
          <w:tcPr>
            <w:tcW w:w="3557"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运维期内</w:t>
            </w:r>
            <w:r>
              <w:rPr>
                <w:szCs w:val="21"/>
                <w:lang w:val="zh-CN"/>
              </w:rPr>
              <w:t>，按照</w:t>
            </w:r>
            <w:r>
              <w:rPr>
                <w:rFonts w:hint="eastAsia"/>
                <w:szCs w:val="21"/>
                <w:lang w:val="zh-CN"/>
              </w:rPr>
              <w:t>采购人</w:t>
            </w:r>
            <w:r>
              <w:rPr>
                <w:szCs w:val="21"/>
                <w:lang w:val="zh-CN"/>
              </w:rPr>
              <w:t>需求提供安全咨询服务，次数不限。</w:t>
            </w:r>
          </w:p>
        </w:tc>
      </w:tr>
      <w:tr>
        <w:tblPrEx>
          <w:tblCellMar>
            <w:top w:w="0" w:type="dxa"/>
            <w:left w:w="108" w:type="dxa"/>
            <w:bottom w:w="0" w:type="dxa"/>
            <w:right w:w="108" w:type="dxa"/>
          </w:tblCellMar>
        </w:tblPrEx>
        <w:trPr>
          <w:trHeight w:val="630" w:hRule="atLeast"/>
          <w:jc w:val="center"/>
        </w:trPr>
        <w:tc>
          <w:tcPr>
            <w:tcW w:w="474" w:type="pct"/>
            <w:tcBorders>
              <w:top w:val="nil"/>
              <w:left w:val="single" w:color="auto" w:sz="4" w:space="0"/>
              <w:bottom w:val="single" w:color="auto" w:sz="4" w:space="0"/>
              <w:right w:val="single" w:color="auto" w:sz="4" w:space="0"/>
            </w:tcBorders>
            <w:vAlign w:val="center"/>
          </w:tcPr>
          <w:p>
            <w:pPr>
              <w:jc w:val="center"/>
              <w:rPr>
                <w:b/>
                <w:bCs/>
                <w:szCs w:val="21"/>
                <w:lang w:val="zh-CN"/>
              </w:rPr>
            </w:pPr>
            <w:r>
              <w:rPr>
                <w:szCs w:val="21"/>
                <w:lang w:val="zh-CN"/>
              </w:rPr>
              <w:t>3</w:t>
            </w:r>
          </w:p>
        </w:tc>
        <w:tc>
          <w:tcPr>
            <w:tcW w:w="969"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漏洞扫描</w:t>
            </w:r>
          </w:p>
        </w:tc>
        <w:tc>
          <w:tcPr>
            <w:tcW w:w="3557"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运维期内</w:t>
            </w:r>
            <w:r>
              <w:rPr>
                <w:szCs w:val="21"/>
                <w:lang w:val="zh-CN"/>
              </w:rPr>
              <w:t>，</w:t>
            </w:r>
            <w:r>
              <w:rPr>
                <w:rFonts w:hint="eastAsia"/>
                <w:szCs w:val="21"/>
                <w:lang w:val="zh-CN"/>
              </w:rPr>
              <w:t>至少</w:t>
            </w:r>
            <w:r>
              <w:rPr>
                <w:szCs w:val="21"/>
                <w:lang w:val="zh-CN"/>
              </w:rPr>
              <w:t>提供</w:t>
            </w:r>
            <w:r>
              <w:rPr>
                <w:rFonts w:hint="eastAsia"/>
                <w:szCs w:val="21"/>
                <w:lang w:val="zh-CN"/>
              </w:rPr>
              <w:t>2</w:t>
            </w:r>
            <w:r>
              <w:rPr>
                <w:szCs w:val="21"/>
                <w:lang w:val="zh-CN"/>
              </w:rPr>
              <w:t>次漏洞扫描测试服务，并出漏扫报告。</w:t>
            </w:r>
          </w:p>
        </w:tc>
      </w:tr>
      <w:tr>
        <w:tblPrEx>
          <w:tblCellMar>
            <w:top w:w="0" w:type="dxa"/>
            <w:left w:w="108" w:type="dxa"/>
            <w:bottom w:w="0" w:type="dxa"/>
            <w:right w:w="108" w:type="dxa"/>
          </w:tblCellMar>
        </w:tblPrEx>
        <w:trPr>
          <w:trHeight w:val="630" w:hRule="atLeast"/>
          <w:jc w:val="center"/>
        </w:trPr>
        <w:tc>
          <w:tcPr>
            <w:tcW w:w="474" w:type="pct"/>
            <w:tcBorders>
              <w:top w:val="nil"/>
              <w:left w:val="single" w:color="auto" w:sz="4" w:space="0"/>
              <w:bottom w:val="single" w:color="auto" w:sz="4" w:space="0"/>
              <w:right w:val="single" w:color="auto" w:sz="4" w:space="0"/>
            </w:tcBorders>
            <w:vAlign w:val="center"/>
          </w:tcPr>
          <w:p>
            <w:pPr>
              <w:jc w:val="center"/>
              <w:rPr>
                <w:b/>
                <w:bCs/>
                <w:szCs w:val="21"/>
                <w:lang w:val="zh-CN"/>
              </w:rPr>
            </w:pPr>
            <w:r>
              <w:rPr>
                <w:szCs w:val="21"/>
                <w:lang w:val="zh-CN"/>
              </w:rPr>
              <w:t>4</w:t>
            </w:r>
          </w:p>
        </w:tc>
        <w:tc>
          <w:tcPr>
            <w:tcW w:w="969"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渗透测试服务</w:t>
            </w:r>
          </w:p>
        </w:tc>
        <w:tc>
          <w:tcPr>
            <w:tcW w:w="3557" w:type="pct"/>
            <w:tcBorders>
              <w:top w:val="nil"/>
              <w:left w:val="nil"/>
              <w:bottom w:val="single" w:color="auto" w:sz="4" w:space="0"/>
              <w:right w:val="single" w:color="auto" w:sz="4" w:space="0"/>
            </w:tcBorders>
            <w:vAlign w:val="center"/>
          </w:tcPr>
          <w:p>
            <w:pPr>
              <w:rPr>
                <w:b/>
                <w:bCs/>
                <w:szCs w:val="21"/>
                <w:lang w:val="zh-CN"/>
              </w:rPr>
            </w:pPr>
            <w:r>
              <w:rPr>
                <w:rFonts w:hint="eastAsia"/>
                <w:szCs w:val="21"/>
                <w:lang w:val="zh-CN"/>
              </w:rPr>
              <w:t>运维期内</w:t>
            </w:r>
            <w:r>
              <w:rPr>
                <w:szCs w:val="21"/>
                <w:lang w:val="zh-CN"/>
              </w:rPr>
              <w:t>，</w:t>
            </w:r>
            <w:r>
              <w:rPr>
                <w:rFonts w:hint="eastAsia"/>
                <w:szCs w:val="21"/>
                <w:lang w:val="zh-CN"/>
              </w:rPr>
              <w:t>至少</w:t>
            </w:r>
            <w:r>
              <w:rPr>
                <w:szCs w:val="21"/>
                <w:lang w:val="zh-CN"/>
              </w:rPr>
              <w:t>提供</w:t>
            </w:r>
            <w:r>
              <w:rPr>
                <w:rFonts w:hint="eastAsia"/>
                <w:szCs w:val="21"/>
                <w:lang w:val="zh-CN"/>
              </w:rPr>
              <w:t>1</w:t>
            </w:r>
            <w:r>
              <w:rPr>
                <w:szCs w:val="21"/>
                <w:lang w:val="zh-CN"/>
              </w:rPr>
              <w:t>次渗透测试服务，并出具渗透测试报告。</w:t>
            </w:r>
          </w:p>
        </w:tc>
      </w:tr>
      <w:tr>
        <w:tblPrEx>
          <w:tblCellMar>
            <w:top w:w="0" w:type="dxa"/>
            <w:left w:w="108" w:type="dxa"/>
            <w:bottom w:w="0" w:type="dxa"/>
            <w:right w:w="108" w:type="dxa"/>
          </w:tblCellMar>
        </w:tblPrEx>
        <w:trPr>
          <w:trHeight w:val="630"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pPr>
              <w:jc w:val="center"/>
              <w:rPr>
                <w:b/>
                <w:bCs/>
                <w:szCs w:val="21"/>
                <w:lang w:val="zh-CN"/>
              </w:rPr>
            </w:pPr>
            <w:r>
              <w:rPr>
                <w:rFonts w:hint="eastAsia"/>
                <w:szCs w:val="21"/>
                <w:lang w:val="zh-CN"/>
              </w:rPr>
              <w:t>5</w:t>
            </w:r>
          </w:p>
        </w:tc>
        <w:tc>
          <w:tcPr>
            <w:tcW w:w="969" w:type="pct"/>
            <w:tcBorders>
              <w:top w:val="single" w:color="auto" w:sz="4" w:space="0"/>
              <w:left w:val="nil"/>
              <w:bottom w:val="single" w:color="auto" w:sz="4" w:space="0"/>
              <w:right w:val="single" w:color="auto" w:sz="4" w:space="0"/>
            </w:tcBorders>
            <w:vAlign w:val="center"/>
          </w:tcPr>
          <w:p>
            <w:pPr>
              <w:rPr>
                <w:b/>
                <w:bCs/>
                <w:szCs w:val="21"/>
                <w:lang w:val="zh-CN"/>
              </w:rPr>
            </w:pPr>
            <w:r>
              <w:rPr>
                <w:rFonts w:hint="eastAsia"/>
                <w:szCs w:val="21"/>
                <w:lang w:val="zh-CN"/>
              </w:rPr>
              <w:t>新系统安全风险评估</w:t>
            </w:r>
          </w:p>
        </w:tc>
        <w:tc>
          <w:tcPr>
            <w:tcW w:w="3557" w:type="pct"/>
            <w:tcBorders>
              <w:top w:val="single" w:color="auto" w:sz="4" w:space="0"/>
              <w:left w:val="nil"/>
              <w:bottom w:val="single" w:color="auto" w:sz="4" w:space="0"/>
              <w:right w:val="single" w:color="auto" w:sz="4" w:space="0"/>
            </w:tcBorders>
            <w:vAlign w:val="center"/>
          </w:tcPr>
          <w:p>
            <w:pPr>
              <w:rPr>
                <w:b/>
                <w:bCs/>
                <w:szCs w:val="21"/>
                <w:lang w:val="zh-CN"/>
              </w:rPr>
            </w:pPr>
            <w:r>
              <w:rPr>
                <w:rFonts w:hint="eastAsia"/>
                <w:szCs w:val="21"/>
                <w:lang w:val="zh-CN"/>
              </w:rPr>
              <w:t>运维期内</w:t>
            </w:r>
            <w:r>
              <w:rPr>
                <w:szCs w:val="21"/>
                <w:lang w:val="zh-CN"/>
              </w:rPr>
              <w:t>，提供</w:t>
            </w:r>
            <w:r>
              <w:rPr>
                <w:rFonts w:hint="eastAsia"/>
                <w:szCs w:val="21"/>
                <w:lang w:val="zh-CN"/>
              </w:rPr>
              <w:t>采购人</w:t>
            </w:r>
            <w:r>
              <w:rPr>
                <w:szCs w:val="21"/>
                <w:lang w:val="zh-CN"/>
              </w:rPr>
              <w:t>新上架的信息系统（数量不限）安全检测服务，出具安全风险评估报告。</w:t>
            </w:r>
          </w:p>
        </w:tc>
      </w:tr>
      <w:tr>
        <w:tblPrEx>
          <w:tblCellMar>
            <w:top w:w="0" w:type="dxa"/>
            <w:left w:w="108" w:type="dxa"/>
            <w:bottom w:w="0" w:type="dxa"/>
            <w:right w:w="108" w:type="dxa"/>
          </w:tblCellMar>
        </w:tblPrEx>
        <w:trPr>
          <w:trHeight w:val="630"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pPr>
              <w:jc w:val="center"/>
              <w:rPr>
                <w:szCs w:val="21"/>
                <w:lang w:val="zh-CN"/>
              </w:rPr>
            </w:pPr>
            <w:r>
              <w:rPr>
                <w:rFonts w:hint="eastAsia"/>
                <w:szCs w:val="21"/>
                <w:lang w:val="zh-CN"/>
              </w:rPr>
              <w:t>6</w:t>
            </w:r>
          </w:p>
        </w:tc>
        <w:tc>
          <w:tcPr>
            <w:tcW w:w="969" w:type="pct"/>
            <w:tcBorders>
              <w:top w:val="single" w:color="auto" w:sz="4" w:space="0"/>
              <w:left w:val="nil"/>
              <w:bottom w:val="single" w:color="auto" w:sz="4" w:space="0"/>
              <w:right w:val="single" w:color="auto" w:sz="4" w:space="0"/>
            </w:tcBorders>
            <w:vAlign w:val="center"/>
          </w:tcPr>
          <w:p>
            <w:pPr>
              <w:rPr>
                <w:szCs w:val="21"/>
                <w:lang w:val="zh-CN"/>
              </w:rPr>
            </w:pPr>
            <w:r>
              <w:rPr>
                <w:rFonts w:hint="eastAsia"/>
                <w:szCs w:val="21"/>
                <w:lang w:val="zh-CN"/>
              </w:rPr>
              <w:t>数据安全服务</w:t>
            </w:r>
          </w:p>
        </w:tc>
        <w:tc>
          <w:tcPr>
            <w:tcW w:w="3557" w:type="pct"/>
            <w:tcBorders>
              <w:top w:val="single" w:color="auto" w:sz="4" w:space="0"/>
              <w:left w:val="nil"/>
              <w:bottom w:val="single" w:color="auto" w:sz="4" w:space="0"/>
              <w:right w:val="single" w:color="auto" w:sz="4" w:space="0"/>
            </w:tcBorders>
            <w:vAlign w:val="center"/>
          </w:tcPr>
          <w:p>
            <w:pPr>
              <w:rPr>
                <w:szCs w:val="21"/>
                <w:lang w:val="zh-CN"/>
              </w:rPr>
            </w:pPr>
            <w:r>
              <w:rPr>
                <w:szCs w:val="21"/>
                <w:lang w:val="zh-CN"/>
              </w:rPr>
              <w:t>依据《中华人民共和国数据安全法》、《公共数据管理规范》等法律规范，协助对</w:t>
            </w:r>
            <w:r>
              <w:rPr>
                <w:rFonts w:hint="eastAsia"/>
                <w:szCs w:val="21"/>
                <w:lang w:val="zh-CN"/>
              </w:rPr>
              <w:t>采购人</w:t>
            </w:r>
            <w:r>
              <w:rPr>
                <w:szCs w:val="21"/>
                <w:lang w:val="zh-CN"/>
              </w:rPr>
              <w:t>业务涉及的数据资产开展数据安全分类分级管理、数据安全防护等工作</w:t>
            </w:r>
            <w:r>
              <w:rPr>
                <w:rFonts w:hint="eastAsia"/>
                <w:szCs w:val="21"/>
                <w:lang w:val="zh-CN"/>
              </w:rPr>
              <w:t>，协助开展数据安全风险评估</w:t>
            </w:r>
            <w:r>
              <w:rPr>
                <w:szCs w:val="21"/>
                <w:lang w:val="zh-CN"/>
              </w:rPr>
              <w:t>。</w:t>
            </w:r>
          </w:p>
        </w:tc>
      </w:tr>
    </w:tbl>
    <w:p>
      <w:pPr>
        <w:spacing w:line="360" w:lineRule="auto"/>
        <w:ind w:firstLine="482" w:firstLineChars="200"/>
        <w:rPr>
          <w:rFonts w:ascii="楷体_GB2312" w:eastAsia="楷体_GB2312" w:cs="楷体_GB2312"/>
          <w:b/>
          <w:bCs/>
          <w:sz w:val="24"/>
          <w:szCs w:val="24"/>
          <w:lang w:val="zh-CN"/>
        </w:rPr>
      </w:pPr>
      <w:r>
        <w:rPr>
          <w:rFonts w:hint="eastAsia" w:ascii="楷体_GB2312" w:eastAsia="楷体_GB2312" w:cs="楷体_GB2312"/>
          <w:b/>
          <w:bCs/>
          <w:sz w:val="24"/>
          <w:szCs w:val="24"/>
          <w:lang w:val="zh-CN"/>
        </w:rPr>
        <w:t>（3）机房PDU及消防系统升级改造</w:t>
      </w:r>
    </w:p>
    <w:p>
      <w:pPr>
        <w:spacing w:line="360" w:lineRule="auto"/>
        <w:ind w:firstLine="480" w:firstLineChars="200"/>
        <w:rPr>
          <w:rFonts w:ascii="宋体" w:cs="宋体"/>
          <w:color w:val="000000" w:themeColor="text1"/>
          <w:sz w:val="24"/>
          <w:szCs w:val="24"/>
          <w:highlight w:val="yellow"/>
        </w:rPr>
      </w:pPr>
      <w:r>
        <w:rPr>
          <w:rFonts w:hint="eastAsia" w:ascii="宋体" w:hAnsi="宋体" w:cs="宋体"/>
          <w:sz w:val="24"/>
          <w:szCs w:val="24"/>
          <w:lang w:val="zh-CN"/>
        </w:rPr>
        <w:t>①</w:t>
      </w:r>
      <w:r>
        <w:rPr>
          <w:rFonts w:hint="eastAsia" w:ascii="宋体" w:cs="宋体"/>
          <w:sz w:val="24"/>
          <w:szCs w:val="24"/>
          <w:lang w:val="zh-CN"/>
        </w:rPr>
        <w:t>机房气体灭火系统已使用近5年，压力值降低，七氟丙烷灭火系统钢瓶柜体需更换，气体需重新充装。</w:t>
      </w:r>
      <w:r>
        <w:rPr>
          <w:rFonts w:hint="eastAsia" w:ascii="宋体" w:cs="宋体"/>
          <w:color w:val="FF0000"/>
          <w:sz w:val="24"/>
          <w:szCs w:val="24"/>
          <w:lang w:val="zh-CN"/>
        </w:rPr>
        <w:t>同时，对机房消防系统按照国家现行消防技术标准进行检测及整改，确保</w:t>
      </w:r>
      <w:r>
        <w:rPr>
          <w:rFonts w:ascii="宋体" w:cs="宋体"/>
          <w:color w:val="FF0000"/>
          <w:sz w:val="24"/>
          <w:szCs w:val="24"/>
          <w:lang w:val="zh-CN"/>
        </w:rPr>
        <w:t>机房消防系统</w:t>
      </w:r>
      <w:r>
        <w:rPr>
          <w:rFonts w:hint="eastAsia" w:ascii="宋体" w:cs="宋体"/>
          <w:color w:val="FF0000"/>
          <w:sz w:val="24"/>
          <w:szCs w:val="24"/>
          <w:lang w:val="zh-CN"/>
        </w:rPr>
        <w:t>持续</w:t>
      </w:r>
      <w:r>
        <w:rPr>
          <w:rFonts w:ascii="宋体" w:cs="宋体"/>
          <w:color w:val="FF0000"/>
          <w:sz w:val="24"/>
          <w:szCs w:val="24"/>
          <w:lang w:val="zh-CN"/>
        </w:rPr>
        <w:t>符合国家现行消防技术标准要求。</w:t>
      </w:r>
      <w:r>
        <w:rPr>
          <w:rFonts w:hint="eastAsia" w:ascii="宋体" w:cs="宋体"/>
          <w:color w:val="FF0000"/>
          <w:sz w:val="24"/>
          <w:szCs w:val="24"/>
          <w:lang w:val="zh-CN"/>
        </w:rPr>
        <w:t>七氟丙烷灭火剂瓶组更换及消防安全隐患整改等施工内容，如需分包，分包商须具备消防设施工程专业承包资质，</w:t>
      </w:r>
      <w:r>
        <w:rPr>
          <w:rFonts w:ascii="宋体" w:cs="宋体"/>
          <w:color w:val="FF0000"/>
          <w:sz w:val="24"/>
          <w:szCs w:val="24"/>
          <w:lang w:val="zh-CN"/>
        </w:rPr>
        <w:t>且分包前须</w:t>
      </w:r>
      <w:bookmarkStart w:id="240" w:name="OLE_LINK6"/>
      <w:r>
        <w:rPr>
          <w:rFonts w:hint="eastAsia" w:ascii="宋体" w:cs="宋体"/>
          <w:color w:val="FF0000"/>
          <w:sz w:val="24"/>
          <w:szCs w:val="24"/>
          <w:lang w:val="zh-CN"/>
        </w:rPr>
        <w:t>向采购人书面报备</w:t>
      </w:r>
      <w:bookmarkEnd w:id="240"/>
      <w:r>
        <w:rPr>
          <w:rFonts w:hint="eastAsia" w:ascii="宋体" w:cs="宋体"/>
          <w:color w:val="FF0000"/>
          <w:sz w:val="24"/>
          <w:szCs w:val="24"/>
          <w:lang w:val="zh-CN"/>
        </w:rPr>
        <w:t>。</w:t>
      </w:r>
      <w:r>
        <w:rPr>
          <w:rFonts w:hint="eastAsia" w:ascii="宋体" w:cs="宋体"/>
          <w:color w:val="000000" w:themeColor="text1"/>
          <w:sz w:val="24"/>
          <w:szCs w:val="24"/>
          <w:lang w:val="zh-CN"/>
        </w:rPr>
        <w:t>施工人员应具备消防设施操作相关资质。中标人对施工现场安全生产负总责，中标人及分包商应严格遵守《中华人民共和国安全生产法》《建设工程安全生产管理条例》等法律法规，建立健全安全生产管理制度，落实安全生产责任</w:t>
      </w:r>
      <w:r>
        <w:rPr>
          <w:rFonts w:hint="eastAsia" w:ascii="宋体" w:hAnsi="宋体" w:cs="宋体"/>
          <w:color w:val="000000" w:themeColor="text1"/>
          <w:sz w:val="24"/>
          <w:szCs w:val="24"/>
          <w:lang w:val="zh-CN"/>
        </w:rPr>
        <w:t>。因施工引发的安全事故，由中标人承担由此产生的全部法律责任及经济赔偿责任。</w:t>
      </w:r>
    </w:p>
    <w:p>
      <w:pPr>
        <w:spacing w:line="360" w:lineRule="auto"/>
        <w:ind w:firstLine="480" w:firstLineChars="200"/>
        <w:rPr>
          <w:rFonts w:ascii="宋体" w:cs="宋体"/>
          <w:sz w:val="24"/>
          <w:szCs w:val="24"/>
          <w:lang w:val="zh-CN"/>
        </w:rPr>
      </w:pPr>
      <w:r>
        <w:rPr>
          <w:rFonts w:hint="eastAsia" w:ascii="宋体" w:cs="宋体"/>
          <w:sz w:val="24"/>
          <w:szCs w:val="24"/>
          <w:lang w:val="zh-CN"/>
        </w:rPr>
        <w:t>消防系统升级改造具体要求如下：</w:t>
      </w:r>
    </w:p>
    <w:tbl>
      <w:tblPr>
        <w:tblStyle w:val="49"/>
        <w:tblW w:w="8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560"/>
        <w:gridCol w:w="538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72" w:type="dxa"/>
            <w:vAlign w:val="center"/>
          </w:tcPr>
          <w:p>
            <w:pPr>
              <w:spacing w:line="360" w:lineRule="auto"/>
              <w:rPr>
                <w:rFonts w:ascii="宋体" w:cs="宋体"/>
                <w:sz w:val="24"/>
                <w:szCs w:val="24"/>
                <w:lang w:val="zh-CN"/>
              </w:rPr>
            </w:pPr>
            <w:r>
              <w:rPr>
                <w:rFonts w:hint="eastAsia" w:ascii="宋体" w:hAnsi="宋体" w:cs="宋体"/>
                <w:b/>
                <w:bCs/>
                <w:sz w:val="20"/>
              </w:rPr>
              <w:t>序号</w:t>
            </w:r>
          </w:p>
        </w:tc>
        <w:tc>
          <w:tcPr>
            <w:tcW w:w="1560" w:type="dxa"/>
            <w:vAlign w:val="center"/>
          </w:tcPr>
          <w:p>
            <w:pPr>
              <w:spacing w:line="360" w:lineRule="auto"/>
              <w:rPr>
                <w:rFonts w:ascii="宋体" w:cs="宋体"/>
                <w:sz w:val="24"/>
                <w:szCs w:val="24"/>
                <w:lang w:val="zh-CN"/>
              </w:rPr>
            </w:pPr>
            <w:r>
              <w:rPr>
                <w:rFonts w:hint="eastAsia" w:ascii="宋体" w:hAnsi="宋体" w:cs="宋体"/>
                <w:b/>
                <w:bCs/>
                <w:sz w:val="20"/>
              </w:rPr>
              <w:t>升级内容</w:t>
            </w:r>
          </w:p>
        </w:tc>
        <w:tc>
          <w:tcPr>
            <w:tcW w:w="5386" w:type="dxa"/>
            <w:vAlign w:val="center"/>
          </w:tcPr>
          <w:p>
            <w:pPr>
              <w:spacing w:line="360" w:lineRule="auto"/>
              <w:jc w:val="center"/>
              <w:rPr>
                <w:rFonts w:ascii="宋体" w:cs="宋体"/>
                <w:sz w:val="24"/>
                <w:szCs w:val="24"/>
                <w:lang w:val="zh-CN"/>
              </w:rPr>
            </w:pPr>
            <w:r>
              <w:rPr>
                <w:rFonts w:hint="eastAsia" w:ascii="宋体" w:hAnsi="宋体" w:cs="宋体"/>
                <w:b/>
                <w:bCs/>
                <w:sz w:val="20"/>
              </w:rPr>
              <w:t>具体要求</w:t>
            </w:r>
          </w:p>
        </w:tc>
        <w:tc>
          <w:tcPr>
            <w:tcW w:w="1276" w:type="dxa"/>
            <w:vAlign w:val="center"/>
          </w:tcPr>
          <w:p>
            <w:pPr>
              <w:spacing w:line="360" w:lineRule="auto"/>
              <w:rPr>
                <w:rFonts w:ascii="宋体" w:cs="宋体"/>
                <w:sz w:val="24"/>
                <w:szCs w:val="24"/>
                <w:lang w:val="zh-CN"/>
              </w:rPr>
            </w:pPr>
            <w:r>
              <w:rPr>
                <w:rFonts w:hint="eastAsia" w:ascii="宋体" w:hAnsi="宋体" w:cs="宋体"/>
                <w:b/>
                <w:bCs/>
                <w:sz w:val="20"/>
              </w:rPr>
              <w:t>规格数量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72" w:type="dxa"/>
            <w:vAlign w:val="center"/>
          </w:tcPr>
          <w:p>
            <w:pPr>
              <w:spacing w:line="360" w:lineRule="auto"/>
              <w:rPr>
                <w:rFonts w:ascii="宋体" w:cs="宋体"/>
                <w:sz w:val="24"/>
                <w:szCs w:val="24"/>
                <w:lang w:val="zh-CN"/>
              </w:rPr>
            </w:pPr>
            <w:r>
              <w:rPr>
                <w:rFonts w:hint="eastAsia" w:ascii="宋体" w:hAnsi="宋体" w:cs="宋体"/>
                <w:sz w:val="20"/>
              </w:rPr>
              <w:t>1</w:t>
            </w:r>
          </w:p>
        </w:tc>
        <w:tc>
          <w:tcPr>
            <w:tcW w:w="1560" w:type="dxa"/>
            <w:vAlign w:val="center"/>
          </w:tcPr>
          <w:p>
            <w:pPr>
              <w:rPr>
                <w:rFonts w:ascii="宋体" w:cs="宋体"/>
                <w:sz w:val="24"/>
                <w:szCs w:val="24"/>
                <w:lang w:val="zh-CN"/>
              </w:rPr>
            </w:pPr>
            <w:bookmarkStart w:id="241" w:name="OLE_LINK5"/>
            <w:r>
              <w:rPr>
                <w:rFonts w:hint="eastAsia" w:ascii="宋体" w:hAnsi="宋体" w:cs="宋体"/>
                <w:sz w:val="20"/>
              </w:rPr>
              <w:t>七氟丙烷灭火剂瓶组更换</w:t>
            </w:r>
            <w:bookmarkEnd w:id="241"/>
          </w:p>
        </w:tc>
        <w:tc>
          <w:tcPr>
            <w:tcW w:w="5386" w:type="dxa"/>
            <w:vAlign w:val="center"/>
          </w:tcPr>
          <w:p>
            <w:pPr>
              <w:ind w:firstLine="420" w:firstLineChars="200"/>
              <w:jc w:val="left"/>
              <w:rPr>
                <w:rFonts w:hint="eastAsia" w:ascii="宋体" w:hAnsi="宋体" w:cs="宋体"/>
                <w:szCs w:val="21"/>
              </w:rPr>
            </w:pPr>
            <w:r>
              <w:rPr>
                <w:rFonts w:hint="eastAsia"/>
              </w:rPr>
              <w:t>1、</w:t>
            </w:r>
            <w:r>
              <w:rPr>
                <w:color w:val="FF0000"/>
              </w:rPr>
              <w:t>柜体</w:t>
            </w:r>
            <w:r>
              <w:rPr>
                <w:rFonts w:hint="eastAsia"/>
                <w:color w:val="FF0000"/>
              </w:rPr>
              <w:t>及药剂</w:t>
            </w:r>
            <w:r>
              <w:rPr>
                <w:color w:val="FF0000"/>
              </w:rPr>
              <w:t>更换：机房七氟丙烷气体灭火系统</w:t>
            </w:r>
            <w:r>
              <w:rPr>
                <w:rFonts w:hint="eastAsia"/>
                <w:color w:val="FF0000"/>
              </w:rPr>
              <w:t>现有3组</w:t>
            </w:r>
            <w:r>
              <w:rPr>
                <w:color w:val="FF0000"/>
              </w:rPr>
              <w:t>钢瓶</w:t>
            </w:r>
            <w:r>
              <w:rPr>
                <w:rFonts w:hint="eastAsia"/>
                <w:color w:val="FF0000"/>
              </w:rPr>
              <w:t>，每个钢瓶容量120L，充装药剂120kg。要求对现有瓶体</w:t>
            </w:r>
            <w:r>
              <w:rPr>
                <w:color w:val="FF0000"/>
              </w:rPr>
              <w:t>进行更换，</w:t>
            </w:r>
            <w:r>
              <w:rPr>
                <w:rFonts w:hint="eastAsia"/>
                <w:color w:val="FF0000"/>
              </w:rPr>
              <w:t>更换为全新钢瓶，同时按照相关规范要求对3组钢瓶充装七氟丙烷药剂，充装压力达到2.5MPa，更换后每个钢瓶容量及充装药剂标准不得低于原有规格。</w:t>
            </w:r>
            <w:r>
              <w:rPr>
                <w:color w:val="FF0000"/>
              </w:rPr>
              <w:t>对</w:t>
            </w:r>
            <w:r>
              <w:rPr>
                <w:rFonts w:hint="eastAsia"/>
                <w:color w:val="FF0000"/>
              </w:rPr>
              <w:t>新充装</w:t>
            </w:r>
            <w:r>
              <w:rPr>
                <w:color w:val="FF0000"/>
              </w:rPr>
              <w:t>的七氟丙烷药剂进行纯度的复检并出具七氟丙烷药剂检测</w:t>
            </w:r>
            <w:r>
              <w:rPr>
                <w:rFonts w:hint="eastAsia"/>
                <w:color w:val="FF0000"/>
              </w:rPr>
              <w:t>合格</w:t>
            </w:r>
            <w:r>
              <w:rPr>
                <w:color w:val="FF0000"/>
              </w:rPr>
              <w:t>报告</w:t>
            </w:r>
            <w:r>
              <w:rPr>
                <w:rFonts w:hint="eastAsia"/>
                <w:color w:val="FF0000"/>
              </w:rPr>
              <w:t>。新</w:t>
            </w:r>
            <w:r>
              <w:rPr>
                <w:rFonts w:hint="eastAsia" w:ascii="宋体" w:hAnsi="宋体" w:cs="宋体"/>
                <w:color w:val="FF0000"/>
                <w:szCs w:val="21"/>
              </w:rPr>
              <w:t>更换的设备系统需提供设备合格证或检测合格报告，张贴相关铭牌。</w:t>
            </w:r>
          </w:p>
          <w:p>
            <w:pPr>
              <w:ind w:firstLine="420" w:firstLineChars="200"/>
              <w:jc w:val="left"/>
              <w:rPr>
                <w:rFonts w:hint="eastAsia" w:ascii="宋体" w:hAnsi="宋体" w:cs="宋体"/>
                <w:szCs w:val="21"/>
              </w:rPr>
            </w:pPr>
            <w:r>
              <w:rPr>
                <w:rFonts w:hint="eastAsia" w:ascii="宋体" w:hAnsi="宋体" w:cs="宋体"/>
                <w:szCs w:val="21"/>
              </w:rPr>
              <w:t>2、对重新安装的、检验合格后的气瓶按拆除时的位置按原位安装，对气瓶支架进行牢固性检查，确保气瓶安装稳固，对所有气动管路的逻辑顺序、报警、联动功能进行检验复核，提交检测合格报告。</w:t>
            </w:r>
          </w:p>
          <w:p>
            <w:pPr>
              <w:ind w:firstLine="420" w:firstLineChars="200"/>
              <w:jc w:val="left"/>
              <w:rPr>
                <w:b/>
                <w:bCs/>
              </w:rPr>
            </w:pPr>
            <w:r>
              <w:rPr>
                <w:rFonts w:ascii="宋体" w:hAnsi="宋体" w:cs="宋体"/>
                <w:szCs w:val="21"/>
              </w:rPr>
              <w:t>3、</w:t>
            </w:r>
            <w:r>
              <w:rPr>
                <w:rFonts w:hint="eastAsia" w:ascii="宋体" w:hAnsi="宋体" w:cs="宋体"/>
                <w:szCs w:val="21"/>
              </w:rPr>
              <w:t>七氟丙烷灭火剂瓶组更换过程中所涉及的所有工作环节及费用均由投标人负责，如</w:t>
            </w:r>
            <w:r>
              <w:rPr>
                <w:rFonts w:ascii="宋体" w:hAnsi="宋体" w:cs="宋体"/>
                <w:szCs w:val="21"/>
              </w:rPr>
              <w:t>上</w:t>
            </w:r>
            <w:r>
              <w:t>门拆卸、恢复安装及搬运</w:t>
            </w:r>
            <w:r>
              <w:rPr>
                <w:rFonts w:hint="eastAsia"/>
              </w:rPr>
              <w:t>等服务。同时，现有钢瓶</w:t>
            </w:r>
            <w:r>
              <w:t>拆除的同时安装备用钢瓶，保障受灭火系统保护区域的消防安全。</w:t>
            </w:r>
          </w:p>
          <w:p>
            <w:pPr>
              <w:ind w:firstLine="420" w:firstLineChars="200"/>
              <w:jc w:val="left"/>
              <w:rPr>
                <w:rFonts w:ascii="宋体"/>
                <w:lang w:val="zh-CN"/>
              </w:rPr>
            </w:pPr>
            <w:r>
              <w:rPr>
                <w:rFonts w:hint="eastAsia" w:ascii="宋体"/>
                <w:lang w:val="zh-CN"/>
              </w:rPr>
              <w:t>4、</w:t>
            </w:r>
            <w:bookmarkStart w:id="242" w:name="OLE_LINK8"/>
            <w:r>
              <w:rPr>
                <w:rFonts w:hint="eastAsia" w:ascii="宋体"/>
                <w:lang w:val="zh-CN"/>
              </w:rPr>
              <w:t>七氟丙烷灭火剂瓶组更换</w:t>
            </w:r>
            <w:bookmarkEnd w:id="242"/>
            <w:r>
              <w:rPr>
                <w:rFonts w:hint="eastAsia" w:ascii="宋体"/>
                <w:lang w:val="zh-CN"/>
              </w:rPr>
              <w:t>时间为2027年4月20日之后，质保期不低于2年。</w:t>
            </w:r>
          </w:p>
        </w:tc>
        <w:tc>
          <w:tcPr>
            <w:tcW w:w="1276" w:type="dxa"/>
            <w:vAlign w:val="center"/>
          </w:tcPr>
          <w:p>
            <w:pPr>
              <w:spacing w:line="360" w:lineRule="auto"/>
              <w:rPr>
                <w:rFonts w:ascii="宋体" w:cs="宋体"/>
                <w:sz w:val="24"/>
                <w:szCs w:val="24"/>
                <w:lang w:val="zh-CN"/>
              </w:rPr>
            </w:pPr>
            <w:r>
              <w:rPr>
                <w:rFonts w:hint="eastAsia" w:ascii="宋体" w:hAnsi="宋体" w:cs="宋体"/>
                <w:sz w:val="20"/>
              </w:rPr>
              <w:t xml:space="preserve">3个瓶组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72" w:type="dxa"/>
            <w:vAlign w:val="center"/>
          </w:tcPr>
          <w:p>
            <w:pPr>
              <w:spacing w:line="360" w:lineRule="auto"/>
              <w:rPr>
                <w:rFonts w:ascii="宋体" w:cs="宋体"/>
                <w:sz w:val="24"/>
                <w:szCs w:val="24"/>
                <w:lang w:val="zh-CN"/>
              </w:rPr>
            </w:pPr>
            <w:r>
              <w:rPr>
                <w:rFonts w:hint="eastAsia" w:ascii="宋体" w:hAnsi="宋体" w:cs="宋体"/>
                <w:sz w:val="20"/>
              </w:rPr>
              <w:t>2</w:t>
            </w:r>
          </w:p>
        </w:tc>
        <w:tc>
          <w:tcPr>
            <w:tcW w:w="1560" w:type="dxa"/>
            <w:vAlign w:val="center"/>
          </w:tcPr>
          <w:p>
            <w:pPr>
              <w:rPr>
                <w:rFonts w:ascii="宋体" w:cs="宋体"/>
                <w:sz w:val="24"/>
                <w:szCs w:val="24"/>
                <w:lang w:val="zh-CN"/>
              </w:rPr>
            </w:pPr>
            <w:r>
              <w:rPr>
                <w:rFonts w:hint="eastAsia" w:ascii="宋体" w:hAnsi="宋体" w:cs="宋体"/>
                <w:sz w:val="20"/>
              </w:rPr>
              <w:t>消防系统检测及整改</w:t>
            </w:r>
          </w:p>
        </w:tc>
        <w:tc>
          <w:tcPr>
            <w:tcW w:w="5386" w:type="dxa"/>
            <w:vAlign w:val="center"/>
          </w:tcPr>
          <w:p>
            <w:pPr>
              <w:widowControl/>
              <w:ind w:firstLine="420" w:firstLineChars="200"/>
              <w:jc w:val="left"/>
              <w:textAlignment w:val="center"/>
              <w:rPr>
                <w:color w:val="EE0000"/>
              </w:rPr>
            </w:pPr>
            <w:r>
              <w:rPr>
                <w:color w:val="EE0000"/>
              </w:rPr>
              <w:t>对采购人信息网络机房消防系统</w:t>
            </w:r>
            <w:r>
              <w:rPr>
                <w:rFonts w:hint="eastAsia"/>
                <w:color w:val="EE0000"/>
              </w:rPr>
              <w:t>至少</w:t>
            </w:r>
            <w:r>
              <w:rPr>
                <w:color w:val="EE0000"/>
              </w:rPr>
              <w:t>开展</w:t>
            </w:r>
            <w:r>
              <w:rPr>
                <w:rFonts w:hint="eastAsia"/>
                <w:color w:val="EE0000"/>
              </w:rPr>
              <w:t>一次全面</w:t>
            </w:r>
            <w:r>
              <w:rPr>
                <w:color w:val="EE0000"/>
              </w:rPr>
              <w:t>检测</w:t>
            </w:r>
            <w:r>
              <w:rPr>
                <w:rFonts w:hint="eastAsia"/>
                <w:color w:val="EE0000"/>
              </w:rPr>
              <w:t>。由中标人</w:t>
            </w:r>
            <w:r>
              <w:rPr>
                <w:color w:val="EE0000"/>
              </w:rPr>
              <w:t>负责委托</w:t>
            </w:r>
            <w:r>
              <w:rPr>
                <w:rFonts w:hint="eastAsia"/>
                <w:color w:val="EE0000"/>
              </w:rPr>
              <w:t>第三方有权检测机构</w:t>
            </w:r>
            <w:r>
              <w:rPr>
                <w:color w:val="EE0000"/>
              </w:rPr>
              <w:t>实施检测工作，</w:t>
            </w:r>
            <w:r>
              <w:rPr>
                <w:rFonts w:hint="eastAsia"/>
                <w:color w:val="EE0000"/>
              </w:rPr>
              <w:t>并由</w:t>
            </w:r>
            <w:r>
              <w:rPr>
                <w:color w:val="EE0000"/>
              </w:rPr>
              <w:t>检测机构出具书面隐患整改建议。</w:t>
            </w:r>
            <w:r>
              <w:rPr>
                <w:rFonts w:hint="eastAsia"/>
                <w:color w:val="EE0000"/>
              </w:rPr>
              <w:t>检测工作实施前，中标人需将满足条件的</w:t>
            </w:r>
            <w:r>
              <w:rPr>
                <w:color w:val="EE0000"/>
              </w:rPr>
              <w:t>拟委托检测机构</w:t>
            </w:r>
            <w:r>
              <w:rPr>
                <w:rFonts w:hint="eastAsia"/>
                <w:color w:val="EE0000"/>
              </w:rPr>
              <w:t>相关材料向采购人书面报备</w:t>
            </w:r>
            <w:r>
              <w:rPr>
                <w:color w:val="EE0000"/>
              </w:rPr>
              <w:t>。</w:t>
            </w:r>
          </w:p>
          <w:p>
            <w:pPr>
              <w:widowControl/>
              <w:ind w:firstLine="420" w:firstLineChars="200"/>
              <w:jc w:val="left"/>
              <w:textAlignment w:val="center"/>
              <w:rPr>
                <w:color w:val="EE0000"/>
              </w:rPr>
            </w:pPr>
            <w:r>
              <w:rPr>
                <w:color w:val="EE0000"/>
              </w:rPr>
              <w:t>检测排查发现的安全隐患由投标人负责整改</w:t>
            </w:r>
            <w:r>
              <w:rPr>
                <w:rFonts w:hint="eastAsia"/>
                <w:color w:val="EE0000"/>
              </w:rPr>
              <w:t>，第三方</w:t>
            </w:r>
            <w:r>
              <w:rPr>
                <w:color w:val="EE0000"/>
              </w:rPr>
              <w:t>检测机构不得承担</w:t>
            </w:r>
            <w:r>
              <w:rPr>
                <w:rFonts w:hint="eastAsia"/>
                <w:color w:val="EE0000"/>
              </w:rPr>
              <w:t>相关</w:t>
            </w:r>
            <w:r>
              <w:rPr>
                <w:color w:val="EE0000"/>
              </w:rPr>
              <w:t>整改施工工作</w:t>
            </w:r>
            <w:r>
              <w:rPr>
                <w:rFonts w:hint="eastAsia"/>
                <w:color w:val="EE0000"/>
              </w:rPr>
              <w:t>。</w:t>
            </w:r>
            <w:r>
              <w:rPr>
                <w:color w:val="EE0000"/>
              </w:rPr>
              <w:t>整改完成后</w:t>
            </w:r>
            <w:r>
              <w:rPr>
                <w:rFonts w:hint="eastAsia"/>
                <w:color w:val="EE0000"/>
              </w:rPr>
              <w:t>，仍由第三方检测</w:t>
            </w:r>
            <w:r>
              <w:rPr>
                <w:color w:val="EE0000"/>
              </w:rPr>
              <w:t>机构开展消防功能复测并出具正式检测报告，确保机房消防系统持续符合国家现行消防技术标准要求。</w:t>
            </w:r>
          </w:p>
          <w:p>
            <w:pPr>
              <w:widowControl/>
              <w:ind w:firstLine="420" w:firstLineChars="200"/>
              <w:jc w:val="left"/>
              <w:textAlignment w:val="center"/>
            </w:pPr>
            <w:r>
              <w:rPr>
                <w:rFonts w:hint="eastAsia"/>
              </w:rPr>
              <w:t>消防系统整改应至少包含以下内容：</w:t>
            </w:r>
          </w:p>
          <w:p>
            <w:pPr>
              <w:widowControl/>
              <w:ind w:firstLine="420" w:firstLineChars="200"/>
              <w:jc w:val="left"/>
              <w:textAlignment w:val="center"/>
            </w:pPr>
            <w:r>
              <w:rPr>
                <w:rFonts w:hint="eastAsia"/>
              </w:rPr>
              <w:t>消防系统功能整改：至少包含消防声光控制系统升级、优化告警监控手段等。</w:t>
            </w:r>
          </w:p>
          <w:p>
            <w:pPr>
              <w:widowControl/>
              <w:ind w:firstLine="420" w:firstLineChars="200"/>
              <w:jc w:val="left"/>
              <w:textAlignment w:val="center"/>
            </w:pPr>
            <w:r>
              <w:rPr>
                <w:rFonts w:hint="eastAsia"/>
              </w:rPr>
              <w:t>火灾自动报警系统检测及整改:进行探测器安装规范及线缆规范检测，如需整改，进行整改等。</w:t>
            </w:r>
          </w:p>
          <w:p>
            <w:pPr>
              <w:widowControl/>
              <w:ind w:firstLine="420" w:firstLineChars="200"/>
              <w:jc w:val="left"/>
              <w:textAlignment w:val="center"/>
            </w:pPr>
            <w:r>
              <w:rPr>
                <w:rFonts w:hint="eastAsia"/>
              </w:rPr>
              <w:t>新风排风系统检测及整改：进行风口及风机控制箱规范检测，如需整改，进行整改等。</w:t>
            </w:r>
          </w:p>
          <w:p>
            <w:pPr>
              <w:widowControl/>
              <w:ind w:firstLine="420" w:firstLineChars="200"/>
              <w:jc w:val="left"/>
              <w:textAlignment w:val="center"/>
            </w:pPr>
            <w:r>
              <w:rPr>
                <w:color w:val="EE0000"/>
              </w:rPr>
              <w:t>相关</w:t>
            </w:r>
            <w:r>
              <w:rPr>
                <w:rFonts w:hint="eastAsia"/>
                <w:color w:val="EE0000"/>
              </w:rPr>
              <w:t>检测及</w:t>
            </w:r>
            <w:r>
              <w:rPr>
                <w:color w:val="EE0000"/>
              </w:rPr>
              <w:t>整改全部费用包含在</w:t>
            </w:r>
            <w:r>
              <w:rPr>
                <w:rFonts w:hint="eastAsia"/>
                <w:color w:val="EE0000"/>
              </w:rPr>
              <w:t>本项目</w:t>
            </w:r>
            <w:r>
              <w:rPr>
                <w:color w:val="EE0000"/>
              </w:rPr>
              <w:t>投标总价中</w:t>
            </w:r>
            <w:r>
              <w:rPr>
                <w:rFonts w:hint="eastAsia"/>
                <w:color w:val="EE0000"/>
              </w:rPr>
              <w:t>。</w:t>
            </w:r>
          </w:p>
        </w:tc>
        <w:tc>
          <w:tcPr>
            <w:tcW w:w="1276" w:type="dxa"/>
            <w:vAlign w:val="center"/>
          </w:tcPr>
          <w:p>
            <w:pPr>
              <w:spacing w:line="360" w:lineRule="auto"/>
              <w:rPr>
                <w:rFonts w:ascii="宋体" w:cs="宋体"/>
                <w:sz w:val="24"/>
                <w:szCs w:val="24"/>
                <w:lang w:val="zh-CN"/>
              </w:rPr>
            </w:pPr>
            <w:r>
              <w:rPr>
                <w:rFonts w:hint="eastAsia" w:ascii="宋体" w:hAnsi="宋体" w:cs="宋体"/>
                <w:sz w:val="20"/>
              </w:rPr>
              <w:t>1项</w:t>
            </w:r>
          </w:p>
        </w:tc>
      </w:tr>
    </w:tbl>
    <w:p>
      <w:pPr>
        <w:spacing w:line="360" w:lineRule="auto"/>
        <w:ind w:firstLine="480" w:firstLineChars="200"/>
        <w:rPr>
          <w:rFonts w:ascii="宋体" w:cs="宋体"/>
          <w:szCs w:val="24"/>
        </w:rPr>
      </w:pPr>
      <w:r>
        <w:rPr>
          <w:rFonts w:hint="eastAsia" w:ascii="宋体" w:hAnsi="宋体" w:cs="宋体"/>
          <w:sz w:val="24"/>
          <w:szCs w:val="24"/>
          <w:lang w:val="zh-CN"/>
        </w:rPr>
        <w:t>②</w:t>
      </w:r>
      <w:r>
        <w:rPr>
          <w:rFonts w:hint="eastAsia" w:ascii="宋体" w:cs="宋体"/>
          <w:sz w:val="24"/>
          <w:szCs w:val="24"/>
          <w:lang w:val="zh-CN"/>
        </w:rPr>
        <w:t>机房现有PDU只有10个插孔，输入电流16A，且无法监测实时电压、电流，难以满足现有设备上架需求，存在安全隐患，需进行升级改造，本次替换为智能PDU，</w:t>
      </w:r>
      <w:r>
        <w:rPr>
          <w:rFonts w:hint="eastAsia" w:ascii="宋体" w:cs="宋体"/>
          <w:color w:val="FF0000"/>
          <w:sz w:val="24"/>
          <w:szCs w:val="24"/>
          <w:lang w:val="zh-CN"/>
        </w:rPr>
        <w:t>共52个。</w:t>
      </w:r>
      <w:r>
        <w:rPr>
          <w:rFonts w:hint="eastAsia" w:ascii="宋体" w:cs="宋体"/>
          <w:sz w:val="24"/>
          <w:szCs w:val="24"/>
          <w:lang w:val="zh-CN"/>
        </w:rPr>
        <w:t>该部分施工内容，如需分包，</w:t>
      </w:r>
      <w:r>
        <w:rPr>
          <w:rFonts w:ascii="宋体" w:cs="宋体"/>
          <w:sz w:val="24"/>
          <w:szCs w:val="24"/>
        </w:rPr>
        <w:t>分包商须具备有效的营业执照，经营范围应包含电气设备安装、机房工程或同类内容，</w:t>
      </w:r>
      <w:r>
        <w:rPr>
          <w:rFonts w:ascii="宋体" w:cs="宋体"/>
          <w:sz w:val="24"/>
          <w:szCs w:val="24"/>
          <w:lang w:val="zh-CN"/>
        </w:rPr>
        <w:t>且分包前须</w:t>
      </w:r>
      <w:r>
        <w:rPr>
          <w:rFonts w:hint="eastAsia" w:ascii="宋体" w:cs="宋体"/>
          <w:sz w:val="24"/>
          <w:szCs w:val="24"/>
          <w:lang w:val="zh-CN"/>
        </w:rPr>
        <w:t>向采购人书面报备。施工人员应具备高压或低压电工作业相关资质</w:t>
      </w:r>
      <w:r>
        <w:rPr>
          <w:rFonts w:ascii="宋体" w:cs="宋体"/>
          <w:sz w:val="24"/>
          <w:szCs w:val="24"/>
        </w:rPr>
        <w:t>。中标人对施工现场安全生产负总责。中标人及分包商应严格遵守《安全生产法》《特种作业人员安全技术培训考核管理规定》等法律法规，落实现场安全管理制度。因施工引发的安全事故，由中标人承担由此产生的全部法律责任及经济赔偿责任</w:t>
      </w:r>
      <w:r>
        <w:rPr>
          <w:rFonts w:hint="eastAsia" w:ascii="宋体" w:cs="宋体"/>
          <w:sz w:val="24"/>
          <w:szCs w:val="24"/>
        </w:rPr>
        <w:t>。</w:t>
      </w:r>
    </w:p>
    <w:p>
      <w:pPr>
        <w:spacing w:line="360" w:lineRule="auto"/>
        <w:ind w:firstLine="480" w:firstLineChars="200"/>
        <w:rPr>
          <w:rFonts w:ascii="宋体" w:cs="宋体"/>
          <w:sz w:val="24"/>
          <w:szCs w:val="24"/>
          <w:lang w:val="zh-CN"/>
        </w:rPr>
      </w:pPr>
      <w:r>
        <w:rPr>
          <w:rFonts w:hint="eastAsia" w:ascii="宋体" w:cs="宋体"/>
          <w:sz w:val="24"/>
          <w:szCs w:val="24"/>
          <w:lang w:val="zh-CN"/>
        </w:rPr>
        <w:t>机房PDU升级改造具体要求如下：</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1276"/>
        <w:gridCol w:w="5670"/>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75" w:type="dxa"/>
            <w:vAlign w:val="center"/>
          </w:tcPr>
          <w:p>
            <w:pPr>
              <w:widowControl/>
              <w:jc w:val="center"/>
              <w:textAlignment w:val="center"/>
              <w:rPr>
                <w:b/>
                <w:bCs/>
              </w:rPr>
            </w:pPr>
            <w:r>
              <w:rPr>
                <w:rFonts w:hint="eastAsia"/>
                <w:b/>
                <w:bCs/>
              </w:rPr>
              <w:t>序号</w:t>
            </w:r>
          </w:p>
        </w:tc>
        <w:tc>
          <w:tcPr>
            <w:tcW w:w="1276" w:type="dxa"/>
            <w:vAlign w:val="center"/>
          </w:tcPr>
          <w:p>
            <w:pPr>
              <w:widowControl/>
              <w:jc w:val="center"/>
              <w:textAlignment w:val="center"/>
              <w:rPr>
                <w:b/>
                <w:bCs/>
              </w:rPr>
            </w:pPr>
            <w:r>
              <w:rPr>
                <w:rFonts w:hint="eastAsia"/>
                <w:b/>
                <w:bCs/>
              </w:rPr>
              <w:t>升级内容</w:t>
            </w:r>
          </w:p>
        </w:tc>
        <w:tc>
          <w:tcPr>
            <w:tcW w:w="5670" w:type="dxa"/>
            <w:vAlign w:val="center"/>
          </w:tcPr>
          <w:p>
            <w:pPr>
              <w:widowControl/>
              <w:jc w:val="center"/>
              <w:textAlignment w:val="center"/>
              <w:rPr>
                <w:b/>
                <w:bCs/>
              </w:rPr>
            </w:pPr>
            <w:r>
              <w:rPr>
                <w:rFonts w:hint="eastAsia"/>
                <w:b/>
                <w:bCs/>
              </w:rPr>
              <w:t>具体要求</w:t>
            </w:r>
          </w:p>
        </w:tc>
        <w:tc>
          <w:tcPr>
            <w:tcW w:w="1241" w:type="dxa"/>
            <w:vAlign w:val="center"/>
          </w:tcPr>
          <w:p>
            <w:pPr>
              <w:widowControl/>
              <w:jc w:val="center"/>
              <w:textAlignment w:val="center"/>
              <w:rPr>
                <w:b/>
                <w:bCs/>
              </w:rPr>
            </w:pPr>
            <w:r>
              <w:rPr>
                <w:rFonts w:hint="eastAsia"/>
                <w:b/>
                <w:bCs/>
              </w:rPr>
              <w:t>规格数量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675" w:type="dxa"/>
            <w:vAlign w:val="center"/>
          </w:tcPr>
          <w:p>
            <w:pPr>
              <w:widowControl/>
              <w:jc w:val="left"/>
              <w:textAlignment w:val="center"/>
            </w:pPr>
            <w:r>
              <w:t>1</w:t>
            </w:r>
          </w:p>
        </w:tc>
        <w:tc>
          <w:tcPr>
            <w:tcW w:w="1276" w:type="dxa"/>
            <w:vAlign w:val="center"/>
          </w:tcPr>
          <w:p>
            <w:pPr>
              <w:widowControl/>
              <w:jc w:val="left"/>
              <w:textAlignment w:val="center"/>
            </w:pPr>
            <w:r>
              <w:t>机柜PDU</w:t>
            </w:r>
          </w:p>
        </w:tc>
        <w:tc>
          <w:tcPr>
            <w:tcW w:w="5670" w:type="dxa"/>
            <w:vAlign w:val="center"/>
          </w:tcPr>
          <w:p>
            <w:pPr>
              <w:widowControl/>
              <w:ind w:firstLine="420" w:firstLineChars="200"/>
              <w:jc w:val="left"/>
              <w:textAlignment w:val="center"/>
            </w:pPr>
            <w:r>
              <w:t>输入电流≥32A，输出口数量≥16个（10A接口≥1</w:t>
            </w:r>
            <w:r>
              <w:rPr>
                <w:rFonts w:hint="eastAsia"/>
              </w:rPr>
              <w:t>4</w:t>
            </w:r>
            <w:r>
              <w:t>个），要求提供智能模块，可实时监测电压、电流、功率等参数，具备防雷保护、</w:t>
            </w:r>
            <w:r>
              <w:rPr>
                <w:rFonts w:hint="eastAsia"/>
              </w:rPr>
              <w:t>过载保护</w:t>
            </w:r>
            <w:r>
              <w:t>等功能。</w:t>
            </w:r>
            <w:r>
              <w:rPr>
                <w:rFonts w:hint="eastAsia"/>
                <w:color w:val="FF0000"/>
              </w:rPr>
              <w:t>要求PDU安装规格可以</w:t>
            </w:r>
            <w:r>
              <w:rPr>
                <w:color w:val="FF0000"/>
              </w:rPr>
              <w:t>适配</w:t>
            </w:r>
            <w:r>
              <w:rPr>
                <w:rFonts w:hint="eastAsia"/>
                <w:color w:val="FF0000"/>
              </w:rPr>
              <w:t>采购人现有</w:t>
            </w:r>
            <w:r>
              <w:rPr>
                <w:color w:val="FF0000"/>
              </w:rPr>
              <w:t>机柜。</w:t>
            </w:r>
          </w:p>
        </w:tc>
        <w:tc>
          <w:tcPr>
            <w:tcW w:w="1241" w:type="dxa"/>
            <w:vAlign w:val="center"/>
          </w:tcPr>
          <w:p>
            <w:pPr>
              <w:widowControl/>
              <w:ind w:firstLine="210" w:firstLineChars="100"/>
              <w:jc w:val="left"/>
              <w:textAlignment w:val="center"/>
            </w:pPr>
            <w:r>
              <w:rPr>
                <w:rFonts w:hint="eastAsia"/>
              </w:rPr>
              <w:t>48</w:t>
            </w:r>
            <w: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675" w:type="dxa"/>
            <w:vAlign w:val="center"/>
          </w:tcPr>
          <w:p>
            <w:pPr>
              <w:widowControl/>
              <w:jc w:val="left"/>
              <w:textAlignment w:val="center"/>
            </w:pPr>
            <w:r>
              <w:rPr>
                <w:rFonts w:hint="eastAsia"/>
              </w:rPr>
              <w:t>2</w:t>
            </w:r>
          </w:p>
        </w:tc>
        <w:tc>
          <w:tcPr>
            <w:tcW w:w="1276" w:type="dxa"/>
            <w:vAlign w:val="center"/>
          </w:tcPr>
          <w:p>
            <w:pPr>
              <w:widowControl/>
              <w:jc w:val="left"/>
              <w:textAlignment w:val="center"/>
            </w:pPr>
            <w:r>
              <w:rPr>
                <w:rFonts w:hint="eastAsia"/>
              </w:rPr>
              <w:t>机柜PDU</w:t>
            </w:r>
          </w:p>
        </w:tc>
        <w:tc>
          <w:tcPr>
            <w:tcW w:w="5670" w:type="dxa"/>
            <w:vAlign w:val="center"/>
          </w:tcPr>
          <w:p>
            <w:pPr>
              <w:widowControl/>
              <w:ind w:firstLine="420" w:firstLineChars="200"/>
              <w:jc w:val="left"/>
              <w:textAlignment w:val="center"/>
            </w:pPr>
            <w:r>
              <w:t>输入电流≥32A，输出口数量≥1</w:t>
            </w:r>
            <w:r>
              <w:rPr>
                <w:rFonts w:hint="eastAsia"/>
              </w:rPr>
              <w:t>0</w:t>
            </w:r>
            <w:r>
              <w:t>个（1</w:t>
            </w:r>
            <w:r>
              <w:rPr>
                <w:rFonts w:hint="eastAsia"/>
              </w:rPr>
              <w:t>6A</w:t>
            </w:r>
            <w:r>
              <w:t>接口≥</w:t>
            </w:r>
            <w:r>
              <w:rPr>
                <w:rFonts w:hint="eastAsia"/>
              </w:rPr>
              <w:t>4</w:t>
            </w:r>
            <w:r>
              <w:t>个），要求提供智能模块，可实时监测电压、电流、功率等参数，具备防雷保护、</w:t>
            </w:r>
            <w:r>
              <w:rPr>
                <w:rFonts w:hint="eastAsia"/>
              </w:rPr>
              <w:t>过载保护</w:t>
            </w:r>
            <w:r>
              <w:t>等功能</w:t>
            </w:r>
            <w:r>
              <w:rPr>
                <w:rFonts w:hint="eastAsia"/>
              </w:rPr>
              <w:t>。</w:t>
            </w:r>
            <w:r>
              <w:rPr>
                <w:rFonts w:hint="eastAsia"/>
                <w:color w:val="FF0000"/>
              </w:rPr>
              <w:t>要求PDU安装规格可以</w:t>
            </w:r>
            <w:r>
              <w:rPr>
                <w:color w:val="FF0000"/>
              </w:rPr>
              <w:t>适配</w:t>
            </w:r>
            <w:r>
              <w:rPr>
                <w:rFonts w:hint="eastAsia"/>
                <w:color w:val="FF0000"/>
              </w:rPr>
              <w:t>采购人现有</w:t>
            </w:r>
            <w:r>
              <w:rPr>
                <w:color w:val="FF0000"/>
              </w:rPr>
              <w:t>机柜。</w:t>
            </w:r>
          </w:p>
        </w:tc>
        <w:tc>
          <w:tcPr>
            <w:tcW w:w="1241" w:type="dxa"/>
            <w:vAlign w:val="center"/>
          </w:tcPr>
          <w:p>
            <w:pPr>
              <w:widowControl/>
              <w:ind w:firstLine="210" w:firstLineChars="100"/>
              <w:jc w:val="left"/>
              <w:textAlignment w:val="center"/>
            </w:pPr>
            <w:r>
              <w:rPr>
                <w:rFonts w:hint="eastAsia"/>
              </w:rPr>
              <w:t>4</w:t>
            </w:r>
            <w: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pPr>
              <w:widowControl/>
              <w:jc w:val="left"/>
              <w:textAlignment w:val="center"/>
            </w:pPr>
            <w:r>
              <w:rPr>
                <w:rFonts w:hint="eastAsia"/>
              </w:rPr>
              <w:t>3</w:t>
            </w:r>
          </w:p>
        </w:tc>
        <w:tc>
          <w:tcPr>
            <w:tcW w:w="1276" w:type="dxa"/>
            <w:vAlign w:val="center"/>
          </w:tcPr>
          <w:p>
            <w:pPr>
              <w:widowControl/>
              <w:jc w:val="left"/>
              <w:textAlignment w:val="center"/>
            </w:pPr>
            <w:r>
              <w:rPr>
                <w:rFonts w:hint="eastAsia"/>
              </w:rPr>
              <w:t>其他</w:t>
            </w:r>
            <w:r>
              <w:t>服务</w:t>
            </w:r>
          </w:p>
        </w:tc>
        <w:tc>
          <w:tcPr>
            <w:tcW w:w="5670" w:type="dxa"/>
            <w:vAlign w:val="center"/>
          </w:tcPr>
          <w:p>
            <w:pPr>
              <w:widowControl/>
              <w:ind w:firstLine="420" w:firstLineChars="200"/>
              <w:jc w:val="left"/>
              <w:textAlignment w:val="center"/>
            </w:pPr>
            <w:r>
              <w:t>提供PDU安装所需所有相关辅材</w:t>
            </w:r>
            <w:r>
              <w:rPr>
                <w:rFonts w:hint="eastAsia"/>
              </w:rPr>
              <w:t>及服务</w:t>
            </w:r>
            <w:r>
              <w:t>（包含但不限于电源线缆，工业连接器、接线端子等）</w:t>
            </w:r>
            <w:r>
              <w:rPr>
                <w:rFonts w:hint="eastAsia"/>
              </w:rPr>
              <w:t>。</w:t>
            </w:r>
            <w:r>
              <w:t>提供PDU安装</w:t>
            </w:r>
            <w:r>
              <w:rPr>
                <w:rFonts w:hint="eastAsia"/>
              </w:rPr>
              <w:t>、</w:t>
            </w:r>
            <w:r>
              <w:t>拆卸</w:t>
            </w:r>
            <w:r>
              <w:rPr>
                <w:rFonts w:hint="eastAsia"/>
              </w:rPr>
              <w:t>及功能检测</w:t>
            </w:r>
            <w:r>
              <w:t>服务</w:t>
            </w:r>
            <w:r>
              <w:rPr>
                <w:rFonts w:hint="eastAsia"/>
              </w:rPr>
              <w:t>等</w:t>
            </w:r>
            <w:r>
              <w:t>，拆卸原有老旧PDU，更换为新的PDU，并进行上电前检测。</w:t>
            </w:r>
            <w:r>
              <w:rPr>
                <w:rFonts w:hint="eastAsia"/>
              </w:rPr>
              <w:t>更换的PDU质保期至少1年。</w:t>
            </w:r>
          </w:p>
        </w:tc>
        <w:tc>
          <w:tcPr>
            <w:tcW w:w="1241" w:type="dxa"/>
            <w:vAlign w:val="center"/>
          </w:tcPr>
          <w:p>
            <w:pPr>
              <w:widowControl/>
              <w:ind w:firstLine="210" w:firstLineChars="100"/>
              <w:jc w:val="left"/>
              <w:textAlignment w:val="center"/>
            </w:pPr>
            <w:r>
              <w:t>1项</w:t>
            </w:r>
          </w:p>
        </w:tc>
      </w:tr>
    </w:tbl>
    <w:p>
      <w:pPr>
        <w:spacing w:line="240" w:lineRule="atLeast"/>
        <w:ind w:firstLine="482"/>
        <w:rPr>
          <w:rFonts w:ascii="宋体" w:cs="宋体"/>
          <w:b/>
          <w:bCs/>
          <w:sz w:val="24"/>
          <w:szCs w:val="24"/>
          <w:lang w:val="zh-CN"/>
        </w:rPr>
      </w:pPr>
      <w:r>
        <w:rPr>
          <w:rFonts w:hint="eastAsia" w:ascii="宋体" w:cs="宋体"/>
          <w:b/>
          <w:bCs/>
          <w:sz w:val="24"/>
          <w:szCs w:val="24"/>
          <w:lang w:val="zh-CN"/>
        </w:rPr>
        <w:t>五、商务要求</w:t>
      </w:r>
    </w:p>
    <w:p>
      <w:pPr>
        <w:spacing w:line="360" w:lineRule="auto"/>
        <w:ind w:firstLine="480" w:firstLineChars="200"/>
        <w:rPr>
          <w:rFonts w:ascii="宋体" w:cs="宋体"/>
          <w:sz w:val="24"/>
          <w:szCs w:val="24"/>
          <w:lang w:val="zh-CN"/>
        </w:rPr>
      </w:pPr>
      <w:r>
        <w:rPr>
          <w:sz w:val="24"/>
          <w:szCs w:val="24"/>
        </w:rPr>
        <w:t>1</w:t>
      </w:r>
      <w:r>
        <w:rPr>
          <w:rFonts w:hint="eastAsia" w:ascii="宋体" w:cs="宋体"/>
          <w:sz w:val="24"/>
          <w:szCs w:val="24"/>
          <w:lang w:val="zh-CN"/>
        </w:rPr>
        <w:t>、服务期和服务要求：自合同签订之日起一年内</w:t>
      </w:r>
      <w:r>
        <w:rPr>
          <w:sz w:val="24"/>
          <w:szCs w:val="24"/>
          <w:lang w:val="zh-CN"/>
        </w:rPr>
        <w:t>。服务要求见项目采购需求。</w:t>
      </w:r>
    </w:p>
    <w:p>
      <w:pPr>
        <w:spacing w:line="360" w:lineRule="auto"/>
        <w:ind w:firstLine="480"/>
        <w:rPr>
          <w:sz w:val="24"/>
          <w:szCs w:val="24"/>
        </w:rPr>
      </w:pPr>
      <w:r>
        <w:rPr>
          <w:sz w:val="24"/>
          <w:szCs w:val="24"/>
        </w:rPr>
        <w:t>2</w:t>
      </w:r>
      <w:r>
        <w:rPr>
          <w:sz w:val="24"/>
          <w:szCs w:val="24"/>
          <w:lang w:val="zh-CN"/>
        </w:rPr>
        <w:t>、服务地点：用户指定地点。</w:t>
      </w:r>
    </w:p>
    <w:p>
      <w:pPr>
        <w:spacing w:line="360" w:lineRule="auto"/>
        <w:ind w:firstLine="480"/>
        <w:rPr>
          <w:sz w:val="24"/>
          <w:szCs w:val="24"/>
          <w:lang w:val="zh-CN"/>
        </w:rPr>
      </w:pPr>
      <w:r>
        <w:rPr>
          <w:sz w:val="24"/>
          <w:szCs w:val="24"/>
        </w:rPr>
        <w:t>3</w:t>
      </w:r>
      <w:r>
        <w:rPr>
          <w:sz w:val="24"/>
          <w:szCs w:val="24"/>
          <w:lang w:val="zh-CN"/>
        </w:rPr>
        <w:t>、付款方式：合同签订生效后</w:t>
      </w:r>
      <w:r>
        <w:rPr>
          <w:rFonts w:hint="eastAsia"/>
          <w:sz w:val="24"/>
          <w:szCs w:val="24"/>
          <w:lang w:val="zh-CN"/>
        </w:rPr>
        <w:t>，</w:t>
      </w:r>
      <w:r>
        <w:rPr>
          <w:rFonts w:hint="eastAsia" w:hAnsi="宋体"/>
          <w:sz w:val="24"/>
        </w:rPr>
        <w:t>中标人提供招投标文件中承诺的不低于原厂级别质保服务的证明材料（如原厂质保证明或原厂服务授权材料或原厂服务中心授权材料或技术性能指标不低于</w:t>
      </w:r>
      <w:r>
        <w:rPr>
          <w:rFonts w:hint="eastAsia" w:ascii="宋体" w:cs="宋体"/>
          <w:sz w:val="24"/>
          <w:szCs w:val="24"/>
          <w:lang w:val="zh-CN"/>
        </w:rPr>
        <w:t>原设备及系统的</w:t>
      </w:r>
      <w:r>
        <w:rPr>
          <w:rFonts w:hint="eastAsia" w:hAnsi="宋体"/>
          <w:sz w:val="24"/>
        </w:rPr>
        <w:t>同类产品厂家出具的服务授权材料），采购人收到中标人提供的同等金额的正规发票后，在履行财政相关资金审批手续后，</w:t>
      </w:r>
      <w:r>
        <w:rPr>
          <w:sz w:val="24"/>
          <w:szCs w:val="24"/>
          <w:lang w:val="zh-CN"/>
        </w:rPr>
        <w:t>20个工作日内</w:t>
      </w:r>
      <w:r>
        <w:rPr>
          <w:rFonts w:hint="eastAsia" w:hAnsi="宋体"/>
          <w:sz w:val="24"/>
        </w:rPr>
        <w:t>支付合同总价的 60%；</w:t>
      </w:r>
      <w:r>
        <w:rPr>
          <w:rFonts w:hint="eastAsia"/>
          <w:sz w:val="24"/>
          <w:szCs w:val="24"/>
          <w:lang w:val="zh-CN"/>
        </w:rPr>
        <w:t>备品备件、机柜PDU到货且</w:t>
      </w:r>
      <w:r>
        <w:rPr>
          <w:sz w:val="24"/>
          <w:szCs w:val="24"/>
          <w:lang w:val="zh-CN"/>
        </w:rPr>
        <w:t>完成第一次</w:t>
      </w:r>
      <w:r>
        <w:rPr>
          <w:rFonts w:hint="eastAsia"/>
          <w:sz w:val="24"/>
          <w:szCs w:val="24"/>
          <w:lang w:val="zh-CN"/>
        </w:rPr>
        <w:t>现场</w:t>
      </w:r>
      <w:r>
        <w:rPr>
          <w:sz w:val="24"/>
          <w:szCs w:val="24"/>
          <w:lang w:val="zh-CN"/>
        </w:rPr>
        <w:t>巡检后，20个工作日内支付3</w:t>
      </w:r>
      <w:r>
        <w:rPr>
          <w:rFonts w:hint="eastAsia"/>
          <w:sz w:val="24"/>
          <w:szCs w:val="24"/>
          <w:lang w:val="zh-CN"/>
        </w:rPr>
        <w:t>0</w:t>
      </w:r>
      <w:r>
        <w:rPr>
          <w:sz w:val="24"/>
          <w:szCs w:val="24"/>
          <w:lang w:val="zh-CN"/>
        </w:rPr>
        <w:t>%合同款；</w:t>
      </w:r>
      <w:r>
        <w:rPr>
          <w:rFonts w:hint="eastAsia"/>
          <w:sz w:val="24"/>
          <w:szCs w:val="24"/>
          <w:lang w:val="zh-CN"/>
        </w:rPr>
        <w:t>履约</w:t>
      </w:r>
      <w:r>
        <w:rPr>
          <w:sz w:val="24"/>
          <w:szCs w:val="24"/>
          <w:lang w:val="zh-CN"/>
        </w:rPr>
        <w:t xml:space="preserve">验收合格后 </w:t>
      </w:r>
      <w:r>
        <w:rPr>
          <w:rFonts w:hint="eastAsia"/>
          <w:sz w:val="24"/>
          <w:szCs w:val="24"/>
          <w:lang w:val="zh-CN"/>
        </w:rPr>
        <w:t>2</w:t>
      </w:r>
      <w:r>
        <w:rPr>
          <w:sz w:val="24"/>
          <w:szCs w:val="24"/>
          <w:lang w:val="zh-CN"/>
        </w:rPr>
        <w:t>0个工作日内，支付剩余</w:t>
      </w:r>
      <w:r>
        <w:rPr>
          <w:rFonts w:hint="eastAsia"/>
          <w:sz w:val="24"/>
          <w:szCs w:val="24"/>
          <w:lang w:val="zh-CN"/>
        </w:rPr>
        <w:t>10</w:t>
      </w:r>
      <w:r>
        <w:rPr>
          <w:sz w:val="24"/>
          <w:szCs w:val="24"/>
          <w:lang w:val="zh-CN"/>
        </w:rPr>
        <w:t>%合同尾款。</w:t>
      </w:r>
    </w:p>
    <w:p>
      <w:pPr>
        <w:spacing w:line="360" w:lineRule="auto"/>
        <w:ind w:firstLine="480"/>
        <w:rPr>
          <w:sz w:val="24"/>
          <w:szCs w:val="24"/>
          <w:lang w:val="zh-CN"/>
        </w:rPr>
      </w:pPr>
      <w:r>
        <w:rPr>
          <w:sz w:val="24"/>
          <w:szCs w:val="24"/>
          <w:lang w:val="zh-CN"/>
        </w:rPr>
        <w:t>4、项目验收要求：</w:t>
      </w:r>
      <w:bookmarkStart w:id="243" w:name="_Hlk205371646"/>
      <w:r>
        <w:rPr>
          <w:sz w:val="24"/>
          <w:szCs w:val="24"/>
          <w:lang w:val="zh-CN"/>
        </w:rPr>
        <w:t>项目交付后由采购人根据合同、招标文件、投标文件条款</w:t>
      </w:r>
      <w:r>
        <w:rPr>
          <w:rFonts w:hint="eastAsia"/>
          <w:sz w:val="24"/>
          <w:szCs w:val="24"/>
          <w:lang w:val="zh-CN"/>
        </w:rPr>
        <w:t>及财政、无线电管理行业相关规范</w:t>
      </w:r>
      <w:r>
        <w:rPr>
          <w:sz w:val="24"/>
          <w:szCs w:val="24"/>
          <w:lang w:val="zh-CN"/>
        </w:rPr>
        <w:t>组织验收。</w:t>
      </w:r>
    </w:p>
    <w:p>
      <w:pPr>
        <w:spacing w:line="360" w:lineRule="auto"/>
        <w:ind w:firstLine="480"/>
        <w:rPr>
          <w:sz w:val="24"/>
          <w:szCs w:val="24"/>
          <w:lang w:val="zh-CN"/>
        </w:rPr>
      </w:pPr>
      <w:r>
        <w:rPr>
          <w:rFonts w:hint="eastAsia"/>
          <w:sz w:val="24"/>
          <w:szCs w:val="24"/>
          <w:lang w:val="zh-CN"/>
        </w:rPr>
        <w:t>5、</w:t>
      </w:r>
      <w:r>
        <w:rPr>
          <w:rFonts w:hint="eastAsia" w:ascii="宋体" w:cs="宋体"/>
          <w:b/>
          <w:bCs/>
          <w:sz w:val="24"/>
          <w:szCs w:val="24"/>
          <w:highlight w:val="yellow"/>
          <w:lang w:val="zh-CN"/>
        </w:rPr>
        <w:t>本项目接受现场勘察。具体集中勘察时间为2026年8月XX日（公告发布之日起第3个工作日）。</w:t>
      </w:r>
    </w:p>
    <w:bookmarkEnd w:id="243"/>
    <w:p>
      <w:pPr>
        <w:spacing w:line="360" w:lineRule="auto"/>
        <w:ind w:firstLine="480"/>
        <w:rPr>
          <w:sz w:val="24"/>
          <w:szCs w:val="24"/>
          <w:lang w:val="zh-CN"/>
        </w:rPr>
      </w:pPr>
      <w:r>
        <w:rPr>
          <w:rFonts w:hint="eastAsia"/>
          <w:sz w:val="24"/>
          <w:szCs w:val="24"/>
          <w:lang w:val="zh-CN"/>
        </w:rPr>
        <w:t>6</w:t>
      </w:r>
      <w:r>
        <w:rPr>
          <w:sz w:val="24"/>
          <w:szCs w:val="24"/>
          <w:lang w:val="zh-CN"/>
        </w:rPr>
        <w:t>、响应货币：本项目以人民币报价。</w:t>
      </w:r>
    </w:p>
    <w:p>
      <w:pPr>
        <w:rPr>
          <w:b/>
          <w:sz w:val="28"/>
          <w:szCs w:val="28"/>
        </w:rPr>
      </w:pPr>
      <w:r>
        <w:rPr>
          <w:b/>
          <w:sz w:val="28"/>
          <w:szCs w:val="28"/>
        </w:rPr>
        <w:br w:type="page"/>
      </w:r>
    </w:p>
    <w:p>
      <w:pPr>
        <w:spacing w:line="360" w:lineRule="auto"/>
        <w:jc w:val="center"/>
        <w:outlineLvl w:val="0"/>
        <w:rPr>
          <w:rFonts w:ascii="Arial" w:hAnsi="Arial" w:cs="Arial"/>
          <w:b/>
          <w:sz w:val="24"/>
          <w:szCs w:val="24"/>
        </w:rPr>
      </w:pPr>
      <w:bookmarkStart w:id="244" w:name="_Toc6052"/>
      <w:r>
        <w:rPr>
          <w:b/>
          <w:sz w:val="28"/>
          <w:szCs w:val="28"/>
        </w:rPr>
        <w:t>第五章 拟签订的合同文本</w:t>
      </w:r>
      <w:bookmarkEnd w:id="233"/>
      <w:bookmarkEnd w:id="244"/>
    </w:p>
    <w:p>
      <w:pPr>
        <w:widowControl/>
        <w:spacing w:before="19" w:line="500" w:lineRule="exact"/>
        <w:jc w:val="center"/>
        <w:rPr>
          <w:rFonts w:eastAsia="方正小标宋_GBK"/>
          <w:bCs/>
          <w:sz w:val="40"/>
          <w:szCs w:val="24"/>
        </w:rPr>
      </w:pPr>
      <w:bookmarkStart w:id="245" w:name="_Toc6085"/>
      <w:bookmarkStart w:id="246" w:name="_Toc26736"/>
      <w:r>
        <w:rPr>
          <w:rFonts w:eastAsia="黑体"/>
          <w:b/>
          <w:sz w:val="24"/>
          <w:szCs w:val="24"/>
        </w:rPr>
        <w:t>（参考格式，本合同内容条款在正式签署前可具体补充细化，仅作参考，最终合同以采购人审查通过的版本为准）</w:t>
      </w:r>
      <w:bookmarkEnd w:id="245"/>
      <w:bookmarkStart w:id="247" w:name="_Toc203"/>
      <w:bookmarkStart w:id="248" w:name="_Toc25708"/>
      <w:bookmarkStart w:id="249" w:name="_Toc9531"/>
    </w:p>
    <w:p>
      <w:pPr>
        <w:pStyle w:val="18"/>
        <w:spacing w:line="360" w:lineRule="auto"/>
        <w:jc w:val="center"/>
        <w:rPr>
          <w:rFonts w:hint="eastAsia" w:hAnsi="宋体" w:cs="宋体"/>
          <w:b/>
          <w:bCs/>
          <w:sz w:val="21"/>
          <w:szCs w:val="21"/>
          <w:lang w:val="zh-CN"/>
        </w:rPr>
      </w:pPr>
    </w:p>
    <w:bookmarkEnd w:id="247"/>
    <w:bookmarkEnd w:id="248"/>
    <w:bookmarkEnd w:id="249"/>
    <w:p>
      <w:pPr>
        <w:widowControl/>
        <w:shd w:val="clear" w:color="auto" w:fill="FFFFFF"/>
        <w:adjustRightInd w:val="0"/>
        <w:snapToGrid w:val="0"/>
        <w:spacing w:line="360" w:lineRule="auto"/>
        <w:jc w:val="left"/>
        <w:rPr>
          <w:rFonts w:hint="eastAsia" w:ascii="宋体" w:hAnsi="宋体" w:cs="宋体"/>
          <w:color w:val="000000" w:themeColor="text1"/>
          <w:szCs w:val="21"/>
        </w:rPr>
      </w:pPr>
      <w:r>
        <w:rPr>
          <w:rFonts w:hint="eastAsia" w:ascii="宋体" w:hAnsi="宋体" w:cs="宋体"/>
          <w:color w:val="000000" w:themeColor="text1"/>
          <w:szCs w:val="21"/>
        </w:rPr>
        <w:t>合同编号：</w:t>
      </w:r>
    </w:p>
    <w:p>
      <w:pPr>
        <w:widowControl/>
        <w:shd w:val="clear" w:color="auto" w:fill="FFFFFF"/>
        <w:adjustRightInd w:val="0"/>
        <w:snapToGrid w:val="0"/>
        <w:spacing w:line="360" w:lineRule="auto"/>
        <w:jc w:val="left"/>
        <w:rPr>
          <w:rFonts w:hint="eastAsia" w:ascii="宋体" w:hAnsi="宋体" w:cs="宋体"/>
          <w:color w:val="000000" w:themeColor="text1"/>
          <w:szCs w:val="21"/>
        </w:rPr>
      </w:pPr>
      <w:r>
        <w:rPr>
          <w:rFonts w:hint="eastAsia" w:ascii="宋体" w:hAnsi="宋体" w:cs="宋体"/>
          <w:color w:val="000000" w:themeColor="text1"/>
          <w:szCs w:val="21"/>
        </w:rPr>
        <w:t xml:space="preserve">项目名称： </w:t>
      </w:r>
    </w:p>
    <w:p>
      <w:pPr>
        <w:pStyle w:val="26"/>
        <w:snapToGrid w:val="0"/>
        <w:spacing w:line="360" w:lineRule="auto"/>
        <w:rPr>
          <w:rFonts w:hint="eastAsia" w:hAnsi="宋体" w:cs="宋体"/>
          <w:b/>
        </w:rPr>
      </w:pPr>
      <w:r>
        <w:rPr>
          <w:rFonts w:hint="eastAsia" w:hAnsi="宋体" w:cs="宋体"/>
        </w:rPr>
        <w:t>甲、乙双方根据江苏益诚建设工程咨询有限公司</w:t>
      </w:r>
      <w:r>
        <w:rPr>
          <w:rFonts w:hint="eastAsia" w:hAnsi="宋体" w:cs="宋体"/>
          <w:u w:val="single"/>
        </w:rPr>
        <w:t>江苏省无线电监测站2026-2027年无线电管理信息专网设备和系统运维服务项目</w:t>
      </w:r>
      <w:r>
        <w:rPr>
          <w:rFonts w:hint="eastAsia" w:hAnsi="宋体" w:cs="宋体"/>
        </w:rPr>
        <w:t>竞争性磋商的结果，签署本合同。</w:t>
      </w:r>
    </w:p>
    <w:p>
      <w:pPr>
        <w:pStyle w:val="26"/>
        <w:snapToGrid w:val="0"/>
        <w:spacing w:line="360" w:lineRule="auto"/>
        <w:ind w:firstLine="310" w:firstLineChars="147"/>
        <w:rPr>
          <w:rFonts w:hint="eastAsia" w:hAnsi="宋体" w:cs="宋体"/>
          <w:b/>
        </w:rPr>
      </w:pPr>
      <w:r>
        <w:rPr>
          <w:rFonts w:hint="eastAsia" w:hAnsi="宋体" w:cs="宋体"/>
          <w:b/>
        </w:rPr>
        <w:t>一、采购标的</w:t>
      </w:r>
    </w:p>
    <w:p>
      <w:pPr>
        <w:pStyle w:val="26"/>
        <w:snapToGrid w:val="0"/>
        <w:spacing w:line="360" w:lineRule="auto"/>
        <w:ind w:firstLine="315" w:firstLineChars="150"/>
        <w:rPr>
          <w:rFonts w:hint="eastAsia" w:hAnsi="宋体" w:cs="宋体"/>
          <w:u w:val="single"/>
        </w:rPr>
      </w:pPr>
      <w:r>
        <w:rPr>
          <w:rFonts w:hint="eastAsia" w:hAnsi="宋体" w:cs="宋体"/>
        </w:rPr>
        <w:t>1.1 产品/服务内容：</w:t>
      </w:r>
      <w:r>
        <w:rPr>
          <w:rFonts w:hint="eastAsia" w:hAnsi="宋体" w:cs="宋体"/>
          <w:u w:val="single"/>
        </w:rPr>
        <w:t xml:space="preserve">      </w:t>
      </w:r>
      <w:r>
        <w:rPr>
          <w:rFonts w:hint="eastAsia" w:hAnsi="宋体" w:cs="宋体"/>
        </w:rPr>
        <w:t>。</w:t>
      </w:r>
    </w:p>
    <w:p>
      <w:pPr>
        <w:pStyle w:val="26"/>
        <w:snapToGrid w:val="0"/>
        <w:spacing w:line="360" w:lineRule="auto"/>
        <w:ind w:firstLine="315" w:firstLineChars="150"/>
        <w:rPr>
          <w:rFonts w:hint="eastAsia" w:hAnsi="宋体" w:cs="宋体"/>
          <w:u w:val="single"/>
        </w:rPr>
      </w:pPr>
      <w:r>
        <w:rPr>
          <w:rFonts w:hint="eastAsia" w:hAnsi="宋体" w:cs="宋体"/>
        </w:rPr>
        <w:t>1.2 服务期限：</w:t>
      </w:r>
      <w:r>
        <w:rPr>
          <w:rFonts w:hint="eastAsia" w:hAnsi="宋体" w:cs="宋体"/>
          <w:u w:val="single"/>
        </w:rPr>
        <w:t xml:space="preserve">      </w:t>
      </w:r>
      <w:r>
        <w:rPr>
          <w:rFonts w:hint="eastAsia" w:hAnsi="宋体" w:cs="宋体"/>
        </w:rPr>
        <w:t>。</w:t>
      </w:r>
    </w:p>
    <w:p>
      <w:pPr>
        <w:pStyle w:val="26"/>
        <w:snapToGrid w:val="0"/>
        <w:spacing w:line="360" w:lineRule="auto"/>
        <w:ind w:firstLine="315" w:firstLineChars="150"/>
        <w:rPr>
          <w:rFonts w:hint="eastAsia" w:hAnsi="宋体" w:cs="宋体"/>
          <w:u w:val="single"/>
        </w:rPr>
      </w:pPr>
      <w:r>
        <w:rPr>
          <w:rFonts w:hint="eastAsia" w:hAnsi="宋体" w:cs="宋体"/>
        </w:rPr>
        <w:t>1.3 补充条款：</w:t>
      </w:r>
      <w:r>
        <w:rPr>
          <w:rFonts w:hint="eastAsia" w:hAnsi="宋体" w:cs="宋体"/>
          <w:u w:val="single"/>
        </w:rPr>
        <w:t xml:space="preserve">      </w:t>
      </w:r>
      <w:r>
        <w:rPr>
          <w:rFonts w:hint="eastAsia" w:hAnsi="宋体" w:cs="宋体"/>
        </w:rPr>
        <w:t>。</w:t>
      </w:r>
    </w:p>
    <w:p>
      <w:pPr>
        <w:pStyle w:val="26"/>
        <w:snapToGrid w:val="0"/>
        <w:spacing w:line="360" w:lineRule="auto"/>
        <w:ind w:firstLine="310" w:firstLineChars="147"/>
        <w:rPr>
          <w:rFonts w:hint="eastAsia" w:hAnsi="宋体" w:cs="宋体"/>
          <w:b/>
        </w:rPr>
      </w:pPr>
      <w:r>
        <w:rPr>
          <w:rFonts w:hint="eastAsia" w:hAnsi="宋体" w:cs="宋体"/>
          <w:b/>
        </w:rPr>
        <w:t>二、合同金额</w:t>
      </w:r>
    </w:p>
    <w:p>
      <w:pPr>
        <w:pStyle w:val="26"/>
        <w:snapToGrid w:val="0"/>
        <w:spacing w:line="360" w:lineRule="auto"/>
        <w:ind w:firstLine="308" w:firstLineChars="147"/>
        <w:rPr>
          <w:rFonts w:hint="eastAsia" w:hAnsi="宋体" w:cs="宋体"/>
        </w:rPr>
      </w:pPr>
      <w:r>
        <w:rPr>
          <w:rFonts w:hint="eastAsia" w:hAnsi="宋体" w:cs="宋体"/>
        </w:rPr>
        <w:t>2.1 本合同金额为（大写）：_________________圆整（￥__________元）人民币。</w:t>
      </w:r>
    </w:p>
    <w:p>
      <w:pPr>
        <w:pStyle w:val="26"/>
        <w:snapToGrid w:val="0"/>
        <w:spacing w:line="360" w:lineRule="auto"/>
        <w:rPr>
          <w:rFonts w:hint="eastAsia" w:hAnsi="宋体" w:cs="宋体"/>
        </w:rPr>
      </w:pPr>
      <w:r>
        <w:rPr>
          <w:rFonts w:hint="eastAsia" w:hAnsi="宋体" w:cs="宋体"/>
        </w:rPr>
        <w:t>本合同价款包含所有乙方提供合同约定产品和服务的报酬及乙方提供合同中产品和服务所支出的必要费用，甲方在上述合同价款之外不再向乙方支付其他任何费用。</w:t>
      </w:r>
    </w:p>
    <w:p>
      <w:pPr>
        <w:pStyle w:val="26"/>
        <w:numPr>
          <w:ilvl w:val="0"/>
          <w:numId w:val="6"/>
        </w:numPr>
        <w:snapToGrid w:val="0"/>
        <w:spacing w:line="360" w:lineRule="auto"/>
        <w:ind w:firstLine="310" w:firstLineChars="147"/>
        <w:rPr>
          <w:rFonts w:hint="eastAsia" w:hAnsi="宋体" w:cs="宋体"/>
          <w:b/>
        </w:rPr>
      </w:pPr>
      <w:r>
        <w:rPr>
          <w:rFonts w:hint="eastAsia" w:hAnsi="宋体" w:cs="宋体"/>
          <w:b/>
        </w:rPr>
        <w:t>技术资料</w:t>
      </w:r>
    </w:p>
    <w:p>
      <w:pPr>
        <w:pStyle w:val="26"/>
        <w:snapToGrid w:val="0"/>
        <w:spacing w:line="360" w:lineRule="auto"/>
        <w:ind w:firstLine="420" w:firstLineChars="200"/>
        <w:rPr>
          <w:rFonts w:hint="eastAsia" w:hAnsi="宋体" w:cs="宋体"/>
        </w:rPr>
      </w:pPr>
      <w:r>
        <w:rPr>
          <w:rFonts w:hint="eastAsia" w:hAnsi="宋体" w:cs="宋体"/>
        </w:rPr>
        <w:t>3.1乙方应按磋商文件规定的时间向甲方提供有关技术资料。</w:t>
      </w:r>
    </w:p>
    <w:p>
      <w:pPr>
        <w:pStyle w:val="26"/>
        <w:snapToGrid w:val="0"/>
        <w:spacing w:line="360" w:lineRule="auto"/>
        <w:ind w:left="210" w:leftChars="100" w:firstLine="168" w:firstLineChars="80"/>
        <w:rPr>
          <w:rFonts w:hint="eastAsia" w:hAnsi="宋体" w:cs="宋体"/>
        </w:rPr>
      </w:pPr>
      <w:r>
        <w:rPr>
          <w:rFonts w:hint="eastAsia" w:hAnsi="宋体" w:cs="宋体"/>
        </w:rPr>
        <w:t>3.2 没有甲方事先书面同意，乙方不得将由甲方提供的有关合同或任何合同条文、规格、</w:t>
      </w:r>
    </w:p>
    <w:p>
      <w:pPr>
        <w:pStyle w:val="26"/>
        <w:snapToGrid w:val="0"/>
        <w:spacing w:line="360" w:lineRule="auto"/>
        <w:rPr>
          <w:rFonts w:hint="eastAsia" w:hAnsi="宋体" w:cs="宋体"/>
        </w:rPr>
      </w:pPr>
      <w:r>
        <w:rPr>
          <w:rFonts w:hint="eastAsia" w:hAnsi="宋体" w:cs="宋体"/>
        </w:rPr>
        <w:t>计划、图纸、样品或资料提供给与履行本合同无关的任何其他人。即使向履行本合同有关的人员提供，也应注意保密并限于履行合同的必需范围。</w:t>
      </w:r>
    </w:p>
    <w:p>
      <w:pPr>
        <w:pStyle w:val="26"/>
        <w:snapToGrid w:val="0"/>
        <w:spacing w:line="360" w:lineRule="auto"/>
        <w:ind w:firstLine="422" w:firstLineChars="200"/>
        <w:rPr>
          <w:rFonts w:hint="eastAsia" w:hAnsi="宋体" w:cs="宋体"/>
          <w:b/>
        </w:rPr>
      </w:pPr>
      <w:r>
        <w:rPr>
          <w:rFonts w:hint="eastAsia" w:hAnsi="宋体" w:cs="宋体"/>
          <w:b/>
        </w:rPr>
        <w:t>四、知识产权</w:t>
      </w:r>
    </w:p>
    <w:p>
      <w:pPr>
        <w:spacing w:line="360" w:lineRule="auto"/>
        <w:ind w:firstLine="315" w:firstLineChars="150"/>
        <w:rPr>
          <w:rFonts w:hint="eastAsia" w:ascii="宋体" w:hAnsi="宋体" w:cs="宋体"/>
          <w:szCs w:val="21"/>
        </w:rPr>
      </w:pPr>
      <w:r>
        <w:rPr>
          <w:rFonts w:hint="eastAsia" w:ascii="宋体" w:hAnsi="宋体" w:cs="宋体"/>
          <w:szCs w:val="21"/>
        </w:rPr>
        <w:t>乙方应保证甲方在使用、接受本合同中产品和服务或其任何一部分时不受第三方提出侵犯其专利权、版权、商标权和工业设计权等知识产权的起诉。一旦出现侵权，由乙方负全部责任。</w:t>
      </w:r>
    </w:p>
    <w:p>
      <w:pPr>
        <w:pStyle w:val="26"/>
        <w:snapToGrid w:val="0"/>
        <w:spacing w:line="360" w:lineRule="auto"/>
        <w:ind w:firstLine="310" w:firstLineChars="147"/>
        <w:rPr>
          <w:rFonts w:hint="eastAsia" w:hAnsi="宋体" w:cs="宋体"/>
          <w:u w:val="single"/>
        </w:rPr>
      </w:pPr>
      <w:r>
        <w:rPr>
          <w:rFonts w:hint="eastAsia" w:hAnsi="宋体" w:cs="宋体"/>
          <w:b/>
        </w:rPr>
        <w:t>五、产权担保</w:t>
      </w:r>
    </w:p>
    <w:p>
      <w:pPr>
        <w:pStyle w:val="26"/>
        <w:snapToGrid w:val="0"/>
        <w:spacing w:line="360" w:lineRule="auto"/>
        <w:ind w:left="42" w:hanging="42" w:hangingChars="20"/>
        <w:rPr>
          <w:rFonts w:hint="eastAsia" w:hAnsi="宋体" w:cs="宋体"/>
          <w:u w:val="single"/>
        </w:rPr>
      </w:pPr>
      <w:r>
        <w:rPr>
          <w:rFonts w:hint="eastAsia" w:hAnsi="宋体" w:cs="宋体"/>
        </w:rPr>
        <w:t>乙方保证所交付标的的所有权完全属于乙方且无任何抵押、查封等产权瑕疵。</w:t>
      </w:r>
    </w:p>
    <w:p>
      <w:pPr>
        <w:pStyle w:val="26"/>
        <w:snapToGrid w:val="0"/>
        <w:spacing w:line="360" w:lineRule="auto"/>
        <w:ind w:firstLine="422" w:firstLineChars="200"/>
        <w:rPr>
          <w:rFonts w:hint="eastAsia" w:hAnsi="宋体" w:cs="宋体"/>
          <w:b/>
        </w:rPr>
      </w:pPr>
      <w:r>
        <w:rPr>
          <w:rFonts w:hint="eastAsia" w:hAnsi="宋体" w:cs="宋体"/>
          <w:b/>
        </w:rPr>
        <w:t>六、履约保证金</w:t>
      </w:r>
    </w:p>
    <w:p>
      <w:pPr>
        <w:snapToGrid w:val="0"/>
        <w:spacing w:line="360" w:lineRule="auto"/>
        <w:ind w:firstLine="420" w:firstLineChars="200"/>
        <w:rPr>
          <w:rFonts w:hint="eastAsia" w:ascii="宋体" w:hAnsi="宋体" w:cs="宋体"/>
          <w:szCs w:val="21"/>
        </w:rPr>
      </w:pPr>
      <w:r>
        <w:rPr>
          <w:rFonts w:hint="eastAsia" w:ascii="宋体" w:hAnsi="宋体" w:cs="宋体"/>
          <w:szCs w:val="21"/>
        </w:rPr>
        <w:t>6.1 乙方交纳人民币_________元作为本合同的履约保证金。</w:t>
      </w:r>
    </w:p>
    <w:p>
      <w:pPr>
        <w:snapToGrid w:val="0"/>
        <w:spacing w:line="360" w:lineRule="auto"/>
        <w:ind w:firstLine="420" w:firstLineChars="200"/>
        <w:rPr>
          <w:rFonts w:hint="eastAsia" w:ascii="宋体" w:hAnsi="宋体" w:cs="宋体"/>
          <w:szCs w:val="21"/>
        </w:rPr>
      </w:pPr>
      <w:r>
        <w:rPr>
          <w:rFonts w:hint="eastAsia" w:ascii="宋体" w:hAnsi="宋体" w:cs="宋体"/>
          <w:szCs w:val="21"/>
        </w:rPr>
        <w:t>6.2合同履行结束后，甲方应及时退还交纳的履约保证金。</w:t>
      </w:r>
    </w:p>
    <w:p>
      <w:pPr>
        <w:snapToGrid w:val="0"/>
        <w:spacing w:line="360" w:lineRule="auto"/>
        <w:ind w:firstLine="420" w:firstLineChars="200"/>
        <w:rPr>
          <w:rFonts w:hint="eastAsia" w:ascii="宋体" w:hAnsi="宋体" w:cs="宋体"/>
          <w:szCs w:val="21"/>
        </w:rPr>
      </w:pPr>
      <w:r>
        <w:rPr>
          <w:rFonts w:hint="eastAsia" w:ascii="宋体" w:hAnsi="宋体" w:cs="宋体"/>
          <w:szCs w:val="21"/>
        </w:rPr>
        <w:t>6.2.1履约保证金退还方式：</w:t>
      </w:r>
    </w:p>
    <w:p>
      <w:pPr>
        <w:snapToGrid w:val="0"/>
        <w:spacing w:line="360" w:lineRule="auto"/>
        <w:ind w:firstLine="420" w:firstLineChars="200"/>
        <w:rPr>
          <w:rFonts w:hint="eastAsia" w:ascii="宋体" w:hAnsi="宋体" w:cs="宋体"/>
          <w:szCs w:val="21"/>
        </w:rPr>
      </w:pPr>
      <w:r>
        <w:rPr>
          <w:rFonts w:hint="eastAsia" w:ascii="宋体" w:hAnsi="宋体" w:cs="宋体"/>
          <w:szCs w:val="21"/>
        </w:rPr>
        <w:t>6.2.2履约保证金退还时间：</w:t>
      </w:r>
    </w:p>
    <w:p>
      <w:pPr>
        <w:snapToGrid w:val="0"/>
        <w:spacing w:line="360" w:lineRule="auto"/>
        <w:ind w:firstLine="420" w:firstLineChars="200"/>
        <w:rPr>
          <w:rFonts w:hint="eastAsia" w:ascii="宋体" w:hAnsi="宋体" w:cs="宋体"/>
          <w:szCs w:val="21"/>
        </w:rPr>
      </w:pPr>
      <w:r>
        <w:rPr>
          <w:rFonts w:hint="eastAsia" w:ascii="宋体" w:hAnsi="宋体" w:cs="宋体"/>
          <w:szCs w:val="21"/>
        </w:rPr>
        <w:t>6.2.3履约保证金退还条件：</w:t>
      </w:r>
    </w:p>
    <w:p>
      <w:pPr>
        <w:snapToGrid w:val="0"/>
        <w:spacing w:line="360" w:lineRule="auto"/>
        <w:ind w:firstLine="420" w:firstLineChars="200"/>
        <w:rPr>
          <w:rFonts w:hint="eastAsia" w:ascii="宋体" w:hAnsi="宋体" w:cs="宋体"/>
          <w:szCs w:val="21"/>
        </w:rPr>
      </w:pPr>
      <w:r>
        <w:rPr>
          <w:rFonts w:hint="eastAsia" w:ascii="宋体" w:hAnsi="宋体" w:cs="宋体"/>
          <w:szCs w:val="21"/>
        </w:rPr>
        <w:t>6.2.4履约保证金不予退还的情形：</w:t>
      </w:r>
    </w:p>
    <w:p>
      <w:pPr>
        <w:pStyle w:val="26"/>
        <w:snapToGrid w:val="0"/>
        <w:spacing w:line="360" w:lineRule="auto"/>
        <w:ind w:firstLine="422" w:firstLineChars="200"/>
        <w:rPr>
          <w:rFonts w:hint="eastAsia" w:hAnsi="宋体" w:cs="宋体"/>
          <w:b/>
        </w:rPr>
      </w:pPr>
      <w:r>
        <w:rPr>
          <w:rFonts w:hint="eastAsia" w:hAnsi="宋体" w:cs="宋体"/>
          <w:b/>
        </w:rPr>
        <w:t>七、转包或分包</w:t>
      </w:r>
    </w:p>
    <w:p>
      <w:pPr>
        <w:snapToGrid w:val="0"/>
        <w:spacing w:line="360" w:lineRule="auto"/>
        <w:ind w:firstLine="315" w:firstLineChars="150"/>
        <w:rPr>
          <w:rFonts w:hint="eastAsia" w:ascii="宋体" w:hAnsi="宋体" w:cs="宋体"/>
          <w:szCs w:val="21"/>
        </w:rPr>
      </w:pPr>
      <w:r>
        <w:rPr>
          <w:rFonts w:hint="eastAsia" w:ascii="宋体" w:hAnsi="宋体" w:cs="宋体"/>
          <w:szCs w:val="21"/>
        </w:rPr>
        <w:t>7.1本合同范围内产品或服务，应由乙方直接供应，不得转让他人供应；</w:t>
      </w:r>
    </w:p>
    <w:p>
      <w:pPr>
        <w:snapToGrid w:val="0"/>
        <w:spacing w:line="360" w:lineRule="auto"/>
        <w:ind w:firstLine="315" w:firstLineChars="150"/>
        <w:rPr>
          <w:rFonts w:hint="eastAsia" w:ascii="宋体" w:hAnsi="宋体" w:cs="宋体"/>
          <w:szCs w:val="21"/>
        </w:rPr>
      </w:pPr>
      <w:r>
        <w:rPr>
          <w:rFonts w:hint="eastAsia" w:ascii="宋体" w:hAnsi="宋体" w:cs="宋体"/>
          <w:szCs w:val="21"/>
          <w:highlight w:val="yellow"/>
        </w:rPr>
        <w:t>7.2 除非得到甲方的书面同意，乙方不得部分分包给他人供应。</w:t>
      </w:r>
    </w:p>
    <w:p>
      <w:pPr>
        <w:snapToGrid w:val="0"/>
        <w:spacing w:line="360" w:lineRule="auto"/>
        <w:ind w:firstLine="315" w:firstLineChars="150"/>
        <w:rPr>
          <w:rFonts w:hint="eastAsia" w:ascii="宋体" w:hAnsi="宋体" w:cs="宋体"/>
          <w:szCs w:val="21"/>
        </w:rPr>
      </w:pPr>
      <w:r>
        <w:rPr>
          <w:rFonts w:hint="eastAsia" w:ascii="宋体" w:hAnsi="宋体" w:cs="宋体"/>
          <w:szCs w:val="21"/>
        </w:rPr>
        <w:t xml:space="preserve">7.3如有转让和未经甲方同意的分包行为，甲方有权给予终止合同。 </w:t>
      </w:r>
    </w:p>
    <w:p>
      <w:pPr>
        <w:pStyle w:val="26"/>
        <w:snapToGrid w:val="0"/>
        <w:spacing w:line="360" w:lineRule="auto"/>
        <w:ind w:firstLine="310" w:firstLineChars="147"/>
        <w:rPr>
          <w:rFonts w:hint="eastAsia" w:hAnsi="宋体" w:cs="宋体"/>
        </w:rPr>
      </w:pPr>
      <w:r>
        <w:rPr>
          <w:rFonts w:hint="eastAsia" w:hAnsi="宋体" w:cs="宋体"/>
          <w:b/>
        </w:rPr>
        <w:t>八、质保期</w:t>
      </w:r>
    </w:p>
    <w:p>
      <w:pPr>
        <w:pStyle w:val="26"/>
        <w:snapToGrid w:val="0"/>
        <w:spacing w:line="360" w:lineRule="auto"/>
        <w:ind w:firstLine="210" w:firstLineChars="100"/>
        <w:rPr>
          <w:rFonts w:hint="eastAsia" w:hAnsi="宋体" w:cs="宋体"/>
        </w:rPr>
      </w:pPr>
      <w:r>
        <w:rPr>
          <w:rFonts w:hint="eastAsia" w:hAnsi="宋体" w:cs="宋体"/>
        </w:rPr>
        <w:t xml:space="preserve"> 质保期</w:t>
      </w:r>
      <w:r>
        <w:rPr>
          <w:rFonts w:hint="eastAsia" w:hAnsi="宋体" w:cs="宋体"/>
          <w:u w:val="single"/>
        </w:rPr>
        <w:t xml:space="preserve">      </w:t>
      </w:r>
      <w:r>
        <w:rPr>
          <w:rFonts w:hint="eastAsia" w:hAnsi="宋体" w:cs="宋体"/>
        </w:rPr>
        <w:t>年。（自项目验收合格之日起计）</w:t>
      </w:r>
    </w:p>
    <w:p>
      <w:pPr>
        <w:pStyle w:val="26"/>
        <w:snapToGrid w:val="0"/>
        <w:spacing w:line="360" w:lineRule="auto"/>
        <w:ind w:firstLine="310" w:firstLineChars="147"/>
        <w:rPr>
          <w:rFonts w:hint="eastAsia" w:hAnsi="宋体" w:cs="宋体"/>
          <w:b/>
        </w:rPr>
      </w:pPr>
      <w:r>
        <w:rPr>
          <w:rFonts w:hint="eastAsia" w:hAnsi="宋体" w:cs="宋体"/>
          <w:b/>
        </w:rPr>
        <w:t>九、交付期、交付方式及交付地</w:t>
      </w:r>
    </w:p>
    <w:p>
      <w:pPr>
        <w:pStyle w:val="26"/>
        <w:snapToGrid w:val="0"/>
        <w:spacing w:line="360" w:lineRule="auto"/>
        <w:ind w:firstLine="315" w:firstLineChars="150"/>
        <w:rPr>
          <w:rFonts w:hint="eastAsia" w:hAnsi="宋体" w:cs="宋体"/>
          <w:bCs/>
        </w:rPr>
      </w:pPr>
      <w:r>
        <w:rPr>
          <w:rFonts w:hint="eastAsia" w:hAnsi="宋体" w:cs="宋体"/>
          <w:bCs/>
        </w:rPr>
        <w:t>9.1交付期：</w:t>
      </w:r>
      <w:r>
        <w:rPr>
          <w:rFonts w:hint="eastAsia" w:hAnsi="宋体" w:cs="宋体"/>
        </w:rPr>
        <w:t xml:space="preserve">_________。   </w:t>
      </w:r>
      <w:r>
        <w:rPr>
          <w:rFonts w:hint="eastAsia" w:hAnsi="宋体" w:cs="宋体"/>
          <w:bCs/>
        </w:rPr>
        <w:t>9.2交付方式：</w:t>
      </w:r>
      <w:r>
        <w:rPr>
          <w:rFonts w:hint="eastAsia" w:hAnsi="宋体" w:cs="宋体"/>
        </w:rPr>
        <w:t>_________。</w:t>
      </w:r>
    </w:p>
    <w:p>
      <w:pPr>
        <w:pStyle w:val="26"/>
        <w:snapToGrid w:val="0"/>
        <w:spacing w:line="360" w:lineRule="auto"/>
        <w:ind w:firstLine="315" w:firstLineChars="150"/>
        <w:rPr>
          <w:rFonts w:hint="eastAsia" w:hAnsi="宋体" w:cs="宋体"/>
          <w:b/>
        </w:rPr>
      </w:pPr>
      <w:r>
        <w:rPr>
          <w:rFonts w:hint="eastAsia" w:hAnsi="宋体" w:cs="宋体"/>
          <w:bCs/>
        </w:rPr>
        <w:t>9.3交付地点：</w:t>
      </w:r>
      <w:r>
        <w:rPr>
          <w:rFonts w:hint="eastAsia" w:hAnsi="宋体" w:cs="宋体"/>
        </w:rPr>
        <w:t>_________。</w:t>
      </w:r>
    </w:p>
    <w:p>
      <w:pPr>
        <w:pStyle w:val="26"/>
        <w:snapToGrid w:val="0"/>
        <w:spacing w:line="360" w:lineRule="auto"/>
        <w:ind w:firstLine="310" w:firstLineChars="147"/>
        <w:rPr>
          <w:rFonts w:hint="eastAsia" w:hAnsi="宋体" w:cs="宋体"/>
          <w:b/>
        </w:rPr>
      </w:pPr>
      <w:r>
        <w:rPr>
          <w:rFonts w:hint="eastAsia" w:hAnsi="宋体" w:cs="宋体"/>
          <w:b/>
        </w:rPr>
        <w:t>十、合同款支付</w:t>
      </w:r>
    </w:p>
    <w:p>
      <w:pPr>
        <w:spacing w:line="590" w:lineRule="exact"/>
        <w:ind w:firstLine="420" w:firstLineChars="200"/>
        <w:rPr>
          <w:rFonts w:hint="eastAsia" w:ascii="宋体" w:hAnsi="宋体" w:cs="宋体"/>
        </w:rPr>
      </w:pPr>
      <w:r>
        <w:rPr>
          <w:rFonts w:hint="eastAsia" w:ascii="宋体" w:hAnsi="宋体" w:cs="宋体"/>
          <w:bCs/>
        </w:rPr>
        <w:t>10.1付款方式：</w:t>
      </w:r>
      <w:r>
        <w:rPr>
          <w:rFonts w:hint="eastAsia" w:ascii="宋体" w:hAnsi="宋体" w:cs="宋体"/>
          <w:bCs/>
          <w:u w:val="single"/>
        </w:rPr>
        <w:t xml:space="preserve">                                        </w:t>
      </w:r>
    </w:p>
    <w:p>
      <w:pPr>
        <w:pStyle w:val="26"/>
        <w:snapToGrid w:val="0"/>
        <w:spacing w:line="360" w:lineRule="auto"/>
        <w:ind w:firstLine="210" w:firstLineChars="100"/>
        <w:rPr>
          <w:rFonts w:hint="eastAsia" w:hAnsi="宋体" w:cs="宋体"/>
          <w:bCs/>
        </w:rPr>
      </w:pPr>
      <w:r>
        <w:rPr>
          <w:rFonts w:hint="eastAsia" w:hAnsi="宋体" w:cs="宋体"/>
          <w:bCs/>
        </w:rPr>
        <w:t xml:space="preserve"> 10.2</w:t>
      </w:r>
      <w:r>
        <w:rPr>
          <w:rFonts w:hint="eastAsia" w:hAnsi="宋体" w:cs="宋体"/>
        </w:rPr>
        <w:t>当采购数量与实际使用数量不一致时，乙方根据实际使用量提供产品和服务，合同的最终结算金额按实际使用量乘以成交单价进行计算。</w:t>
      </w:r>
    </w:p>
    <w:p>
      <w:pPr>
        <w:snapToGrid w:val="0"/>
        <w:spacing w:line="360" w:lineRule="auto"/>
        <w:ind w:firstLine="310" w:firstLineChars="147"/>
        <w:rPr>
          <w:rFonts w:hint="eastAsia" w:ascii="宋体" w:hAnsi="宋体" w:cs="宋体"/>
          <w:b/>
          <w:szCs w:val="21"/>
        </w:rPr>
      </w:pPr>
      <w:r>
        <w:rPr>
          <w:rFonts w:hint="eastAsia" w:ascii="宋体" w:hAnsi="宋体" w:cs="宋体"/>
          <w:b/>
          <w:szCs w:val="21"/>
        </w:rPr>
        <w:t>十一、税费</w:t>
      </w:r>
    </w:p>
    <w:p>
      <w:pPr>
        <w:snapToGrid w:val="0"/>
        <w:spacing w:line="360" w:lineRule="auto"/>
        <w:ind w:firstLine="315" w:firstLineChars="150"/>
        <w:rPr>
          <w:rFonts w:hint="eastAsia" w:ascii="宋体" w:hAnsi="宋体" w:cs="宋体"/>
          <w:szCs w:val="21"/>
        </w:rPr>
      </w:pPr>
      <w:r>
        <w:rPr>
          <w:rFonts w:hint="eastAsia" w:ascii="宋体" w:hAnsi="宋体" w:cs="宋体"/>
          <w:szCs w:val="21"/>
        </w:rPr>
        <w:t>本合同执行中相关的一切税费均由乙方负担。</w:t>
      </w:r>
    </w:p>
    <w:p>
      <w:pPr>
        <w:pStyle w:val="26"/>
        <w:snapToGrid w:val="0"/>
        <w:spacing w:line="360" w:lineRule="auto"/>
        <w:ind w:firstLine="310" w:firstLineChars="147"/>
        <w:rPr>
          <w:rFonts w:hint="eastAsia" w:hAnsi="宋体" w:cs="宋体"/>
        </w:rPr>
      </w:pPr>
      <w:r>
        <w:rPr>
          <w:rFonts w:hint="eastAsia" w:hAnsi="宋体" w:cs="宋体"/>
          <w:b/>
        </w:rPr>
        <w:t>十二、质量保证及售后服务</w:t>
      </w:r>
    </w:p>
    <w:p>
      <w:pPr>
        <w:pStyle w:val="26"/>
        <w:snapToGrid w:val="0"/>
        <w:spacing w:line="360" w:lineRule="auto"/>
        <w:ind w:firstLine="315" w:firstLineChars="150"/>
        <w:rPr>
          <w:rFonts w:hint="eastAsia" w:hAnsi="宋体" w:cs="宋体"/>
        </w:rPr>
      </w:pPr>
      <w:r>
        <w:rPr>
          <w:rFonts w:hint="eastAsia" w:hAnsi="宋体" w:cs="宋体"/>
        </w:rPr>
        <w:t>12.1乙方应按磋商文件规定和响应文件承诺的性能、技术要求、质量标准向甲方提供产品或服务。</w:t>
      </w:r>
    </w:p>
    <w:p>
      <w:pPr>
        <w:pStyle w:val="26"/>
        <w:snapToGrid w:val="0"/>
        <w:spacing w:line="360" w:lineRule="auto"/>
        <w:ind w:firstLine="210" w:firstLineChars="100"/>
        <w:rPr>
          <w:rFonts w:hint="eastAsia" w:hAnsi="宋体" w:cs="宋体"/>
        </w:rPr>
      </w:pPr>
      <w:r>
        <w:rPr>
          <w:rFonts w:hint="eastAsia" w:hAnsi="宋体" w:cs="宋体"/>
        </w:rPr>
        <w:t>12.2乙方提供的产品或服务在质保期内因其本身出现质量问题，根据实际情况，经双方协商，</w:t>
      </w:r>
    </w:p>
    <w:p>
      <w:pPr>
        <w:pStyle w:val="26"/>
        <w:snapToGrid w:val="0"/>
        <w:spacing w:line="360" w:lineRule="auto"/>
        <w:rPr>
          <w:rFonts w:hint="eastAsia" w:hAnsi="宋体" w:cs="宋体"/>
        </w:rPr>
      </w:pPr>
      <w:r>
        <w:rPr>
          <w:rFonts w:hint="eastAsia" w:hAnsi="宋体" w:cs="宋体"/>
        </w:rPr>
        <w:t>可按以下办法处理：</w:t>
      </w:r>
    </w:p>
    <w:p>
      <w:pPr>
        <w:pStyle w:val="26"/>
        <w:snapToGrid w:val="0"/>
        <w:spacing w:line="360" w:lineRule="auto"/>
        <w:ind w:firstLine="210" w:firstLineChars="100"/>
        <w:rPr>
          <w:rFonts w:hint="eastAsia" w:hAnsi="宋体" w:cs="宋体"/>
        </w:rPr>
      </w:pPr>
      <w:r>
        <w:rPr>
          <w:rFonts w:hint="eastAsia" w:hAnsi="宋体" w:cs="宋体"/>
        </w:rPr>
        <w:t>（1）更换：由乙方承担所发生的全部费用。</w:t>
      </w:r>
    </w:p>
    <w:p>
      <w:pPr>
        <w:pStyle w:val="26"/>
        <w:snapToGrid w:val="0"/>
        <w:spacing w:line="360" w:lineRule="auto"/>
        <w:ind w:firstLine="210" w:firstLineChars="100"/>
        <w:rPr>
          <w:rFonts w:hint="eastAsia" w:hAnsi="宋体" w:cs="宋体"/>
        </w:rPr>
      </w:pPr>
      <w:r>
        <w:rPr>
          <w:rFonts w:hint="eastAsia" w:hAnsi="宋体" w:cs="宋体"/>
        </w:rPr>
        <w:t>（2）合同终止处理：合同终止，并退还甲方支付的合同款，同时应承担由此产生的所有费用，甲方不承担发生任何费用。</w:t>
      </w:r>
    </w:p>
    <w:p>
      <w:pPr>
        <w:pStyle w:val="26"/>
        <w:snapToGrid w:val="0"/>
        <w:spacing w:line="360" w:lineRule="auto"/>
        <w:ind w:firstLine="315" w:firstLineChars="150"/>
        <w:rPr>
          <w:rFonts w:hint="eastAsia" w:hAnsi="宋体" w:cs="宋体"/>
        </w:rPr>
      </w:pPr>
      <w:r>
        <w:rPr>
          <w:rFonts w:hint="eastAsia" w:hAnsi="宋体" w:cs="宋体"/>
        </w:rPr>
        <w:t>12.3如在使用过程中发生质量问题，乙方在接到甲方通知后在</w:t>
      </w:r>
      <w:r>
        <w:rPr>
          <w:rFonts w:hint="eastAsia" w:hAnsi="宋体" w:cs="宋体"/>
          <w:u w:val="single"/>
        </w:rPr>
        <w:t xml:space="preserve">   </w:t>
      </w:r>
      <w:r>
        <w:rPr>
          <w:rFonts w:hint="eastAsia" w:hAnsi="宋体" w:cs="宋体"/>
        </w:rPr>
        <w:t>小时内到达甲方现场。</w:t>
      </w:r>
    </w:p>
    <w:p>
      <w:pPr>
        <w:pStyle w:val="26"/>
        <w:snapToGrid w:val="0"/>
        <w:spacing w:line="360" w:lineRule="auto"/>
        <w:ind w:firstLine="315" w:firstLineChars="150"/>
        <w:rPr>
          <w:rFonts w:hint="eastAsia" w:hAnsi="宋体" w:cs="宋体"/>
        </w:rPr>
      </w:pPr>
      <w:r>
        <w:rPr>
          <w:rFonts w:hint="eastAsia" w:hAnsi="宋体" w:cs="宋体"/>
        </w:rPr>
        <w:t>12.4在质保期内，乙方应对产品或服务出现的质量及安全问题负责处理解决并承担一切费用。</w:t>
      </w:r>
    </w:p>
    <w:p>
      <w:pPr>
        <w:pStyle w:val="26"/>
        <w:snapToGrid w:val="0"/>
        <w:spacing w:line="360" w:lineRule="auto"/>
        <w:ind w:firstLine="310" w:firstLineChars="147"/>
        <w:rPr>
          <w:rFonts w:hint="eastAsia" w:hAnsi="宋体" w:cs="宋体"/>
          <w:b/>
        </w:rPr>
      </w:pPr>
      <w:r>
        <w:rPr>
          <w:rFonts w:hint="eastAsia" w:hAnsi="宋体" w:cs="宋体"/>
          <w:b/>
        </w:rPr>
        <w:t>十三、验收</w:t>
      </w:r>
    </w:p>
    <w:p>
      <w:pPr>
        <w:pStyle w:val="26"/>
        <w:snapToGrid w:val="0"/>
        <w:spacing w:line="360" w:lineRule="auto"/>
        <w:ind w:firstLine="420" w:firstLineChars="200"/>
        <w:rPr>
          <w:rFonts w:hint="eastAsia" w:hAnsi="宋体" w:cs="宋体"/>
        </w:rPr>
      </w:pPr>
      <w:r>
        <w:rPr>
          <w:rFonts w:hint="eastAsia" w:hAnsi="宋体" w:cs="宋体"/>
        </w:rPr>
        <w:t>13.1甲方对乙方提交的产品或服务依据磋商文件上的项目需求要求、乙方响应文件及国家有关</w:t>
      </w:r>
    </w:p>
    <w:p>
      <w:pPr>
        <w:pStyle w:val="26"/>
        <w:snapToGrid w:val="0"/>
        <w:spacing w:line="360" w:lineRule="auto"/>
        <w:ind w:firstLine="420" w:firstLineChars="200"/>
        <w:rPr>
          <w:rFonts w:hint="eastAsia" w:hAnsi="宋体" w:cs="宋体"/>
        </w:rPr>
      </w:pPr>
      <w:r>
        <w:rPr>
          <w:rFonts w:hint="eastAsia" w:hAnsi="宋体" w:cs="宋体"/>
        </w:rPr>
        <w:t>质量标准进行验收。</w:t>
      </w:r>
    </w:p>
    <w:p>
      <w:pPr>
        <w:pStyle w:val="26"/>
        <w:snapToGrid w:val="0"/>
        <w:spacing w:line="360" w:lineRule="auto"/>
        <w:ind w:firstLine="420" w:firstLineChars="200"/>
        <w:rPr>
          <w:rFonts w:hint="eastAsia" w:hAnsi="宋体" w:cs="宋体"/>
        </w:rPr>
      </w:pPr>
      <w:r>
        <w:rPr>
          <w:rFonts w:hint="eastAsia" w:hAnsi="宋体" w:cs="宋体"/>
        </w:rPr>
        <w:t>13.2乙方交货前应对产品或服务作出全面检查和对验收文件进行整理，并列出清单，作为甲方验收和使用的技术条件依据，检验的结果应随服务一起提交甲方。</w:t>
      </w:r>
    </w:p>
    <w:p>
      <w:pPr>
        <w:pStyle w:val="26"/>
        <w:snapToGrid w:val="0"/>
        <w:spacing w:line="360" w:lineRule="auto"/>
        <w:ind w:firstLine="420" w:firstLineChars="200"/>
        <w:rPr>
          <w:rFonts w:hint="eastAsia" w:hAnsi="宋体" w:cs="宋体"/>
        </w:rPr>
      </w:pPr>
      <w:r>
        <w:rPr>
          <w:rFonts w:hint="eastAsia" w:hAnsi="宋体" w:cs="宋体"/>
        </w:rPr>
        <w:t>13.3甲方对乙方提供的产品或服务在使用前，乙方需负责培训甲方的使用操作人员，并协助甲方一起试用，直到符合技术要求，甲方才做竣工验收。</w:t>
      </w:r>
    </w:p>
    <w:p>
      <w:pPr>
        <w:pStyle w:val="26"/>
        <w:snapToGrid w:val="0"/>
        <w:spacing w:line="360" w:lineRule="auto"/>
        <w:ind w:firstLine="420" w:firstLineChars="200"/>
        <w:rPr>
          <w:rFonts w:hint="eastAsia" w:hAnsi="宋体" w:cs="宋体"/>
        </w:rPr>
      </w:pPr>
      <w:r>
        <w:rPr>
          <w:rFonts w:hint="eastAsia" w:hAnsi="宋体" w:cs="宋体"/>
        </w:rPr>
        <w:t>13.4对技术复杂的产品或服务，甲方可请国家认可的专业检测机构参与初步验收及竣工验收，并由其出具质量检测报告。</w:t>
      </w:r>
    </w:p>
    <w:p>
      <w:pPr>
        <w:pStyle w:val="26"/>
        <w:snapToGrid w:val="0"/>
        <w:spacing w:line="360" w:lineRule="auto"/>
        <w:ind w:firstLine="420" w:firstLineChars="200"/>
        <w:rPr>
          <w:rFonts w:hint="eastAsia" w:hAnsi="宋体" w:cs="宋体"/>
        </w:rPr>
      </w:pPr>
      <w:r>
        <w:rPr>
          <w:rFonts w:hint="eastAsia" w:hAnsi="宋体" w:cs="宋体"/>
        </w:rPr>
        <w:t>13.5验收时乙方必须在现场，验收完毕后作出验收结果报告；磋商文件规定以外的验收费用由甲乙双方协商解决。</w:t>
      </w:r>
    </w:p>
    <w:p>
      <w:pPr>
        <w:pStyle w:val="26"/>
        <w:snapToGrid w:val="0"/>
        <w:spacing w:line="360" w:lineRule="auto"/>
        <w:ind w:firstLine="310" w:firstLineChars="147"/>
        <w:rPr>
          <w:rFonts w:hint="eastAsia" w:hAnsi="宋体" w:cs="宋体"/>
          <w:b/>
        </w:rPr>
      </w:pPr>
      <w:r>
        <w:rPr>
          <w:rFonts w:hint="eastAsia" w:hAnsi="宋体" w:cs="宋体"/>
          <w:b/>
        </w:rPr>
        <w:t>十四、合同内容的交付</w:t>
      </w:r>
    </w:p>
    <w:p>
      <w:pPr>
        <w:pStyle w:val="26"/>
        <w:snapToGrid w:val="0"/>
        <w:spacing w:line="360" w:lineRule="auto"/>
        <w:ind w:firstLine="420" w:firstLineChars="200"/>
        <w:rPr>
          <w:rFonts w:hint="eastAsia" w:hAnsi="宋体" w:cs="宋体"/>
        </w:rPr>
      </w:pPr>
      <w:r>
        <w:rPr>
          <w:rFonts w:hint="eastAsia" w:hAnsi="宋体" w:cs="宋体"/>
        </w:rPr>
        <w:t>14.1乙方应保证合同标的安全运达甲方指定地点。</w:t>
      </w:r>
    </w:p>
    <w:p>
      <w:pPr>
        <w:pStyle w:val="26"/>
        <w:snapToGrid w:val="0"/>
        <w:spacing w:line="360" w:lineRule="auto"/>
        <w:ind w:firstLine="420" w:firstLineChars="200"/>
        <w:rPr>
          <w:rFonts w:hint="eastAsia" w:hAnsi="宋体" w:cs="宋体"/>
        </w:rPr>
      </w:pPr>
      <w:r>
        <w:rPr>
          <w:rFonts w:hint="eastAsia" w:hAnsi="宋体" w:cs="宋体"/>
        </w:rPr>
        <w:t>14.2 使用说明书、质量检验证明书一并提交甲方。</w:t>
      </w:r>
    </w:p>
    <w:p>
      <w:pPr>
        <w:pStyle w:val="26"/>
        <w:snapToGrid w:val="0"/>
        <w:spacing w:line="360" w:lineRule="auto"/>
        <w:ind w:firstLine="420" w:firstLineChars="200"/>
        <w:rPr>
          <w:rFonts w:hint="eastAsia" w:hAnsi="宋体" w:cs="宋体"/>
        </w:rPr>
      </w:pPr>
      <w:r>
        <w:rPr>
          <w:rFonts w:hint="eastAsia" w:hAnsi="宋体" w:cs="宋体"/>
        </w:rPr>
        <w:t>14.3 乙方在合同标的交付甲方48小时前通知甲方准备接收。</w:t>
      </w:r>
    </w:p>
    <w:p>
      <w:pPr>
        <w:pStyle w:val="26"/>
        <w:snapToGrid w:val="0"/>
        <w:spacing w:line="360" w:lineRule="auto"/>
        <w:ind w:firstLine="420" w:firstLineChars="200"/>
        <w:rPr>
          <w:rFonts w:hint="eastAsia" w:hAnsi="宋体" w:cs="宋体"/>
        </w:rPr>
      </w:pPr>
      <w:r>
        <w:rPr>
          <w:rFonts w:hint="eastAsia" w:hAnsi="宋体" w:cs="宋体"/>
        </w:rPr>
        <w:t>14.4 合同标的在交付甲方前发生的风险均由乙方负责。</w:t>
      </w:r>
    </w:p>
    <w:p>
      <w:pPr>
        <w:pStyle w:val="26"/>
        <w:snapToGrid w:val="0"/>
        <w:spacing w:line="360" w:lineRule="auto"/>
        <w:ind w:firstLine="420" w:firstLineChars="200"/>
        <w:rPr>
          <w:rFonts w:hint="eastAsia" w:hAnsi="宋体" w:cs="宋体"/>
        </w:rPr>
      </w:pPr>
      <w:r>
        <w:rPr>
          <w:rFonts w:hint="eastAsia" w:hAnsi="宋体" w:cs="宋体"/>
        </w:rPr>
        <w:t>14.5 合同标的在规定的交付期限内由乙方送达甲方指定的地点视为交付，乙方同时需通知甲方已送达。</w:t>
      </w:r>
    </w:p>
    <w:p>
      <w:pPr>
        <w:pStyle w:val="26"/>
        <w:snapToGrid w:val="0"/>
        <w:spacing w:line="360" w:lineRule="auto"/>
        <w:ind w:firstLine="310" w:firstLineChars="147"/>
        <w:rPr>
          <w:rFonts w:hint="eastAsia" w:hAnsi="宋体" w:cs="宋体"/>
          <w:b/>
        </w:rPr>
      </w:pPr>
      <w:r>
        <w:rPr>
          <w:rFonts w:hint="eastAsia" w:hAnsi="宋体" w:cs="宋体"/>
          <w:b/>
        </w:rPr>
        <w:t>十五、违约责任</w:t>
      </w:r>
    </w:p>
    <w:p>
      <w:pPr>
        <w:pStyle w:val="26"/>
        <w:snapToGrid w:val="0"/>
        <w:spacing w:line="360" w:lineRule="auto"/>
        <w:ind w:firstLine="420" w:firstLineChars="200"/>
        <w:rPr>
          <w:rFonts w:hint="eastAsia" w:hAnsi="宋体" w:cs="宋体"/>
        </w:rPr>
      </w:pPr>
      <w:r>
        <w:rPr>
          <w:rFonts w:hint="eastAsia" w:hAnsi="宋体" w:cs="宋体"/>
        </w:rPr>
        <w:t>15.1 甲方无正当理由拒收的，甲方向乙方偿付拒收货款总值的百分之五违约金。</w:t>
      </w:r>
    </w:p>
    <w:p>
      <w:pPr>
        <w:pStyle w:val="26"/>
        <w:snapToGrid w:val="0"/>
        <w:spacing w:line="360" w:lineRule="auto"/>
        <w:ind w:firstLine="420" w:firstLineChars="200"/>
        <w:rPr>
          <w:rFonts w:hint="eastAsia" w:hAnsi="宋体" w:cs="宋体"/>
        </w:rPr>
      </w:pPr>
      <w:r>
        <w:rPr>
          <w:rFonts w:hint="eastAsia" w:hAnsi="宋体" w:cs="宋体"/>
        </w:rPr>
        <w:t>15.2 甲方无故逾期验收和办理合同款支付手续的,甲方应按逾期付款总额每日万分之</w:t>
      </w:r>
    </w:p>
    <w:p>
      <w:pPr>
        <w:pStyle w:val="26"/>
        <w:snapToGrid w:val="0"/>
        <w:spacing w:line="360" w:lineRule="auto"/>
        <w:ind w:firstLine="420" w:firstLineChars="200"/>
        <w:rPr>
          <w:rFonts w:hint="eastAsia" w:hAnsi="宋体" w:cs="宋体"/>
        </w:rPr>
      </w:pPr>
      <w:r>
        <w:rPr>
          <w:rFonts w:hint="eastAsia" w:hAnsi="宋体" w:cs="宋体"/>
        </w:rPr>
        <w:t>五向乙方支付违约金。</w:t>
      </w:r>
    </w:p>
    <w:p>
      <w:pPr>
        <w:pStyle w:val="26"/>
        <w:snapToGrid w:val="0"/>
        <w:spacing w:line="360" w:lineRule="auto"/>
        <w:ind w:firstLine="420" w:firstLineChars="200"/>
        <w:rPr>
          <w:rFonts w:hint="eastAsia" w:hAnsi="宋体" w:cs="宋体"/>
        </w:rPr>
      </w:pPr>
      <w:r>
        <w:rPr>
          <w:rFonts w:hint="eastAsia" w:hAnsi="宋体" w:cs="宋体"/>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26"/>
        <w:snapToGrid w:val="0"/>
        <w:spacing w:line="360" w:lineRule="auto"/>
        <w:ind w:firstLine="420" w:firstLineChars="200"/>
        <w:rPr>
          <w:rFonts w:hint="eastAsia" w:hAnsi="宋体" w:cs="宋体"/>
        </w:rPr>
      </w:pPr>
      <w:r>
        <w:rPr>
          <w:rFonts w:hint="eastAsia" w:hAnsi="宋体" w:cs="宋体"/>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pPr>
        <w:pStyle w:val="26"/>
        <w:snapToGrid w:val="0"/>
        <w:spacing w:line="360" w:lineRule="auto"/>
        <w:ind w:firstLine="304" w:firstLineChars="144"/>
        <w:rPr>
          <w:rFonts w:hint="eastAsia" w:hAnsi="宋体" w:cs="宋体"/>
          <w:b/>
        </w:rPr>
      </w:pPr>
      <w:r>
        <w:rPr>
          <w:rFonts w:hint="eastAsia" w:hAnsi="宋体" w:cs="宋体"/>
          <w:b/>
        </w:rPr>
        <w:t>十六、不可抗力事件处理</w:t>
      </w:r>
    </w:p>
    <w:p>
      <w:pPr>
        <w:pStyle w:val="26"/>
        <w:snapToGrid w:val="0"/>
        <w:spacing w:line="360" w:lineRule="auto"/>
        <w:ind w:firstLine="315" w:firstLineChars="150"/>
        <w:rPr>
          <w:rFonts w:hint="eastAsia" w:hAnsi="宋体" w:cs="宋体"/>
        </w:rPr>
      </w:pPr>
      <w:r>
        <w:rPr>
          <w:rFonts w:hint="eastAsia" w:hAnsi="宋体" w:cs="宋体"/>
        </w:rPr>
        <w:t>16.1 在合同有效期内，任何一方因不可抗力事件导致不能履行合同，则合同履行期延</w:t>
      </w:r>
    </w:p>
    <w:p>
      <w:pPr>
        <w:pStyle w:val="26"/>
        <w:snapToGrid w:val="0"/>
        <w:spacing w:line="360" w:lineRule="auto"/>
        <w:rPr>
          <w:rFonts w:hint="eastAsia" w:hAnsi="宋体" w:cs="宋体"/>
        </w:rPr>
      </w:pPr>
      <w:r>
        <w:rPr>
          <w:rFonts w:hint="eastAsia" w:hAnsi="宋体" w:cs="宋体"/>
        </w:rPr>
        <w:t>长，其延长期与不可抗力影响期相同。</w:t>
      </w:r>
    </w:p>
    <w:p>
      <w:pPr>
        <w:pStyle w:val="26"/>
        <w:snapToGrid w:val="0"/>
        <w:spacing w:line="360" w:lineRule="auto"/>
        <w:ind w:firstLine="315" w:firstLineChars="150"/>
        <w:rPr>
          <w:rFonts w:hint="eastAsia" w:hAnsi="宋体" w:cs="宋体"/>
        </w:rPr>
      </w:pPr>
      <w:r>
        <w:rPr>
          <w:rFonts w:hint="eastAsia" w:hAnsi="宋体" w:cs="宋体"/>
        </w:rPr>
        <w:t>16.2 不可抗力事件发生后，应立即通知对方，并寄送有关权威机构出具的证明。</w:t>
      </w:r>
    </w:p>
    <w:p>
      <w:pPr>
        <w:pStyle w:val="26"/>
        <w:snapToGrid w:val="0"/>
        <w:spacing w:line="360" w:lineRule="auto"/>
        <w:ind w:firstLine="315" w:firstLineChars="150"/>
        <w:rPr>
          <w:rFonts w:hint="eastAsia" w:hAnsi="宋体" w:cs="宋体"/>
        </w:rPr>
      </w:pPr>
      <w:r>
        <w:rPr>
          <w:rFonts w:hint="eastAsia" w:hAnsi="宋体" w:cs="宋体"/>
        </w:rPr>
        <w:t>16.3 不可抗力事件延续120天以上，双方应通过友好协商，确定是否继续履行合同。</w:t>
      </w:r>
    </w:p>
    <w:p>
      <w:pPr>
        <w:pStyle w:val="26"/>
        <w:snapToGrid w:val="0"/>
        <w:spacing w:line="360" w:lineRule="auto"/>
        <w:rPr>
          <w:rFonts w:hint="eastAsia" w:hAnsi="宋体" w:cs="宋体"/>
          <w:b/>
        </w:rPr>
      </w:pPr>
      <w:r>
        <w:rPr>
          <w:rFonts w:hint="eastAsia" w:hAnsi="宋体" w:cs="宋体"/>
          <w:b/>
        </w:rPr>
        <w:t xml:space="preserve">  十七、诉讼</w:t>
      </w:r>
    </w:p>
    <w:p>
      <w:pPr>
        <w:pStyle w:val="26"/>
        <w:snapToGrid w:val="0"/>
        <w:spacing w:line="360" w:lineRule="auto"/>
        <w:ind w:firstLine="420" w:firstLineChars="200"/>
        <w:rPr>
          <w:rFonts w:hint="eastAsia" w:hAnsi="宋体" w:cs="宋体"/>
        </w:rPr>
      </w:pPr>
      <w:r>
        <w:rPr>
          <w:rFonts w:hint="eastAsia" w:hAnsi="宋体" w:cs="宋体"/>
        </w:rPr>
        <w:t>17.1 双方在执行合同中所发生的一切争议，应通过协商解决。如协商不成，可向甲方实际所在地法院起诉。</w:t>
      </w:r>
    </w:p>
    <w:p>
      <w:pPr>
        <w:pStyle w:val="26"/>
        <w:snapToGrid w:val="0"/>
        <w:spacing w:line="360" w:lineRule="auto"/>
        <w:rPr>
          <w:rFonts w:hint="eastAsia" w:hAnsi="宋体" w:cs="宋体"/>
          <w:b/>
        </w:rPr>
      </w:pPr>
      <w:r>
        <w:rPr>
          <w:rFonts w:hint="eastAsia" w:hAnsi="宋体" w:cs="宋体"/>
          <w:b/>
        </w:rPr>
        <w:t xml:space="preserve">  十八、合同生效及其它</w:t>
      </w:r>
    </w:p>
    <w:p>
      <w:pPr>
        <w:pStyle w:val="26"/>
        <w:snapToGrid w:val="0"/>
        <w:spacing w:line="360" w:lineRule="auto"/>
        <w:ind w:firstLine="315" w:firstLineChars="150"/>
        <w:rPr>
          <w:rFonts w:hint="eastAsia" w:hAnsi="宋体" w:cs="宋体"/>
        </w:rPr>
      </w:pPr>
      <w:r>
        <w:rPr>
          <w:rFonts w:hint="eastAsia" w:hAnsi="宋体" w:cs="宋体"/>
        </w:rPr>
        <w:t>18.1 合同经双方法定代表人或授权委托代表人签字并加盖单位公章后生效。</w:t>
      </w:r>
    </w:p>
    <w:p>
      <w:pPr>
        <w:pStyle w:val="26"/>
        <w:snapToGrid w:val="0"/>
        <w:spacing w:line="360" w:lineRule="auto"/>
        <w:ind w:firstLine="315" w:firstLineChars="150"/>
        <w:rPr>
          <w:rFonts w:hint="eastAsia" w:hAnsi="宋体" w:cs="宋体"/>
        </w:rPr>
      </w:pPr>
      <w:r>
        <w:rPr>
          <w:rFonts w:hint="eastAsia" w:hAnsi="宋体" w:cs="宋体"/>
        </w:rPr>
        <w:t>18.2本合同未尽事宜，遵照《中华人民共和国民法典》有关条文执行。</w:t>
      </w:r>
    </w:p>
    <w:p>
      <w:pPr>
        <w:pStyle w:val="26"/>
        <w:snapToGrid w:val="0"/>
        <w:spacing w:line="360" w:lineRule="auto"/>
        <w:ind w:firstLine="315" w:firstLineChars="150"/>
        <w:rPr>
          <w:rFonts w:hint="eastAsia" w:hAnsi="宋体" w:cs="宋体"/>
        </w:rPr>
      </w:pPr>
      <w:r>
        <w:rPr>
          <w:rFonts w:hint="eastAsia" w:hAnsi="宋体" w:cs="宋体"/>
        </w:rPr>
        <w:t>18.3 本合同正本一式肆份，具有同等法律效力，甲方、乙方双方各执贰份。</w:t>
      </w:r>
    </w:p>
    <w:p>
      <w:pPr>
        <w:pStyle w:val="26"/>
        <w:snapToGrid w:val="0"/>
        <w:spacing w:line="360" w:lineRule="auto"/>
        <w:ind w:left="420" w:hanging="420" w:hangingChars="200"/>
        <w:rPr>
          <w:rFonts w:hint="eastAsia" w:hAnsi="宋体" w:cs="宋体"/>
        </w:rPr>
      </w:pPr>
      <w:r>
        <w:rPr>
          <w:rFonts w:hint="eastAsia" w:hAnsi="宋体" w:cs="宋体"/>
        </w:rPr>
        <w:t xml:space="preserve">  甲方：                                   乙方： </w:t>
      </w:r>
    </w:p>
    <w:p>
      <w:pPr>
        <w:pStyle w:val="26"/>
        <w:snapToGrid w:val="0"/>
        <w:spacing w:line="360" w:lineRule="auto"/>
        <w:rPr>
          <w:rFonts w:hint="eastAsia" w:hAnsi="宋体" w:cs="宋体"/>
        </w:rPr>
      </w:pPr>
      <w:r>
        <w:rPr>
          <w:rFonts w:hint="eastAsia" w:hAnsi="宋体" w:cs="宋体"/>
        </w:rPr>
        <w:t xml:space="preserve">  地址：                                   地址： </w:t>
      </w:r>
    </w:p>
    <w:p>
      <w:pPr>
        <w:pStyle w:val="26"/>
        <w:snapToGrid w:val="0"/>
        <w:spacing w:line="360" w:lineRule="auto"/>
        <w:rPr>
          <w:rFonts w:hint="eastAsia" w:hAnsi="宋体" w:cs="宋体"/>
        </w:rPr>
      </w:pPr>
      <w:r>
        <w:rPr>
          <w:rFonts w:hint="eastAsia" w:hAnsi="宋体" w:cs="宋体"/>
        </w:rPr>
        <w:t xml:space="preserve">  法定代表人或授权代表：                   法定代表人或授权代表：</w:t>
      </w:r>
    </w:p>
    <w:p>
      <w:pPr>
        <w:pStyle w:val="26"/>
        <w:snapToGrid w:val="0"/>
        <w:spacing w:line="360" w:lineRule="auto"/>
        <w:rPr>
          <w:rFonts w:hint="eastAsia" w:hAnsi="宋体" w:cs="宋体"/>
        </w:rPr>
      </w:pPr>
      <w:r>
        <w:rPr>
          <w:rFonts w:hint="eastAsia" w:hAnsi="宋体" w:cs="宋体"/>
        </w:rPr>
        <w:t xml:space="preserve">  联系电话：                               联系电话：</w:t>
      </w:r>
    </w:p>
    <w:p>
      <w:pPr>
        <w:pStyle w:val="45"/>
        <w:spacing w:before="0" w:beforeAutospacing="0" w:after="0" w:afterAutospacing="0" w:line="360" w:lineRule="auto"/>
        <w:jc w:val="center"/>
        <w:rPr>
          <w:rFonts w:hint="eastAsia" w:ascii="宋体" w:hAnsi="宋体" w:cs="宋体"/>
          <w:sz w:val="21"/>
          <w:szCs w:val="21"/>
        </w:rPr>
      </w:pPr>
    </w:p>
    <w:p>
      <w:pPr>
        <w:pStyle w:val="45"/>
        <w:spacing w:before="0" w:beforeAutospacing="0" w:after="0" w:afterAutospacing="0" w:line="360" w:lineRule="auto"/>
        <w:jc w:val="center"/>
        <w:rPr>
          <w:rFonts w:hint="eastAsia" w:ascii="宋体" w:hAnsi="宋体" w:cs="宋体"/>
          <w:sz w:val="21"/>
          <w:szCs w:val="21"/>
        </w:rPr>
      </w:pPr>
    </w:p>
    <w:p>
      <w:pPr>
        <w:pStyle w:val="45"/>
        <w:spacing w:before="0" w:beforeAutospacing="0" w:after="0" w:afterAutospacing="0" w:line="360" w:lineRule="auto"/>
        <w:ind w:firstLine="4620" w:firstLineChars="2200"/>
        <w:jc w:val="both"/>
        <w:rPr>
          <w:rFonts w:hint="eastAsia" w:ascii="宋体" w:hAnsi="宋体"/>
          <w:szCs w:val="21"/>
        </w:rPr>
      </w:pPr>
      <w:r>
        <w:rPr>
          <w:rFonts w:hint="eastAsia" w:ascii="宋体" w:hAnsi="宋体" w:cs="宋体"/>
          <w:sz w:val="21"/>
          <w:szCs w:val="21"/>
        </w:rPr>
        <w:t xml:space="preserve"> 签订日期：      年  月  日</w:t>
      </w:r>
    </w:p>
    <w:p>
      <w:pPr>
        <w:rPr>
          <w:rFonts w:hint="eastAsia" w:ascii="宋体" w:hAnsi="宋体" w:cs="宋体"/>
          <w:b/>
          <w:sz w:val="24"/>
          <w:szCs w:val="24"/>
        </w:rPr>
      </w:pPr>
      <w:r>
        <w:rPr>
          <w:rFonts w:hint="eastAsia" w:ascii="宋体" w:hAnsi="宋体" w:cs="宋体"/>
          <w:b/>
          <w:sz w:val="24"/>
          <w:szCs w:val="24"/>
        </w:rPr>
        <w:br w:type="page" w:clear="all"/>
      </w:r>
      <w:bookmarkEnd w:id="246"/>
    </w:p>
    <w:p>
      <w:pPr>
        <w:spacing w:line="360" w:lineRule="auto"/>
        <w:jc w:val="center"/>
        <w:outlineLvl w:val="0"/>
        <w:rPr>
          <w:rFonts w:ascii="Arial" w:hAnsi="Arial" w:cs="Arial"/>
          <w:b/>
          <w:sz w:val="24"/>
          <w:szCs w:val="24"/>
        </w:rPr>
      </w:pPr>
      <w:bookmarkStart w:id="250" w:name="_Toc23727"/>
      <w:bookmarkStart w:id="251" w:name="_Toc10375"/>
      <w:bookmarkStart w:id="252" w:name="_Toc31586"/>
      <w:r>
        <w:rPr>
          <w:rFonts w:ascii="Arial" w:hAnsi="Arial" w:cs="Arial"/>
          <w:b/>
          <w:sz w:val="24"/>
          <w:szCs w:val="24"/>
        </w:rPr>
        <w:t>第六章 响应文件格式及附件</w:t>
      </w:r>
      <w:bookmarkEnd w:id="250"/>
      <w:bookmarkEnd w:id="251"/>
      <w:bookmarkEnd w:id="252"/>
    </w:p>
    <w:p>
      <w:pPr>
        <w:spacing w:line="360" w:lineRule="auto"/>
        <w:rPr>
          <w:rFonts w:ascii="Arial" w:hAnsi="Arial" w:cs="Arial"/>
          <w:b/>
          <w:bCs/>
          <w:sz w:val="24"/>
        </w:rPr>
      </w:pPr>
      <w:r>
        <w:rPr>
          <w:rFonts w:ascii="Arial" w:hAnsi="Arial" w:cs="Arial"/>
          <w:b/>
          <w:bCs/>
          <w:sz w:val="24"/>
        </w:rPr>
        <w:t>注：</w:t>
      </w:r>
    </w:p>
    <w:p>
      <w:pPr>
        <w:spacing w:line="360" w:lineRule="auto"/>
        <w:jc w:val="left"/>
        <w:rPr>
          <w:rFonts w:ascii="Arial" w:hAnsi="Arial" w:cs="Arial"/>
          <w:szCs w:val="21"/>
        </w:rPr>
      </w:pPr>
      <w:r>
        <w:rPr>
          <w:rFonts w:ascii="Arial" w:hAnsi="Arial" w:cs="Arial"/>
          <w:szCs w:val="21"/>
        </w:rPr>
        <w:t xml:space="preserve">1.本部分内容仅提供格式参考。 </w:t>
      </w:r>
    </w:p>
    <w:p>
      <w:pPr>
        <w:spacing w:line="360" w:lineRule="auto"/>
        <w:jc w:val="left"/>
        <w:rPr>
          <w:rFonts w:ascii="Arial" w:hAnsi="Arial" w:cs="Arial"/>
          <w:szCs w:val="21"/>
        </w:rPr>
      </w:pPr>
      <w:r>
        <w:rPr>
          <w:rFonts w:ascii="Arial" w:hAnsi="Arial" w:cs="Arial"/>
          <w:szCs w:val="21"/>
        </w:rPr>
        <w:t xml:space="preserve">2.供应商应按照以下文件的要求格式、内容制作响应文件，并编制目录及页码，混乱的编排导致响应文件被误读或查找不到，后果由供应商承担。 </w:t>
      </w:r>
    </w:p>
    <w:p>
      <w:pPr>
        <w:spacing w:line="360" w:lineRule="auto"/>
        <w:jc w:val="left"/>
        <w:rPr>
          <w:rFonts w:ascii="Arial" w:hAnsi="Arial" w:cs="Arial"/>
          <w:szCs w:val="21"/>
        </w:rPr>
      </w:pPr>
      <w:r>
        <w:rPr>
          <w:rFonts w:ascii="Arial" w:hAnsi="Arial" w:cs="Arial"/>
          <w:szCs w:val="21"/>
        </w:rPr>
        <w:t xml:space="preserve">3.所附表格中要求回答的全部问题和信息都必须正面回答。 </w:t>
      </w:r>
    </w:p>
    <w:p>
      <w:pPr>
        <w:spacing w:line="360" w:lineRule="auto"/>
        <w:jc w:val="left"/>
        <w:rPr>
          <w:rFonts w:ascii="Arial" w:hAnsi="Arial" w:cs="Arial"/>
          <w:szCs w:val="21"/>
        </w:rPr>
      </w:pPr>
      <w:r>
        <w:rPr>
          <w:rFonts w:ascii="Arial" w:hAnsi="Arial" w:cs="Arial"/>
          <w:szCs w:val="21"/>
        </w:rPr>
        <w:t xml:space="preserve">4.供应商提交的材料不予退还。 </w:t>
      </w:r>
    </w:p>
    <w:p>
      <w:pPr>
        <w:spacing w:line="360" w:lineRule="auto"/>
        <w:jc w:val="left"/>
        <w:rPr>
          <w:rFonts w:ascii="Arial" w:hAnsi="Arial" w:cs="Arial"/>
          <w:szCs w:val="21"/>
        </w:rPr>
      </w:pPr>
      <w:r>
        <w:rPr>
          <w:rFonts w:ascii="Arial" w:hAnsi="Arial" w:cs="Arial"/>
          <w:szCs w:val="21"/>
        </w:rPr>
        <w:t xml:space="preserve">5.全部文件应按供应商须知以及前附表中规定的语言和份数提交。 </w:t>
      </w:r>
    </w:p>
    <w:p>
      <w:pPr>
        <w:spacing w:line="360" w:lineRule="auto"/>
        <w:jc w:val="left"/>
        <w:rPr>
          <w:rFonts w:ascii="Arial" w:hAnsi="Arial" w:cs="Arial"/>
          <w:szCs w:val="21"/>
        </w:rPr>
      </w:pPr>
      <w:r>
        <w:rPr>
          <w:rFonts w:ascii="Arial" w:hAnsi="Arial" w:cs="Arial"/>
          <w:szCs w:val="21"/>
        </w:rPr>
        <w:t xml:space="preserve">6.响应文件应按照投标文件格式逐项填写，无相应内容可填的项应填写“无”“未测试”“没有相应指标”等明确的回答文字。 </w:t>
      </w:r>
    </w:p>
    <w:p>
      <w:pPr>
        <w:spacing w:line="360" w:lineRule="auto"/>
        <w:jc w:val="left"/>
        <w:rPr>
          <w:rFonts w:hint="eastAsia" w:ascii="宋体" w:hAnsi="宋体" w:cs="宋体"/>
          <w:szCs w:val="21"/>
        </w:rPr>
      </w:pPr>
      <w:r>
        <w:rPr>
          <w:rFonts w:hint="eastAsia" w:ascii="宋体" w:hAnsi="宋体" w:cs="宋体"/>
          <w:szCs w:val="21"/>
        </w:rPr>
        <w:t xml:space="preserve"> </w:t>
      </w:r>
    </w:p>
    <w:p>
      <w:pPr>
        <w:widowControl/>
        <w:jc w:val="left"/>
        <w:rPr>
          <w:rFonts w:hint="eastAsia" w:ascii="宋体" w:hAnsi="宋体" w:cs="宋体"/>
          <w:szCs w:val="21"/>
        </w:rPr>
      </w:pPr>
      <w:r>
        <w:rPr>
          <w:rFonts w:hint="eastAsia" w:ascii="宋体" w:hAnsi="宋体" w:cs="宋体"/>
          <w:szCs w:val="21"/>
        </w:rPr>
        <w:t xml:space="preserve"> </w:t>
      </w:r>
    </w:p>
    <w:p>
      <w:pPr>
        <w:rPr>
          <w:rFonts w:hint="eastAsia" w:ascii="宋体" w:hAnsi="宋体" w:cs="宋体"/>
          <w:szCs w:val="21"/>
        </w:rPr>
      </w:pPr>
      <w:r>
        <w:rPr>
          <w:rFonts w:hint="eastAsia" w:ascii="宋体" w:hAnsi="宋体" w:cs="宋体"/>
          <w:szCs w:val="21"/>
        </w:rPr>
        <w:br w:type="page" w:clear="all"/>
      </w:r>
    </w:p>
    <w:p>
      <w:pPr>
        <w:widowControl/>
        <w:jc w:val="left"/>
        <w:rPr>
          <w:rFonts w:ascii="Arial" w:hAnsi="Arial" w:cs="Arial"/>
        </w:rPr>
      </w:pPr>
      <w:r>
        <w:rPr>
          <w:rFonts w:ascii="Arial" w:hAnsi="Arial" w:cs="Arial"/>
          <w:b/>
          <w:bCs/>
          <w:sz w:val="28"/>
          <w:szCs w:val="28"/>
        </w:rPr>
        <w:t xml:space="preserve">响应文件封面格式 </w:t>
      </w:r>
    </w:p>
    <w:p>
      <w:pPr>
        <w:spacing w:line="500" w:lineRule="exact"/>
        <w:jc w:val="center"/>
        <w:rPr>
          <w:rFonts w:hint="eastAsia" w:ascii="宋体" w:hAnsi="宋体" w:cs="宋体"/>
          <w:b/>
          <w:sz w:val="44"/>
          <w:szCs w:val="44"/>
        </w:rPr>
      </w:pPr>
    </w:p>
    <w:p>
      <w:pPr>
        <w:spacing w:before="100" w:beforeAutospacing="1" w:after="100" w:afterAutospacing="1" w:line="360" w:lineRule="auto"/>
        <w:ind w:right="32"/>
        <w:jc w:val="center"/>
        <w:rPr>
          <w:rFonts w:hint="eastAsia" w:ascii="宋体" w:hAnsi="宋体" w:cs="宋体"/>
          <w:b/>
          <w:sz w:val="48"/>
          <w:szCs w:val="48"/>
        </w:rPr>
      </w:pPr>
    </w:p>
    <w:p>
      <w:pPr>
        <w:spacing w:line="360" w:lineRule="auto"/>
        <w:jc w:val="center"/>
        <w:rPr>
          <w:rFonts w:hint="eastAsia" w:eastAsia="隶书"/>
          <w:bCs/>
          <w:sz w:val="56"/>
          <w:szCs w:val="16"/>
          <w:lang w:eastAsia="zh-CN"/>
        </w:rPr>
      </w:pPr>
      <w:bookmarkStart w:id="253" w:name="_Toc32344"/>
      <w:bookmarkStart w:id="254" w:name="_Toc12946"/>
      <w:bookmarkStart w:id="255" w:name="_Toc16835"/>
      <w:bookmarkStart w:id="256" w:name="_Toc29975063"/>
      <w:bookmarkStart w:id="257" w:name="_Toc6870"/>
      <w:bookmarkStart w:id="258" w:name="_Toc31165"/>
      <w:bookmarkStart w:id="259" w:name="_Toc24614"/>
      <w:bookmarkStart w:id="260" w:name="_Toc31843"/>
      <w:r>
        <w:rPr>
          <w:rFonts w:hint="eastAsia" w:ascii="隶书" w:hAnsi="隶书" w:eastAsia="隶书" w:cs="隶书"/>
          <w:sz w:val="52"/>
          <w:szCs w:val="52"/>
          <w:lang w:eastAsia="zh-CN"/>
        </w:rPr>
        <w:t>江苏省无线电监测站2026-2027年无线电管理信息专网设备和系统运维服务</w:t>
      </w:r>
    </w:p>
    <w:p>
      <w:pPr>
        <w:spacing w:line="360" w:lineRule="auto"/>
        <w:rPr>
          <w:rFonts w:hint="eastAsia" w:ascii="华文中宋" w:hAnsi="华文中宋" w:eastAsia="华文中宋" w:cs="华文中宋"/>
          <w:b/>
          <w:sz w:val="32"/>
          <w:szCs w:val="32"/>
        </w:rPr>
      </w:pPr>
    </w:p>
    <w:p>
      <w:pPr>
        <w:spacing w:line="360" w:lineRule="auto"/>
        <w:jc w:val="center"/>
        <w:rPr>
          <w:rFonts w:hint="eastAsia" w:ascii="华文中宋" w:hAnsi="华文中宋" w:eastAsia="华文中宋" w:cs="华文中宋"/>
          <w:b/>
          <w:sz w:val="32"/>
          <w:szCs w:val="32"/>
        </w:rPr>
      </w:pPr>
    </w:p>
    <w:p>
      <w:pPr>
        <w:spacing w:line="360" w:lineRule="auto"/>
        <w:jc w:val="center"/>
        <w:rPr>
          <w:rFonts w:hint="eastAsia" w:ascii="华文中宋" w:hAnsi="华文中宋" w:eastAsia="华文中宋" w:cs="华文中宋"/>
          <w:sz w:val="72"/>
          <w:szCs w:val="72"/>
        </w:rPr>
      </w:pPr>
      <w:r>
        <w:rPr>
          <w:rFonts w:hint="eastAsia" w:ascii="隶书" w:hAnsi="隶书" w:eastAsia="隶书" w:cs="隶书"/>
          <w:sz w:val="96"/>
          <w:szCs w:val="96"/>
        </w:rPr>
        <w:t>响应文件</w:t>
      </w:r>
    </w:p>
    <w:p>
      <w:pPr>
        <w:spacing w:line="440" w:lineRule="exact"/>
        <w:jc w:val="center"/>
        <w:rPr>
          <w:rFonts w:hint="eastAsia" w:ascii="华文中宋" w:hAnsi="华文中宋" w:eastAsia="华文中宋" w:cs="华文中宋"/>
          <w:b/>
          <w:sz w:val="52"/>
        </w:rPr>
      </w:pPr>
    </w:p>
    <w:p>
      <w:pPr>
        <w:spacing w:line="360" w:lineRule="auto"/>
        <w:rPr>
          <w:rFonts w:hint="eastAsia" w:ascii="华文中宋" w:hAnsi="华文中宋" w:eastAsia="华文中宋" w:cs="华文中宋"/>
          <w:sz w:val="28"/>
        </w:rPr>
      </w:pPr>
    </w:p>
    <w:p>
      <w:pPr>
        <w:spacing w:line="360" w:lineRule="auto"/>
        <w:ind w:firstLine="1280"/>
        <w:rPr>
          <w:rFonts w:hint="eastAsia" w:ascii="华文中宋" w:hAnsi="华文中宋" w:eastAsia="华文中宋" w:cs="华文中宋"/>
          <w:bCs/>
          <w:sz w:val="32"/>
          <w:szCs w:val="32"/>
        </w:rPr>
      </w:pPr>
    </w:p>
    <w:p>
      <w:pPr>
        <w:spacing w:line="360" w:lineRule="auto"/>
        <w:ind w:firstLine="1280"/>
        <w:rPr>
          <w:rFonts w:eastAsia="华文中宋"/>
        </w:rPr>
      </w:pPr>
      <w:r>
        <w:rPr>
          <w:rFonts w:hint="eastAsia" w:ascii="华文中宋" w:hAnsi="华文中宋" w:eastAsia="华文中宋" w:cs="华文中宋"/>
          <w:bCs/>
          <w:sz w:val="32"/>
          <w:szCs w:val="32"/>
        </w:rPr>
        <w:t>项目编号</w:t>
      </w:r>
      <w:r>
        <w:rPr>
          <w:rFonts w:hint="eastAsia" w:ascii="华文中宋" w:hAnsi="华文中宋" w:eastAsia="华文中宋" w:cs="华文中宋"/>
          <w:b/>
          <w:sz w:val="32"/>
          <w:szCs w:val="32"/>
        </w:rPr>
        <w:t>：</w:t>
      </w:r>
    </w:p>
    <w:p>
      <w:pPr>
        <w:pStyle w:val="48"/>
        <w:spacing w:line="360" w:lineRule="auto"/>
        <w:ind w:firstLine="0"/>
        <w:rPr>
          <w:rFonts w:hint="eastAsia" w:ascii="华文中宋" w:hAnsi="华文中宋" w:eastAsia="华文中宋" w:cs="华文中宋"/>
          <w:b/>
          <w:sz w:val="32"/>
          <w:szCs w:val="32"/>
        </w:rPr>
      </w:pPr>
      <w:r>
        <w:rPr>
          <w:rFonts w:hint="eastAsia" w:ascii="华文中宋" w:hAnsi="华文中宋" w:eastAsia="华文中宋" w:cs="华文中宋"/>
        </w:rPr>
        <w:t xml:space="preserve">         </w:t>
      </w:r>
      <w:r>
        <w:rPr>
          <w:rFonts w:hint="eastAsia" w:ascii="华文中宋" w:hAnsi="华文中宋" w:eastAsia="华文中宋" w:cs="华文中宋"/>
          <w:bCs/>
          <w:sz w:val="32"/>
          <w:szCs w:val="32"/>
        </w:rPr>
        <w:t>响应单位：</w:t>
      </w:r>
    </w:p>
    <w:p>
      <w:pPr>
        <w:spacing w:line="360" w:lineRule="auto"/>
        <w:rPr>
          <w:rFonts w:hint="eastAsia" w:ascii="华文中宋" w:hAnsi="华文中宋" w:eastAsia="华文中宋" w:cs="华文中宋"/>
          <w:b/>
          <w:sz w:val="32"/>
          <w:szCs w:val="32"/>
        </w:rPr>
      </w:pPr>
    </w:p>
    <w:p>
      <w:pPr>
        <w:spacing w:line="360" w:lineRule="auto"/>
        <w:jc w:val="center"/>
        <w:rPr>
          <w:b/>
          <w:sz w:val="36"/>
          <w:szCs w:val="36"/>
        </w:rPr>
      </w:pPr>
      <w:r>
        <w:rPr>
          <w:b/>
          <w:sz w:val="36"/>
          <w:szCs w:val="36"/>
        </w:rPr>
        <w:t>202</w:t>
      </w:r>
      <w:r>
        <w:rPr>
          <w:rFonts w:hint="eastAsia"/>
          <w:b/>
          <w:sz w:val="36"/>
          <w:szCs w:val="36"/>
        </w:rPr>
        <w:t>6年  月</w:t>
      </w:r>
    </w:p>
    <w:p>
      <w:pPr>
        <w:pStyle w:val="4"/>
        <w:spacing w:before="0" w:after="0" w:line="360" w:lineRule="auto"/>
        <w:jc w:val="center"/>
        <w:rPr>
          <w:rFonts w:ascii="Times New Roman" w:hAnsi="Times New Roman" w:eastAsia="宋体"/>
          <w:szCs w:val="24"/>
        </w:rPr>
        <w:sectPr>
          <w:headerReference r:id="rId12" w:type="first"/>
          <w:headerReference r:id="rId11" w:type="default"/>
          <w:footerReference r:id="rId13" w:type="default"/>
          <w:pgSz w:w="11906" w:h="16838"/>
          <w:pgMar w:top="1134" w:right="1134" w:bottom="1134" w:left="1134" w:header="851" w:footer="992" w:gutter="0"/>
          <w:cols w:space="720" w:num="1"/>
          <w:titlePg/>
          <w:docGrid w:linePitch="360" w:charSpace="0"/>
        </w:sectPr>
      </w:pPr>
    </w:p>
    <w:p>
      <w:pPr>
        <w:pStyle w:val="4"/>
        <w:spacing w:before="0" w:after="0" w:line="360" w:lineRule="auto"/>
        <w:jc w:val="center"/>
        <w:rPr>
          <w:rFonts w:ascii="Times New Roman" w:hAnsi="Times New Roman" w:eastAsia="宋体"/>
          <w:szCs w:val="24"/>
        </w:rPr>
      </w:pPr>
      <w:bookmarkStart w:id="261" w:name="_Toc24587"/>
      <w:r>
        <w:rPr>
          <w:rFonts w:ascii="Times New Roman" w:hAnsi="Times New Roman" w:eastAsia="宋体"/>
          <w:szCs w:val="24"/>
        </w:rPr>
        <w:t>资格审查索引表</w:t>
      </w:r>
      <w:bookmarkEnd w:id="253"/>
      <w:bookmarkEnd w:id="254"/>
      <w:bookmarkEnd w:id="255"/>
      <w:bookmarkEnd w:id="261"/>
    </w:p>
    <w:p>
      <w:pPr>
        <w:spacing w:line="360" w:lineRule="auto"/>
        <w:jc w:val="center"/>
        <w:rPr>
          <w:b/>
          <w:bCs/>
          <w:sz w:val="24"/>
          <w:szCs w:val="24"/>
        </w:rPr>
      </w:pPr>
      <w:r>
        <w:rPr>
          <w:b/>
          <w:bCs/>
          <w:sz w:val="24"/>
          <w:szCs w:val="24"/>
        </w:rPr>
        <w:t>（具体详见采购文件第一章申请人的资格要求）</w:t>
      </w:r>
    </w:p>
    <w:tbl>
      <w:tblPr>
        <w:tblStyle w:val="4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3"/>
        <w:gridCol w:w="5332"/>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pPr>
              <w:widowControl/>
              <w:spacing w:line="300" w:lineRule="auto"/>
              <w:jc w:val="center"/>
              <w:rPr>
                <w:rFonts w:hint="eastAsia" w:ascii="宋体" w:hAnsi="宋体" w:cs="宋体"/>
                <w:b/>
                <w:sz w:val="24"/>
                <w:szCs w:val="24"/>
              </w:rPr>
            </w:pPr>
            <w:r>
              <w:rPr>
                <w:rFonts w:hint="eastAsia" w:ascii="宋体" w:hAnsi="宋体" w:cs="宋体"/>
                <w:b/>
                <w:sz w:val="24"/>
                <w:szCs w:val="24"/>
              </w:rPr>
              <w:t>资审项目</w:t>
            </w:r>
          </w:p>
        </w:tc>
        <w:tc>
          <w:tcPr>
            <w:tcW w:w="5332" w:type="dxa"/>
          </w:tcPr>
          <w:p>
            <w:pPr>
              <w:jc w:val="center"/>
              <w:rPr>
                <w:rFonts w:hint="eastAsia" w:ascii="宋体" w:hAnsi="宋体" w:cs="宋体"/>
                <w:b/>
                <w:sz w:val="24"/>
                <w:szCs w:val="24"/>
              </w:rPr>
            </w:pPr>
            <w:r>
              <w:rPr>
                <w:rFonts w:hint="eastAsia" w:ascii="宋体" w:hAnsi="宋体" w:cs="宋体"/>
                <w:b/>
                <w:sz w:val="24"/>
                <w:szCs w:val="24"/>
              </w:rPr>
              <w:t>资格要求</w:t>
            </w:r>
          </w:p>
        </w:tc>
        <w:tc>
          <w:tcPr>
            <w:tcW w:w="1949" w:type="dxa"/>
          </w:tcPr>
          <w:p>
            <w:pPr>
              <w:jc w:val="center"/>
              <w:rPr>
                <w:rFonts w:hint="eastAsia" w:ascii="宋体" w:hAnsi="宋体" w:cs="宋体"/>
                <w:b/>
                <w:sz w:val="24"/>
                <w:szCs w:val="24"/>
              </w:rPr>
            </w:pPr>
            <w:r>
              <w:rPr>
                <w:rFonts w:hint="eastAsia" w:ascii="宋体" w:hAnsi="宋体" w:cs="宋体"/>
                <w:b/>
                <w:sz w:val="24"/>
                <w:szCs w:val="24"/>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3" w:type="dxa"/>
            <w:vAlign w:val="center"/>
          </w:tcPr>
          <w:p>
            <w:pPr>
              <w:widowControl/>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widowControl/>
              <w:tabs>
                <w:tab w:val="left" w:pos="403"/>
              </w:tabs>
              <w:spacing w:line="360" w:lineRule="auto"/>
              <w:ind w:left="613"/>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573" w:type="dxa"/>
            <w:vAlign w:val="center"/>
          </w:tcPr>
          <w:p>
            <w:pPr>
              <w:spacing w:line="360" w:lineRule="auto"/>
              <w:rPr>
                <w:rFonts w:hint="eastAsia" w:ascii="宋体" w:hAnsi="宋体" w:cs="宋体"/>
                <w:sz w:val="24"/>
                <w:szCs w:val="24"/>
              </w:rPr>
            </w:pPr>
          </w:p>
        </w:tc>
        <w:tc>
          <w:tcPr>
            <w:tcW w:w="5332" w:type="dxa"/>
            <w:vAlign w:val="center"/>
          </w:tcPr>
          <w:p>
            <w:pPr>
              <w:spacing w:line="360" w:lineRule="auto"/>
              <w:rPr>
                <w:rFonts w:hint="eastAsia" w:ascii="宋体" w:hAnsi="宋体" w:cs="宋体"/>
                <w:sz w:val="24"/>
                <w:szCs w:val="24"/>
              </w:rPr>
            </w:pPr>
          </w:p>
        </w:tc>
        <w:tc>
          <w:tcPr>
            <w:tcW w:w="1949" w:type="dxa"/>
          </w:tcPr>
          <w:p>
            <w:pPr>
              <w:spacing w:line="360" w:lineRule="auto"/>
              <w:rPr>
                <w:rFonts w:hint="eastAsia" w:ascii="宋体" w:hAnsi="宋体" w:cs="宋体"/>
                <w:sz w:val="24"/>
                <w:szCs w:val="24"/>
              </w:rPr>
            </w:pPr>
          </w:p>
        </w:tc>
      </w:tr>
    </w:tbl>
    <w:p>
      <w:pPr>
        <w:spacing w:line="440" w:lineRule="exact"/>
        <w:outlineLvl w:val="1"/>
        <w:rPr>
          <w:sz w:val="24"/>
        </w:rPr>
        <w:sectPr>
          <w:footerReference r:id="rId15" w:type="first"/>
          <w:footerReference r:id="rId14" w:type="default"/>
          <w:pgSz w:w="11906" w:h="16838"/>
          <w:pgMar w:top="1134" w:right="1134" w:bottom="1134" w:left="1134" w:header="851" w:footer="992" w:gutter="0"/>
          <w:cols w:space="720" w:num="1"/>
          <w:titlePg/>
          <w:docGrid w:linePitch="360" w:charSpace="0"/>
        </w:sectPr>
      </w:pPr>
    </w:p>
    <w:p>
      <w:pPr>
        <w:pStyle w:val="4"/>
        <w:spacing w:before="0" w:after="0" w:line="360" w:lineRule="auto"/>
        <w:jc w:val="center"/>
        <w:rPr>
          <w:rFonts w:ascii="Times New Roman" w:hAnsi="Times New Roman" w:eastAsia="宋体"/>
          <w:szCs w:val="24"/>
        </w:rPr>
      </w:pPr>
      <w:bookmarkStart w:id="262" w:name="_Toc355"/>
      <w:bookmarkStart w:id="263" w:name="_Toc15249"/>
      <w:bookmarkStart w:id="264" w:name="_Toc3337"/>
      <w:bookmarkStart w:id="265" w:name="_Toc8986"/>
      <w:bookmarkStart w:id="266" w:name="_Toc18881"/>
      <w:r>
        <w:rPr>
          <w:rFonts w:ascii="Times New Roman" w:hAnsi="Times New Roman" w:eastAsia="宋体"/>
          <w:szCs w:val="24"/>
        </w:rPr>
        <w:t>评审索引表</w:t>
      </w:r>
      <w:bookmarkEnd w:id="262"/>
      <w:bookmarkEnd w:id="263"/>
      <w:bookmarkEnd w:id="264"/>
      <w:bookmarkEnd w:id="265"/>
      <w:bookmarkEnd w:id="266"/>
    </w:p>
    <w:p>
      <w:pPr>
        <w:spacing w:line="360" w:lineRule="auto"/>
        <w:jc w:val="center"/>
        <w:rPr>
          <w:b/>
          <w:bCs/>
          <w:sz w:val="24"/>
          <w:szCs w:val="24"/>
        </w:rPr>
      </w:pPr>
      <w:r>
        <w:rPr>
          <w:b/>
          <w:bCs/>
          <w:sz w:val="24"/>
          <w:szCs w:val="24"/>
        </w:rPr>
        <w:t>（具体详见采购文件第三章评审标准）</w:t>
      </w:r>
    </w:p>
    <w:tbl>
      <w:tblPr>
        <w:tblStyle w:val="49"/>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66"/>
        <w:gridCol w:w="6185"/>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30" w:type="dxa"/>
            <w:vAlign w:val="center"/>
          </w:tcPr>
          <w:p>
            <w:pPr>
              <w:widowControl/>
              <w:spacing w:line="360" w:lineRule="auto"/>
              <w:jc w:val="center"/>
              <w:rPr>
                <w:b/>
                <w:szCs w:val="21"/>
              </w:rPr>
            </w:pPr>
            <w:r>
              <w:rPr>
                <w:b/>
                <w:szCs w:val="21"/>
              </w:rPr>
              <w:t>序号</w:t>
            </w:r>
          </w:p>
        </w:tc>
        <w:tc>
          <w:tcPr>
            <w:tcW w:w="1466" w:type="dxa"/>
            <w:vAlign w:val="center"/>
          </w:tcPr>
          <w:p>
            <w:pPr>
              <w:widowControl/>
              <w:spacing w:line="360" w:lineRule="auto"/>
              <w:jc w:val="center"/>
              <w:rPr>
                <w:b/>
                <w:szCs w:val="21"/>
              </w:rPr>
            </w:pPr>
            <w:r>
              <w:rPr>
                <w:b/>
                <w:szCs w:val="21"/>
              </w:rPr>
              <w:t>评审因素</w:t>
            </w:r>
          </w:p>
        </w:tc>
        <w:tc>
          <w:tcPr>
            <w:tcW w:w="6185" w:type="dxa"/>
            <w:vAlign w:val="center"/>
          </w:tcPr>
          <w:p>
            <w:pPr>
              <w:widowControl/>
              <w:spacing w:line="360" w:lineRule="auto"/>
              <w:jc w:val="center"/>
              <w:rPr>
                <w:b/>
                <w:szCs w:val="21"/>
              </w:rPr>
            </w:pPr>
            <w:r>
              <w:rPr>
                <w:b/>
                <w:szCs w:val="21"/>
              </w:rPr>
              <w:t>评审标准</w:t>
            </w:r>
          </w:p>
        </w:tc>
        <w:tc>
          <w:tcPr>
            <w:tcW w:w="1170" w:type="dxa"/>
            <w:vAlign w:val="center"/>
          </w:tcPr>
          <w:p>
            <w:pPr>
              <w:widowControl/>
              <w:spacing w:line="360" w:lineRule="auto"/>
              <w:jc w:val="center"/>
              <w:rPr>
                <w:b/>
                <w:szCs w:val="21"/>
              </w:rPr>
            </w:pPr>
            <w:r>
              <w:rPr>
                <w:b/>
                <w:szCs w:val="21"/>
              </w:rPr>
              <w:t>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0" w:type="dxa"/>
            <w:vAlign w:val="center"/>
          </w:tcPr>
          <w:p>
            <w:pPr>
              <w:widowControl/>
              <w:spacing w:line="360" w:lineRule="auto"/>
              <w:jc w:val="center"/>
              <w:rPr>
                <w:b/>
                <w:szCs w:val="21"/>
              </w:rPr>
            </w:pPr>
          </w:p>
        </w:tc>
        <w:tc>
          <w:tcPr>
            <w:tcW w:w="1466" w:type="dxa"/>
            <w:vAlign w:val="center"/>
          </w:tcPr>
          <w:p>
            <w:pPr>
              <w:widowControl/>
              <w:spacing w:line="360" w:lineRule="auto"/>
              <w:jc w:val="center"/>
              <w:rPr>
                <w:b/>
                <w:szCs w:val="21"/>
              </w:rPr>
            </w:pPr>
          </w:p>
        </w:tc>
        <w:tc>
          <w:tcPr>
            <w:tcW w:w="6185" w:type="dxa"/>
            <w:vAlign w:val="center"/>
          </w:tcPr>
          <w:p>
            <w:pPr>
              <w:spacing w:line="360" w:lineRule="auto"/>
              <w:rPr>
                <w:szCs w:val="21"/>
              </w:rPr>
            </w:pPr>
          </w:p>
        </w:tc>
        <w:tc>
          <w:tcPr>
            <w:tcW w:w="1170" w:type="dxa"/>
            <w:vAlign w:val="center"/>
          </w:tcPr>
          <w:p>
            <w:pPr>
              <w:widowControl/>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pPr>
              <w:widowControl/>
              <w:spacing w:line="360" w:lineRule="auto"/>
              <w:ind w:right="211"/>
              <w:jc w:val="center"/>
              <w:rPr>
                <w:b/>
                <w:szCs w:val="21"/>
              </w:rPr>
            </w:pPr>
          </w:p>
        </w:tc>
        <w:tc>
          <w:tcPr>
            <w:tcW w:w="1466" w:type="dxa"/>
            <w:vAlign w:val="center"/>
          </w:tcPr>
          <w:p>
            <w:pPr>
              <w:spacing w:line="360" w:lineRule="auto"/>
              <w:jc w:val="center"/>
              <w:rPr>
                <w:b/>
                <w:szCs w:val="21"/>
              </w:rPr>
            </w:pPr>
          </w:p>
        </w:tc>
        <w:tc>
          <w:tcPr>
            <w:tcW w:w="6185" w:type="dxa"/>
            <w:vAlign w:val="center"/>
          </w:tcPr>
          <w:p>
            <w:pPr>
              <w:pStyle w:val="48"/>
              <w:ind w:firstLine="0"/>
              <w:rPr>
                <w:rFonts w:ascii="Times New Roman"/>
              </w:rPr>
            </w:pPr>
          </w:p>
        </w:tc>
        <w:tc>
          <w:tcPr>
            <w:tcW w:w="1170"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pPr>
              <w:widowControl/>
              <w:spacing w:line="360" w:lineRule="auto"/>
              <w:ind w:right="211"/>
              <w:jc w:val="center"/>
              <w:rPr>
                <w:b/>
                <w:szCs w:val="21"/>
              </w:rPr>
            </w:pPr>
          </w:p>
        </w:tc>
        <w:tc>
          <w:tcPr>
            <w:tcW w:w="1466" w:type="dxa"/>
            <w:vAlign w:val="center"/>
          </w:tcPr>
          <w:p>
            <w:pPr>
              <w:spacing w:line="360" w:lineRule="auto"/>
              <w:jc w:val="center"/>
              <w:rPr>
                <w:b/>
                <w:szCs w:val="21"/>
              </w:rPr>
            </w:pPr>
          </w:p>
        </w:tc>
        <w:tc>
          <w:tcPr>
            <w:tcW w:w="6185" w:type="dxa"/>
            <w:vAlign w:val="center"/>
          </w:tcPr>
          <w:p>
            <w:pPr>
              <w:pStyle w:val="48"/>
              <w:ind w:firstLine="0"/>
              <w:rPr>
                <w:rFonts w:ascii="Times New Roman"/>
              </w:rPr>
            </w:pPr>
          </w:p>
        </w:tc>
        <w:tc>
          <w:tcPr>
            <w:tcW w:w="1170"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pPr>
              <w:widowControl/>
              <w:spacing w:line="360" w:lineRule="auto"/>
              <w:ind w:right="211"/>
              <w:jc w:val="center"/>
              <w:rPr>
                <w:b/>
                <w:szCs w:val="21"/>
              </w:rPr>
            </w:pPr>
          </w:p>
        </w:tc>
        <w:tc>
          <w:tcPr>
            <w:tcW w:w="1466" w:type="dxa"/>
            <w:vAlign w:val="center"/>
          </w:tcPr>
          <w:p>
            <w:pPr>
              <w:spacing w:line="360" w:lineRule="auto"/>
              <w:jc w:val="center"/>
              <w:rPr>
                <w:b/>
                <w:szCs w:val="21"/>
              </w:rPr>
            </w:pPr>
          </w:p>
        </w:tc>
        <w:tc>
          <w:tcPr>
            <w:tcW w:w="6185" w:type="dxa"/>
            <w:vAlign w:val="center"/>
          </w:tcPr>
          <w:p>
            <w:pPr>
              <w:pStyle w:val="48"/>
              <w:ind w:firstLine="0"/>
              <w:rPr>
                <w:rFonts w:ascii="Times New Roman"/>
              </w:rPr>
            </w:pPr>
          </w:p>
        </w:tc>
        <w:tc>
          <w:tcPr>
            <w:tcW w:w="1170"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pPr>
              <w:widowControl/>
              <w:spacing w:line="360" w:lineRule="auto"/>
              <w:ind w:right="211"/>
              <w:jc w:val="center"/>
              <w:rPr>
                <w:b/>
                <w:szCs w:val="21"/>
              </w:rPr>
            </w:pPr>
          </w:p>
        </w:tc>
        <w:tc>
          <w:tcPr>
            <w:tcW w:w="1466" w:type="dxa"/>
            <w:vAlign w:val="center"/>
          </w:tcPr>
          <w:p>
            <w:pPr>
              <w:spacing w:line="360" w:lineRule="auto"/>
              <w:jc w:val="center"/>
              <w:rPr>
                <w:b/>
                <w:szCs w:val="21"/>
              </w:rPr>
            </w:pPr>
          </w:p>
        </w:tc>
        <w:tc>
          <w:tcPr>
            <w:tcW w:w="6185" w:type="dxa"/>
            <w:vAlign w:val="center"/>
          </w:tcPr>
          <w:p>
            <w:pPr>
              <w:pStyle w:val="48"/>
              <w:ind w:firstLine="0"/>
              <w:rPr>
                <w:rFonts w:ascii="Times New Roman"/>
              </w:rPr>
            </w:pPr>
          </w:p>
        </w:tc>
        <w:tc>
          <w:tcPr>
            <w:tcW w:w="1170"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30" w:type="dxa"/>
            <w:vAlign w:val="center"/>
          </w:tcPr>
          <w:p>
            <w:pPr>
              <w:widowControl/>
              <w:spacing w:line="360" w:lineRule="auto"/>
              <w:ind w:right="211"/>
              <w:jc w:val="center"/>
              <w:rPr>
                <w:b/>
                <w:szCs w:val="21"/>
              </w:rPr>
            </w:pPr>
          </w:p>
        </w:tc>
        <w:tc>
          <w:tcPr>
            <w:tcW w:w="1466" w:type="dxa"/>
            <w:vAlign w:val="center"/>
          </w:tcPr>
          <w:p>
            <w:pPr>
              <w:spacing w:line="360" w:lineRule="auto"/>
              <w:jc w:val="center"/>
              <w:rPr>
                <w:b/>
                <w:szCs w:val="21"/>
              </w:rPr>
            </w:pPr>
          </w:p>
        </w:tc>
        <w:tc>
          <w:tcPr>
            <w:tcW w:w="6185" w:type="dxa"/>
            <w:vAlign w:val="center"/>
          </w:tcPr>
          <w:p>
            <w:pPr>
              <w:pStyle w:val="48"/>
              <w:ind w:firstLine="0"/>
              <w:rPr>
                <w:rFonts w:ascii="Times New Roman"/>
              </w:rPr>
            </w:pPr>
          </w:p>
          <w:bookmarkEnd w:id="256"/>
          <w:bookmarkEnd w:id="257"/>
          <w:bookmarkEnd w:id="258"/>
          <w:bookmarkEnd w:id="259"/>
          <w:bookmarkEnd w:id="260"/>
        </w:tc>
        <w:tc>
          <w:tcPr>
            <w:tcW w:w="1170" w:type="dxa"/>
            <w:vAlign w:val="center"/>
          </w:tcPr>
          <w:p>
            <w:pPr>
              <w:spacing w:line="360" w:lineRule="auto"/>
              <w:jc w:val="center"/>
              <w:rPr>
                <w:szCs w:val="21"/>
              </w:rPr>
            </w:pPr>
          </w:p>
        </w:tc>
      </w:tr>
    </w:tbl>
    <w:p>
      <w:pPr>
        <w:pStyle w:val="48"/>
        <w:ind w:firstLine="280"/>
        <w:sectPr>
          <w:footerReference r:id="rId17" w:type="first"/>
          <w:footerReference r:id="rId16" w:type="default"/>
          <w:pgSz w:w="11906" w:h="16838"/>
          <w:pgMar w:top="1134" w:right="1134" w:bottom="1134" w:left="1134" w:header="851" w:footer="992" w:gutter="0"/>
          <w:cols w:space="720" w:num="1"/>
          <w:titlePg/>
          <w:docGrid w:linePitch="360" w:charSpace="0"/>
        </w:sectPr>
      </w:pPr>
    </w:p>
    <w:p>
      <w:pPr>
        <w:spacing w:line="360" w:lineRule="auto"/>
        <w:outlineLvl w:val="1"/>
        <w:rPr>
          <w:rFonts w:hint="eastAsia" w:ascii="宋体" w:hAnsi="宋体" w:cs="宋体"/>
          <w:b/>
          <w:bCs/>
          <w:sz w:val="24"/>
        </w:rPr>
      </w:pPr>
      <w:bookmarkStart w:id="267" w:name="_Toc11305"/>
      <w:bookmarkStart w:id="268" w:name="_Toc29282"/>
      <w:r>
        <w:rPr>
          <w:rFonts w:hint="eastAsia" w:ascii="宋体" w:hAnsi="宋体" w:cs="宋体"/>
          <w:b/>
          <w:bCs/>
          <w:sz w:val="24"/>
        </w:rPr>
        <w:t xml:space="preserve">附件一 </w:t>
      </w:r>
      <w:bookmarkEnd w:id="267"/>
      <w:r>
        <w:rPr>
          <w:rFonts w:hint="eastAsia"/>
          <w:b/>
          <w:bCs/>
          <w:sz w:val="24"/>
          <w:szCs w:val="22"/>
        </w:rPr>
        <w:t>磋商申请及申明</w:t>
      </w:r>
      <w:bookmarkEnd w:id="268"/>
    </w:p>
    <w:p>
      <w:pPr>
        <w:spacing w:line="360" w:lineRule="auto"/>
        <w:jc w:val="center"/>
        <w:rPr>
          <w:b/>
          <w:bCs/>
          <w:sz w:val="24"/>
          <w:szCs w:val="22"/>
        </w:rPr>
      </w:pPr>
      <w:r>
        <w:rPr>
          <w:rFonts w:hint="eastAsia"/>
          <w:b/>
          <w:bCs/>
          <w:sz w:val="24"/>
          <w:szCs w:val="22"/>
        </w:rPr>
        <w:t>磋商申请及申明</w:t>
      </w:r>
    </w:p>
    <w:p>
      <w:pPr>
        <w:spacing w:line="440" w:lineRule="exact"/>
        <w:rPr>
          <w:rFonts w:ascii="Arial" w:hAnsi="Arial" w:cs="Arial"/>
          <w:szCs w:val="21"/>
        </w:rPr>
      </w:pPr>
      <w:bookmarkStart w:id="269" w:name="_Toc24716"/>
      <w:r>
        <w:rPr>
          <w:rFonts w:ascii="Arial" w:hAnsi="Arial" w:cs="Arial"/>
          <w:szCs w:val="21"/>
        </w:rPr>
        <w:t>致：</w:t>
      </w:r>
      <w:r>
        <w:rPr>
          <w:rFonts w:hint="eastAsia" w:ascii="Arial" w:hAnsi="Arial" w:cs="Arial"/>
          <w:szCs w:val="21"/>
        </w:rPr>
        <w:t>江苏益诚建设工程咨询有限公司</w:t>
      </w:r>
    </w:p>
    <w:p>
      <w:pPr>
        <w:spacing w:line="440" w:lineRule="exact"/>
        <w:ind w:firstLine="420"/>
        <w:rPr>
          <w:rFonts w:ascii="Arial" w:hAnsi="Arial" w:cs="Arial"/>
          <w:szCs w:val="21"/>
        </w:rPr>
      </w:pPr>
      <w:r>
        <w:rPr>
          <w:rFonts w:hint="eastAsia" w:ascii="Arial" w:hAnsi="Arial" w:cs="Arial"/>
          <w:szCs w:val="21"/>
        </w:rPr>
        <w:t>根据贵方</w:t>
      </w:r>
      <w:r>
        <w:rPr>
          <w:rFonts w:hint="eastAsia" w:ascii="Arial" w:hAnsi="Arial" w:cs="Arial"/>
          <w:szCs w:val="21"/>
          <w:u w:val="single"/>
        </w:rPr>
        <w:t xml:space="preserve">                      </w:t>
      </w:r>
      <w:r>
        <w:rPr>
          <w:rFonts w:hint="eastAsia" w:ascii="Arial" w:hAnsi="Arial" w:cs="Arial"/>
          <w:szCs w:val="21"/>
        </w:rPr>
        <w:t>（项目名称）</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（项目编号）磋商邀请，正式授权下述签字人</w:t>
      </w:r>
      <w:r>
        <w:rPr>
          <w:rFonts w:ascii="Arial" w:hAnsi="Arial" w:cs="Arial"/>
          <w:szCs w:val="21"/>
          <w:u w:val="single"/>
        </w:rPr>
        <w:t xml:space="preserve">                  </w:t>
      </w:r>
      <w:r>
        <w:rPr>
          <w:rFonts w:ascii="Arial" w:hAnsi="Arial" w:cs="Arial"/>
          <w:szCs w:val="21"/>
        </w:rPr>
        <w:t>(</w:t>
      </w:r>
      <w:r>
        <w:rPr>
          <w:rFonts w:hint="eastAsia" w:ascii="Arial" w:hAnsi="Arial" w:cs="Arial"/>
          <w:szCs w:val="21"/>
        </w:rPr>
        <w:t>姓名和职务</w:t>
      </w:r>
      <w:r>
        <w:rPr>
          <w:rFonts w:ascii="Arial" w:hAnsi="Arial" w:cs="Arial"/>
          <w:szCs w:val="21"/>
        </w:rPr>
        <w:t>)</w:t>
      </w:r>
      <w:r>
        <w:rPr>
          <w:rFonts w:hint="eastAsia" w:ascii="Arial" w:hAnsi="Arial" w:cs="Arial"/>
          <w:szCs w:val="21"/>
        </w:rPr>
        <w:t>代表</w:t>
      </w:r>
      <w:r>
        <w:rPr>
          <w:rFonts w:ascii="Arial" w:hAnsi="Arial" w:cs="Arial"/>
          <w:szCs w:val="21"/>
          <w:u w:val="single"/>
        </w:rPr>
        <w:t xml:space="preserve">                 </w:t>
      </w:r>
      <w:r>
        <w:rPr>
          <w:rFonts w:hint="eastAsia" w:ascii="Arial" w:hAnsi="Arial" w:cs="Arial"/>
          <w:szCs w:val="21"/>
        </w:rPr>
        <w:t>（供应商名称），提交响应文件并参加磋商。</w:t>
      </w:r>
    </w:p>
    <w:p>
      <w:pPr>
        <w:spacing w:line="440" w:lineRule="exact"/>
        <w:ind w:firstLine="420"/>
        <w:rPr>
          <w:rFonts w:ascii="Arial" w:hAnsi="Arial" w:cs="Arial"/>
          <w:szCs w:val="21"/>
        </w:rPr>
      </w:pPr>
      <w:r>
        <w:rPr>
          <w:rFonts w:hint="eastAsia" w:ascii="宋体" w:hAnsi="宋体"/>
        </w:rPr>
        <w:t>据此函，签字人兹宣布同意如下：</w:t>
      </w:r>
      <w:r>
        <w:rPr>
          <w:rFonts w:ascii="Arial" w:hAnsi="Arial" w:cs="Arial"/>
          <w:szCs w:val="21"/>
        </w:rPr>
        <w:t xml:space="preserve"> </w:t>
      </w:r>
      <w:r>
        <w:rPr>
          <w:rFonts w:hint="eastAsia" w:ascii="Arial" w:hAnsi="Arial" w:cs="Arial"/>
          <w:szCs w:val="21"/>
        </w:rPr>
        <w:t xml:space="preserve">  </w:t>
      </w:r>
    </w:p>
    <w:p>
      <w:pPr>
        <w:spacing w:line="440" w:lineRule="exact"/>
        <w:jc w:val="left"/>
        <w:rPr>
          <w:rFonts w:ascii="Arial" w:hAnsi="Arial" w:cs="Arial"/>
          <w:szCs w:val="21"/>
          <w:lang w:val="zh-CN"/>
        </w:rPr>
      </w:pPr>
      <w:r>
        <w:rPr>
          <w:rFonts w:hint="eastAsia" w:ascii="Arial" w:hAnsi="Arial" w:cs="Arial"/>
          <w:szCs w:val="21"/>
        </w:rPr>
        <w:t xml:space="preserve"> </w:t>
      </w:r>
      <w:r>
        <w:rPr>
          <w:rFonts w:ascii="Arial" w:hAnsi="Arial" w:cs="Arial"/>
          <w:szCs w:val="21"/>
        </w:rPr>
        <w:t xml:space="preserve">  1、</w:t>
      </w:r>
      <w:r>
        <w:rPr>
          <w:rFonts w:ascii="Arial" w:hAnsi="Arial" w:cs="Arial"/>
          <w:szCs w:val="21"/>
          <w:lang w:val="zh-CN"/>
        </w:rPr>
        <w:t>我们已详细审核全部</w:t>
      </w:r>
      <w:r>
        <w:rPr>
          <w:rFonts w:hint="eastAsia" w:ascii="Arial" w:hAnsi="Arial" w:cs="Arial"/>
          <w:szCs w:val="21"/>
        </w:rPr>
        <w:t>采购</w:t>
      </w:r>
      <w:r>
        <w:rPr>
          <w:rFonts w:ascii="Arial" w:hAnsi="Arial" w:cs="Arial"/>
          <w:szCs w:val="21"/>
          <w:lang w:val="zh-CN"/>
        </w:rPr>
        <w:t>文件及其有效补充文件，我们放弃对</w:t>
      </w:r>
      <w:r>
        <w:rPr>
          <w:rFonts w:hint="eastAsia" w:ascii="Arial" w:hAnsi="Arial" w:cs="Arial"/>
          <w:szCs w:val="21"/>
        </w:rPr>
        <w:t>采购</w:t>
      </w:r>
      <w:r>
        <w:rPr>
          <w:rFonts w:ascii="Arial" w:hAnsi="Arial" w:cs="Arial"/>
          <w:szCs w:val="21"/>
          <w:lang w:val="zh-CN"/>
        </w:rPr>
        <w:t>文件任何误解的权利，提交响应文件后，不对</w:t>
      </w:r>
      <w:r>
        <w:rPr>
          <w:rFonts w:hint="eastAsia" w:ascii="Arial" w:hAnsi="Arial" w:cs="Arial"/>
          <w:szCs w:val="21"/>
        </w:rPr>
        <w:t>采购</w:t>
      </w:r>
      <w:r>
        <w:rPr>
          <w:rFonts w:ascii="Arial" w:hAnsi="Arial" w:cs="Arial"/>
          <w:szCs w:val="21"/>
          <w:lang w:val="zh-CN"/>
        </w:rPr>
        <w:t>文件本身提出质疑。否则，属于不诚信和故意扰乱采购活动行为，我们将无条件接受处罚。</w:t>
      </w:r>
    </w:p>
    <w:p>
      <w:pPr>
        <w:spacing w:line="440" w:lineRule="exact"/>
        <w:ind w:firstLine="420"/>
        <w:rPr>
          <w:rFonts w:ascii="Arial" w:hAnsi="Arial" w:cs="Arial"/>
          <w:szCs w:val="21"/>
        </w:rPr>
      </w:pPr>
      <w:r>
        <w:rPr>
          <w:rFonts w:ascii="Arial" w:hAnsi="Arial" w:cs="Arial"/>
          <w:szCs w:val="21"/>
        </w:rPr>
        <w:t>2、一旦我方成交，我方将根据</w:t>
      </w:r>
      <w:r>
        <w:rPr>
          <w:rFonts w:hint="eastAsia" w:ascii="Arial" w:hAnsi="Arial" w:cs="Arial"/>
          <w:szCs w:val="21"/>
        </w:rPr>
        <w:t>采购</w:t>
      </w:r>
      <w:r>
        <w:rPr>
          <w:rFonts w:ascii="Arial" w:hAnsi="Arial" w:cs="Arial"/>
          <w:szCs w:val="21"/>
        </w:rPr>
        <w:t>文件的规定，严格履行合同，保证于承诺的时间内完成本项目规定的服务内容。</w:t>
      </w:r>
    </w:p>
    <w:p>
      <w:pPr>
        <w:spacing w:line="440" w:lineRule="exact"/>
        <w:ind w:firstLine="420"/>
        <w:rPr>
          <w:rFonts w:ascii="Arial" w:hAnsi="Arial" w:cs="Arial"/>
          <w:szCs w:val="21"/>
        </w:rPr>
      </w:pPr>
      <w:r>
        <w:rPr>
          <w:rFonts w:ascii="Arial" w:hAnsi="Arial" w:cs="Arial"/>
          <w:szCs w:val="21"/>
        </w:rPr>
        <w:t>3、我方决不提供虚假材料谋取成交、决不采取不正当手段诋毁、排挤其他</w:t>
      </w:r>
      <w:r>
        <w:rPr>
          <w:rFonts w:hint="eastAsia" w:ascii="Arial" w:hAnsi="Arial" w:cs="Arial"/>
          <w:szCs w:val="21"/>
        </w:rPr>
        <w:t>供应商</w:t>
      </w:r>
      <w:r>
        <w:rPr>
          <w:rFonts w:ascii="Arial" w:hAnsi="Arial" w:cs="Arial"/>
          <w:szCs w:val="21"/>
        </w:rPr>
        <w:t>、决不与采购人、其它</w:t>
      </w:r>
      <w:r>
        <w:rPr>
          <w:rFonts w:hint="eastAsia" w:ascii="Arial" w:hAnsi="Arial" w:cs="Arial"/>
          <w:szCs w:val="21"/>
        </w:rPr>
        <w:t>供应商</w:t>
      </w:r>
      <w:r>
        <w:rPr>
          <w:rFonts w:ascii="Arial" w:hAnsi="Arial" w:cs="Arial"/>
          <w:szCs w:val="21"/>
        </w:rPr>
        <w:t>或者采购代理机构恶意串通、决不向采购人、采购代理机构和磋商小组进行商业贿赂、决不拒绝有关部门监督检查或提供虚假情况，如有违反，无条件接受贵方及相关管理部门的处罚。</w:t>
      </w:r>
    </w:p>
    <w:p>
      <w:pPr>
        <w:spacing w:line="440" w:lineRule="exact"/>
        <w:ind w:firstLine="420"/>
        <w:rPr>
          <w:rFonts w:ascii="Arial" w:hAnsi="Arial" w:cs="Arial"/>
          <w:szCs w:val="21"/>
        </w:rPr>
      </w:pPr>
      <w:r>
        <w:rPr>
          <w:rFonts w:ascii="Arial" w:hAnsi="Arial" w:cs="Arial"/>
          <w:szCs w:val="21"/>
        </w:rPr>
        <w:t>4．本响应文件的有效期为</w:t>
      </w:r>
      <w:r>
        <w:rPr>
          <w:rFonts w:hint="eastAsia" w:ascii="Arial" w:hAnsi="Arial" w:cs="Arial"/>
          <w:szCs w:val="21"/>
        </w:rPr>
        <w:t>递交响应文件</w:t>
      </w:r>
      <w:r>
        <w:rPr>
          <w:rFonts w:ascii="Arial" w:hAnsi="Arial" w:cs="Arial"/>
          <w:szCs w:val="21"/>
        </w:rPr>
        <w:t>之日起90天。在这期间，本响应文件将始终对我方具有约束力，并可随时被接受。如果成交，本次</w:t>
      </w:r>
      <w:r>
        <w:rPr>
          <w:rFonts w:hint="eastAsia" w:ascii="Arial" w:hAnsi="Arial" w:cs="Arial"/>
          <w:szCs w:val="21"/>
        </w:rPr>
        <w:t>采购</w:t>
      </w:r>
      <w:r>
        <w:rPr>
          <w:rFonts w:ascii="Arial" w:hAnsi="Arial" w:cs="Arial"/>
          <w:szCs w:val="21"/>
        </w:rPr>
        <w:t>文件和本响应文件（含承诺书）将作为合同的附件。</w:t>
      </w:r>
    </w:p>
    <w:p>
      <w:pPr>
        <w:spacing w:line="440" w:lineRule="exact"/>
        <w:rPr>
          <w:rFonts w:ascii="Arial" w:hAnsi="Arial" w:cs="Arial"/>
          <w:szCs w:val="21"/>
        </w:rPr>
      </w:pPr>
      <w:r>
        <w:rPr>
          <w:rFonts w:ascii="Arial" w:hAnsi="Arial" w:cs="Arial"/>
          <w:szCs w:val="21"/>
        </w:rPr>
        <w:t xml:space="preserve">    5．其它说明：</w:t>
      </w:r>
    </w:p>
    <w:p>
      <w:pPr>
        <w:spacing w:line="440" w:lineRule="exact"/>
        <w:rPr>
          <w:rFonts w:ascii="Arial" w:hAnsi="Arial" w:cs="Arial"/>
          <w:szCs w:val="21"/>
        </w:rPr>
      </w:pPr>
    </w:p>
    <w:p>
      <w:pPr>
        <w:spacing w:line="440" w:lineRule="exact"/>
        <w:rPr>
          <w:rFonts w:ascii="Arial" w:hAnsi="Arial" w:cs="Arial"/>
          <w:szCs w:val="21"/>
        </w:rPr>
      </w:pPr>
      <w:r>
        <w:rPr>
          <w:rFonts w:hint="eastAsia" w:ascii="Arial" w:hAnsi="Arial" w:cs="Arial"/>
          <w:szCs w:val="21"/>
        </w:rPr>
        <w:t>供应商</w:t>
      </w:r>
      <w:r>
        <w:rPr>
          <w:rFonts w:ascii="Arial" w:hAnsi="Arial" w:cs="Arial"/>
          <w:szCs w:val="21"/>
        </w:rPr>
        <w:t>全称：                               （盖章）</w:t>
      </w:r>
    </w:p>
    <w:p>
      <w:pPr>
        <w:spacing w:line="440" w:lineRule="exact"/>
        <w:rPr>
          <w:rFonts w:ascii="Arial" w:hAnsi="Arial" w:cs="Arial"/>
          <w:szCs w:val="21"/>
        </w:rPr>
      </w:pPr>
      <w:r>
        <w:rPr>
          <w:rFonts w:ascii="Arial" w:hAnsi="Arial" w:cs="Arial"/>
          <w:szCs w:val="21"/>
        </w:rPr>
        <w:t>授权代表签字或盖章：</w:t>
      </w:r>
    </w:p>
    <w:p>
      <w:pPr>
        <w:spacing w:line="440" w:lineRule="exact"/>
        <w:rPr>
          <w:rFonts w:ascii="Arial" w:hAnsi="Arial" w:cs="Arial"/>
          <w:szCs w:val="21"/>
        </w:rPr>
      </w:pPr>
      <w:r>
        <w:rPr>
          <w:rFonts w:ascii="Arial" w:hAnsi="Arial" w:cs="Arial"/>
          <w:szCs w:val="21"/>
        </w:rPr>
        <w:t>职务：</w:t>
      </w:r>
    </w:p>
    <w:p>
      <w:pPr>
        <w:spacing w:line="440" w:lineRule="exact"/>
        <w:rPr>
          <w:rFonts w:ascii="Arial" w:hAnsi="Arial" w:cs="Arial"/>
          <w:szCs w:val="21"/>
        </w:rPr>
      </w:pPr>
      <w:r>
        <w:rPr>
          <w:rFonts w:ascii="Arial" w:hAnsi="Arial" w:cs="Arial"/>
          <w:szCs w:val="21"/>
        </w:rPr>
        <w:t>日期：</w:t>
      </w:r>
    </w:p>
    <w:p>
      <w:pPr>
        <w:spacing w:line="440" w:lineRule="exact"/>
        <w:rPr>
          <w:rFonts w:ascii="Arial" w:hAnsi="Arial" w:cs="Arial"/>
          <w:szCs w:val="21"/>
        </w:rPr>
      </w:pPr>
      <w:r>
        <w:rPr>
          <w:rFonts w:ascii="Arial" w:hAnsi="Arial" w:cs="Arial"/>
          <w:szCs w:val="21"/>
        </w:rPr>
        <w:t>地址：                                      邮编：</w:t>
      </w:r>
    </w:p>
    <w:p>
      <w:pPr>
        <w:spacing w:line="440" w:lineRule="exact"/>
        <w:rPr>
          <w:rFonts w:ascii="Arial" w:hAnsi="Arial" w:cs="Arial"/>
          <w:szCs w:val="21"/>
        </w:rPr>
      </w:pPr>
      <w:r>
        <w:rPr>
          <w:rFonts w:ascii="Arial" w:hAnsi="Arial" w:cs="Arial"/>
          <w:szCs w:val="21"/>
        </w:rPr>
        <w:t xml:space="preserve">电话：                                      传真： </w:t>
      </w:r>
    </w:p>
    <w:p>
      <w:pPr>
        <w:spacing w:line="360" w:lineRule="auto"/>
        <w:outlineLvl w:val="1"/>
        <w:rPr>
          <w:rFonts w:hint="eastAsia" w:ascii="宋体" w:hAnsi="宋体" w:cs="宋体"/>
          <w:b/>
          <w:bCs/>
          <w:sz w:val="24"/>
          <w:szCs w:val="22"/>
        </w:rPr>
        <w:sectPr>
          <w:pgSz w:w="11906" w:h="16838"/>
          <w:pgMar w:top="1134" w:right="1134" w:bottom="1134" w:left="1134" w:header="851" w:footer="992" w:gutter="0"/>
          <w:cols w:space="720" w:num="1"/>
          <w:titlePg/>
          <w:docGrid w:linePitch="360" w:charSpace="0"/>
        </w:sectPr>
      </w:pPr>
    </w:p>
    <w:p>
      <w:pPr>
        <w:spacing w:line="360" w:lineRule="auto"/>
        <w:outlineLvl w:val="1"/>
        <w:rPr>
          <w:rFonts w:hint="eastAsia" w:ascii="宋体" w:hAnsi="宋体" w:cs="宋体"/>
          <w:b/>
          <w:bCs/>
          <w:sz w:val="24"/>
          <w:szCs w:val="22"/>
        </w:rPr>
      </w:pPr>
      <w:bookmarkStart w:id="270" w:name="_Toc23108"/>
      <w:r>
        <w:rPr>
          <w:rFonts w:hint="eastAsia" w:ascii="宋体" w:hAnsi="宋体" w:cs="宋体"/>
          <w:b/>
          <w:bCs/>
          <w:sz w:val="24"/>
          <w:szCs w:val="22"/>
        </w:rPr>
        <w:t>附件二 响应一览表</w:t>
      </w:r>
      <w:bookmarkEnd w:id="269"/>
      <w:bookmarkEnd w:id="270"/>
    </w:p>
    <w:p>
      <w:pPr>
        <w:spacing w:line="360" w:lineRule="auto"/>
        <w:jc w:val="center"/>
        <w:rPr>
          <w:rFonts w:hint="eastAsia" w:ascii="宋体" w:hAnsi="宋体" w:cs="宋体"/>
          <w:b/>
          <w:sz w:val="28"/>
          <w:szCs w:val="22"/>
        </w:rPr>
      </w:pPr>
      <w:r>
        <w:rPr>
          <w:rFonts w:hint="eastAsia" w:ascii="宋体" w:hAnsi="宋体" w:cs="宋体"/>
          <w:b/>
          <w:bCs/>
          <w:sz w:val="24"/>
          <w:szCs w:val="22"/>
        </w:rPr>
        <w:t>响应</w:t>
      </w:r>
      <w:r>
        <w:rPr>
          <w:rFonts w:hint="eastAsia" w:ascii="宋体" w:hAnsi="宋体" w:cs="宋体"/>
          <w:b/>
          <w:sz w:val="28"/>
          <w:szCs w:val="22"/>
        </w:rPr>
        <w:t>一览表</w:t>
      </w:r>
    </w:p>
    <w:p>
      <w:pPr>
        <w:spacing w:line="440" w:lineRule="exact"/>
        <w:jc w:val="left"/>
        <w:rPr>
          <w:b/>
          <w:sz w:val="28"/>
          <w:szCs w:val="22"/>
        </w:rPr>
      </w:pPr>
      <w:r>
        <w:rPr>
          <w:szCs w:val="21"/>
        </w:rPr>
        <w:t xml:space="preserve">项目编号：             </w:t>
      </w:r>
    </w:p>
    <w:tbl>
      <w:tblPr>
        <w:tblStyle w:val="4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pPr>
              <w:spacing w:line="480" w:lineRule="exact"/>
              <w:jc w:val="center"/>
              <w:rPr>
                <w:szCs w:val="21"/>
              </w:rPr>
            </w:pPr>
            <w:r>
              <w:rPr>
                <w:szCs w:val="21"/>
              </w:rPr>
              <w:t>项目名称</w:t>
            </w:r>
          </w:p>
        </w:tc>
        <w:tc>
          <w:tcPr>
            <w:tcW w:w="6898" w:type="dxa"/>
            <w:vAlign w:val="center"/>
          </w:tcPr>
          <w:p>
            <w:pPr>
              <w:spacing w:line="480" w:lineRule="exact"/>
              <w:ind w:firstLine="105"/>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pPr>
              <w:spacing w:line="480" w:lineRule="exact"/>
              <w:jc w:val="center"/>
              <w:rPr>
                <w:szCs w:val="21"/>
              </w:rPr>
            </w:pPr>
            <w:r>
              <w:rPr>
                <w:szCs w:val="21"/>
              </w:rPr>
              <w:t>报价（总价）</w:t>
            </w:r>
          </w:p>
        </w:tc>
        <w:tc>
          <w:tcPr>
            <w:tcW w:w="6898" w:type="dxa"/>
            <w:vAlign w:val="center"/>
          </w:tcPr>
          <w:p>
            <w:pPr>
              <w:spacing w:line="480" w:lineRule="exact"/>
              <w:rPr>
                <w:szCs w:val="21"/>
                <w:u w:val="single"/>
              </w:rPr>
            </w:pPr>
            <w:r>
              <w:rPr>
                <w:szCs w:val="21"/>
              </w:rPr>
              <w:t>人民币：</w:t>
            </w:r>
            <w:r>
              <w:rPr>
                <w:szCs w:val="21"/>
                <w:u w:val="single"/>
              </w:rPr>
              <w:t xml:space="preserve">           </w:t>
            </w:r>
          </w:p>
          <w:p>
            <w:pPr>
              <w:spacing w:line="480" w:lineRule="exact"/>
              <w:rPr>
                <w:szCs w:val="21"/>
              </w:rPr>
            </w:pPr>
            <w:r>
              <w:rPr>
                <w:szCs w:val="21"/>
              </w:rPr>
              <w:t>（大写）：</w:t>
            </w:r>
            <w:r>
              <w:rPr>
                <w:szCs w:val="21"/>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pPr>
              <w:spacing w:line="480" w:lineRule="exact"/>
              <w:jc w:val="center"/>
              <w:rPr>
                <w:szCs w:val="21"/>
              </w:rPr>
            </w:pPr>
            <w:r>
              <w:rPr>
                <w:szCs w:val="21"/>
              </w:rPr>
              <w:t>合同履行期限</w:t>
            </w:r>
          </w:p>
        </w:tc>
        <w:tc>
          <w:tcPr>
            <w:tcW w:w="6898" w:type="dxa"/>
            <w:vAlign w:val="center"/>
          </w:tcPr>
          <w:p>
            <w:pPr>
              <w:spacing w:line="480" w:lineRule="exact"/>
              <w:ind w:firstLine="105"/>
              <w:rPr>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pPr>
              <w:spacing w:line="480" w:lineRule="exact"/>
              <w:jc w:val="center"/>
            </w:pPr>
            <w:r>
              <w:t>是否属于小微型企业</w:t>
            </w:r>
          </w:p>
        </w:tc>
        <w:tc>
          <w:tcPr>
            <w:tcW w:w="6898" w:type="dxa"/>
          </w:tcPr>
          <w:p>
            <w:pPr>
              <w:pStyle w:val="260"/>
              <w:spacing w:line="440" w:lineRule="exact"/>
              <w:ind w:firstLine="210"/>
              <w:rPr>
                <w:szCs w:val="21"/>
              </w:rPr>
            </w:pPr>
            <w:r>
              <w:rPr>
                <w:rFonts w:hint="eastAsia"/>
                <w:b w:val="0"/>
                <w:sz w:val="21"/>
                <w:szCs w:val="21"/>
              </w:rPr>
              <w:t>□</w:t>
            </w:r>
            <w:r>
              <w:rPr>
                <w:b w:val="0"/>
                <w:sz w:val="21"/>
                <w:szCs w:val="21"/>
              </w:rPr>
              <w:t xml:space="preserve">是                       </w:t>
            </w:r>
            <w:r>
              <w:rPr>
                <w:rFonts w:hint="eastAsia"/>
                <w:b w:val="0"/>
                <w:sz w:val="21"/>
                <w:szCs w:val="21"/>
              </w:rPr>
              <w:t>□</w:t>
            </w:r>
            <w:r>
              <w:rPr>
                <w:b w:val="0"/>
                <w:sz w:val="21"/>
                <w:szCs w:val="21"/>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pPr>
              <w:spacing w:line="480" w:lineRule="exact"/>
              <w:ind w:firstLine="105"/>
              <w:rPr>
                <w:rFonts w:hint="eastAsia" w:ascii="宋体" w:hAnsi="宋体" w:cs="宋体"/>
                <w:szCs w:val="21"/>
              </w:rPr>
            </w:pPr>
            <w:r>
              <w:rPr>
                <w:rFonts w:hint="eastAsia" w:ascii="宋体" w:hAnsi="宋体" w:cs="宋体"/>
                <w:b/>
                <w:szCs w:val="21"/>
              </w:rPr>
              <w:t>“是否属于小微型企业</w:t>
            </w:r>
            <w:r>
              <w:rPr>
                <w:rFonts w:hint="eastAsia" w:ascii="宋体" w:hAnsi="宋体" w:cs="宋体"/>
                <w:b/>
                <w:szCs w:val="21"/>
                <w:lang w:val="zh-CN"/>
              </w:rPr>
              <w:t>”栏内</w:t>
            </w:r>
            <w:r>
              <w:rPr>
                <w:rFonts w:hint="eastAsia" w:ascii="宋体" w:hAnsi="宋体" w:cs="宋体"/>
                <w:b/>
                <w:szCs w:val="21"/>
              </w:rPr>
              <w:t>请勾选</w:t>
            </w:r>
            <w:r>
              <w:rPr>
                <w:rFonts w:hint="eastAsia" w:ascii="宋体" w:hAnsi="宋体" w:cs="宋体"/>
                <w:b/>
                <w:szCs w:val="21"/>
                <w:lang w:val="zh-CN"/>
              </w:rPr>
              <w:t>“是”或“否”。如</w:t>
            </w:r>
            <w:r>
              <w:rPr>
                <w:rFonts w:hint="eastAsia" w:ascii="宋体" w:hAnsi="宋体" w:cs="宋体"/>
                <w:b/>
                <w:szCs w:val="21"/>
              </w:rPr>
              <w:t>勾选</w:t>
            </w:r>
            <w:r>
              <w:rPr>
                <w:rFonts w:hint="eastAsia" w:ascii="宋体" w:hAnsi="宋体" w:cs="宋体"/>
                <w:b/>
                <w:szCs w:val="21"/>
                <w:lang w:val="zh-CN"/>
              </w:rPr>
              <w:t>“是”，</w:t>
            </w:r>
            <w:r>
              <w:rPr>
                <w:rFonts w:hint="eastAsia" w:ascii="宋体" w:hAnsi="宋体" w:cs="宋体"/>
                <w:b/>
                <w:szCs w:val="21"/>
              </w:rPr>
              <w:t>供应商需同时提供附件六所要求的对应文件。</w:t>
            </w:r>
          </w:p>
        </w:tc>
      </w:tr>
    </w:tbl>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spacing w:line="360" w:lineRule="auto"/>
        <w:rPr>
          <w:rFonts w:hint="eastAsia" w:ascii="宋体" w:hAnsi="宋体" w:cs="宋体"/>
          <w:b/>
        </w:rPr>
      </w:pPr>
    </w:p>
    <w:p>
      <w:pPr>
        <w:spacing w:line="360" w:lineRule="auto"/>
        <w:rPr>
          <w:rFonts w:cs="宋体"/>
          <w:szCs w:val="21"/>
        </w:rPr>
      </w:pPr>
      <w:r>
        <w:rPr>
          <w:rFonts w:hint="eastAsia" w:ascii="宋体" w:hAnsi="宋体" w:cs="宋体"/>
          <w:szCs w:val="21"/>
        </w:rPr>
        <w:t>注：此表中，</w:t>
      </w:r>
      <w:r>
        <w:rPr>
          <w:szCs w:val="21"/>
        </w:rPr>
        <w:t>报价（总价）</w:t>
      </w:r>
      <w:r>
        <w:rPr>
          <w:rFonts w:hint="eastAsia" w:ascii="宋体" w:hAnsi="宋体" w:cs="宋体"/>
          <w:szCs w:val="21"/>
        </w:rPr>
        <w:t>应和分项报价表中的总价一致。</w:t>
      </w:r>
    </w:p>
    <w:p>
      <w:pPr>
        <w:spacing w:line="440" w:lineRule="exact"/>
        <w:rPr>
          <w:szCs w:val="21"/>
        </w:rPr>
      </w:pPr>
    </w:p>
    <w:p>
      <w:pPr>
        <w:spacing w:line="360" w:lineRule="auto"/>
        <w:jc w:val="center"/>
        <w:rPr>
          <w:rFonts w:hint="eastAsia" w:ascii="宋体" w:hAnsi="宋体" w:cs="宋体"/>
          <w:b/>
        </w:rPr>
      </w:pPr>
    </w:p>
    <w:p>
      <w:pPr>
        <w:spacing w:line="360" w:lineRule="auto"/>
        <w:jc w:val="center"/>
        <w:rPr>
          <w:rFonts w:hint="eastAsia" w:ascii="宋体" w:hAnsi="宋体" w:cs="宋体"/>
          <w:b/>
        </w:rPr>
      </w:pPr>
    </w:p>
    <w:p>
      <w:pPr>
        <w:spacing w:line="360" w:lineRule="auto"/>
        <w:rPr>
          <w:rFonts w:hint="eastAsia" w:ascii="宋体" w:hAnsi="宋体" w:cs="宋体"/>
          <w:b/>
        </w:rPr>
      </w:pPr>
    </w:p>
    <w:p>
      <w:pPr>
        <w:pStyle w:val="26"/>
      </w:pPr>
    </w:p>
    <w:p>
      <w:pPr>
        <w:pStyle w:val="14"/>
      </w:pPr>
    </w:p>
    <w:p>
      <w:pPr>
        <w:pStyle w:val="14"/>
      </w:pPr>
    </w:p>
    <w:p>
      <w:pPr>
        <w:pStyle w:val="14"/>
      </w:pPr>
    </w:p>
    <w:p>
      <w:pPr>
        <w:pStyle w:val="14"/>
        <w:sectPr>
          <w:footerReference r:id="rId19" w:type="first"/>
          <w:footerReference r:id="rId18" w:type="default"/>
          <w:pgSz w:w="11906" w:h="16838"/>
          <w:pgMar w:top="1134" w:right="1134" w:bottom="1134" w:left="1134" w:header="851" w:footer="992" w:gutter="0"/>
          <w:cols w:space="720" w:num="1"/>
          <w:titlePg/>
          <w:docGrid w:linePitch="360" w:charSpace="0"/>
        </w:sectPr>
      </w:pPr>
    </w:p>
    <w:p>
      <w:pPr>
        <w:pStyle w:val="14"/>
      </w:pPr>
    </w:p>
    <w:p>
      <w:pPr>
        <w:spacing w:line="360" w:lineRule="auto"/>
        <w:outlineLvl w:val="1"/>
        <w:rPr>
          <w:rFonts w:hint="eastAsia" w:ascii="宋体" w:hAnsi="宋体" w:cs="宋体"/>
          <w:b/>
          <w:bCs/>
          <w:sz w:val="24"/>
          <w:szCs w:val="22"/>
        </w:rPr>
      </w:pPr>
      <w:bookmarkStart w:id="271" w:name="_Toc1072"/>
      <w:bookmarkStart w:id="272" w:name="_Toc9376"/>
      <w:r>
        <w:rPr>
          <w:rFonts w:hint="eastAsia" w:ascii="宋体" w:hAnsi="宋体" w:cs="宋体"/>
          <w:b/>
          <w:bCs/>
          <w:sz w:val="24"/>
          <w:szCs w:val="22"/>
        </w:rPr>
        <w:t>附件三 分项报价表</w:t>
      </w:r>
      <w:bookmarkEnd w:id="271"/>
      <w:bookmarkEnd w:id="272"/>
    </w:p>
    <w:p>
      <w:pPr>
        <w:spacing w:line="360" w:lineRule="auto"/>
        <w:jc w:val="center"/>
        <w:rPr>
          <w:rFonts w:hint="eastAsia" w:ascii="宋体" w:hAnsi="宋体" w:cs="宋体"/>
          <w:b/>
          <w:sz w:val="28"/>
          <w:szCs w:val="22"/>
        </w:rPr>
      </w:pPr>
      <w:r>
        <w:rPr>
          <w:rFonts w:hint="eastAsia" w:ascii="宋体" w:hAnsi="宋体" w:cs="宋体"/>
          <w:b/>
          <w:sz w:val="28"/>
          <w:szCs w:val="22"/>
        </w:rPr>
        <w:t>分项报价表（仅参考）</w:t>
      </w:r>
    </w:p>
    <w:p>
      <w:pPr>
        <w:spacing w:after="156" w:line="360" w:lineRule="auto"/>
        <w:ind w:firstLine="525"/>
        <w:rPr>
          <w:rFonts w:hint="eastAsia" w:ascii="宋体" w:hAnsi="宋体" w:cs="宋体"/>
        </w:rPr>
      </w:pPr>
      <w:r>
        <w:rPr>
          <w:rFonts w:hint="eastAsia" w:ascii="宋体" w:hAnsi="宋体" w:cs="宋体"/>
          <w:szCs w:val="21"/>
        </w:rPr>
        <w:t>项目名称：                                              项目</w:t>
      </w:r>
      <w:r>
        <w:rPr>
          <w:rFonts w:hint="eastAsia" w:ascii="宋体" w:hAnsi="宋体" w:cs="宋体"/>
        </w:rPr>
        <w:t xml:space="preserve">编号：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p>
    <w:tbl>
      <w:tblPr>
        <w:tblStyle w:val="4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2836"/>
        <w:gridCol w:w="882"/>
        <w:gridCol w:w="1249"/>
        <w:gridCol w:w="869"/>
        <w:gridCol w:w="947"/>
        <w:gridCol w:w="1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84"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序号</w:t>
            </w:r>
          </w:p>
        </w:tc>
        <w:tc>
          <w:tcPr>
            <w:tcW w:w="1440"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分项内容</w:t>
            </w:r>
          </w:p>
        </w:tc>
        <w:tc>
          <w:tcPr>
            <w:tcW w:w="448"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单位</w:t>
            </w:r>
          </w:p>
        </w:tc>
        <w:tc>
          <w:tcPr>
            <w:tcW w:w="634"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数量</w:t>
            </w:r>
          </w:p>
        </w:tc>
        <w:tc>
          <w:tcPr>
            <w:tcW w:w="441"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单价</w:t>
            </w:r>
          </w:p>
        </w:tc>
        <w:tc>
          <w:tcPr>
            <w:tcW w:w="481" w:type="pct"/>
            <w:vAlign w:val="center"/>
          </w:tcPr>
          <w:p>
            <w:pPr>
              <w:snapToGrid w:val="0"/>
              <w:spacing w:line="288" w:lineRule="auto"/>
              <w:jc w:val="center"/>
              <w:rPr>
                <w:rFonts w:hint="eastAsia" w:ascii="宋体" w:hAnsi="宋体"/>
                <w:b/>
                <w:szCs w:val="21"/>
              </w:rPr>
            </w:pPr>
            <w:r>
              <w:rPr>
                <w:rFonts w:hint="eastAsia" w:ascii="宋体" w:hAnsi="宋体"/>
                <w:b/>
                <w:szCs w:val="21"/>
              </w:rPr>
              <w:t>总价</w:t>
            </w:r>
          </w:p>
        </w:tc>
        <w:tc>
          <w:tcPr>
            <w:tcW w:w="970" w:type="pct"/>
            <w:vAlign w:val="center"/>
          </w:tcPr>
          <w:p>
            <w:pPr>
              <w:widowControl/>
              <w:snapToGrid w:val="0"/>
              <w:spacing w:line="288" w:lineRule="auto"/>
              <w:jc w:val="center"/>
              <w:rPr>
                <w:rFonts w:hint="eastAsia"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1</w:t>
            </w:r>
          </w:p>
        </w:tc>
        <w:tc>
          <w:tcPr>
            <w:tcW w:w="1440" w:type="pct"/>
            <w:vAlign w:val="center"/>
          </w:tcPr>
          <w:p>
            <w:pPr>
              <w:widowControl/>
              <w:snapToGrid w:val="0"/>
              <w:spacing w:line="288" w:lineRule="auto"/>
              <w:rPr>
                <w:rFonts w:hint="eastAsia" w:ascii="宋体" w:hAnsi="宋体"/>
                <w:b/>
                <w:szCs w:val="21"/>
              </w:rPr>
            </w:pP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2</w:t>
            </w:r>
          </w:p>
        </w:tc>
        <w:tc>
          <w:tcPr>
            <w:tcW w:w="1440" w:type="pct"/>
            <w:vAlign w:val="center"/>
          </w:tcPr>
          <w:p>
            <w:pPr>
              <w:widowControl/>
              <w:snapToGrid w:val="0"/>
              <w:spacing w:line="288" w:lineRule="auto"/>
              <w:rPr>
                <w:rFonts w:hint="eastAsia" w:ascii="宋体" w:hAnsi="宋体"/>
                <w:b/>
                <w:szCs w:val="21"/>
              </w:rPr>
            </w:pP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3</w:t>
            </w:r>
          </w:p>
        </w:tc>
        <w:tc>
          <w:tcPr>
            <w:tcW w:w="1440" w:type="pct"/>
            <w:vAlign w:val="center"/>
          </w:tcPr>
          <w:p>
            <w:pPr>
              <w:widowControl/>
              <w:snapToGrid w:val="0"/>
              <w:spacing w:line="288" w:lineRule="auto"/>
              <w:rPr>
                <w:rFonts w:hint="eastAsia" w:ascii="宋体" w:hAnsi="宋体"/>
                <w:b/>
                <w:szCs w:val="21"/>
              </w:rPr>
            </w:pP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4</w:t>
            </w:r>
          </w:p>
        </w:tc>
        <w:tc>
          <w:tcPr>
            <w:tcW w:w="1440" w:type="pct"/>
            <w:vAlign w:val="center"/>
          </w:tcPr>
          <w:p>
            <w:pPr>
              <w:widowControl/>
              <w:snapToGrid w:val="0"/>
              <w:spacing w:line="288" w:lineRule="auto"/>
              <w:rPr>
                <w:rFonts w:hint="eastAsia" w:ascii="宋体" w:hAnsi="宋体"/>
                <w:b/>
                <w:szCs w:val="21"/>
              </w:rPr>
            </w:pP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5</w:t>
            </w:r>
          </w:p>
        </w:tc>
        <w:tc>
          <w:tcPr>
            <w:tcW w:w="1440" w:type="pct"/>
            <w:vAlign w:val="center"/>
          </w:tcPr>
          <w:p>
            <w:pPr>
              <w:widowControl/>
              <w:snapToGrid w:val="0"/>
              <w:spacing w:line="288" w:lineRule="auto"/>
              <w:rPr>
                <w:rFonts w:hint="eastAsia" w:ascii="宋体" w:hAnsi="宋体"/>
                <w:b/>
                <w:szCs w:val="21"/>
              </w:rPr>
            </w:pP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pPr>
              <w:widowControl/>
              <w:snapToGrid w:val="0"/>
              <w:spacing w:line="288" w:lineRule="auto"/>
              <w:jc w:val="center"/>
              <w:rPr>
                <w:rFonts w:hint="eastAsia" w:ascii="宋体" w:hAnsi="宋体"/>
                <w:bCs/>
                <w:szCs w:val="21"/>
              </w:rPr>
            </w:pPr>
            <w:r>
              <w:rPr>
                <w:rFonts w:hint="eastAsia" w:ascii="宋体" w:hAnsi="宋体"/>
                <w:bCs/>
                <w:szCs w:val="21"/>
              </w:rPr>
              <w:t>6</w:t>
            </w:r>
          </w:p>
        </w:tc>
        <w:tc>
          <w:tcPr>
            <w:tcW w:w="1440" w:type="pct"/>
            <w:vAlign w:val="center"/>
          </w:tcPr>
          <w:p>
            <w:pPr>
              <w:widowControl/>
              <w:snapToGrid w:val="0"/>
              <w:spacing w:line="288" w:lineRule="auto"/>
              <w:rPr>
                <w:rFonts w:hint="eastAsia" w:ascii="宋体" w:hAnsi="宋体"/>
                <w:b/>
                <w:szCs w:val="21"/>
              </w:rPr>
            </w:pPr>
            <w:r>
              <w:rPr>
                <w:rFonts w:hint="eastAsia" w:ascii="宋体" w:hAnsi="宋体"/>
                <w:b/>
                <w:szCs w:val="21"/>
              </w:rPr>
              <w:t>……</w:t>
            </w:r>
          </w:p>
        </w:tc>
        <w:tc>
          <w:tcPr>
            <w:tcW w:w="448" w:type="pct"/>
            <w:vAlign w:val="center"/>
          </w:tcPr>
          <w:p>
            <w:pPr>
              <w:widowControl/>
              <w:snapToGrid w:val="0"/>
              <w:spacing w:line="288" w:lineRule="auto"/>
              <w:rPr>
                <w:rFonts w:hint="eastAsia" w:ascii="宋体" w:hAnsi="宋体"/>
                <w:szCs w:val="21"/>
              </w:rPr>
            </w:pPr>
          </w:p>
        </w:tc>
        <w:tc>
          <w:tcPr>
            <w:tcW w:w="634" w:type="pct"/>
            <w:vAlign w:val="center"/>
          </w:tcPr>
          <w:p>
            <w:pPr>
              <w:widowControl/>
              <w:snapToGrid w:val="0"/>
              <w:spacing w:line="288" w:lineRule="auto"/>
              <w:rPr>
                <w:rFonts w:hint="eastAsia" w:ascii="宋体" w:hAnsi="宋体"/>
                <w:szCs w:val="21"/>
              </w:rPr>
            </w:pPr>
          </w:p>
        </w:tc>
        <w:tc>
          <w:tcPr>
            <w:tcW w:w="441" w:type="pct"/>
            <w:vAlign w:val="center"/>
          </w:tcPr>
          <w:p>
            <w:pPr>
              <w:widowControl/>
              <w:snapToGrid w:val="0"/>
              <w:spacing w:line="288" w:lineRule="auto"/>
              <w:rPr>
                <w:rFonts w:hint="eastAsia" w:ascii="宋体" w:hAnsi="宋体"/>
                <w:szCs w:val="21"/>
              </w:rPr>
            </w:pPr>
          </w:p>
        </w:tc>
        <w:tc>
          <w:tcPr>
            <w:tcW w:w="481" w:type="pct"/>
            <w:vAlign w:val="center"/>
          </w:tcPr>
          <w:p>
            <w:pPr>
              <w:snapToGrid w:val="0"/>
              <w:spacing w:line="288" w:lineRule="auto"/>
              <w:rPr>
                <w:rFonts w:hint="eastAsia" w:ascii="宋体" w:hAnsi="宋体"/>
                <w:szCs w:val="21"/>
              </w:rPr>
            </w:pPr>
          </w:p>
        </w:tc>
        <w:tc>
          <w:tcPr>
            <w:tcW w:w="970" w:type="pct"/>
            <w:vAlign w:val="center"/>
          </w:tcPr>
          <w:p>
            <w:pPr>
              <w:widowControl/>
              <w:snapToGrid w:val="0"/>
              <w:spacing w:line="288"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84" w:type="pct"/>
            <w:vAlign w:val="center"/>
          </w:tcPr>
          <w:p>
            <w:pPr>
              <w:widowControl/>
              <w:snapToGrid w:val="0"/>
              <w:spacing w:line="288" w:lineRule="auto"/>
              <w:rPr>
                <w:rFonts w:hint="eastAsia" w:ascii="宋体" w:hAnsi="宋体"/>
                <w:szCs w:val="21"/>
              </w:rPr>
            </w:pPr>
            <w:r>
              <w:rPr>
                <w:rFonts w:hint="eastAsia" w:ascii="宋体" w:hAnsi="宋体"/>
                <w:szCs w:val="21"/>
              </w:rPr>
              <w:t xml:space="preserve">合计：          </w:t>
            </w:r>
          </w:p>
        </w:tc>
        <w:tc>
          <w:tcPr>
            <w:tcW w:w="4415" w:type="pct"/>
            <w:gridSpan w:val="6"/>
            <w:vAlign w:val="center"/>
          </w:tcPr>
          <w:p>
            <w:pPr>
              <w:widowControl/>
              <w:snapToGrid w:val="0"/>
              <w:spacing w:line="288" w:lineRule="auto"/>
              <w:ind w:firstLine="1680" w:firstLineChars="800"/>
              <w:rPr>
                <w:rFonts w:hint="eastAsia" w:ascii="宋体" w:hAnsi="宋体"/>
                <w:szCs w:val="21"/>
              </w:rPr>
            </w:pPr>
            <w:r>
              <w:rPr>
                <w:rFonts w:hint="eastAsia" w:ascii="宋体" w:hAnsi="宋体"/>
                <w:szCs w:val="21"/>
              </w:rPr>
              <w:t>元(小数点保留两位)</w:t>
            </w:r>
          </w:p>
        </w:tc>
      </w:tr>
    </w:tbl>
    <w:p>
      <w:pPr>
        <w:spacing w:line="360" w:lineRule="auto"/>
        <w:rPr>
          <w:rFonts w:hint="eastAsia" w:ascii="宋体" w:hAnsi="宋体" w:cs="宋体"/>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spacing w:line="360" w:lineRule="auto"/>
        <w:rPr>
          <w:rFonts w:hint="eastAsia" w:ascii="宋体" w:hAnsi="宋体" w:cs="宋体"/>
        </w:rPr>
      </w:pPr>
    </w:p>
    <w:p>
      <w:pPr>
        <w:spacing w:line="360" w:lineRule="auto"/>
        <w:rPr>
          <w:rFonts w:ascii="Arial" w:hAnsi="Arial" w:cs="Arial"/>
        </w:rPr>
      </w:pPr>
      <w:r>
        <w:rPr>
          <w:rFonts w:ascii="Arial" w:hAnsi="Arial" w:cs="Arial"/>
        </w:rPr>
        <w:t>注：1、供应商应对上述每项内容列明组成的详细分项价格。</w:t>
      </w:r>
    </w:p>
    <w:p>
      <w:pPr>
        <w:spacing w:line="360" w:lineRule="auto"/>
        <w:ind w:firstLine="420"/>
        <w:rPr>
          <w:rFonts w:ascii="Arial" w:hAnsi="Arial" w:cs="Arial"/>
        </w:rPr>
      </w:pPr>
      <w:r>
        <w:rPr>
          <w:rFonts w:ascii="Arial" w:hAnsi="Arial" w:cs="Arial"/>
        </w:rPr>
        <w:t>2、表中表格行数可自行添加。</w:t>
      </w:r>
    </w:p>
    <w:p>
      <w:pPr>
        <w:spacing w:line="360" w:lineRule="auto"/>
        <w:ind w:firstLine="420"/>
        <w:rPr>
          <w:rFonts w:hint="eastAsia" w:ascii="宋体" w:hAnsi="宋体" w:cs="宋体"/>
        </w:rPr>
      </w:pPr>
    </w:p>
    <w:p>
      <w:pPr>
        <w:spacing w:line="360" w:lineRule="auto"/>
        <w:jc w:val="center"/>
        <w:rPr>
          <w:rFonts w:hint="eastAsia" w:ascii="宋体" w:hAnsi="宋体" w:cs="宋体"/>
          <w:b/>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pStyle w:val="48"/>
        <w:ind w:firstLine="280"/>
      </w:pPr>
    </w:p>
    <w:p>
      <w:pPr>
        <w:pStyle w:val="48"/>
        <w:ind w:firstLine="280"/>
      </w:pPr>
    </w:p>
    <w:p>
      <w:pPr>
        <w:pStyle w:val="48"/>
        <w:ind w:firstLine="280"/>
      </w:pPr>
    </w:p>
    <w:p>
      <w:pPr>
        <w:pStyle w:val="48"/>
        <w:ind w:firstLine="280"/>
      </w:pPr>
    </w:p>
    <w:p>
      <w:pPr>
        <w:spacing w:after="156" w:line="360" w:lineRule="auto"/>
        <w:outlineLvl w:val="1"/>
        <w:rPr>
          <w:rFonts w:hint="eastAsia" w:ascii="宋体" w:hAnsi="宋体" w:cs="宋体"/>
          <w:b/>
          <w:bCs/>
          <w:sz w:val="24"/>
          <w:szCs w:val="22"/>
        </w:rPr>
        <w:sectPr>
          <w:footerReference r:id="rId21" w:type="first"/>
          <w:footerReference r:id="rId20" w:type="default"/>
          <w:pgSz w:w="11906" w:h="16838"/>
          <w:pgMar w:top="1134" w:right="1134" w:bottom="1134" w:left="1134" w:header="851" w:footer="992" w:gutter="0"/>
          <w:cols w:space="720" w:num="1"/>
          <w:titlePg/>
          <w:docGrid w:linePitch="360" w:charSpace="0"/>
        </w:sectPr>
      </w:pPr>
      <w:bookmarkStart w:id="273" w:name="_Toc1431"/>
    </w:p>
    <w:p>
      <w:pPr>
        <w:spacing w:after="156" w:line="360" w:lineRule="auto"/>
        <w:outlineLvl w:val="1"/>
        <w:rPr>
          <w:rFonts w:hint="eastAsia" w:ascii="宋体" w:hAnsi="宋体" w:cs="宋体"/>
          <w:b/>
          <w:bCs/>
          <w:sz w:val="24"/>
          <w:szCs w:val="22"/>
        </w:rPr>
      </w:pPr>
      <w:bookmarkStart w:id="274" w:name="_Toc27427"/>
      <w:r>
        <w:rPr>
          <w:rFonts w:hint="eastAsia" w:ascii="宋体" w:hAnsi="宋体" w:cs="宋体"/>
          <w:b/>
          <w:bCs/>
          <w:sz w:val="24"/>
          <w:szCs w:val="22"/>
        </w:rPr>
        <w:t>附件四 商务条款偏离表</w:t>
      </w:r>
      <w:bookmarkEnd w:id="273"/>
      <w:bookmarkEnd w:id="274"/>
    </w:p>
    <w:tbl>
      <w:tblPr>
        <w:tblStyle w:val="4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4"/>
        <w:gridCol w:w="1734"/>
        <w:gridCol w:w="2895"/>
        <w:gridCol w:w="1628"/>
        <w:gridCol w:w="28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jc w:val="center"/>
              <w:rPr>
                <w:rFonts w:hint="eastAsia" w:ascii="宋体" w:hAnsi="宋体" w:cs="宋体"/>
                <w:szCs w:val="21"/>
              </w:rPr>
            </w:pPr>
            <w:r>
              <w:rPr>
                <w:rFonts w:hint="eastAsia" w:ascii="宋体" w:hAnsi="宋体" w:cs="宋体"/>
                <w:szCs w:val="21"/>
              </w:rPr>
              <w:t>序号</w:t>
            </w: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jc w:val="center"/>
              <w:rPr>
                <w:rFonts w:hint="eastAsia" w:ascii="宋体" w:hAnsi="宋体" w:cs="宋体"/>
                <w:szCs w:val="21"/>
              </w:rPr>
            </w:pPr>
            <w:r>
              <w:rPr>
                <w:rFonts w:hint="eastAsia" w:ascii="宋体" w:hAnsi="宋体" w:cs="宋体"/>
                <w:szCs w:val="21"/>
              </w:rPr>
              <w:t>采购文件条目号</w:t>
            </w: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jc w:val="center"/>
              <w:rPr>
                <w:rFonts w:hint="eastAsia" w:ascii="宋体" w:hAnsi="宋体" w:cs="宋体"/>
                <w:szCs w:val="21"/>
              </w:rPr>
            </w:pPr>
            <w:r>
              <w:rPr>
                <w:rFonts w:hint="eastAsia" w:ascii="宋体" w:hAnsi="宋体" w:cs="宋体"/>
                <w:szCs w:val="21"/>
              </w:rPr>
              <w:t>采购文件的商务条款</w:t>
            </w: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jc w:val="center"/>
              <w:rPr>
                <w:rFonts w:hint="eastAsia" w:ascii="宋体" w:hAnsi="宋体" w:cs="宋体"/>
                <w:szCs w:val="21"/>
              </w:rPr>
            </w:pPr>
            <w:r>
              <w:rPr>
                <w:rFonts w:hint="eastAsia" w:ascii="宋体" w:hAnsi="宋体" w:cs="宋体"/>
                <w:szCs w:val="21"/>
              </w:rPr>
              <w:t>采购文件响应</w:t>
            </w: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jc w:val="center"/>
              <w:rPr>
                <w:rFonts w:hint="eastAsia" w:ascii="宋体" w:hAnsi="宋体" w:cs="宋体"/>
                <w:szCs w:val="21"/>
              </w:rPr>
            </w:pPr>
            <w:r>
              <w:rPr>
                <w:rFonts w:hint="eastAsia" w:ascii="宋体" w:hAnsi="宋体" w:cs="宋体"/>
                <w:szCs w:val="21"/>
              </w:rPr>
              <w:t>供应商的承诺或说明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ind w:left="43"/>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9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734"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9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1628"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c>
          <w:tcPr>
            <w:tcW w:w="2815" w:type="dxa"/>
            <w:tcBorders>
              <w:top w:val="single" w:color="auto" w:sz="4" w:space="0"/>
              <w:left w:val="single" w:color="auto" w:sz="4" w:space="0"/>
              <w:bottom w:val="single" w:color="auto" w:sz="4" w:space="0"/>
              <w:right w:val="single" w:color="auto" w:sz="4" w:space="0"/>
            </w:tcBorders>
          </w:tcPr>
          <w:p>
            <w:pPr>
              <w:spacing w:before="156" w:line="360" w:lineRule="auto"/>
              <w:rPr>
                <w:rFonts w:hint="eastAsia" w:ascii="宋体" w:hAnsi="宋体" w:cs="宋体"/>
                <w:szCs w:val="21"/>
              </w:rPr>
            </w:pPr>
          </w:p>
        </w:tc>
      </w:tr>
    </w:tbl>
    <w:p>
      <w:pPr>
        <w:spacing w:line="360" w:lineRule="auto"/>
        <w:rPr>
          <w:rFonts w:hint="eastAsia" w:ascii="宋体" w:hAnsi="宋体" w:cs="宋体"/>
          <w:sz w:val="24"/>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注：1、供应商如对包括</w:t>
      </w:r>
      <w:r>
        <w:rPr>
          <w:rFonts w:hint="eastAsia" w:ascii="宋体" w:hAnsi="宋体" w:cs="宋体"/>
          <w:b/>
          <w:bCs/>
          <w:szCs w:val="21"/>
        </w:rPr>
        <w:t>合同履行期限、售后服务要求、付款方式等</w:t>
      </w:r>
      <w:r>
        <w:rPr>
          <w:rFonts w:hint="eastAsia" w:ascii="宋体" w:hAnsi="宋体" w:cs="宋体"/>
          <w:szCs w:val="21"/>
        </w:rPr>
        <w:t>商务条款的响应有任何偏离，请在本表中详细填写；如不列出，则视为供应商完全同意采购文件的商务条款。</w:t>
      </w:r>
    </w:p>
    <w:p>
      <w:pPr>
        <w:spacing w:line="360" w:lineRule="auto"/>
        <w:ind w:left="420"/>
        <w:rPr>
          <w:rFonts w:hint="eastAsia" w:ascii="宋体" w:hAnsi="宋体" w:cs="宋体"/>
          <w:szCs w:val="21"/>
        </w:rPr>
      </w:pPr>
      <w:r>
        <w:rPr>
          <w:rFonts w:hint="eastAsia" w:ascii="宋体" w:hAnsi="宋体" w:cs="宋体"/>
          <w:szCs w:val="21"/>
        </w:rPr>
        <w:t>2、“供应商的承诺或说明”栏请注明“响应/正偏离/负偏离”，正偏离指供应商的响应高于采购文件要求，负偏离指供应商的响应低于采购文件要求。</w:t>
      </w:r>
    </w:p>
    <w:p>
      <w:pPr>
        <w:spacing w:line="360" w:lineRule="auto"/>
        <w:ind w:firstLine="420"/>
        <w:rPr>
          <w:rFonts w:hint="eastAsia" w:ascii="宋体" w:hAnsi="宋体" w:cs="宋体"/>
          <w:szCs w:val="21"/>
        </w:rPr>
      </w:pPr>
      <w:r>
        <w:rPr>
          <w:rFonts w:hint="eastAsia" w:ascii="宋体" w:hAnsi="宋体" w:cs="宋体"/>
          <w:szCs w:val="21"/>
        </w:rPr>
        <w:t>3、如果行数不够，请自行增加。</w:t>
      </w:r>
    </w:p>
    <w:p>
      <w:pPr>
        <w:spacing w:line="360" w:lineRule="auto"/>
        <w:ind w:firstLine="5494"/>
        <w:rPr>
          <w:rFonts w:hint="eastAsia" w:ascii="宋体" w:hAnsi="宋体" w:cs="宋体"/>
          <w:sz w:val="24"/>
        </w:rPr>
      </w:pPr>
    </w:p>
    <w:p>
      <w:pPr>
        <w:spacing w:line="360" w:lineRule="auto"/>
        <w:rPr>
          <w:rFonts w:hint="eastAsia" w:ascii="宋体" w:hAnsi="宋体" w:cs="宋体"/>
          <w:sz w:val="24"/>
        </w:rPr>
      </w:pPr>
    </w:p>
    <w:p>
      <w:pPr>
        <w:spacing w:line="360" w:lineRule="auto"/>
        <w:ind w:right="-334"/>
        <w:rPr>
          <w:rFonts w:hint="eastAsia" w:ascii="宋体" w:hAnsi="宋体" w:cs="宋体"/>
          <w:sz w:val="24"/>
        </w:rPr>
      </w:pPr>
    </w:p>
    <w:p>
      <w:pPr>
        <w:spacing w:line="360" w:lineRule="auto"/>
        <w:ind w:right="-334"/>
        <w:rPr>
          <w:rFonts w:hint="eastAsia" w:ascii="宋体" w:hAnsi="宋体" w:cs="宋体"/>
          <w:sz w:val="24"/>
        </w:rPr>
      </w:pPr>
    </w:p>
    <w:p>
      <w:pPr>
        <w:spacing w:line="360" w:lineRule="auto"/>
        <w:ind w:right="-334"/>
        <w:rPr>
          <w:rFonts w:hint="eastAsia" w:ascii="宋体" w:hAnsi="宋体" w:cs="宋体"/>
          <w:sz w:val="24"/>
        </w:rPr>
      </w:pPr>
    </w:p>
    <w:p>
      <w:pPr>
        <w:spacing w:line="360" w:lineRule="auto"/>
        <w:ind w:right="-334"/>
        <w:rPr>
          <w:rFonts w:hint="eastAsia" w:ascii="宋体" w:hAnsi="宋体" w:cs="宋体"/>
          <w:sz w:val="24"/>
        </w:rPr>
        <w:sectPr>
          <w:footerReference r:id="rId23" w:type="first"/>
          <w:footerReference r:id="rId22" w:type="default"/>
          <w:pgSz w:w="11906" w:h="16838"/>
          <w:pgMar w:top="1134" w:right="1134" w:bottom="1134" w:left="1134" w:header="851" w:footer="992" w:gutter="0"/>
          <w:cols w:space="720" w:num="1"/>
          <w:docGrid w:linePitch="360" w:charSpace="0"/>
        </w:sectPr>
      </w:pPr>
    </w:p>
    <w:p>
      <w:pPr>
        <w:spacing w:after="156" w:line="360" w:lineRule="auto"/>
        <w:outlineLvl w:val="1"/>
        <w:rPr>
          <w:rFonts w:hint="eastAsia" w:ascii="宋体" w:hAnsi="宋体" w:cs="宋体"/>
          <w:b/>
          <w:bCs/>
          <w:sz w:val="24"/>
          <w:szCs w:val="22"/>
        </w:rPr>
      </w:pPr>
      <w:bookmarkStart w:id="275" w:name="_Toc10318"/>
      <w:bookmarkStart w:id="276" w:name="_Toc11227"/>
      <w:r>
        <w:rPr>
          <w:rFonts w:hint="eastAsia" w:ascii="宋体" w:hAnsi="宋体" w:cs="宋体"/>
          <w:b/>
          <w:bCs/>
          <w:sz w:val="24"/>
          <w:szCs w:val="22"/>
        </w:rPr>
        <w:t>附件五 技术条款偏离表</w:t>
      </w:r>
      <w:bookmarkEnd w:id="275"/>
      <w:bookmarkEnd w:id="276"/>
    </w:p>
    <w:tbl>
      <w:tblPr>
        <w:tblStyle w:val="49"/>
        <w:tblW w:w="95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0"/>
        <w:gridCol w:w="1575"/>
        <w:gridCol w:w="1740"/>
        <w:gridCol w:w="1950"/>
        <w:gridCol w:w="1370"/>
        <w:gridCol w:w="21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70" w:type="dxa"/>
            <w:vMerge w:val="restart"/>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序号</w:t>
            </w:r>
          </w:p>
        </w:tc>
        <w:tc>
          <w:tcPr>
            <w:tcW w:w="3315" w:type="dxa"/>
            <w:gridSpan w:val="2"/>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磋商文件</w:t>
            </w:r>
          </w:p>
        </w:tc>
        <w:tc>
          <w:tcPr>
            <w:tcW w:w="195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响应文件</w:t>
            </w:r>
          </w:p>
        </w:tc>
        <w:tc>
          <w:tcPr>
            <w:tcW w:w="1370" w:type="dxa"/>
            <w:vMerge w:val="restart"/>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s="宋体"/>
                <w:szCs w:val="21"/>
              </w:rPr>
            </w:pPr>
            <w:r>
              <w:rPr>
                <w:rFonts w:hint="eastAsia" w:ascii="宋体" w:hAnsi="宋体" w:cs="宋体"/>
                <w:szCs w:val="21"/>
              </w:rPr>
              <w:t>说明</w:t>
            </w:r>
          </w:p>
        </w:tc>
        <w:tc>
          <w:tcPr>
            <w:tcW w:w="2192" w:type="dxa"/>
            <w:vMerge w:val="restart"/>
            <w:tcBorders>
              <w:top w:val="single" w:color="auto" w:sz="4" w:space="0"/>
              <w:left w:val="single" w:color="auto" w:sz="4" w:space="0"/>
              <w:right w:val="single" w:color="auto" w:sz="4" w:space="0"/>
            </w:tcBorders>
            <w:vAlign w:val="center"/>
          </w:tcPr>
          <w:p>
            <w:pPr>
              <w:spacing w:line="440" w:lineRule="exact"/>
              <w:jc w:val="center"/>
              <w:rPr>
                <w:rFonts w:hint="eastAsia" w:ascii="宋体" w:hAnsi="宋体" w:cs="宋体"/>
                <w:szCs w:val="21"/>
              </w:rPr>
            </w:pPr>
            <w:r>
              <w:rPr>
                <w:rFonts w:hint="eastAsia"/>
                <w:szCs w:val="21"/>
              </w:rPr>
              <w:t>标注“★”“▲”技术内容的技术支持资料对应页码（如有）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7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40" w:lineRule="exact"/>
              <w:jc w:val="lef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条目号</w:t>
            </w:r>
          </w:p>
        </w:tc>
        <w:tc>
          <w:tcPr>
            <w:tcW w:w="174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采购要求规格</w:t>
            </w:r>
          </w:p>
        </w:tc>
        <w:tc>
          <w:tcPr>
            <w:tcW w:w="1950" w:type="dxa"/>
            <w:tcBorders>
              <w:top w:val="single" w:color="auto" w:sz="4" w:space="0"/>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r>
              <w:rPr>
                <w:rFonts w:hint="eastAsia" w:ascii="宋体" w:hAnsi="宋体" w:cs="宋体"/>
                <w:szCs w:val="21"/>
              </w:rPr>
              <w:t>响应具体情况</w:t>
            </w:r>
          </w:p>
        </w:tc>
        <w:tc>
          <w:tcPr>
            <w:tcW w:w="1370" w:type="dxa"/>
            <w:vMerge w:val="continue"/>
            <w:tcBorders>
              <w:left w:val="single" w:color="auto" w:sz="4" w:space="0"/>
              <w:bottom w:val="single" w:color="auto" w:sz="4" w:space="0"/>
              <w:right w:val="single" w:color="auto" w:sz="4" w:space="0"/>
            </w:tcBorders>
          </w:tcPr>
          <w:p>
            <w:pPr>
              <w:spacing w:line="440" w:lineRule="exact"/>
              <w:jc w:val="center"/>
              <w:rPr>
                <w:rFonts w:hint="eastAsia" w:ascii="宋体" w:hAnsi="宋体" w:cs="宋体"/>
                <w:szCs w:val="21"/>
              </w:rPr>
            </w:pPr>
          </w:p>
        </w:tc>
        <w:tc>
          <w:tcPr>
            <w:tcW w:w="2192" w:type="dxa"/>
            <w:vMerge w:val="continue"/>
            <w:tcBorders>
              <w:left w:val="single" w:color="auto" w:sz="4" w:space="0"/>
              <w:bottom w:val="single" w:color="auto" w:sz="4" w:space="0"/>
              <w:right w:val="single" w:color="auto" w:sz="4" w:space="0"/>
            </w:tcBorders>
            <w:vAlign w:val="center"/>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74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95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1370"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c>
          <w:tcPr>
            <w:tcW w:w="2192" w:type="dxa"/>
            <w:tcBorders>
              <w:top w:val="single" w:color="auto" w:sz="4" w:space="0"/>
              <w:left w:val="single" w:color="auto" w:sz="4" w:space="0"/>
              <w:bottom w:val="single" w:color="auto" w:sz="4" w:space="0"/>
              <w:right w:val="single" w:color="auto" w:sz="4" w:space="0"/>
            </w:tcBorders>
          </w:tcPr>
          <w:p>
            <w:pPr>
              <w:spacing w:line="440" w:lineRule="exact"/>
              <w:rPr>
                <w:rFonts w:hint="eastAsia" w:ascii="宋体" w:hAnsi="宋体" w:cs="宋体"/>
                <w:szCs w:val="21"/>
              </w:rPr>
            </w:pPr>
          </w:p>
        </w:tc>
      </w:tr>
    </w:tbl>
    <w:p>
      <w:pPr>
        <w:pStyle w:val="210"/>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pStyle w:val="17"/>
        <w:spacing w:line="360" w:lineRule="auto"/>
        <w:rPr>
          <w:szCs w:val="21"/>
        </w:rPr>
      </w:pPr>
      <w:bookmarkStart w:id="277" w:name="_Toc18373"/>
      <w:r>
        <w:rPr>
          <w:szCs w:val="21"/>
        </w:rPr>
        <w:t>注：1、供应商应对</w:t>
      </w:r>
      <w:r>
        <w:rPr>
          <w:rFonts w:hint="eastAsia"/>
          <w:szCs w:val="21"/>
        </w:rPr>
        <w:t>采购</w:t>
      </w:r>
      <w:r>
        <w:rPr>
          <w:szCs w:val="21"/>
        </w:rPr>
        <w:t>文件第四章</w:t>
      </w:r>
      <w:r>
        <w:rPr>
          <w:rFonts w:hint="eastAsia"/>
          <w:szCs w:val="21"/>
        </w:rPr>
        <w:t>采购</w:t>
      </w:r>
      <w:r>
        <w:rPr>
          <w:szCs w:val="21"/>
        </w:rPr>
        <w:t>技术规格及要求的内容给予</w:t>
      </w:r>
      <w:r>
        <w:rPr>
          <w:b/>
          <w:bCs/>
          <w:szCs w:val="21"/>
        </w:rPr>
        <w:t>逐条响应</w:t>
      </w:r>
      <w:r>
        <w:rPr>
          <w:szCs w:val="21"/>
        </w:rPr>
        <w:t>，</w:t>
      </w:r>
      <w:r>
        <w:rPr>
          <w:b/>
          <w:bCs/>
        </w:rPr>
        <w:t>若漏项或不逐条应答视为负偏离。</w:t>
      </w:r>
      <w:r>
        <w:rPr>
          <w:szCs w:val="21"/>
        </w:rPr>
        <w:t>以服务所能达到的内容予以填写，而</w:t>
      </w:r>
      <w:r>
        <w:rPr>
          <w:b/>
          <w:bCs/>
          <w:szCs w:val="21"/>
        </w:rPr>
        <w:t>不应通过简单拷贝</w:t>
      </w:r>
      <w:r>
        <w:rPr>
          <w:rFonts w:hint="eastAsia"/>
          <w:b/>
          <w:bCs/>
          <w:szCs w:val="21"/>
        </w:rPr>
        <w:t>采购</w:t>
      </w:r>
      <w:r>
        <w:rPr>
          <w:b/>
          <w:bCs/>
          <w:szCs w:val="21"/>
        </w:rPr>
        <w:t>文件技术要求作为响应内容</w:t>
      </w:r>
      <w:r>
        <w:rPr>
          <w:szCs w:val="21"/>
        </w:rPr>
        <w:t>。</w:t>
      </w:r>
    </w:p>
    <w:p>
      <w:pPr>
        <w:spacing w:line="440" w:lineRule="exact"/>
        <w:ind w:firstLine="420"/>
        <w:rPr>
          <w:rFonts w:ascii="Arial" w:hAnsi="Arial" w:cs="Arial"/>
          <w:b/>
          <w:bCs/>
          <w:szCs w:val="21"/>
        </w:rPr>
      </w:pPr>
      <w:r>
        <w:rPr>
          <w:rFonts w:ascii="Arial" w:hAnsi="Arial" w:cs="Arial"/>
          <w:szCs w:val="21"/>
        </w:rPr>
        <w:t>2、响应文件“响应具体情况",指所投产品和服务的技术应答情况。“说明”栏请注明“响应/正偏离/负偏离”，并且标注针对“★”和“▲”技术规格响应的证明文件在响应文件中的页码及具体位置。</w:t>
      </w:r>
    </w:p>
    <w:p>
      <w:pPr>
        <w:spacing w:line="440" w:lineRule="exact"/>
        <w:ind w:firstLine="420"/>
        <w:rPr>
          <w:rFonts w:ascii="Arial" w:hAnsi="Arial" w:cs="Arial"/>
          <w:b/>
          <w:bCs/>
          <w:szCs w:val="21"/>
        </w:rPr>
      </w:pPr>
      <w:r>
        <w:rPr>
          <w:rFonts w:ascii="Arial" w:hAnsi="Arial" w:cs="Arial"/>
          <w:szCs w:val="21"/>
        </w:rPr>
        <w:t>3、</w:t>
      </w:r>
      <w:r>
        <w:rPr>
          <w:rFonts w:ascii="Arial" w:hAnsi="Arial" w:cs="Arial"/>
          <w:b/>
          <w:bCs/>
          <w:szCs w:val="21"/>
        </w:rPr>
        <w:t>供应商投标规格和采购规格不一致，而供应商却在此表应答为响应或正偏离时，必须提供充分理由说明（不提供或理由不充分将视为负偏离）；因此种情况在验收时产生争议，采购人有权按照采购文件的原始标准进行验收。</w:t>
      </w:r>
    </w:p>
    <w:p>
      <w:pPr>
        <w:spacing w:line="440" w:lineRule="exact"/>
        <w:ind w:firstLine="420"/>
        <w:rPr>
          <w:rFonts w:ascii="Arial" w:hAnsi="Arial" w:cs="Arial"/>
          <w:b/>
          <w:bCs/>
          <w:sz w:val="24"/>
          <w:szCs w:val="22"/>
        </w:rPr>
      </w:pPr>
      <w:r>
        <w:rPr>
          <w:rFonts w:ascii="Arial" w:hAnsi="Arial" w:cs="Arial"/>
          <w:szCs w:val="21"/>
        </w:rPr>
        <w:t>4、如果行数不够，请自行增加。</w:t>
      </w:r>
      <w:r>
        <w:rPr>
          <w:rFonts w:ascii="Arial" w:hAnsi="Arial" w:cs="Arial"/>
          <w:b/>
          <w:bCs/>
          <w:sz w:val="24"/>
          <w:szCs w:val="22"/>
        </w:rPr>
        <w:br w:type="page" w:clear="all"/>
      </w:r>
      <w:bookmarkEnd w:id="277"/>
    </w:p>
    <w:p>
      <w:pPr>
        <w:rPr>
          <w:b/>
          <w:bCs/>
          <w:sz w:val="24"/>
          <w:szCs w:val="22"/>
        </w:rPr>
      </w:pPr>
      <w:bookmarkStart w:id="278" w:name="_Toc27879"/>
    </w:p>
    <w:p>
      <w:pPr>
        <w:spacing w:line="360" w:lineRule="auto"/>
        <w:outlineLvl w:val="1"/>
        <w:rPr>
          <w:b/>
          <w:bCs/>
          <w:sz w:val="24"/>
          <w:szCs w:val="22"/>
        </w:rPr>
      </w:pPr>
      <w:bookmarkStart w:id="279" w:name="_Toc24049"/>
      <w:r>
        <w:rPr>
          <w:b/>
          <w:bCs/>
          <w:sz w:val="24"/>
          <w:szCs w:val="22"/>
        </w:rPr>
        <w:t>附件六 政府采购政策</w:t>
      </w:r>
      <w:bookmarkEnd w:id="278"/>
      <w:bookmarkEnd w:id="279"/>
    </w:p>
    <w:p>
      <w:pPr>
        <w:spacing w:before="193" w:line="360" w:lineRule="auto"/>
        <w:ind w:left="36" w:right="158" w:firstLine="640"/>
        <w:jc w:val="center"/>
        <w:rPr>
          <w:b/>
          <w:bCs/>
          <w:spacing w:val="-2"/>
          <w:szCs w:val="21"/>
        </w:rPr>
      </w:pPr>
      <w:bookmarkStart w:id="280" w:name="_Toc3219"/>
      <w:bookmarkStart w:id="281" w:name="_Toc17453"/>
      <w:bookmarkStart w:id="282" w:name="_Toc19381"/>
      <w:bookmarkStart w:id="283" w:name="_Toc11811"/>
      <w:bookmarkStart w:id="284" w:name="_Toc28798"/>
      <w:bookmarkStart w:id="285" w:name="_Toc21802"/>
      <w:bookmarkStart w:id="286" w:name="_Toc17125"/>
      <w:bookmarkStart w:id="287" w:name="_Toc337"/>
      <w:r>
        <w:rPr>
          <w:b/>
          <w:bCs/>
          <w:spacing w:val="-2"/>
          <w:szCs w:val="21"/>
        </w:rPr>
        <w:t>（一）《中小企业声明函》</w:t>
      </w:r>
      <w:bookmarkEnd w:id="280"/>
      <w:bookmarkEnd w:id="281"/>
      <w:bookmarkEnd w:id="282"/>
      <w:bookmarkEnd w:id="283"/>
      <w:bookmarkEnd w:id="284"/>
      <w:bookmarkEnd w:id="285"/>
      <w:bookmarkEnd w:id="286"/>
    </w:p>
    <w:p>
      <w:pPr>
        <w:pStyle w:val="48"/>
        <w:ind w:firstLine="0"/>
        <w:jc w:val="center"/>
        <w:rPr>
          <w:rFonts w:ascii="Arial" w:hAnsi="Arial" w:cs="Arial"/>
          <w:spacing w:val="6"/>
        </w:rPr>
      </w:pPr>
      <w:r>
        <w:rPr>
          <w:rFonts w:ascii="Arial" w:hAnsi="Arial" w:cs="Arial"/>
          <w:b/>
          <w:sz w:val="30"/>
          <w:szCs w:val="30"/>
        </w:rPr>
        <w:t>【不属于小微企业的无需填写、递交】</w:t>
      </w:r>
    </w:p>
    <w:p>
      <w:pPr>
        <w:widowControl/>
        <w:ind w:left="425"/>
        <w:jc w:val="center"/>
        <w:rPr>
          <w:b/>
          <w:bCs/>
          <w:sz w:val="24"/>
          <w:szCs w:val="24"/>
        </w:rPr>
      </w:pPr>
      <w:r>
        <w:rPr>
          <w:b/>
          <w:bCs/>
          <w:sz w:val="24"/>
          <w:szCs w:val="24"/>
        </w:rPr>
        <w:t>中小企业声明函（服务）</w:t>
      </w:r>
    </w:p>
    <w:p>
      <w:pPr>
        <w:spacing w:before="193" w:line="360" w:lineRule="auto"/>
        <w:ind w:left="36" w:right="158" w:firstLine="640"/>
        <w:rPr>
          <w:szCs w:val="21"/>
        </w:rPr>
      </w:pPr>
      <w:r>
        <w:rPr>
          <w:spacing w:val="-4"/>
          <w:szCs w:val="21"/>
        </w:rPr>
        <w:t>本公司（联合体）郑重声明</w:t>
      </w:r>
      <w:r>
        <w:rPr>
          <w:spacing w:val="-99"/>
          <w:szCs w:val="21"/>
        </w:rPr>
        <w:t xml:space="preserve"> </w:t>
      </w:r>
      <w:r>
        <w:rPr>
          <w:spacing w:val="-4"/>
          <w:szCs w:val="21"/>
        </w:rPr>
        <w:t>，根据《政府采购促进中小</w:t>
      </w:r>
      <w:r>
        <w:rPr>
          <w:spacing w:val="-140"/>
          <w:szCs w:val="21"/>
        </w:rPr>
        <w:t xml:space="preserve"> </w:t>
      </w:r>
      <w:r>
        <w:rPr>
          <w:spacing w:val="-17"/>
          <w:szCs w:val="21"/>
        </w:rPr>
        <w:t>企业发展管理办法》（财库</w:t>
      </w:r>
      <w:r>
        <w:rPr>
          <w:spacing w:val="-32"/>
          <w:szCs w:val="21"/>
        </w:rPr>
        <w:t xml:space="preserve"> </w:t>
      </w:r>
      <w:r>
        <w:rPr>
          <w:spacing w:val="-17"/>
          <w:szCs w:val="21"/>
        </w:rPr>
        <w:t>﹝2020 ﹞46</w:t>
      </w:r>
      <w:r>
        <w:rPr>
          <w:spacing w:val="-48"/>
          <w:szCs w:val="21"/>
        </w:rPr>
        <w:t xml:space="preserve"> </w:t>
      </w:r>
      <w:r>
        <w:rPr>
          <w:spacing w:val="-17"/>
          <w:szCs w:val="21"/>
        </w:rPr>
        <w:t>号）的规定</w:t>
      </w:r>
      <w:r>
        <w:rPr>
          <w:spacing w:val="-114"/>
          <w:szCs w:val="21"/>
        </w:rPr>
        <w:t xml:space="preserve"> </w:t>
      </w:r>
      <w:r>
        <w:rPr>
          <w:spacing w:val="-17"/>
          <w:szCs w:val="21"/>
        </w:rPr>
        <w:t>，</w:t>
      </w:r>
      <w:r>
        <w:rPr>
          <w:spacing w:val="-133"/>
          <w:szCs w:val="21"/>
        </w:rPr>
        <w:t xml:space="preserve"> </w:t>
      </w:r>
      <w:r>
        <w:rPr>
          <w:spacing w:val="-17"/>
          <w:szCs w:val="21"/>
        </w:rPr>
        <w:t>本公司</w:t>
      </w:r>
      <w:r>
        <w:rPr>
          <w:spacing w:val="-137"/>
          <w:szCs w:val="21"/>
        </w:rPr>
        <w:t xml:space="preserve"> </w:t>
      </w:r>
      <w:r>
        <w:rPr>
          <w:spacing w:val="-15"/>
          <w:szCs w:val="21"/>
        </w:rPr>
        <w:t>（联合体）参加</w:t>
      </w:r>
      <w:r>
        <w:rPr>
          <w:spacing w:val="-74"/>
          <w:szCs w:val="21"/>
          <w:u w:val="single"/>
        </w:rPr>
        <w:t xml:space="preserve"> </w:t>
      </w:r>
      <w:r>
        <w:rPr>
          <w:iCs/>
          <w:spacing w:val="-15"/>
          <w:szCs w:val="21"/>
          <w:u w:val="single"/>
        </w:rPr>
        <w:t>（单位名称）</w:t>
      </w:r>
      <w:r>
        <w:rPr>
          <w:spacing w:val="-15"/>
          <w:szCs w:val="21"/>
        </w:rPr>
        <w:t>的</w:t>
      </w:r>
      <w:r>
        <w:rPr>
          <w:spacing w:val="-83"/>
          <w:szCs w:val="21"/>
          <w:u w:val="single"/>
        </w:rPr>
        <w:t xml:space="preserve"> </w:t>
      </w:r>
      <w:r>
        <w:rPr>
          <w:iCs/>
          <w:spacing w:val="-15"/>
          <w:szCs w:val="21"/>
          <w:u w:val="single"/>
        </w:rPr>
        <w:t>（项目名称）</w:t>
      </w:r>
      <w:r>
        <w:rPr>
          <w:spacing w:val="-15"/>
          <w:szCs w:val="21"/>
        </w:rPr>
        <w:t>采购活动</w:t>
      </w:r>
      <w:r>
        <w:rPr>
          <w:spacing w:val="-114"/>
          <w:szCs w:val="21"/>
        </w:rPr>
        <w:t xml:space="preserve"> </w:t>
      </w:r>
      <w:r>
        <w:rPr>
          <w:spacing w:val="-15"/>
          <w:szCs w:val="21"/>
        </w:rPr>
        <w:t>，</w:t>
      </w:r>
      <w:r>
        <w:rPr>
          <w:spacing w:val="-133"/>
          <w:szCs w:val="21"/>
        </w:rPr>
        <w:t xml:space="preserve"> </w:t>
      </w:r>
      <w:r>
        <w:rPr>
          <w:spacing w:val="-15"/>
          <w:szCs w:val="21"/>
        </w:rPr>
        <w:t>工</w:t>
      </w:r>
      <w:r>
        <w:rPr>
          <w:spacing w:val="-140"/>
          <w:szCs w:val="21"/>
        </w:rPr>
        <w:t xml:space="preserve"> </w:t>
      </w:r>
      <w:r>
        <w:rPr>
          <w:spacing w:val="-4"/>
          <w:szCs w:val="21"/>
        </w:rPr>
        <w:t>程的施工单位</w:t>
      </w:r>
      <w:r>
        <w:rPr>
          <w:b/>
          <w:bCs/>
          <w:spacing w:val="-4"/>
          <w:szCs w:val="21"/>
        </w:rPr>
        <w:t>全部</w:t>
      </w:r>
      <w:r>
        <w:rPr>
          <w:spacing w:val="-4"/>
          <w:szCs w:val="21"/>
        </w:rPr>
        <w:t>为符合政策要求的中小企业（或者</w:t>
      </w:r>
      <w:r>
        <w:rPr>
          <w:spacing w:val="-95"/>
          <w:szCs w:val="21"/>
        </w:rPr>
        <w:t xml:space="preserve"> </w:t>
      </w:r>
      <w:r>
        <w:rPr>
          <w:spacing w:val="-4"/>
          <w:szCs w:val="21"/>
        </w:rPr>
        <w:t>：服务</w:t>
      </w:r>
      <w:r>
        <w:rPr>
          <w:b/>
          <w:bCs/>
          <w:spacing w:val="-135"/>
          <w:szCs w:val="21"/>
        </w:rPr>
        <w:t xml:space="preserve"> </w:t>
      </w:r>
      <w:r>
        <w:rPr>
          <w:b/>
          <w:bCs/>
          <w:spacing w:val="-2"/>
          <w:szCs w:val="21"/>
        </w:rPr>
        <w:t>全部</w:t>
      </w:r>
      <w:r>
        <w:rPr>
          <w:spacing w:val="-2"/>
          <w:szCs w:val="21"/>
        </w:rPr>
        <w:t>由符合政策要求的中小企业承接）。相关企业</w:t>
      </w:r>
      <w:r>
        <w:rPr>
          <w:spacing w:val="-147"/>
          <w:szCs w:val="21"/>
        </w:rPr>
        <w:t xml:space="preserve"> </w:t>
      </w:r>
      <w:r>
        <w:rPr>
          <w:spacing w:val="-2"/>
          <w:szCs w:val="21"/>
        </w:rPr>
        <w:t>（含联合</w:t>
      </w:r>
      <w:r>
        <w:rPr>
          <w:spacing w:val="-135"/>
          <w:szCs w:val="21"/>
        </w:rPr>
        <w:t xml:space="preserve"> </w:t>
      </w:r>
      <w:r>
        <w:rPr>
          <w:spacing w:val="-5"/>
          <w:szCs w:val="21"/>
        </w:rPr>
        <w:t>体中的中小企业</w:t>
      </w:r>
      <w:r>
        <w:rPr>
          <w:spacing w:val="-91"/>
          <w:szCs w:val="21"/>
        </w:rPr>
        <w:t xml:space="preserve"> </w:t>
      </w:r>
      <w:r>
        <w:rPr>
          <w:spacing w:val="-5"/>
          <w:szCs w:val="21"/>
        </w:rPr>
        <w:t>、</w:t>
      </w:r>
      <w:r>
        <w:rPr>
          <w:spacing w:val="-136"/>
          <w:szCs w:val="21"/>
        </w:rPr>
        <w:t xml:space="preserve"> </w:t>
      </w:r>
      <w:r>
        <w:rPr>
          <w:spacing w:val="-5"/>
          <w:szCs w:val="21"/>
        </w:rPr>
        <w:t>签订分包意向协议的中小企业）的具体情</w:t>
      </w:r>
      <w:r>
        <w:rPr>
          <w:spacing w:val="-137"/>
          <w:szCs w:val="21"/>
        </w:rPr>
        <w:t xml:space="preserve"> </w:t>
      </w:r>
      <w:r>
        <w:rPr>
          <w:spacing w:val="-6"/>
          <w:szCs w:val="21"/>
        </w:rPr>
        <w:t>况如下</w:t>
      </w:r>
      <w:r>
        <w:rPr>
          <w:spacing w:val="-114"/>
          <w:szCs w:val="21"/>
        </w:rPr>
        <w:t xml:space="preserve"> </w:t>
      </w:r>
      <w:r>
        <w:rPr>
          <w:spacing w:val="-6"/>
          <w:szCs w:val="21"/>
        </w:rPr>
        <w:t>：</w:t>
      </w:r>
    </w:p>
    <w:p>
      <w:pPr>
        <w:spacing w:before="191" w:line="360" w:lineRule="auto"/>
        <w:ind w:firstLine="689"/>
        <w:rPr>
          <w:rFonts w:hint="eastAsia" w:ascii="宋体" w:hAnsi="宋体" w:cs="宋体"/>
          <w:szCs w:val="21"/>
        </w:rPr>
      </w:pPr>
      <w:r>
        <w:rPr>
          <w:spacing w:val="-4"/>
          <w:szCs w:val="21"/>
        </w:rPr>
        <w:t>1、</w:t>
      </w:r>
      <w:r>
        <w:rPr>
          <w:spacing w:val="-4"/>
          <w:szCs w:val="21"/>
          <w:u w:val="single"/>
        </w:rPr>
        <w:t>（标的名称）</w:t>
      </w:r>
      <w:r>
        <w:rPr>
          <w:spacing w:val="-4"/>
          <w:szCs w:val="21"/>
        </w:rPr>
        <w:t>，属于</w:t>
      </w:r>
      <w:r>
        <w:rPr>
          <w:spacing w:val="-4"/>
          <w:szCs w:val="21"/>
          <w:u w:val="single"/>
        </w:rPr>
        <w:t>（采购文件中明确的所属行业）</w:t>
      </w:r>
      <w:r>
        <w:rPr>
          <w:spacing w:val="-4"/>
          <w:szCs w:val="21"/>
        </w:rPr>
        <w:t>行业</w:t>
      </w:r>
      <w:r>
        <w:rPr>
          <w:rFonts w:hint="eastAsia" w:ascii="宋体" w:hAnsi="宋体" w:cs="宋体"/>
          <w:spacing w:val="-19"/>
          <w:szCs w:val="21"/>
        </w:rPr>
        <w:t>；</w:t>
      </w:r>
      <w:r>
        <w:rPr>
          <w:rFonts w:hint="eastAsia" w:ascii="宋体" w:hAnsi="宋体" w:cs="宋体"/>
          <w:spacing w:val="-5"/>
          <w:szCs w:val="21"/>
        </w:rPr>
        <w:t>承建</w:t>
      </w:r>
      <w:r>
        <w:rPr>
          <w:rFonts w:hint="eastAsia" w:ascii="宋体" w:hAnsi="宋体" w:cs="宋体"/>
          <w:spacing w:val="-155"/>
          <w:szCs w:val="21"/>
        </w:rPr>
        <w:t xml:space="preserve"> </w:t>
      </w:r>
      <w:r>
        <w:rPr>
          <w:rFonts w:hint="eastAsia" w:ascii="宋体" w:hAnsi="宋体" w:cs="宋体"/>
          <w:spacing w:val="-5"/>
          <w:szCs w:val="21"/>
        </w:rPr>
        <w:t>（承接）企业为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从业人员</w:t>
      </w:r>
      <w:r>
        <w:rPr>
          <w:spacing w:val="-4"/>
          <w:szCs w:val="21"/>
          <w:u w:val="single"/>
        </w:rPr>
        <w:t xml:space="preserve">   </w:t>
      </w:r>
      <w:r>
        <w:rPr>
          <w:spacing w:val="-4"/>
          <w:szCs w:val="21"/>
        </w:rPr>
        <w:t>人， 营业收入为</w:t>
      </w:r>
      <w:r>
        <w:rPr>
          <w:spacing w:val="-4"/>
          <w:szCs w:val="21"/>
          <w:u w:val="single"/>
        </w:rPr>
        <w:t xml:space="preserve">    </w:t>
      </w:r>
      <w:r>
        <w:rPr>
          <w:spacing w:val="-4"/>
          <w:szCs w:val="21"/>
        </w:rPr>
        <w:t>万元，资产总额为</w:t>
      </w:r>
      <w:r>
        <w:rPr>
          <w:spacing w:val="-4"/>
          <w:szCs w:val="21"/>
          <w:u w:val="single"/>
        </w:rPr>
        <w:t xml:space="preserve">    </w:t>
      </w:r>
      <w:r>
        <w:rPr>
          <w:spacing w:val="-4"/>
          <w:szCs w:val="21"/>
        </w:rPr>
        <w:t>万元</w:t>
      </w:r>
      <w:r>
        <w:rPr>
          <w:rFonts w:hint="eastAsia" w:ascii="宋体" w:hAnsi="宋体" w:cs="宋体"/>
          <w:spacing w:val="-7"/>
          <w:szCs w:val="21"/>
        </w:rPr>
        <w:t>，</w:t>
      </w:r>
      <w:r>
        <w:rPr>
          <w:spacing w:val="-4"/>
          <w:szCs w:val="21"/>
        </w:rPr>
        <w:t>属于</w:t>
      </w:r>
      <w:r>
        <w:rPr>
          <w:rFonts w:hint="eastAsia" w:ascii="宋体" w:hAnsi="宋体"/>
          <w:sz w:val="24"/>
          <w:szCs w:val="24"/>
          <w:u w:val="single"/>
        </w:rPr>
        <w:t>（□</w:t>
      </w:r>
      <w:r>
        <w:rPr>
          <w:rFonts w:hint="eastAsia" w:ascii="宋体" w:hAnsi="宋体"/>
          <w:sz w:val="22"/>
          <w:szCs w:val="22"/>
          <w:u w:val="single"/>
        </w:rPr>
        <w:t>中型企业</w:t>
      </w:r>
      <w:r>
        <w:rPr>
          <w:rFonts w:hint="eastAsia" w:ascii="宋体" w:hAnsi="宋体"/>
          <w:sz w:val="24"/>
          <w:szCs w:val="24"/>
          <w:u w:val="single"/>
        </w:rPr>
        <w:t xml:space="preserve"> □</w:t>
      </w:r>
      <w:r>
        <w:rPr>
          <w:rFonts w:hint="eastAsia" w:ascii="宋体" w:hAnsi="宋体"/>
          <w:sz w:val="22"/>
          <w:szCs w:val="22"/>
          <w:u w:val="single"/>
        </w:rPr>
        <w:t>小型企业</w:t>
      </w:r>
      <w:r>
        <w:rPr>
          <w:rFonts w:hint="eastAsia" w:ascii="宋体" w:hAnsi="宋体"/>
          <w:sz w:val="24"/>
          <w:szCs w:val="24"/>
          <w:u w:val="single"/>
        </w:rPr>
        <w:t xml:space="preserve"> □</w:t>
      </w:r>
      <w:r>
        <w:rPr>
          <w:rFonts w:hint="eastAsia" w:ascii="宋体" w:hAnsi="宋体"/>
          <w:sz w:val="22"/>
          <w:szCs w:val="22"/>
          <w:u w:val="single"/>
        </w:rPr>
        <w:t>微型企业</w:t>
      </w:r>
      <w:r>
        <w:rPr>
          <w:rFonts w:hint="eastAsia" w:ascii="宋体" w:hAnsi="宋体"/>
          <w:sz w:val="24"/>
          <w:szCs w:val="24"/>
          <w:u w:val="single"/>
        </w:rPr>
        <w:t>）</w:t>
      </w:r>
      <w:r>
        <w:rPr>
          <w:rFonts w:hint="eastAsia" w:ascii="宋体" w:hAnsi="宋体" w:cs="宋体"/>
          <w:spacing w:val="-5"/>
          <w:szCs w:val="21"/>
        </w:rPr>
        <w:t>；</w:t>
      </w:r>
    </w:p>
    <w:p>
      <w:pPr>
        <w:spacing w:line="360" w:lineRule="auto"/>
        <w:ind w:left="18" w:firstLine="651"/>
        <w:rPr>
          <w:rFonts w:hint="eastAsia" w:ascii="宋体" w:hAnsi="宋体" w:cs="宋体"/>
          <w:szCs w:val="21"/>
        </w:rPr>
      </w:pPr>
      <w:r>
        <w:rPr>
          <w:rFonts w:hint="eastAsia" w:ascii="宋体" w:hAnsi="宋体" w:cs="宋体"/>
          <w:spacing w:val="-15"/>
          <w:szCs w:val="21"/>
        </w:rPr>
        <w:t>2</w:t>
      </w:r>
      <w:r>
        <w:rPr>
          <w:rFonts w:hint="eastAsia" w:ascii="宋体" w:hAnsi="宋体" w:cs="宋体"/>
          <w:spacing w:val="-138"/>
          <w:szCs w:val="21"/>
        </w:rPr>
        <w:t xml:space="preserve"> </w:t>
      </w:r>
      <w:r>
        <w:rPr>
          <w:rFonts w:hint="eastAsia" w:ascii="宋体" w:hAnsi="宋体" w:cs="宋体"/>
          <w:spacing w:val="-15"/>
          <w:szCs w:val="21"/>
        </w:rPr>
        <w:t>.</w:t>
      </w:r>
      <w:r>
        <w:rPr>
          <w:spacing w:val="-4"/>
          <w:szCs w:val="21"/>
          <w:u w:val="single"/>
        </w:rPr>
        <w:t>（标的名称）</w:t>
      </w:r>
      <w:r>
        <w:rPr>
          <w:spacing w:val="-4"/>
          <w:szCs w:val="21"/>
        </w:rPr>
        <w:t>，属于</w:t>
      </w:r>
      <w:r>
        <w:rPr>
          <w:spacing w:val="-4"/>
          <w:szCs w:val="21"/>
          <w:u w:val="single"/>
        </w:rPr>
        <w:t>（采购文件中明确的所属行业）</w:t>
      </w:r>
      <w:r>
        <w:rPr>
          <w:spacing w:val="-4"/>
          <w:szCs w:val="21"/>
        </w:rPr>
        <w:t>行业</w:t>
      </w:r>
      <w:r>
        <w:rPr>
          <w:rFonts w:hint="eastAsia" w:ascii="宋体" w:hAnsi="宋体" w:cs="宋体"/>
          <w:spacing w:val="-19"/>
          <w:szCs w:val="21"/>
        </w:rPr>
        <w:t>；</w:t>
      </w:r>
      <w:r>
        <w:rPr>
          <w:rFonts w:hint="eastAsia" w:ascii="宋体" w:hAnsi="宋体" w:cs="宋体"/>
          <w:spacing w:val="-5"/>
          <w:szCs w:val="21"/>
        </w:rPr>
        <w:t>承建</w:t>
      </w:r>
      <w:r>
        <w:rPr>
          <w:rFonts w:hint="eastAsia" w:ascii="宋体" w:hAnsi="宋体" w:cs="宋体"/>
          <w:spacing w:val="-155"/>
          <w:szCs w:val="21"/>
        </w:rPr>
        <w:t xml:space="preserve"> </w:t>
      </w:r>
      <w:r>
        <w:rPr>
          <w:rFonts w:hint="eastAsia" w:ascii="宋体" w:hAnsi="宋体" w:cs="宋体"/>
          <w:spacing w:val="-5"/>
          <w:szCs w:val="21"/>
        </w:rPr>
        <w:t>（承接）企业为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从业人员</w:t>
      </w:r>
      <w:r>
        <w:rPr>
          <w:spacing w:val="-4"/>
          <w:szCs w:val="21"/>
          <w:u w:val="single"/>
        </w:rPr>
        <w:t xml:space="preserve">   </w:t>
      </w:r>
      <w:r>
        <w:rPr>
          <w:spacing w:val="-4"/>
          <w:szCs w:val="21"/>
        </w:rPr>
        <w:t>人， 营业收入为</w:t>
      </w:r>
      <w:r>
        <w:rPr>
          <w:spacing w:val="-4"/>
          <w:szCs w:val="21"/>
          <w:u w:val="single"/>
        </w:rPr>
        <w:t xml:space="preserve">    </w:t>
      </w:r>
      <w:r>
        <w:rPr>
          <w:spacing w:val="-4"/>
          <w:szCs w:val="21"/>
        </w:rPr>
        <w:t>万元，资产总额为</w:t>
      </w:r>
      <w:r>
        <w:rPr>
          <w:spacing w:val="-4"/>
          <w:szCs w:val="21"/>
          <w:u w:val="single"/>
        </w:rPr>
        <w:t xml:space="preserve">    </w:t>
      </w:r>
      <w:r>
        <w:rPr>
          <w:spacing w:val="-4"/>
          <w:szCs w:val="21"/>
        </w:rPr>
        <w:t>万元</w:t>
      </w:r>
      <w:r>
        <w:rPr>
          <w:rFonts w:hint="eastAsia" w:ascii="宋体" w:hAnsi="宋体" w:cs="宋体"/>
          <w:spacing w:val="-7"/>
          <w:szCs w:val="21"/>
        </w:rPr>
        <w:t>，</w:t>
      </w:r>
      <w:r>
        <w:rPr>
          <w:spacing w:val="-4"/>
          <w:szCs w:val="21"/>
        </w:rPr>
        <w:t>属于</w:t>
      </w:r>
      <w:r>
        <w:rPr>
          <w:rFonts w:hint="eastAsia" w:ascii="宋体" w:hAnsi="宋体"/>
          <w:sz w:val="24"/>
          <w:szCs w:val="24"/>
          <w:u w:val="single"/>
        </w:rPr>
        <w:t>（□</w:t>
      </w:r>
      <w:r>
        <w:rPr>
          <w:rFonts w:hint="eastAsia" w:ascii="宋体" w:hAnsi="宋体"/>
          <w:sz w:val="22"/>
          <w:szCs w:val="22"/>
          <w:u w:val="single"/>
        </w:rPr>
        <w:t>中型企业</w:t>
      </w:r>
      <w:r>
        <w:rPr>
          <w:rFonts w:hint="eastAsia" w:ascii="宋体" w:hAnsi="宋体"/>
          <w:sz w:val="24"/>
          <w:szCs w:val="24"/>
          <w:u w:val="single"/>
        </w:rPr>
        <w:t xml:space="preserve"> □</w:t>
      </w:r>
      <w:r>
        <w:rPr>
          <w:rFonts w:hint="eastAsia" w:ascii="宋体" w:hAnsi="宋体"/>
          <w:sz w:val="22"/>
          <w:szCs w:val="22"/>
          <w:u w:val="single"/>
        </w:rPr>
        <w:t>小型企业</w:t>
      </w:r>
      <w:r>
        <w:rPr>
          <w:rFonts w:hint="eastAsia" w:ascii="宋体" w:hAnsi="宋体"/>
          <w:sz w:val="24"/>
          <w:szCs w:val="24"/>
          <w:u w:val="single"/>
        </w:rPr>
        <w:t xml:space="preserve"> □</w:t>
      </w:r>
      <w:r>
        <w:rPr>
          <w:rFonts w:hint="eastAsia" w:ascii="宋体" w:hAnsi="宋体"/>
          <w:sz w:val="22"/>
          <w:szCs w:val="22"/>
          <w:u w:val="single"/>
        </w:rPr>
        <w:t>微型企业</w:t>
      </w:r>
      <w:r>
        <w:rPr>
          <w:rFonts w:hint="eastAsia" w:ascii="宋体" w:hAnsi="宋体"/>
          <w:sz w:val="24"/>
          <w:szCs w:val="24"/>
          <w:u w:val="single"/>
        </w:rPr>
        <w:t>）</w:t>
      </w:r>
      <w:r>
        <w:rPr>
          <w:rFonts w:hint="eastAsia" w:ascii="宋体" w:hAnsi="宋体" w:cs="宋体"/>
          <w:spacing w:val="-5"/>
          <w:szCs w:val="21"/>
        </w:rPr>
        <w:t>；</w:t>
      </w:r>
    </w:p>
    <w:p>
      <w:pPr>
        <w:spacing w:before="132" w:line="360" w:lineRule="auto"/>
        <w:ind w:firstLine="688"/>
        <w:rPr>
          <w:rFonts w:hint="eastAsia" w:ascii="宋体" w:hAnsi="宋体" w:cs="宋体"/>
          <w:szCs w:val="21"/>
        </w:rPr>
      </w:pPr>
      <w:r>
        <w:rPr>
          <w:rFonts w:hint="eastAsia" w:ascii="宋体" w:hAnsi="宋体" w:cs="宋体"/>
          <w:spacing w:val="-18"/>
          <w:position w:val="-7"/>
          <w:szCs w:val="21"/>
        </w:rPr>
        <w:t>……</w:t>
      </w:r>
    </w:p>
    <w:p>
      <w:pPr>
        <w:spacing w:before="244" w:line="360" w:lineRule="auto"/>
        <w:ind w:left="35" w:right="160" w:firstLine="678"/>
        <w:rPr>
          <w:spacing w:val="-12"/>
          <w:szCs w:val="21"/>
        </w:rPr>
      </w:pPr>
      <w:r>
        <w:rPr>
          <w:spacing w:val="-7"/>
          <w:szCs w:val="21"/>
        </w:rPr>
        <w:t>以上企业</w:t>
      </w:r>
      <w:r>
        <w:rPr>
          <w:spacing w:val="-112"/>
          <w:szCs w:val="21"/>
        </w:rPr>
        <w:t xml:space="preserve"> </w:t>
      </w:r>
      <w:r>
        <w:rPr>
          <w:spacing w:val="-7"/>
          <w:szCs w:val="21"/>
        </w:rPr>
        <w:t>，不属于大企业的分支机构</w:t>
      </w:r>
      <w:r>
        <w:rPr>
          <w:spacing w:val="-116"/>
          <w:szCs w:val="21"/>
        </w:rPr>
        <w:t xml:space="preserve"> </w:t>
      </w:r>
      <w:r>
        <w:rPr>
          <w:spacing w:val="-7"/>
          <w:szCs w:val="21"/>
        </w:rPr>
        <w:t>，不存在控股股东</w:t>
      </w:r>
      <w:r>
        <w:rPr>
          <w:spacing w:val="-138"/>
          <w:szCs w:val="21"/>
        </w:rPr>
        <w:t xml:space="preserve"> </w:t>
      </w:r>
      <w:r>
        <w:rPr>
          <w:spacing w:val="-4"/>
          <w:szCs w:val="21"/>
        </w:rPr>
        <w:t>为大企业的情形</w:t>
      </w:r>
      <w:r>
        <w:rPr>
          <w:spacing w:val="-92"/>
          <w:szCs w:val="21"/>
        </w:rPr>
        <w:t xml:space="preserve"> </w:t>
      </w:r>
      <w:r>
        <w:rPr>
          <w:spacing w:val="-4"/>
          <w:szCs w:val="21"/>
        </w:rPr>
        <w:t>，也不存在与大企业的负责人为同一人的情</w:t>
      </w:r>
      <w:r>
        <w:rPr>
          <w:spacing w:val="-140"/>
          <w:szCs w:val="21"/>
        </w:rPr>
        <w:t xml:space="preserve"> </w:t>
      </w:r>
      <w:r>
        <w:rPr>
          <w:spacing w:val="-12"/>
          <w:szCs w:val="21"/>
        </w:rPr>
        <w:t>形</w:t>
      </w:r>
      <w:r>
        <w:rPr>
          <w:spacing w:val="-113"/>
          <w:szCs w:val="21"/>
        </w:rPr>
        <w:t xml:space="preserve"> </w:t>
      </w:r>
      <w:r>
        <w:rPr>
          <w:spacing w:val="-12"/>
          <w:szCs w:val="21"/>
        </w:rPr>
        <w:t>。</w:t>
      </w:r>
    </w:p>
    <w:p>
      <w:pPr>
        <w:spacing w:before="244" w:line="360" w:lineRule="auto"/>
        <w:ind w:left="35" w:right="160" w:firstLine="678"/>
        <w:rPr>
          <w:spacing w:val="6"/>
          <w:szCs w:val="21"/>
        </w:rPr>
      </w:pPr>
      <w:r>
        <w:rPr>
          <w:spacing w:val="-6"/>
          <w:szCs w:val="21"/>
        </w:rPr>
        <w:t>本企业对上述声明内容的真实性负责</w:t>
      </w:r>
      <w:r>
        <w:rPr>
          <w:spacing w:val="-102"/>
          <w:szCs w:val="21"/>
        </w:rPr>
        <w:t xml:space="preserve"> </w:t>
      </w:r>
      <w:r>
        <w:rPr>
          <w:spacing w:val="-6"/>
          <w:szCs w:val="21"/>
        </w:rPr>
        <w:t>。如有虚假</w:t>
      </w:r>
      <w:r>
        <w:rPr>
          <w:spacing w:val="-114"/>
          <w:szCs w:val="21"/>
        </w:rPr>
        <w:t xml:space="preserve"> </w:t>
      </w:r>
      <w:r>
        <w:rPr>
          <w:spacing w:val="-6"/>
          <w:szCs w:val="21"/>
        </w:rPr>
        <w:t>，将依</w:t>
      </w:r>
      <w:r>
        <w:rPr>
          <w:spacing w:val="-140"/>
          <w:szCs w:val="21"/>
        </w:rPr>
        <w:t xml:space="preserve"> </w:t>
      </w:r>
      <w:r>
        <w:rPr>
          <w:spacing w:val="-5"/>
          <w:szCs w:val="21"/>
        </w:rPr>
        <w:t>法承担相应责任</w:t>
      </w:r>
      <w:r>
        <w:rPr>
          <w:szCs w:val="21"/>
        </w:rPr>
        <w:t>。</w:t>
      </w:r>
      <w:r>
        <w:rPr>
          <w:spacing w:val="6"/>
          <w:szCs w:val="21"/>
        </w:rPr>
        <w:t xml:space="preserve">       </w:t>
      </w:r>
    </w:p>
    <w:p>
      <w:pPr>
        <w:tabs>
          <w:tab w:val="left" w:pos="4860"/>
        </w:tabs>
        <w:spacing w:line="360" w:lineRule="auto"/>
        <w:ind w:right="1560" w:firstLine="444"/>
        <w:jc w:val="right"/>
        <w:rPr>
          <w:spacing w:val="6"/>
          <w:szCs w:val="21"/>
        </w:rPr>
      </w:pPr>
      <w:r>
        <w:rPr>
          <w:spacing w:val="6"/>
          <w:szCs w:val="21"/>
        </w:rPr>
        <w:t>企业名称（盖章）：</w:t>
      </w:r>
    </w:p>
    <w:p>
      <w:pPr>
        <w:tabs>
          <w:tab w:val="left" w:pos="4860"/>
        </w:tabs>
        <w:spacing w:line="360" w:lineRule="auto"/>
        <w:ind w:right="1560" w:firstLine="444"/>
        <w:jc w:val="right"/>
        <w:rPr>
          <w:spacing w:val="6"/>
          <w:szCs w:val="21"/>
        </w:rPr>
      </w:pPr>
      <w:r>
        <w:rPr>
          <w:spacing w:val="6"/>
          <w:szCs w:val="21"/>
        </w:rPr>
        <w:t xml:space="preserve">         日  期：</w:t>
      </w:r>
    </w:p>
    <w:p>
      <w:pPr>
        <w:spacing w:line="360" w:lineRule="auto"/>
        <w:rPr>
          <w:b/>
          <w:bCs/>
          <w:szCs w:val="21"/>
        </w:rPr>
      </w:pPr>
      <w:r>
        <w:rPr>
          <w:b/>
          <w:bCs/>
          <w:szCs w:val="21"/>
        </w:rPr>
        <w:t>备注：</w:t>
      </w:r>
    </w:p>
    <w:p>
      <w:pPr>
        <w:spacing w:line="360" w:lineRule="auto"/>
        <w:ind w:firstLine="422"/>
        <w:rPr>
          <w:b/>
          <w:bCs/>
          <w:szCs w:val="21"/>
        </w:rPr>
      </w:pPr>
      <w:r>
        <w:rPr>
          <w:b/>
          <w:bCs/>
          <w:szCs w:val="21"/>
        </w:rPr>
        <w:t>1</w:t>
      </w:r>
      <w:r>
        <w:rPr>
          <w:rFonts w:hint="eastAsia"/>
          <w:b/>
          <w:bCs/>
          <w:szCs w:val="21"/>
        </w:rPr>
        <w:t>、</w:t>
      </w:r>
      <w:r>
        <w:rPr>
          <w:b/>
          <w:bCs/>
          <w:szCs w:val="21"/>
        </w:rPr>
        <w:t>从业人员、营业收入、资产总额填报上一年度数据，无上一年度数据的新成立企业可不填报。</w:t>
      </w:r>
    </w:p>
    <w:p>
      <w:pPr>
        <w:spacing w:line="360" w:lineRule="auto"/>
        <w:ind w:firstLine="422"/>
        <w:rPr>
          <w:b/>
          <w:bCs/>
          <w:szCs w:val="21"/>
        </w:rPr>
      </w:pPr>
      <w:r>
        <w:rPr>
          <w:rFonts w:hint="eastAsia"/>
          <w:b/>
          <w:bCs/>
          <w:szCs w:val="21"/>
        </w:rPr>
        <w:t>2</w:t>
      </w:r>
      <w:r>
        <w:rPr>
          <w:b/>
          <w:bCs/>
          <w:szCs w:val="21"/>
        </w:rPr>
        <w:t>、</w:t>
      </w:r>
      <w:r>
        <w:rPr>
          <w:b/>
          <w:bCs/>
          <w:spacing w:val="-15"/>
          <w:szCs w:val="21"/>
        </w:rPr>
        <w:t>工</w:t>
      </w:r>
      <w:r>
        <w:rPr>
          <w:b/>
          <w:bCs/>
          <w:spacing w:val="-140"/>
          <w:szCs w:val="21"/>
        </w:rPr>
        <w:t xml:space="preserve"> </w:t>
      </w:r>
      <w:r>
        <w:rPr>
          <w:b/>
          <w:bCs/>
          <w:spacing w:val="-4"/>
          <w:szCs w:val="21"/>
        </w:rPr>
        <w:t>程的施工单位全部为符合政策要求的中小企业（或者</w:t>
      </w:r>
      <w:r>
        <w:rPr>
          <w:b/>
          <w:bCs/>
          <w:spacing w:val="-95"/>
          <w:szCs w:val="21"/>
        </w:rPr>
        <w:t xml:space="preserve"> </w:t>
      </w:r>
      <w:r>
        <w:rPr>
          <w:b/>
          <w:bCs/>
          <w:spacing w:val="-4"/>
          <w:szCs w:val="21"/>
        </w:rPr>
        <w:t>：服务</w:t>
      </w:r>
      <w:r>
        <w:rPr>
          <w:b/>
          <w:bCs/>
          <w:spacing w:val="-135"/>
          <w:szCs w:val="21"/>
        </w:rPr>
        <w:t xml:space="preserve"> </w:t>
      </w:r>
      <w:r>
        <w:rPr>
          <w:b/>
          <w:bCs/>
          <w:spacing w:val="-2"/>
          <w:szCs w:val="21"/>
        </w:rPr>
        <w:t>全部由符合政策要求的中小企业承接）</w:t>
      </w:r>
      <w:r>
        <w:rPr>
          <w:b/>
          <w:bCs/>
          <w:szCs w:val="21"/>
        </w:rPr>
        <w:t>参加本次政府采购项目需提供此声明函</w:t>
      </w:r>
      <w:r>
        <w:rPr>
          <w:lang w:val="zh-CN"/>
        </w:rPr>
        <w:t>（中小企业划型标准详见《关于印发中小企业划型标准规定的通知》工信部联企业〔2011〕300号）</w:t>
      </w:r>
      <w:r>
        <w:rPr>
          <w:b/>
          <w:bCs/>
          <w:szCs w:val="21"/>
        </w:rPr>
        <w:t>。</w:t>
      </w:r>
    </w:p>
    <w:p>
      <w:pPr>
        <w:spacing w:line="360" w:lineRule="auto"/>
        <w:ind w:firstLine="422"/>
        <w:rPr>
          <w:b/>
          <w:bCs/>
          <w:szCs w:val="21"/>
        </w:rPr>
      </w:pPr>
      <w:r>
        <w:rPr>
          <w:rFonts w:hint="eastAsia"/>
          <w:b/>
          <w:bCs/>
          <w:szCs w:val="21"/>
        </w:rPr>
        <w:t>3</w:t>
      </w:r>
      <w:r>
        <w:rPr>
          <w:b/>
          <w:bCs/>
          <w:szCs w:val="21"/>
        </w:rPr>
        <w:t>、专门面向中小微型企业采购的项目，供应商如不提供此声明函，则不能通过资格审查；</w:t>
      </w:r>
    </w:p>
    <w:p>
      <w:pPr>
        <w:tabs>
          <w:tab w:val="left" w:pos="312"/>
        </w:tabs>
        <w:spacing w:line="360" w:lineRule="auto"/>
        <w:ind w:firstLine="422"/>
        <w:jc w:val="left"/>
        <w:rPr>
          <w:b/>
          <w:bCs/>
          <w:szCs w:val="21"/>
        </w:rPr>
      </w:pPr>
      <w:r>
        <w:rPr>
          <w:rFonts w:hint="eastAsia"/>
          <w:b/>
          <w:bCs/>
          <w:szCs w:val="21"/>
        </w:rPr>
        <w:t>4</w:t>
      </w:r>
      <w:r>
        <w:rPr>
          <w:b/>
          <w:bCs/>
          <w:szCs w:val="21"/>
        </w:rPr>
        <w:t>、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pPr>
        <w:spacing w:line="360" w:lineRule="auto"/>
        <w:rPr>
          <w:spacing w:val="6"/>
          <w:szCs w:val="21"/>
        </w:rPr>
      </w:pPr>
      <w:r>
        <w:rPr>
          <w:spacing w:val="6"/>
          <w:szCs w:val="21"/>
        </w:rPr>
        <w:t xml:space="preserve">             </w:t>
      </w:r>
    </w:p>
    <w:p>
      <w:pPr>
        <w:rPr>
          <w:b/>
          <w:bCs/>
          <w:szCs w:val="21"/>
        </w:rPr>
      </w:pPr>
      <w:bookmarkStart w:id="288" w:name="_Toc16761"/>
      <w:bookmarkStart w:id="289" w:name="_Toc28021"/>
      <w:bookmarkStart w:id="290" w:name="_Toc23395"/>
      <w:r>
        <w:rPr>
          <w:b/>
          <w:bCs/>
          <w:szCs w:val="21"/>
        </w:rPr>
        <w:br w:type="page"/>
      </w:r>
    </w:p>
    <w:p>
      <w:pPr>
        <w:jc w:val="center"/>
        <w:rPr>
          <w:b/>
          <w:bCs/>
          <w:szCs w:val="21"/>
        </w:rPr>
      </w:pPr>
      <w:r>
        <w:rPr>
          <w:b/>
          <w:bCs/>
          <w:szCs w:val="21"/>
        </w:rPr>
        <w:t>（二）残疾人福利性单位声明函</w:t>
      </w:r>
      <w:bookmarkEnd w:id="287"/>
      <w:bookmarkEnd w:id="288"/>
      <w:bookmarkEnd w:id="289"/>
      <w:bookmarkEnd w:id="290"/>
    </w:p>
    <w:p>
      <w:pPr>
        <w:pStyle w:val="20"/>
      </w:pPr>
    </w:p>
    <w:p>
      <w:pPr>
        <w:tabs>
          <w:tab w:val="left" w:pos="4860"/>
        </w:tabs>
        <w:spacing w:line="360" w:lineRule="auto"/>
        <w:ind w:right="178" w:firstLine="444"/>
        <w:jc w:val="left"/>
        <w:rPr>
          <w:spacing w:val="6"/>
          <w:szCs w:val="21"/>
        </w:rPr>
      </w:pPr>
      <w:r>
        <w:rPr>
          <w:spacing w:val="6"/>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4860"/>
        </w:tabs>
        <w:spacing w:line="360" w:lineRule="auto"/>
        <w:ind w:right="1560" w:firstLine="444"/>
        <w:jc w:val="left"/>
        <w:rPr>
          <w:spacing w:val="6"/>
          <w:szCs w:val="21"/>
        </w:rPr>
      </w:pPr>
      <w:r>
        <w:rPr>
          <w:spacing w:val="6"/>
          <w:szCs w:val="21"/>
        </w:rPr>
        <w:t>本单位对上述声明的真实性负责。如有虚假，将依法承担相应责任。</w:t>
      </w:r>
    </w:p>
    <w:p>
      <w:pPr>
        <w:tabs>
          <w:tab w:val="left" w:pos="4860"/>
        </w:tabs>
        <w:spacing w:line="360" w:lineRule="auto"/>
        <w:ind w:right="1560" w:firstLine="444"/>
        <w:jc w:val="center"/>
        <w:rPr>
          <w:spacing w:val="6"/>
          <w:szCs w:val="21"/>
        </w:rPr>
      </w:pPr>
    </w:p>
    <w:p>
      <w:pPr>
        <w:tabs>
          <w:tab w:val="left" w:pos="4860"/>
        </w:tabs>
        <w:spacing w:line="360" w:lineRule="auto"/>
        <w:ind w:right="1560" w:firstLine="444"/>
        <w:jc w:val="right"/>
        <w:rPr>
          <w:spacing w:val="6"/>
          <w:szCs w:val="21"/>
        </w:rPr>
      </w:pPr>
      <w:r>
        <w:rPr>
          <w:rFonts w:hint="eastAsia"/>
          <w:spacing w:val="6"/>
          <w:szCs w:val="21"/>
        </w:rPr>
        <w:t xml:space="preserve">    </w:t>
      </w:r>
      <w:r>
        <w:rPr>
          <w:spacing w:val="6"/>
          <w:szCs w:val="21"/>
        </w:rPr>
        <w:t>单位名称（盖章）：</w:t>
      </w:r>
    </w:p>
    <w:p>
      <w:pPr>
        <w:tabs>
          <w:tab w:val="left" w:pos="4860"/>
        </w:tabs>
        <w:spacing w:line="360" w:lineRule="auto"/>
        <w:ind w:right="1560" w:firstLine="444"/>
        <w:jc w:val="right"/>
        <w:rPr>
          <w:spacing w:val="6"/>
          <w:sz w:val="24"/>
          <w:szCs w:val="24"/>
        </w:rPr>
      </w:pPr>
      <w:r>
        <w:rPr>
          <w:spacing w:val="6"/>
          <w:szCs w:val="21"/>
        </w:rPr>
        <w:t xml:space="preserve">日 期： </w:t>
      </w:r>
      <w:r>
        <w:rPr>
          <w:spacing w:val="6"/>
          <w:sz w:val="24"/>
          <w:szCs w:val="24"/>
        </w:rPr>
        <w:t xml:space="preserve">   </w:t>
      </w:r>
    </w:p>
    <w:p>
      <w:pPr>
        <w:rPr>
          <w:rFonts w:hint="eastAsia" w:ascii="宋体" w:hAnsi="宋体" w:cs="宋体"/>
          <w:b/>
          <w:bCs/>
          <w:sz w:val="24"/>
          <w:szCs w:val="22"/>
          <w:lang w:val="zh-CN"/>
        </w:rPr>
      </w:pPr>
      <w:r>
        <w:rPr>
          <w:rFonts w:hint="eastAsia" w:ascii="宋体" w:hAnsi="宋体" w:cs="宋体"/>
          <w:b/>
          <w:bCs/>
          <w:sz w:val="24"/>
          <w:szCs w:val="22"/>
          <w:lang w:val="zh-CN"/>
        </w:rPr>
        <w:br w:type="page" w:clear="all"/>
      </w:r>
    </w:p>
    <w:p>
      <w:pPr>
        <w:jc w:val="center"/>
        <w:rPr>
          <w:b/>
          <w:bCs/>
          <w:szCs w:val="21"/>
        </w:rPr>
      </w:pPr>
      <w:bookmarkStart w:id="291" w:name="_Toc16464"/>
      <w:bookmarkStart w:id="292" w:name="_Toc24515"/>
      <w:bookmarkStart w:id="293" w:name="_Toc5685"/>
      <w:bookmarkStart w:id="294" w:name="_Toc18965"/>
      <w:bookmarkStart w:id="295" w:name="_Toc26426"/>
      <w:bookmarkStart w:id="296" w:name="_Toc15691"/>
      <w:bookmarkStart w:id="297" w:name="_Toc20257"/>
      <w:bookmarkStart w:id="298" w:name="_Toc30259"/>
      <w:r>
        <w:rPr>
          <w:rFonts w:hint="eastAsia"/>
          <w:b/>
          <w:bCs/>
          <w:szCs w:val="21"/>
        </w:rPr>
        <w:t>（三）采购本国产品的支持政策</w:t>
      </w:r>
      <w:bookmarkEnd w:id="291"/>
      <w:bookmarkEnd w:id="292"/>
      <w:bookmarkEnd w:id="293"/>
      <w:bookmarkEnd w:id="294"/>
      <w:bookmarkEnd w:id="295"/>
    </w:p>
    <w:p>
      <w:pPr>
        <w:keepNext/>
        <w:keepLines/>
        <w:spacing w:line="360" w:lineRule="auto"/>
        <w:jc w:val="center"/>
        <w:rPr>
          <w:rFonts w:hint="eastAsia" w:ascii="宋体" w:hAnsi="宋体" w:cs="宋体"/>
          <w:b/>
          <w:color w:val="FF0000"/>
          <w:sz w:val="24"/>
        </w:rPr>
      </w:pPr>
    </w:p>
    <w:p>
      <w:pPr>
        <w:keepNext/>
        <w:keepLines/>
        <w:spacing w:line="360" w:lineRule="auto"/>
        <w:jc w:val="center"/>
        <w:rPr>
          <w:rFonts w:hint="eastAsia" w:ascii="宋体" w:hAnsi="宋体" w:cs="宋体"/>
          <w:b/>
          <w:sz w:val="24"/>
        </w:rPr>
      </w:pPr>
      <w:bookmarkStart w:id="299" w:name="_Toc3682"/>
      <w:bookmarkStart w:id="300" w:name="_Toc24678"/>
      <w:bookmarkStart w:id="301" w:name="_Toc26786"/>
      <w:bookmarkStart w:id="302" w:name="_Toc30239"/>
      <w:r>
        <w:rPr>
          <w:rFonts w:hint="eastAsia" w:ascii="宋体" w:hAnsi="宋体" w:cs="宋体"/>
          <w:b/>
          <w:sz w:val="24"/>
        </w:rPr>
        <w:t>关于符合本国产品标准的声明函</w:t>
      </w:r>
      <w:bookmarkEnd w:id="299"/>
      <w:bookmarkEnd w:id="300"/>
      <w:bookmarkEnd w:id="301"/>
      <w:bookmarkEnd w:id="302"/>
    </w:p>
    <w:p>
      <w:pPr>
        <w:widowControl/>
        <w:spacing w:line="360" w:lineRule="auto"/>
        <w:ind w:firstLine="420"/>
        <w:jc w:val="left"/>
        <w:rPr>
          <w:rFonts w:hint="eastAsia" w:ascii="宋体" w:hAnsi="宋体" w:cs="宋体"/>
          <w:szCs w:val="21"/>
        </w:rPr>
      </w:pPr>
      <w:r>
        <w:rPr>
          <w:rFonts w:hint="eastAsia" w:ascii="宋体" w:hAnsi="宋体" w:cs="宋体"/>
          <w:szCs w:val="21"/>
        </w:rPr>
        <w:t>本公司（单位）郑重声明，根据《国务院办公厅关于在政府采购中实施本国产品标准及相关政策的通知》（国办发〔2025〕34号）的规定，本公司（单位）提供的以下产品属于本国产品。具体情况如下：</w:t>
      </w:r>
    </w:p>
    <w:p>
      <w:pPr>
        <w:widowControl/>
        <w:spacing w:before="30" w:after="30" w:line="360" w:lineRule="auto"/>
        <w:ind w:firstLine="420"/>
        <w:jc w:val="left"/>
        <w:rPr>
          <w:rFonts w:hint="eastAsia" w:ascii="宋体" w:hAnsi="宋体" w:cs="宋体"/>
          <w:szCs w:val="21"/>
        </w:rPr>
      </w:pPr>
      <w:r>
        <w:rPr>
          <w:rFonts w:hint="eastAsia" w:ascii="宋体" w:hAnsi="宋体" w:cs="宋体"/>
          <w:szCs w:val="21"/>
        </w:rPr>
        <w:pict>
          <v:shape id="_x0000_s2050" o:spid="_x0000_s2050" o:spt="32" type="#_x0000_t32" style="position:absolute;left:0pt;flip:y;margin-left:-1.85pt;margin-top:46.3pt;height:6.4pt;width:35pt;z-index:251673600;mso-width-relative:page;mso-height-relative:page;" filled="f" coordsize="21600,21600" o:gfxdata="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3uYwfXAAAACAEAAA8A&#10;AAAAAAAAAQAgAAAAIgAAAGRycy9kb3ducmV2LnhtbFBLAQIUABQAAAAIAIdO4kAEVkqXGAIAABYE&#10;AAAOAAAAAAAAAAEAIAAAACYBAABkcnMvZTJvRG9jLnhtbFBLBQYAAAAABgAGAFkBAACwBQAAAAA=&#10;">
            <v:path arrowok="t"/>
            <v:fill on="f" focussize="0,0"/>
            <v:stroke/>
            <v:imagedata o:title=""/>
            <o:lock v:ext="edit"/>
          </v:shape>
        </w:pict>
      </w:r>
      <w:r>
        <w:rPr>
          <w:rFonts w:hint="eastAsia" w:ascii="宋体" w:hAnsi="宋体" w:cs="宋体"/>
          <w:szCs w:val="21"/>
        </w:rPr>
        <w:pict>
          <v:shape id="直接箭头连接符 21" o:spid="_x0000_s2062" o:spt="32" type="#_x0000_t32" style="position:absolute;left:0pt;flip:y;margin-left:444.3pt;margin-top:24.95pt;height:6.4pt;width:35pt;z-index:251663360;mso-width-relative:page;mso-height-relative:page;" filled="f" coordsize="21600,21600" o:gfxdata="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6zi+u1wAAAAkBAAAP&#10;AAAAAAAAAAEAIAAAACIAAABkcnMvZG93bnJldi54bWxQSwECFAAUAAAACACHTuJA0LdhZRkCAAAX&#10;BAAADgAAAAAAAAABACAAAAAmAQAAZHJzL2Uyb0RvYy54bWxQSwUGAAAAAAYABgBZAQAAsQUAAAAA&#10;">
            <v:path arrowok="t"/>
            <v:fill on="f" focussize="0,0"/>
            <v:stroke/>
            <v:imagedata o:title=""/>
            <o:lock v:ext="edit"/>
          </v:shape>
        </w:pict>
      </w:r>
      <w:r>
        <w:rPr>
          <w:rFonts w:hint="eastAsia" w:ascii="宋体" w:hAnsi="宋体" w:cs="宋体"/>
          <w:szCs w:val="21"/>
        </w:rPr>
        <w:pict>
          <v:shape id="直接箭头连接符 22" o:spid="_x0000_s2061" o:spt="32" type="#_x0000_t32" style="position:absolute;left:0pt;flip:y;margin-left:365.1pt;margin-top:25.75pt;height:5.65pt;width:57.95pt;z-index:251662336;mso-width-relative:page;mso-height-relative:page;" filled="f" coordsize="21600,21600" o:gfxdata="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dZJNdcAAAAJAQAADwAA&#10;AAAAAAABACAAAAAiAAAAZHJzL2Rvd25yZXYueG1sUEsBAhQAFAAAAAgAh07iQB36s/MXAgAAFwQA&#10;AA4AAAAAAAAAAQAgAAAAJgEAAGRycy9lMm9Eb2MueG1sUEsFBgAAAAAGAAYAWQEAAK8FAAAAAA==&#10;">
            <v:path arrowok="t"/>
            <v:fill on="f" focussize="0,0"/>
            <v:stroke/>
            <v:imagedata o:title=""/>
            <o:lock v:ext="edit"/>
          </v:shape>
        </w:pict>
      </w:r>
      <w:r>
        <w:rPr>
          <w:rFonts w:hint="eastAsia" w:ascii="宋体" w:hAnsi="宋体" w:cs="宋体"/>
          <w:szCs w:val="21"/>
        </w:rPr>
        <w:pict>
          <v:shape id="直接箭头连接符 23" o:spid="_x0000_s2060" o:spt="32" type="#_x0000_t32" style="position:absolute;left:0pt;flip:y;margin-left:209.35pt;margin-top:24.25pt;height:10.6pt;width:58.2pt;z-index:251669504;mso-width-relative:page;mso-height-relative:page;" filled="f" coordsize="21600,21600" o:gfxdata="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PQSFK2AAAAAkB&#10;AAAPAAAAAAAAAAEAIAAAACIAAABkcnMvZG93bnJldi54bWxQSwECFAAUAAAACACHTuJAxnZgdhsC&#10;AAAYBAAADgAAAAAAAAABACAAAAAnAQAAZHJzL2Uyb0RvYy54bWxQSwUGAAAAAAYABgBZAQAAtAUA&#10;AAAA&#10;">
            <v:path arrowok="t"/>
            <v:fill on="f" focussize="0,0"/>
            <v:stroke/>
            <v:imagedata o:title=""/>
            <o:lock v:ext="edit"/>
          </v:shape>
        </w:pict>
      </w:r>
      <w:r>
        <w:rPr>
          <w:rFonts w:hint="eastAsia" w:ascii="宋体" w:hAnsi="宋体" w:cs="宋体"/>
          <w:szCs w:val="21"/>
        </w:rPr>
        <w:pict>
          <v:shape id="直接箭头连接符 14" o:spid="_x0000_s2059" o:spt="32" type="#_x0000_t32" style="position:absolute;left:0pt;flip:y;margin-left:130.85pt;margin-top:27pt;height:4.9pt;width:54.05pt;z-index:251668480;mso-width-relative:page;mso-height-relative:page;" filled="f" coordsize="21600,21600" o:gfxdata="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AXbFh1wAAAAkBAAAP&#10;AAAAAAAAAAEAIAAAACIAAABkcnMvZG93bnJldi54bWxQSwECFAAUAAAACACHTuJAhxMg5RkCAAAX&#10;BAAADgAAAAAAAAABACAAAAAmAQAAZHJzL2Uyb0RvYy54bWxQSwUGAAAAAAYABgBZAQAAsQUAAAAA&#10;">
            <v:path arrowok="t"/>
            <v:fill on="f" focussize="0,0"/>
            <v:stroke/>
            <v:imagedata o:title=""/>
            <o:lock v:ext="edit"/>
          </v:shape>
        </w:pict>
      </w:r>
      <w:r>
        <w:rPr>
          <w:rFonts w:hint="eastAsia" w:ascii="宋体" w:hAnsi="宋体" w:cs="宋体"/>
          <w:szCs w:val="21"/>
        </w:rPr>
        <w:pict>
          <v:shape id="直接箭头连接符 24" o:spid="_x0000_s2058" o:spt="32" type="#_x0000_t32" style="position:absolute;left:0pt;flip:y;margin-left:61.95pt;margin-top:22.85pt;height:10.3pt;width:44.55pt;z-index:251670528;mso-width-relative:page;mso-height-relative:page;" filled="f" coordsize="21600,21600" o:gfxdata="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IYFxtcAAAAJAQAA&#10;DwAAAAAAAAABACAAAAAiAAAAZHJzL2Rvd25yZXYueG1sUEsBAhQAFAAAAAgAh07iQK4nJckaAgAA&#10;GAQAAA4AAAAAAAAAAQAgAAAAJgEAAGRycy9lMm9Eb2MueG1sUEsFBgAAAAAGAAYAWQEAALIFAAAA&#10;AA==&#10;">
            <v:path arrowok="t"/>
            <v:fill on="f" focussize="0,0"/>
            <v:stroke/>
            <v:imagedata o:title=""/>
            <o:lock v:ext="edit"/>
          </v:shape>
        </w:pict>
      </w:r>
      <w:r>
        <w:rPr>
          <w:rFonts w:hint="eastAsia" w:ascii="宋体" w:hAnsi="宋体" w:cs="宋体"/>
          <w:szCs w:val="21"/>
        </w:rPr>
        <w:pict>
          <v:shape id="_x0000_s2057" o:spid="_x0000_s2057" o:spt="32" type="#_x0000_t32" style="position:absolute;left:0pt;flip:y;margin-left:298.6pt;margin-top:3.9pt;height:5.85pt;width:69.45pt;z-index:251667456;mso-width-relative:page;mso-height-relative:page;" filled="f" coordsize="21600,21600" o:gfxdata="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oUBO9cAAAAIAQAADwAAAAAA&#10;AAABACAAAAAiAAAAZHJzL2Rvd25yZXYueG1sUEsBAhQAFAAAAAgAh07iQJt6/WMUAgAAFwQAAA4A&#10;AAAAAAAAAQAgAAAAJgEAAGRycy9lMm9Eb2MueG1sUEsFBgAAAAAGAAYAWQEAAKwFAAAAAA==&#10;">
            <v:path arrowok="t"/>
            <v:fill on="f" focussize="0,0"/>
            <v:stroke/>
            <v:imagedata o:title=""/>
            <o:lock v:ext="edit"/>
          </v:shape>
        </w:pict>
      </w:r>
      <w:r>
        <w:rPr>
          <w:rFonts w:hint="eastAsia" w:ascii="宋体" w:hAnsi="宋体" w:cs="宋体"/>
          <w:szCs w:val="21"/>
          <w:shd w:val="clear" w:color="auto" w:fill="FFFFFF"/>
        </w:rPr>
        <w:t>1.</w:t>
      </w:r>
      <w:r>
        <w:rPr>
          <w:rStyle w:val="56"/>
          <w:rFonts w:hint="eastAsia" w:ascii="宋体" w:hAnsi="宋体" w:cs="宋体"/>
          <w:i w:val="0"/>
          <w:szCs w:val="21"/>
          <w:u w:val="single"/>
          <w:shd w:val="clear" w:color="auto" w:fill="FFFFFF"/>
        </w:rPr>
        <w:t>（    ）</w:t>
      </w:r>
      <w:r>
        <w:rPr>
          <w:rStyle w:val="56"/>
          <w:rFonts w:hint="eastAsia" w:ascii="宋体" w:hAnsi="宋体" w:cs="宋体"/>
          <w:i w:val="0"/>
          <w:szCs w:val="21"/>
          <w:shd w:val="clear" w:color="auto" w:fill="FFFFFF"/>
          <w:vertAlign w:val="superscript"/>
        </w:rPr>
        <w:t>1</w:t>
      </w:r>
      <w:r>
        <w:rPr>
          <w:rFonts w:hint="eastAsia" w:ascii="宋体" w:hAnsi="宋体" w:cs="宋体"/>
          <w:szCs w:val="21"/>
          <w:shd w:val="clear" w:color="auto" w:fill="FFFFFF"/>
        </w:rPr>
        <w:t>，生产厂为</w:t>
      </w:r>
      <w:r>
        <w:rPr>
          <w:rStyle w:val="56"/>
          <w:rFonts w:hint="eastAsia" w:ascii="宋体" w:hAnsi="宋体" w:cs="宋体"/>
          <w:i w:val="0"/>
          <w:szCs w:val="21"/>
          <w:u w:val="single"/>
          <w:shd w:val="clear" w:color="auto" w:fill="FFFFFF"/>
        </w:rPr>
        <w:t>（厂名）</w:t>
      </w:r>
      <w:r>
        <w:rPr>
          <w:rStyle w:val="56"/>
          <w:rFonts w:hint="eastAsia" w:ascii="宋体" w:hAnsi="宋体" w:cs="宋体"/>
          <w:i w:val="0"/>
          <w:szCs w:val="21"/>
          <w:shd w:val="clear" w:color="auto" w:fill="FFFFFF"/>
          <w:vertAlign w:val="superscript"/>
        </w:rPr>
        <w:t>2</w:t>
      </w:r>
      <w:r>
        <w:rPr>
          <w:rFonts w:hint="eastAsia" w:ascii="宋体" w:hAnsi="宋体" w:cs="宋体"/>
          <w:szCs w:val="21"/>
          <w:shd w:val="clear" w:color="auto" w:fill="FFFFFF"/>
        </w:rPr>
        <w:t>，厂址为</w:t>
      </w:r>
      <w:r>
        <w:rPr>
          <w:rStyle w:val="56"/>
          <w:rFonts w:hint="eastAsia" w:ascii="宋体" w:hAnsi="宋体" w:cs="宋体"/>
          <w:i w:val="0"/>
          <w:szCs w:val="21"/>
          <w:u w:val="single"/>
          <w:shd w:val="clear" w:color="auto" w:fill="FFFFFF"/>
        </w:rPr>
        <w:t>（生产厂址）</w:t>
      </w:r>
      <w:r>
        <w:rPr>
          <w:rFonts w:hint="eastAsia" w:ascii="宋体" w:hAnsi="宋体" w:cs="宋体"/>
          <w:szCs w:val="21"/>
          <w:shd w:val="clear" w:color="auto" w:fill="FFFFFF"/>
        </w:rPr>
        <w:t>。</w:t>
      </w:r>
      <w:r>
        <w:rPr>
          <w:rFonts w:hint="eastAsia" w:ascii="宋体" w:hAnsi="宋体" w:cs="宋体"/>
          <w:szCs w:val="21"/>
          <w:u w:val="single"/>
          <w:shd w:val="clear" w:color="auto" w:fill="FFFFFF"/>
        </w:rPr>
        <w:t xml:space="preserve"> </w:t>
      </w:r>
      <w:r>
        <w:rPr>
          <w:rStyle w:val="56"/>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的中国境内生产的组件成本占比≥</w:t>
      </w:r>
      <w:r>
        <w:rPr>
          <w:rStyle w:val="56"/>
          <w:rFonts w:hint="eastAsia" w:ascii="宋体" w:hAnsi="宋体" w:cs="宋体"/>
          <w:i w:val="0"/>
          <w:szCs w:val="21"/>
          <w:u w:val="single"/>
          <w:shd w:val="clear" w:color="auto" w:fill="FFFFFF"/>
        </w:rPr>
        <w:t>（规定比例）</w:t>
      </w:r>
      <w:r>
        <w:rPr>
          <w:rStyle w:val="56"/>
          <w:rFonts w:hint="eastAsia" w:ascii="宋体" w:hAnsi="宋体" w:cs="宋体"/>
          <w:i w:val="0"/>
          <w:szCs w:val="21"/>
          <w:shd w:val="clear" w:color="auto" w:fill="FFFFFF"/>
          <w:vertAlign w:val="superscript"/>
        </w:rPr>
        <w:t>3</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（关键组件）</w:t>
      </w:r>
      <w:r>
        <w:rPr>
          <w:rStyle w:val="56"/>
          <w:rFonts w:hint="eastAsia" w:ascii="宋体" w:hAnsi="宋体" w:cs="宋体"/>
          <w:i w:val="0"/>
          <w:szCs w:val="21"/>
          <w:shd w:val="clear" w:color="auto" w:fill="FFFFFF"/>
          <w:vertAlign w:val="superscript"/>
        </w:rPr>
        <w:t>4</w:t>
      </w:r>
      <w:r>
        <w:rPr>
          <w:rFonts w:hint="eastAsia" w:ascii="宋体" w:hAnsi="宋体" w:cs="宋体"/>
          <w:szCs w:val="21"/>
          <w:shd w:val="clear" w:color="auto" w:fill="FFFFFF"/>
        </w:rPr>
        <w:t>在中国境内生产。</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（关键工序）</w:t>
      </w:r>
      <w:r>
        <w:rPr>
          <w:rStyle w:val="56"/>
          <w:rFonts w:hint="eastAsia" w:ascii="宋体" w:hAnsi="宋体" w:cs="宋体"/>
          <w:i w:val="0"/>
          <w:szCs w:val="21"/>
          <w:shd w:val="clear" w:color="auto" w:fill="FFFFFF"/>
          <w:vertAlign w:val="superscript"/>
        </w:rPr>
        <w:t>5</w:t>
      </w:r>
      <w:r>
        <w:rPr>
          <w:rFonts w:hint="eastAsia" w:ascii="宋体" w:hAnsi="宋体" w:cs="宋体"/>
          <w:szCs w:val="21"/>
          <w:shd w:val="clear" w:color="auto" w:fill="FFFFFF"/>
        </w:rPr>
        <w:t>在中国境内完成。</w:t>
      </w:r>
    </w:p>
    <w:p>
      <w:pPr>
        <w:widowControl/>
        <w:spacing w:before="30" w:after="30" w:line="360" w:lineRule="auto"/>
        <w:ind w:firstLine="420"/>
        <w:jc w:val="left"/>
        <w:rPr>
          <w:rFonts w:hint="eastAsia" w:ascii="宋体" w:hAnsi="宋体" w:cs="宋体"/>
          <w:szCs w:val="21"/>
        </w:rPr>
      </w:pPr>
      <w:r>
        <w:rPr>
          <w:rFonts w:hint="eastAsia" w:ascii="宋体" w:hAnsi="宋体" w:cs="宋体"/>
          <w:szCs w:val="21"/>
        </w:rPr>
        <w:pict>
          <v:shape id="直接箭头连接符 25" o:spid="_x0000_s2056" o:spt="32" type="#_x0000_t32" style="position:absolute;left:0pt;flip:y;margin-left:419.25pt;margin-top:20.25pt;height:12.4pt;width:47.55pt;z-index:251661312;mso-width-relative:page;mso-height-relative:page;" filled="f" coordsize="21600,21600" o:gfxdata="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PTma2AAAAAkBAAAPAAAA&#10;AAAAAAEAIAAAACIAAABkcnMvZG93bnJldi54bWxQSwECFAAUAAAACACHTuJARJfnuBUCAAAKBAAA&#10;DgAAAAAAAAABACAAAAAnAQAAZHJzL2Uyb0RvYy54bWxQSwUGAAAAAAYABgBZAQAArgUAAAAA&#10;">
            <v:path arrowok="t"/>
            <v:fill on="f" focussize="0,0"/>
            <v:stroke/>
            <v:imagedata o:title=""/>
            <o:lock v:ext="edit"/>
          </v:shape>
        </w:pict>
      </w:r>
      <w:r>
        <w:rPr>
          <w:rFonts w:hint="eastAsia" w:ascii="宋体" w:hAnsi="宋体" w:cs="宋体"/>
          <w:szCs w:val="21"/>
        </w:rPr>
        <w:pict>
          <v:shape id="直接箭头连接符 11" o:spid="_x0000_s2055" o:spt="32" type="#_x0000_t32" style="position:absolute;left:0pt;flip:y;margin-left:332pt;margin-top:22.75pt;height:8.3pt;width:59.8pt;z-index:251664384;mso-width-relative:page;mso-height-relative:page;" filled="f" coordsize="21600,21600" o:gfxdata="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Sc/CzXAAAACQEA&#10;AA8AAAAAAAAAAQAgAAAAIgAAAGRycy9kb3ducmV2LnhtbFBLAQIUABQAAAAIAIdO4kACJcS0GwIA&#10;ABgEAAAOAAAAAAAAAAEAIAAAACYBAABkcnMvZTJvRG9jLnhtbFBLBQYAAAAABgAGAFkBAACzBQAA&#10;AAA=&#10;">
            <v:path arrowok="t"/>
            <v:fill on="f" focussize="0,0"/>
            <v:stroke/>
            <v:imagedata o:title=""/>
            <o:lock v:ext="edit"/>
          </v:shape>
        </w:pict>
      </w:r>
      <w:r>
        <w:rPr>
          <w:rFonts w:hint="eastAsia" w:ascii="宋体" w:hAnsi="宋体" w:cs="宋体"/>
          <w:szCs w:val="21"/>
        </w:rPr>
        <w:pict>
          <v:shape id="直接箭头连接符 13" o:spid="_x0000_s2054" o:spt="32" type="#_x0000_t32" style="position:absolute;left:0pt;flip:y;margin-left:193.2pt;margin-top:22.15pt;height:8.25pt;width:47.95pt;z-index:251666432;mso-width-relative:page;mso-height-relative:page;" filled="f" coordsize="21600,21600" o:gfxdata="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J+OL1wAAAAkBAAAP&#10;AAAAAAAAAAEAIAAAACIAAABkcnMvZG93bnJldi54bWxQSwECFAAUAAAACACHTuJAXiYyMBkCAAAY&#10;BAAADgAAAAAAAAABACAAAAAmAQAAZHJzL2Uyb0RvYy54bWxQSwUGAAAAAAYABgBZAQAAsQUAAAAA&#10;">
            <v:path arrowok="t"/>
            <v:fill on="f" focussize="0,0"/>
            <v:stroke/>
            <v:imagedata o:title=""/>
            <o:lock v:ext="edit"/>
          </v:shape>
        </w:pict>
      </w:r>
      <w:r>
        <w:rPr>
          <w:rFonts w:hint="eastAsia" w:ascii="宋体" w:hAnsi="宋体" w:cs="宋体"/>
          <w:szCs w:val="21"/>
        </w:rPr>
        <w:pict>
          <v:shape id="直接箭头连接符 15" o:spid="_x0000_s2053" o:spt="32" type="#_x0000_t32" style="position:absolute;left:0pt;flip:y;margin-left:108.6pt;margin-top:23.45pt;height:8.3pt;width:53.4pt;z-index:251665408;mso-width-relative:page;mso-height-relative:page;" filled="f" coordsize="21600,21600" o:gfxdata="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7yGEi2AAAAAkB&#10;AAAPAAAAAAAAAAEAIAAAACIAAABkcnMvZG93bnJldi54bWxQSwECFAAUAAAACACHTuJAUNW9ExsC&#10;AAAYBAAADgAAAAAAAAABACAAAAAnAQAAZHJzL2Uyb0RvYy54bWxQSwUGAAAAAAYABgBZAQAAtAUA&#10;AAAA&#10;">
            <v:path arrowok="t"/>
            <v:fill on="f" focussize="0,0"/>
            <v:stroke/>
            <v:imagedata o:title=""/>
            <o:lock v:ext="edit"/>
          </v:shape>
        </w:pict>
      </w:r>
      <w:r>
        <w:rPr>
          <w:rFonts w:hint="eastAsia" w:ascii="宋体" w:hAnsi="宋体" w:cs="宋体"/>
          <w:szCs w:val="21"/>
        </w:rPr>
        <w:pict>
          <v:shape id="直接箭头连接符 19" o:spid="_x0000_s2052" o:spt="32" type="#_x0000_t32" style="position:absolute;left:0pt;flip:y;margin-left:37.4pt;margin-top:20.6pt;height:11.55pt;width:47.75pt;z-index:251672576;mso-width-relative:page;mso-height-relative:page;" filled="f" coordsize="21600,21600" o:gfxdata="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3z26/NYAAAAIAQAADwAA&#10;AAAAAAABACAAAAAiAAAAZHJzL2Rvd25yZXYueG1sUEsBAhQAFAAAAAgAh07iQAuBpEsYAgAAGAQA&#10;AA4AAAAAAAAAAQAgAAAAJQEAAGRycy9lMm9Eb2MueG1sUEsFBgAAAAAGAAYAWQEAAK8FAAAAAA==&#10;">
            <v:path arrowok="t"/>
            <v:fill on="f" focussize="0,0"/>
            <v:stroke/>
            <v:imagedata o:title=""/>
            <o:lock v:ext="edit"/>
          </v:shape>
        </w:pict>
      </w:r>
      <w:r>
        <w:rPr>
          <w:rFonts w:hint="eastAsia" w:ascii="宋体" w:hAnsi="宋体" w:cs="宋体"/>
          <w:szCs w:val="21"/>
        </w:rPr>
        <w:pict>
          <v:shape id="直接箭头连接符 20" o:spid="_x0000_s2051" o:spt="32" type="#_x0000_t32" style="position:absolute;left:0pt;flip:y;margin-left:289.55pt;margin-top:3.5pt;height:7.7pt;width:56.55pt;z-index:251671552;mso-width-relative:page;mso-height-relative:page;" filled="f" coordsize="21600,21600" o:gfxdata="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JN8GXYAAAA&#10;CAEAAA8AAAAAAAAAAQAgAAAAIgAAAGRycy9kb3ducmV2LnhtbFBLAQIUABQAAAAIAIdO4kDN1RTv&#10;HQIAACEEAAAOAAAAAAAAAAEAIAAAACcBAABkcnMvZTJvRG9jLnhtbFBLBQYAAAAABgAGAFkBAAC2&#10;BQAAAAA=&#10;">
            <v:path arrowok="t"/>
            <v:fill on="f" focussize="0,0"/>
            <v:stroke joinstyle="miter"/>
            <v:imagedata o:title=""/>
            <o:lock v:ext="edit"/>
          </v:shape>
        </w:pict>
      </w:r>
      <w:r>
        <w:rPr>
          <w:rFonts w:hint="eastAsia" w:ascii="宋体" w:hAnsi="宋体" w:cs="宋体"/>
          <w:szCs w:val="21"/>
          <w:shd w:val="clear" w:color="auto" w:fill="FFFFFF"/>
        </w:rPr>
        <w:t>2.</w:t>
      </w:r>
      <w:r>
        <w:rPr>
          <w:rStyle w:val="56"/>
          <w:rFonts w:hint="eastAsia" w:ascii="宋体" w:hAnsi="宋体" w:cs="宋体"/>
          <w:i w:val="0"/>
          <w:szCs w:val="21"/>
          <w:u w:val="single"/>
          <w:shd w:val="clear" w:color="auto" w:fill="FFFFFF"/>
        </w:rPr>
        <w:t>（    ）</w:t>
      </w:r>
      <w:r>
        <w:rPr>
          <w:rFonts w:hint="eastAsia" w:ascii="宋体" w:hAnsi="宋体" w:cs="宋体"/>
          <w:szCs w:val="21"/>
          <w:shd w:val="clear" w:color="auto" w:fill="FFFFFF"/>
        </w:rPr>
        <w:t>，生产厂为</w:t>
      </w:r>
      <w:r>
        <w:rPr>
          <w:rStyle w:val="56"/>
          <w:rFonts w:hint="eastAsia" w:ascii="宋体" w:hAnsi="宋体" w:cs="宋体"/>
          <w:i w:val="0"/>
          <w:szCs w:val="21"/>
          <w:u w:val="single"/>
          <w:shd w:val="clear" w:color="auto" w:fill="FFFFFF"/>
        </w:rPr>
        <w:t>（厂名）</w:t>
      </w:r>
      <w:r>
        <w:rPr>
          <w:rFonts w:hint="eastAsia" w:ascii="宋体" w:hAnsi="宋体" w:cs="宋体"/>
          <w:szCs w:val="21"/>
          <w:shd w:val="clear" w:color="auto" w:fill="FFFFFF"/>
        </w:rPr>
        <w:t>，厂址为</w:t>
      </w:r>
      <w:r>
        <w:rPr>
          <w:rStyle w:val="56"/>
          <w:rFonts w:hint="eastAsia" w:ascii="宋体" w:hAnsi="宋体" w:cs="宋体"/>
          <w:i w:val="0"/>
          <w:szCs w:val="21"/>
          <w:u w:val="single"/>
          <w:shd w:val="clear" w:color="auto" w:fill="FFFFFF"/>
        </w:rPr>
        <w:t>（生产厂址）</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（产品名称2）</w:t>
      </w:r>
      <w:r>
        <w:rPr>
          <w:rFonts w:hint="eastAsia" w:ascii="宋体" w:hAnsi="宋体" w:cs="宋体"/>
          <w:szCs w:val="21"/>
          <w:shd w:val="clear" w:color="auto" w:fill="FFFFFF"/>
        </w:rPr>
        <w:t>的中国境内生产的组件成本占比≥</w:t>
      </w:r>
      <w:r>
        <w:rPr>
          <w:rStyle w:val="56"/>
          <w:rFonts w:hint="eastAsia" w:ascii="宋体" w:hAnsi="宋体" w:cs="宋体"/>
          <w:i w:val="0"/>
          <w:szCs w:val="21"/>
          <w:u w:val="single"/>
          <w:shd w:val="clear" w:color="auto" w:fill="FFFFFF"/>
        </w:rPr>
        <w:t>（规定比例）</w:t>
      </w:r>
      <w:r>
        <w:rPr>
          <w:rFonts w:hint="eastAsia" w:ascii="宋体" w:hAnsi="宋体" w:cs="宋体"/>
          <w:szCs w:val="21"/>
          <w:shd w:val="clear" w:color="auto" w:fill="FFFFFF"/>
        </w:rPr>
        <w:t>。</w:t>
      </w:r>
      <w:r>
        <w:rPr>
          <w:rStyle w:val="56"/>
          <w:rFonts w:hint="eastAsia" w:ascii="宋体" w:hAnsi="宋体" w:cs="宋体"/>
          <w:i w:val="0"/>
          <w:szCs w:val="21"/>
          <w:u w:val="single"/>
          <w:shd w:val="clear" w:color="auto" w:fill="FFFFFF"/>
        </w:rPr>
        <w:t>（产品名称2）</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（关键组件）</w:t>
      </w:r>
      <w:r>
        <w:rPr>
          <w:rFonts w:hint="eastAsia" w:ascii="宋体" w:hAnsi="宋体" w:cs="宋体"/>
          <w:szCs w:val="21"/>
          <w:shd w:val="clear" w:color="auto" w:fill="FFFFFF"/>
        </w:rPr>
        <w:t>在中国境内生产。</w:t>
      </w:r>
      <w:r>
        <w:rPr>
          <w:rStyle w:val="56"/>
          <w:rFonts w:hint="eastAsia" w:ascii="宋体" w:hAnsi="宋体" w:cs="宋体"/>
          <w:i w:val="0"/>
          <w:szCs w:val="21"/>
          <w:u w:val="single"/>
          <w:shd w:val="clear" w:color="auto" w:fill="FFFFFF"/>
        </w:rPr>
        <w:t>（产品名称1）</w:t>
      </w:r>
      <w:r>
        <w:rPr>
          <w:rFonts w:hint="eastAsia" w:ascii="宋体" w:hAnsi="宋体" w:cs="宋体"/>
          <w:szCs w:val="21"/>
          <w:shd w:val="clear" w:color="auto" w:fill="FFFFFF"/>
        </w:rPr>
        <w:t>的</w:t>
      </w:r>
      <w:r>
        <w:rPr>
          <w:rStyle w:val="56"/>
          <w:rFonts w:hint="eastAsia" w:ascii="宋体" w:hAnsi="宋体" w:cs="宋体"/>
          <w:i w:val="0"/>
          <w:szCs w:val="21"/>
          <w:u w:val="single"/>
          <w:shd w:val="clear" w:color="auto" w:fill="FFFFFF"/>
        </w:rPr>
        <w:t>（关键工序）</w:t>
      </w:r>
      <w:r>
        <w:rPr>
          <w:rFonts w:hint="eastAsia" w:ascii="宋体" w:hAnsi="宋体" w:cs="宋体"/>
          <w:szCs w:val="21"/>
          <w:shd w:val="clear" w:color="auto" w:fill="FFFFFF"/>
        </w:rPr>
        <w:t>在中国境内完成。</w:t>
      </w:r>
    </w:p>
    <w:p>
      <w:pPr>
        <w:widowControl/>
        <w:spacing w:before="30" w:after="30" w:line="360" w:lineRule="auto"/>
        <w:ind w:firstLine="420"/>
        <w:jc w:val="left"/>
        <w:rPr>
          <w:rFonts w:hint="eastAsia" w:ascii="宋体" w:hAnsi="宋体" w:cs="宋体"/>
          <w:szCs w:val="21"/>
        </w:rPr>
      </w:pPr>
      <w:r>
        <w:rPr>
          <w:rFonts w:hint="eastAsia" w:ascii="宋体" w:hAnsi="宋体" w:cs="宋体"/>
          <w:szCs w:val="21"/>
          <w:shd w:val="clear" w:color="auto" w:fill="FFFFFF"/>
        </w:rPr>
        <w:t>……</w:t>
      </w:r>
    </w:p>
    <w:p>
      <w:pPr>
        <w:widowControl/>
        <w:spacing w:before="30" w:after="30" w:line="360" w:lineRule="auto"/>
        <w:ind w:firstLine="420"/>
        <w:jc w:val="left"/>
        <w:rPr>
          <w:rFonts w:hint="eastAsia" w:ascii="宋体" w:hAnsi="宋体" w:cs="宋体"/>
          <w:szCs w:val="21"/>
        </w:rPr>
      </w:pPr>
      <w:r>
        <w:rPr>
          <w:rFonts w:hint="eastAsia" w:ascii="宋体" w:hAnsi="宋体" w:cs="宋体"/>
          <w:szCs w:val="21"/>
          <w:shd w:val="clear" w:color="auto" w:fill="FFFFFF"/>
        </w:rPr>
        <w:t>本公司（单位）对上述声明内容的真实性负责。如有虚假，愿承担相应法律责任。</w:t>
      </w:r>
    </w:p>
    <w:p>
      <w:pPr>
        <w:widowControl/>
        <w:spacing w:before="30" w:after="30" w:line="360" w:lineRule="auto"/>
        <w:jc w:val="left"/>
        <w:rPr>
          <w:rFonts w:hint="eastAsia" w:ascii="宋体" w:hAnsi="宋体" w:cs="宋体"/>
          <w:szCs w:val="21"/>
        </w:rPr>
      </w:pPr>
    </w:p>
    <w:p>
      <w:pPr>
        <w:widowControl/>
        <w:spacing w:before="30" w:after="30" w:line="360" w:lineRule="auto"/>
        <w:ind w:right="480" w:firstLine="3255"/>
        <w:jc w:val="left"/>
        <w:rPr>
          <w:rFonts w:hint="eastAsia" w:ascii="宋体" w:hAnsi="宋体" w:cs="宋体"/>
          <w:szCs w:val="21"/>
        </w:rPr>
      </w:pPr>
      <w:r>
        <w:rPr>
          <w:rFonts w:hint="eastAsia" w:ascii="宋体" w:hAnsi="宋体" w:cs="宋体"/>
          <w:szCs w:val="21"/>
          <w:shd w:val="clear" w:color="auto" w:fill="FFFFFF"/>
        </w:rPr>
        <w:t>公司（单位）名称（盖章）：　        </w:t>
      </w:r>
    </w:p>
    <w:p>
      <w:pPr>
        <w:widowControl/>
        <w:spacing w:before="30" w:after="30" w:line="360" w:lineRule="auto"/>
        <w:jc w:val="center"/>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w:t>
      </w:r>
    </w:p>
    <w:p>
      <w:pPr>
        <w:widowControl/>
        <w:spacing w:before="30" w:after="30" w:line="360" w:lineRule="auto"/>
        <w:jc w:val="left"/>
        <w:rPr>
          <w:sz w:val="24"/>
          <w:szCs w:val="24"/>
        </w:rPr>
      </w:pPr>
      <w:r>
        <w:rPr>
          <w:sz w:val="24"/>
          <w:szCs w:val="24"/>
          <w:shd w:val="clear" w:color="auto" w:fill="FFFFFF"/>
        </w:rPr>
        <w:t>__________________</w:t>
      </w:r>
    </w:p>
    <w:p>
      <w:pPr>
        <w:widowControl/>
        <w:spacing w:line="360" w:lineRule="auto"/>
        <w:jc w:val="left"/>
        <w:rPr>
          <w:szCs w:val="21"/>
        </w:rPr>
      </w:pPr>
      <w:r>
        <w:rPr>
          <w:szCs w:val="21"/>
          <w:shd w:val="clear" w:color="auto" w:fill="FFFFFF"/>
        </w:rPr>
        <w:t>1.产品如有型号，请在“产品名称”栏一并填写。</w:t>
      </w:r>
    </w:p>
    <w:p>
      <w:pPr>
        <w:widowControl/>
        <w:spacing w:line="360" w:lineRule="auto"/>
        <w:jc w:val="left"/>
        <w:rPr>
          <w:szCs w:val="21"/>
        </w:rPr>
      </w:pPr>
      <w:r>
        <w:rPr>
          <w:szCs w:val="21"/>
          <w:shd w:val="clear" w:color="auto" w:fill="FFFFFF"/>
        </w:rPr>
        <w:t>2.生产厂名与厂址应与生产厂营业执照载明的相关信息保持一致。</w:t>
      </w:r>
    </w:p>
    <w:p>
      <w:pPr>
        <w:widowControl/>
        <w:spacing w:line="360" w:lineRule="auto"/>
        <w:jc w:val="left"/>
        <w:rPr>
          <w:szCs w:val="21"/>
        </w:rPr>
      </w:pPr>
      <w:r>
        <w:rPr>
          <w:szCs w:val="21"/>
          <w:shd w:val="clear" w:color="auto" w:fill="FFFFFF"/>
        </w:rPr>
        <w:t>3.该产品的中国境内生产的组件成本占比相关要求实施前，“规定比例”栏可不填，下同。</w:t>
      </w:r>
    </w:p>
    <w:p>
      <w:pPr>
        <w:widowControl/>
        <w:spacing w:line="360" w:lineRule="auto"/>
        <w:jc w:val="left"/>
        <w:rPr>
          <w:szCs w:val="21"/>
        </w:rPr>
      </w:pPr>
      <w:r>
        <w:rPr>
          <w:szCs w:val="21"/>
          <w:shd w:val="clear" w:color="auto" w:fill="FFFFFF"/>
        </w:rPr>
        <w:t>4.该产品的关键组件要求实施前，“关键组件”栏可不填，下同。</w:t>
      </w:r>
    </w:p>
    <w:p>
      <w:pPr>
        <w:widowControl/>
        <w:spacing w:line="360" w:lineRule="auto"/>
        <w:jc w:val="left"/>
        <w:rPr>
          <w:szCs w:val="21"/>
          <w:shd w:val="clear" w:color="auto" w:fill="FFFFFF"/>
        </w:rPr>
      </w:pPr>
      <w:r>
        <w:rPr>
          <w:szCs w:val="21"/>
          <w:shd w:val="clear" w:color="auto" w:fill="FFFFFF"/>
        </w:rPr>
        <w:t>5.该产品的关键工序要求实施前，“关键工序”栏可不填，下同。</w:t>
      </w:r>
    </w:p>
    <w:p>
      <w:pPr>
        <w:widowControl/>
        <w:spacing w:line="360" w:lineRule="auto"/>
        <w:jc w:val="left"/>
        <w:rPr>
          <w:szCs w:val="21"/>
          <w:shd w:val="clear" w:color="auto" w:fill="FFFFFF"/>
        </w:rPr>
      </w:pPr>
      <w:r>
        <w:rPr>
          <w:szCs w:val="21"/>
          <w:shd w:val="clear" w:color="auto" w:fill="FFFFFF"/>
        </w:rPr>
        <w:t>6.用斜线划除的地方无需填写。</w:t>
      </w:r>
    </w:p>
    <w:p>
      <w:pPr>
        <w:widowControl/>
        <w:spacing w:line="360" w:lineRule="auto"/>
        <w:jc w:val="left"/>
        <w:rPr>
          <w:b/>
          <w:bCs/>
          <w:szCs w:val="21"/>
          <w:shd w:val="clear" w:color="auto" w:fill="FFFFFF"/>
        </w:rPr>
      </w:pPr>
      <w:r>
        <w:rPr>
          <w:b/>
          <w:bCs/>
          <w:szCs w:val="21"/>
          <w:shd w:val="clear" w:color="auto" w:fill="FFFFFF"/>
        </w:rPr>
        <w:t>7.供应商提供虚假《声明函》、虚假证明文件谋取中标、成交的，依照《中华人民共和国政府采购法》等法律法规规定追究相应责任。</w:t>
      </w:r>
    </w:p>
    <w:p>
      <w:pPr>
        <w:pStyle w:val="61"/>
        <w:ind w:firstLine="0"/>
        <w:rPr>
          <w:b/>
          <w:bCs/>
          <w:color w:val="FF0000"/>
          <w:szCs w:val="21"/>
          <w:shd w:val="clear" w:color="auto" w:fill="FFFFFF"/>
        </w:rPr>
      </w:pPr>
      <w:r>
        <w:rPr>
          <w:szCs w:val="21"/>
          <w:shd w:val="clear" w:color="auto" w:fill="FFFFFF"/>
        </w:rPr>
        <w:t>8.中标、成交供应商提供的《声明函》或有关证明文件将随中标、成交结果同时公告。</w:t>
      </w:r>
    </w:p>
    <w:p>
      <w:pPr>
        <w:rPr>
          <w:b/>
          <w:bCs/>
          <w:color w:val="FF0000"/>
          <w:szCs w:val="21"/>
          <w:shd w:val="clear" w:color="auto" w:fill="FFFFFF"/>
        </w:rPr>
      </w:pPr>
    </w:p>
    <w:p>
      <w:pPr>
        <w:pStyle w:val="61"/>
        <w:rPr>
          <w:b/>
          <w:bCs/>
          <w:color w:val="FF0000"/>
          <w:szCs w:val="21"/>
          <w:shd w:val="clear" w:color="auto" w:fill="FFFFFF"/>
        </w:rPr>
      </w:pPr>
    </w:p>
    <w:p>
      <w:pPr>
        <w:rPr>
          <w:b/>
          <w:bCs/>
          <w:color w:val="FF0000"/>
          <w:szCs w:val="21"/>
          <w:shd w:val="clear" w:color="auto" w:fill="FFFFFF"/>
        </w:rPr>
      </w:pPr>
    </w:p>
    <w:p>
      <w:pPr>
        <w:pStyle w:val="61"/>
        <w:rPr>
          <w:b/>
          <w:bCs/>
          <w:color w:val="FF0000"/>
          <w:szCs w:val="21"/>
          <w:shd w:val="clear" w:color="auto" w:fill="FFFFFF"/>
        </w:rPr>
      </w:pPr>
    </w:p>
    <w:p>
      <w:pPr>
        <w:rPr>
          <w:b/>
          <w:bCs/>
          <w:color w:val="FF0000"/>
          <w:szCs w:val="21"/>
          <w:shd w:val="clear" w:color="auto" w:fill="FFFFFF"/>
        </w:rPr>
      </w:pPr>
    </w:p>
    <w:p>
      <w:pPr>
        <w:pStyle w:val="61"/>
      </w:pPr>
    </w:p>
    <w:p>
      <w:pPr>
        <w:rPr>
          <w:b/>
          <w:bCs/>
          <w:color w:val="FF0000"/>
          <w:sz w:val="24"/>
          <w:szCs w:val="22"/>
        </w:rPr>
      </w:pPr>
      <w:bookmarkStart w:id="303" w:name="_Toc2842"/>
      <w:bookmarkStart w:id="304" w:name="_Toc6893"/>
      <w:r>
        <w:rPr>
          <w:rFonts w:hint="eastAsia"/>
          <w:b/>
          <w:bCs/>
          <w:color w:val="FF0000"/>
          <w:sz w:val="24"/>
          <w:szCs w:val="22"/>
        </w:rPr>
        <w:br w:type="page"/>
      </w:r>
    </w:p>
    <w:p>
      <w:pPr>
        <w:spacing w:after="156" w:line="440" w:lineRule="exact"/>
        <w:rPr>
          <w:b/>
          <w:bCs/>
          <w:sz w:val="24"/>
          <w:szCs w:val="22"/>
          <w:lang w:val="zh-TW"/>
        </w:rPr>
      </w:pPr>
      <w:r>
        <w:rPr>
          <w:rFonts w:hint="eastAsia"/>
          <w:b/>
          <w:bCs/>
          <w:sz w:val="24"/>
          <w:szCs w:val="22"/>
        </w:rPr>
        <w:t>附：</w:t>
      </w:r>
      <w:r>
        <w:rPr>
          <w:b/>
          <w:bCs/>
          <w:sz w:val="24"/>
          <w:szCs w:val="22"/>
          <w:lang w:val="zh-TW"/>
        </w:rPr>
        <w:t>成本比例声明函（如适用）</w:t>
      </w:r>
      <w:bookmarkEnd w:id="303"/>
      <w:bookmarkEnd w:id="304"/>
      <w:r>
        <w:rPr>
          <w:b/>
          <w:bCs/>
          <w:sz w:val="24"/>
          <w:szCs w:val="22"/>
          <w:lang w:val="zh-TW"/>
        </w:rPr>
        <w:t xml:space="preserve"> </w:t>
      </w:r>
    </w:p>
    <w:p>
      <w:pPr>
        <w:spacing w:line="360" w:lineRule="auto"/>
        <w:jc w:val="left"/>
        <w:rPr>
          <w:szCs w:val="21"/>
        </w:rPr>
      </w:pPr>
      <w:r>
        <w:rPr>
          <w:rFonts w:ascii="宋体" w:hAnsi="宋体" w:cs="宋体"/>
          <w:szCs w:val="21"/>
        </w:rPr>
        <w:t>（适用于</w:t>
      </w:r>
      <w:r>
        <w:rPr>
          <w:szCs w:val="21"/>
        </w:rPr>
        <w:t xml:space="preserve">采购项目或者采购包中含有多种产品时，不提供或者提供声明的比例达不到要求时，不享受价格扣除） </w:t>
      </w:r>
    </w:p>
    <w:p>
      <w:pPr>
        <w:spacing w:line="360" w:lineRule="auto"/>
        <w:jc w:val="center"/>
        <w:rPr>
          <w:sz w:val="24"/>
          <w:szCs w:val="24"/>
        </w:rPr>
      </w:pPr>
      <w:r>
        <w:rPr>
          <w:b/>
          <w:bCs/>
          <w:sz w:val="24"/>
          <w:szCs w:val="24"/>
        </w:rPr>
        <w:t>成本比例声明函</w:t>
      </w:r>
    </w:p>
    <w:p>
      <w:pPr>
        <w:spacing w:line="360" w:lineRule="auto"/>
        <w:ind w:firstLine="420"/>
        <w:jc w:val="left"/>
        <w:rPr>
          <w:szCs w:val="21"/>
        </w:rPr>
      </w:pPr>
    </w:p>
    <w:p>
      <w:pPr>
        <w:widowControl/>
        <w:spacing w:line="360" w:lineRule="auto"/>
        <w:ind w:firstLine="420"/>
        <w:jc w:val="left"/>
        <w:rPr>
          <w:szCs w:val="21"/>
        </w:rPr>
      </w:pPr>
      <w:r>
        <w:rPr>
          <w:szCs w:val="21"/>
        </w:rPr>
        <w:t>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p>
    <w:p>
      <w:pPr>
        <w:widowControl/>
        <w:spacing w:line="360" w:lineRule="auto"/>
        <w:ind w:firstLine="420"/>
        <w:jc w:val="left"/>
        <w:rPr>
          <w:szCs w:val="21"/>
        </w:rPr>
      </w:pPr>
      <w:r>
        <w:rPr>
          <w:szCs w:val="21"/>
        </w:rPr>
        <w:t xml:space="preserve">本公司（单位）对上述声明内容的真实性负责。如有虚假，愿承担相应法律责任。 </w:t>
      </w:r>
    </w:p>
    <w:p>
      <w:pPr>
        <w:widowControl/>
        <w:spacing w:line="360" w:lineRule="auto"/>
        <w:ind w:left="562" w:firstLine="420"/>
        <w:jc w:val="center"/>
        <w:rPr>
          <w:szCs w:val="21"/>
        </w:rPr>
      </w:pPr>
    </w:p>
    <w:p>
      <w:pPr>
        <w:widowControl/>
        <w:spacing w:line="360" w:lineRule="auto"/>
        <w:ind w:left="562" w:firstLine="420"/>
        <w:jc w:val="center"/>
        <w:rPr>
          <w:szCs w:val="21"/>
        </w:rPr>
      </w:pPr>
      <w:r>
        <w:rPr>
          <w:szCs w:val="21"/>
        </w:rPr>
        <w:t>公司（单位）名称（盖章）：</w:t>
      </w:r>
    </w:p>
    <w:p>
      <w:pPr>
        <w:widowControl/>
        <w:spacing w:line="360" w:lineRule="auto"/>
        <w:ind w:left="562" w:firstLine="420"/>
        <w:jc w:val="center"/>
        <w:rPr>
          <w:szCs w:val="21"/>
        </w:rPr>
      </w:pPr>
      <w:r>
        <w:rPr>
          <w:szCs w:val="21"/>
        </w:rPr>
        <w:t>日期： 年 月 日</w:t>
      </w:r>
    </w:p>
    <w:p>
      <w:pPr>
        <w:spacing w:line="360" w:lineRule="auto"/>
        <w:ind w:left="562" w:firstLine="420"/>
        <w:jc w:val="left"/>
        <w:rPr>
          <w:szCs w:val="21"/>
        </w:rPr>
      </w:pPr>
    </w:p>
    <w:p>
      <w:pPr>
        <w:spacing w:line="360" w:lineRule="auto"/>
        <w:ind w:left="562" w:firstLine="420"/>
        <w:jc w:val="left"/>
        <w:rPr>
          <w:szCs w:val="21"/>
        </w:rPr>
      </w:pPr>
    </w:p>
    <w:p>
      <w:pPr>
        <w:pStyle w:val="18"/>
        <w:spacing w:before="229" w:line="360" w:lineRule="auto"/>
        <w:ind w:firstLine="420"/>
        <w:jc w:val="left"/>
        <w:rPr>
          <w:rFonts w:ascii="Times New Roman"/>
          <w:sz w:val="21"/>
          <w:szCs w:val="21"/>
          <w:lang w:val="zh-TW"/>
        </w:rPr>
      </w:pPr>
      <w:r>
        <w:rPr>
          <w:rFonts w:ascii="Times New Roman"/>
          <w:sz w:val="21"/>
          <w:szCs w:val="21"/>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p>
    <w:p/>
    <w:p>
      <w:pPr>
        <w:spacing w:after="156" w:line="440" w:lineRule="exact"/>
        <w:outlineLvl w:val="1"/>
        <w:rPr>
          <w:b/>
          <w:bCs/>
          <w:sz w:val="24"/>
          <w:szCs w:val="22"/>
          <w:lang w:val="zh-CN"/>
        </w:rPr>
        <w:sectPr>
          <w:footerReference r:id="rId24" w:type="first"/>
          <w:pgSz w:w="11906" w:h="16838"/>
          <w:pgMar w:top="1134" w:right="1134" w:bottom="1134" w:left="1134" w:header="851" w:footer="992" w:gutter="0"/>
          <w:cols w:space="720" w:num="1"/>
          <w:titlePg/>
          <w:docGrid w:linePitch="360" w:charSpace="0"/>
        </w:sectPr>
      </w:pPr>
    </w:p>
    <w:p>
      <w:pPr>
        <w:spacing w:after="156" w:line="440" w:lineRule="exact"/>
        <w:outlineLvl w:val="1"/>
        <w:rPr>
          <w:b/>
          <w:bCs/>
          <w:sz w:val="24"/>
          <w:szCs w:val="22"/>
          <w:lang w:val="zh-CN"/>
        </w:rPr>
      </w:pPr>
      <w:bookmarkStart w:id="305" w:name="_Toc11298"/>
      <w:r>
        <w:rPr>
          <w:b/>
          <w:bCs/>
          <w:sz w:val="24"/>
          <w:szCs w:val="22"/>
          <w:lang w:val="zh-CN"/>
        </w:rPr>
        <w:t>附件</w:t>
      </w:r>
      <w:r>
        <w:rPr>
          <w:b/>
          <w:bCs/>
          <w:sz w:val="24"/>
          <w:szCs w:val="22"/>
        </w:rPr>
        <w:t xml:space="preserve">七 </w:t>
      </w:r>
      <w:r>
        <w:rPr>
          <w:b/>
          <w:bCs/>
          <w:sz w:val="24"/>
          <w:szCs w:val="22"/>
          <w:lang w:val="zh-CN"/>
        </w:rPr>
        <w:t>供应商基本情况表</w:t>
      </w:r>
      <w:bookmarkEnd w:id="296"/>
      <w:bookmarkEnd w:id="297"/>
      <w:bookmarkEnd w:id="298"/>
      <w:bookmarkEnd w:id="305"/>
    </w:p>
    <w:tbl>
      <w:tblPr>
        <w:tblStyle w:val="4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809" w:type="dxa"/>
            <w:vAlign w:val="center"/>
          </w:tcPr>
          <w:p>
            <w:pPr>
              <w:spacing w:line="312" w:lineRule="atLeast"/>
              <w:jc w:val="center"/>
              <w:rPr>
                <w:b/>
                <w:bCs/>
                <w:szCs w:val="21"/>
              </w:rPr>
            </w:pPr>
            <w:r>
              <w:rPr>
                <w:b/>
                <w:bCs/>
                <w:szCs w:val="21"/>
              </w:rPr>
              <w:t>供应商名称</w:t>
            </w:r>
          </w:p>
        </w:tc>
        <w:tc>
          <w:tcPr>
            <w:tcW w:w="7513" w:type="dxa"/>
            <w:vAlign w:val="center"/>
          </w:tcPr>
          <w:p>
            <w:pPr>
              <w:spacing w:line="312" w:lineRule="atLeast"/>
              <w:rPr>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809" w:type="dxa"/>
            <w:vAlign w:val="center"/>
          </w:tcPr>
          <w:p>
            <w:pPr>
              <w:spacing w:line="312" w:lineRule="atLeast"/>
              <w:jc w:val="center"/>
              <w:rPr>
                <w:b/>
                <w:bCs/>
                <w:szCs w:val="21"/>
              </w:rPr>
            </w:pPr>
            <w:r>
              <w:rPr>
                <w:b/>
                <w:bCs/>
                <w:szCs w:val="21"/>
              </w:rPr>
              <w:t>社会机构统一信用代码</w:t>
            </w:r>
          </w:p>
        </w:tc>
        <w:tc>
          <w:tcPr>
            <w:tcW w:w="7513" w:type="dxa"/>
            <w:vAlign w:val="center"/>
          </w:tcPr>
          <w:p>
            <w:pPr>
              <w:spacing w:line="312" w:lineRule="atLeast"/>
              <w:rPr>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809" w:type="dxa"/>
            <w:vAlign w:val="center"/>
          </w:tcPr>
          <w:p>
            <w:pPr>
              <w:spacing w:line="312" w:lineRule="atLeast"/>
              <w:jc w:val="center"/>
              <w:rPr>
                <w:b/>
                <w:bCs/>
                <w:szCs w:val="21"/>
              </w:rPr>
            </w:pPr>
            <w:r>
              <w:rPr>
                <w:b/>
                <w:bCs/>
                <w:lang w:val="zh-CN"/>
              </w:rPr>
              <w:t>供应商规模</w:t>
            </w:r>
          </w:p>
        </w:tc>
        <w:tc>
          <w:tcPr>
            <w:tcW w:w="7513" w:type="dxa"/>
            <w:vAlign w:val="center"/>
          </w:tcPr>
          <w:p>
            <w:pPr>
              <w:spacing w:line="312" w:lineRule="atLeast"/>
              <w:rPr>
                <w:b/>
                <w:bCs/>
                <w:szCs w:val="21"/>
              </w:rPr>
            </w:pPr>
            <w:r>
              <w:rPr>
                <w:b/>
                <w:bCs/>
                <w:szCs w:val="21"/>
              </w:rPr>
              <w:t xml:space="preserve">     </w:t>
            </w:r>
            <w:r>
              <w:rPr>
                <w:rFonts w:eastAsia="仿宋"/>
                <w:color w:val="000000"/>
                <w:sz w:val="24"/>
                <w:szCs w:val="24"/>
              </w:rPr>
              <w:t>□</w:t>
            </w:r>
            <w:r>
              <w:rPr>
                <w:b/>
                <w:bCs/>
                <w:szCs w:val="21"/>
              </w:rPr>
              <w:t xml:space="preserve">大型           </w:t>
            </w:r>
            <w:r>
              <w:rPr>
                <w:rFonts w:eastAsia="仿宋"/>
                <w:color w:val="000000"/>
                <w:sz w:val="24"/>
                <w:szCs w:val="24"/>
              </w:rPr>
              <w:t>□</w:t>
            </w:r>
            <w:r>
              <w:rPr>
                <w:b/>
                <w:bCs/>
                <w:szCs w:val="21"/>
              </w:rPr>
              <w:t xml:space="preserve">中型          </w:t>
            </w:r>
            <w:r>
              <w:rPr>
                <w:rFonts w:eastAsia="仿宋"/>
                <w:color w:val="000000"/>
                <w:sz w:val="24"/>
                <w:szCs w:val="24"/>
              </w:rPr>
              <w:t>□</w:t>
            </w:r>
            <w:r>
              <w:rPr>
                <w:b/>
                <w:bCs/>
                <w:szCs w:val="21"/>
              </w:rPr>
              <w:t xml:space="preserve">小微型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809" w:type="dxa"/>
            <w:vAlign w:val="center"/>
          </w:tcPr>
          <w:p>
            <w:pPr>
              <w:jc w:val="center"/>
              <w:rPr>
                <w:b/>
                <w:bCs/>
                <w:lang w:val="zh-CN"/>
              </w:rPr>
            </w:pPr>
            <w:r>
              <w:rPr>
                <w:b/>
                <w:bCs/>
                <w:lang w:val="zh-CN"/>
              </w:rPr>
              <w:t>供应商所在区域</w:t>
            </w:r>
          </w:p>
          <w:p>
            <w:pPr>
              <w:spacing w:line="312" w:lineRule="atLeast"/>
              <w:jc w:val="center"/>
              <w:rPr>
                <w:b/>
                <w:bCs/>
                <w:lang w:val="zh-CN"/>
              </w:rPr>
            </w:pPr>
            <w:r>
              <w:rPr>
                <w:b/>
                <w:bCs/>
                <w:lang w:val="zh-CN"/>
              </w:rPr>
              <w:t>（细化到省份）</w:t>
            </w:r>
          </w:p>
        </w:tc>
        <w:tc>
          <w:tcPr>
            <w:tcW w:w="7513" w:type="dxa"/>
            <w:vAlign w:val="center"/>
          </w:tcPr>
          <w:p>
            <w:pPr>
              <w:spacing w:line="312" w:lineRule="atLeast"/>
              <w:rPr>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809" w:type="dxa"/>
            <w:vAlign w:val="center"/>
          </w:tcPr>
          <w:p>
            <w:pPr>
              <w:jc w:val="center"/>
              <w:rPr>
                <w:b/>
                <w:bCs/>
                <w:lang w:val="zh-CN"/>
              </w:rPr>
            </w:pPr>
            <w:r>
              <w:rPr>
                <w:b/>
                <w:bCs/>
                <w:lang w:val="zh-CN"/>
              </w:rPr>
              <w:t>是否特殊性质</w:t>
            </w:r>
          </w:p>
        </w:tc>
        <w:tc>
          <w:tcPr>
            <w:tcW w:w="7513" w:type="dxa"/>
            <w:vAlign w:val="center"/>
          </w:tcPr>
          <w:p>
            <w:pPr>
              <w:spacing w:line="312" w:lineRule="atLeast"/>
              <w:rPr>
                <w:b/>
                <w:bCs/>
                <w:szCs w:val="21"/>
              </w:rPr>
            </w:pPr>
            <w:r>
              <w:rPr>
                <w:b/>
                <w:bCs/>
                <w:lang w:val="zh-CN"/>
              </w:rPr>
              <w:t xml:space="preserve">   </w:t>
            </w:r>
            <w:r>
              <w:rPr>
                <w:rFonts w:eastAsia="仿宋"/>
                <w:color w:val="000000"/>
                <w:sz w:val="24"/>
                <w:szCs w:val="24"/>
              </w:rPr>
              <w:t>□</w:t>
            </w:r>
            <w:r>
              <w:rPr>
                <w:b/>
                <w:bCs/>
                <w:lang w:val="zh-CN"/>
              </w:rPr>
              <w:t xml:space="preserve">监狱企业残疾人     </w:t>
            </w:r>
            <w:r>
              <w:rPr>
                <w:rFonts w:eastAsia="仿宋"/>
                <w:color w:val="000000"/>
                <w:sz w:val="24"/>
                <w:szCs w:val="24"/>
              </w:rPr>
              <w:t>□</w:t>
            </w:r>
            <w:r>
              <w:rPr>
                <w:b/>
                <w:bCs/>
                <w:lang w:val="zh-CN"/>
              </w:rPr>
              <w:t xml:space="preserve">福利性单位     </w:t>
            </w:r>
            <w:r>
              <w:rPr>
                <w:rFonts w:eastAsia="仿宋"/>
                <w:color w:val="000000"/>
                <w:sz w:val="24"/>
                <w:szCs w:val="24"/>
              </w:rPr>
              <w:t>□</w:t>
            </w:r>
            <w:r>
              <w:rPr>
                <w:b/>
                <w:bCs/>
                <w:lang w:val="zh-CN"/>
              </w:rPr>
              <w:t>其他</w:t>
            </w:r>
          </w:p>
        </w:tc>
      </w:tr>
    </w:tbl>
    <w:p>
      <w:pPr>
        <w:rPr>
          <w:lang w:val="zh-CN"/>
        </w:rPr>
      </w:pPr>
      <w:r>
        <w:rPr>
          <w:lang w:val="zh-CN"/>
        </w:rPr>
        <w:t>注：</w:t>
      </w:r>
    </w:p>
    <w:p>
      <w:pPr>
        <w:spacing w:line="360" w:lineRule="auto"/>
        <w:ind w:firstLine="218"/>
        <w:rPr>
          <w:lang w:val="zh-CN"/>
        </w:rPr>
      </w:pPr>
      <w:r>
        <w:t>1、供应商规模：供应商应对照工业和信息化部、国家统计局、国家发展改革委、财政部《关于印发中小企业划型标准规定的通知》（工信部联企业〔2011〕300 号）中的规模划分勾选自身规模；</w:t>
      </w:r>
    </w:p>
    <w:p>
      <w:pPr>
        <w:spacing w:line="360" w:lineRule="auto"/>
        <w:ind w:firstLine="218"/>
      </w:pPr>
      <w:r>
        <w:t>2、供应商所在区域：指供应商注册地所在地区，具体细化到省份；</w:t>
      </w:r>
    </w:p>
    <w:p>
      <w:pPr>
        <w:spacing w:line="360" w:lineRule="auto"/>
        <w:ind w:firstLine="218"/>
        <w:rPr>
          <w:lang w:val="zh-CN"/>
        </w:rPr>
      </w:pPr>
      <w:r>
        <w:t>3、</w:t>
      </w:r>
      <w:r>
        <w:rPr>
          <w:lang w:val="zh-CN"/>
        </w:rPr>
        <w:t>是否特殊性质：</w:t>
      </w:r>
      <w:r>
        <w:t>供应商应对照《财政部司法部关于政府采购支持监狱企业发展有关问题的通知》（财库〔2014〕68号） 和《财政部民政部中国残疾人联合会关于促进残疾人就业政府采购政策的通知》（财库〔2017〕141号）的规定勾选自身性质。</w:t>
      </w:r>
    </w:p>
    <w:p>
      <w:pPr>
        <w:spacing w:after="156" w:line="360" w:lineRule="auto"/>
        <w:rPr>
          <w:b/>
          <w:bCs/>
          <w:sz w:val="24"/>
          <w:szCs w:val="22"/>
          <w:lang w:val="zh-CN"/>
        </w:rPr>
      </w:pPr>
    </w:p>
    <w:p>
      <w:pPr>
        <w:spacing w:line="360" w:lineRule="auto"/>
        <w:outlineLvl w:val="0"/>
        <w:rPr>
          <w:b/>
          <w:bCs/>
          <w:sz w:val="24"/>
          <w:szCs w:val="22"/>
          <w:lang w:val="zh-CN"/>
        </w:rPr>
        <w:sectPr>
          <w:pgSz w:w="11906" w:h="16838"/>
          <w:pgMar w:top="1134" w:right="1134" w:bottom="1134" w:left="1134" w:header="851" w:footer="992" w:gutter="0"/>
          <w:cols w:space="720" w:num="1"/>
          <w:titlePg/>
          <w:docGrid w:linePitch="360" w:charSpace="0"/>
        </w:sectPr>
      </w:pPr>
    </w:p>
    <w:p>
      <w:pPr>
        <w:spacing w:after="156" w:line="440" w:lineRule="exact"/>
        <w:outlineLvl w:val="1"/>
        <w:rPr>
          <w:rFonts w:hint="eastAsia" w:ascii="宋体" w:hAnsi="宋体" w:cs="宋体"/>
          <w:b/>
          <w:bCs/>
          <w:color w:val="000000"/>
          <w:sz w:val="24"/>
          <w:szCs w:val="22"/>
        </w:rPr>
      </w:pPr>
      <w:bookmarkStart w:id="306" w:name="_Toc4907"/>
      <w:bookmarkStart w:id="307" w:name="_Toc15801"/>
      <w:bookmarkStart w:id="308" w:name="_Toc4258"/>
      <w:r>
        <w:rPr>
          <w:rFonts w:hint="eastAsia" w:ascii="宋体" w:hAnsi="宋体" w:cs="宋体"/>
          <w:b/>
          <w:bCs/>
          <w:color w:val="000000"/>
          <w:sz w:val="24"/>
          <w:szCs w:val="22"/>
          <w:lang w:val="zh-CN"/>
        </w:rPr>
        <w:t>附件</w:t>
      </w:r>
      <w:r>
        <w:rPr>
          <w:rFonts w:hint="eastAsia" w:ascii="宋体" w:hAnsi="宋体" w:cs="宋体"/>
          <w:b/>
          <w:bCs/>
          <w:color w:val="000000"/>
          <w:sz w:val="24"/>
          <w:szCs w:val="22"/>
        </w:rPr>
        <w:t xml:space="preserve">七 </w:t>
      </w:r>
      <w:r>
        <w:rPr>
          <w:rFonts w:hint="eastAsia" w:ascii="宋体" w:hAnsi="宋体" w:cs="宋体"/>
          <w:b/>
          <w:bCs/>
          <w:color w:val="000000"/>
          <w:sz w:val="24"/>
          <w:szCs w:val="22"/>
          <w:lang w:val="zh-CN"/>
        </w:rPr>
        <w:t>供应商情况告知表</w:t>
      </w:r>
      <w:r>
        <w:rPr>
          <w:rFonts w:hint="eastAsia" w:ascii="宋体" w:hAnsi="宋体" w:cs="宋体"/>
          <w:b/>
          <w:bCs/>
          <w:color w:val="000000"/>
          <w:sz w:val="24"/>
          <w:szCs w:val="22"/>
        </w:rPr>
        <w:t>—附表</w:t>
      </w:r>
      <w:bookmarkEnd w:id="306"/>
      <w:bookmarkEnd w:id="307"/>
      <w:bookmarkEnd w:id="308"/>
    </w:p>
    <w:p>
      <w:pPr>
        <w:spacing w:line="360" w:lineRule="auto"/>
        <w:ind w:firstLine="422"/>
        <w:jc w:val="center"/>
        <w:rPr>
          <w:rFonts w:hint="eastAsia" w:ascii="宋体" w:hAnsi="宋体" w:cs="宋体"/>
          <w:b/>
          <w:bCs/>
          <w:szCs w:val="21"/>
        </w:rPr>
      </w:pPr>
      <w:r>
        <w:rPr>
          <w:rFonts w:hint="eastAsia" w:ascii="宋体" w:hAnsi="宋体" w:cs="宋体"/>
          <w:b/>
          <w:bCs/>
          <w:szCs w:val="21"/>
        </w:rPr>
        <w:t>中小企业划型标准规定</w:t>
      </w:r>
    </w:p>
    <w:p>
      <w:pPr>
        <w:spacing w:line="360" w:lineRule="auto"/>
        <w:ind w:firstLine="420"/>
        <w:jc w:val="left"/>
        <w:rPr>
          <w:rFonts w:hint="eastAsia" w:ascii="宋体" w:hAnsi="宋体" w:cs="宋体"/>
          <w:szCs w:val="21"/>
        </w:rPr>
      </w:pPr>
      <w:r>
        <w:rPr>
          <w:rFonts w:hint="eastAsia" w:ascii="宋体" w:hAnsi="宋体" w:cs="宋体"/>
          <w:szCs w:val="21"/>
        </w:rPr>
        <w:t>一、根据《中华人民共和国中小企业促进法》和《国务院关于进一步促进中小企业发展的若干意见》(国发〔2009〕36号)，制定本规定。</w:t>
      </w:r>
    </w:p>
    <w:p>
      <w:pPr>
        <w:spacing w:line="360" w:lineRule="auto"/>
        <w:ind w:firstLine="420"/>
        <w:jc w:val="left"/>
        <w:rPr>
          <w:rFonts w:hint="eastAsia"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pPr>
        <w:spacing w:line="360" w:lineRule="auto"/>
        <w:ind w:firstLine="420"/>
        <w:jc w:val="left"/>
        <w:rPr>
          <w:rFonts w:hint="eastAsia"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420"/>
        <w:jc w:val="left"/>
        <w:rPr>
          <w:rFonts w:hint="eastAsia" w:ascii="宋体" w:hAnsi="宋体" w:cs="宋体"/>
          <w:szCs w:val="21"/>
        </w:rPr>
      </w:pPr>
      <w:r>
        <w:rPr>
          <w:rFonts w:hint="eastAsia" w:ascii="宋体" w:hAnsi="宋体" w:cs="宋体"/>
          <w:szCs w:val="21"/>
        </w:rPr>
        <w:t>四、各行业划型标准为：</w:t>
      </w:r>
    </w:p>
    <w:p>
      <w:pPr>
        <w:spacing w:line="360" w:lineRule="auto"/>
        <w:ind w:firstLine="420"/>
        <w:jc w:val="left"/>
        <w:rPr>
          <w:rFonts w:hint="eastAsia" w:ascii="宋体" w:hAnsi="宋体" w:cs="宋体"/>
          <w:szCs w:val="21"/>
        </w:rPr>
      </w:pPr>
      <w:r>
        <w:rPr>
          <w:rFonts w:hint="eastAsia" w:ascii="宋体" w:hAnsi="宋体" w:cs="宋体"/>
          <w:szCs w:val="21"/>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20"/>
        <w:jc w:val="left"/>
        <w:rPr>
          <w:rFonts w:hint="eastAsia"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20"/>
        <w:jc w:val="left"/>
        <w:rPr>
          <w:rFonts w:hint="eastAsia" w:ascii="宋体" w:hAnsi="宋体" w:cs="宋体"/>
          <w:szCs w:val="21"/>
        </w:rPr>
      </w:pPr>
      <w:r>
        <w:rPr>
          <w:rFonts w:hint="eastAsia" w:ascii="宋体" w:hAnsi="宋体" w:cs="宋体"/>
          <w:szCs w:val="21"/>
        </w:rPr>
        <w:t>五、企业类型的划分以统计部门的统计数据为依据。</w:t>
      </w:r>
    </w:p>
    <w:p>
      <w:pPr>
        <w:spacing w:line="360" w:lineRule="auto"/>
        <w:ind w:firstLine="420"/>
        <w:jc w:val="left"/>
        <w:rPr>
          <w:rFonts w:hint="eastAsia"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pPr>
        <w:spacing w:line="360" w:lineRule="auto"/>
        <w:ind w:firstLine="420"/>
        <w:jc w:val="left"/>
        <w:rPr>
          <w:rFonts w:hint="eastAsia"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20"/>
        <w:jc w:val="left"/>
        <w:rPr>
          <w:rFonts w:hint="eastAsia"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pPr>
        <w:spacing w:line="360" w:lineRule="auto"/>
        <w:ind w:firstLine="420"/>
        <w:jc w:val="left"/>
        <w:rPr>
          <w:rFonts w:hint="eastAsia" w:ascii="宋体" w:hAnsi="宋体" w:cs="宋体"/>
          <w:szCs w:val="21"/>
        </w:rPr>
      </w:pPr>
      <w:r>
        <w:rPr>
          <w:rFonts w:hint="eastAsia" w:ascii="宋体" w:hAnsi="宋体" w:cs="宋体"/>
          <w:szCs w:val="21"/>
        </w:rPr>
        <w:t>九、本规定由工业和信息化部、国家统计局会同有关部门负责解释。</w:t>
      </w:r>
    </w:p>
    <w:p>
      <w:pPr>
        <w:spacing w:line="360" w:lineRule="auto"/>
        <w:ind w:firstLine="420"/>
        <w:jc w:val="left"/>
        <w:rPr>
          <w:rFonts w:hint="eastAsia" w:ascii="宋体" w:hAnsi="宋体" w:cs="宋体"/>
          <w:szCs w:val="21"/>
        </w:rPr>
      </w:pPr>
      <w:r>
        <w:rPr>
          <w:rFonts w:hint="eastAsia" w:ascii="宋体" w:hAnsi="宋体" w:cs="宋体"/>
          <w:szCs w:val="21"/>
        </w:rPr>
        <w:t>十、本规定自发布之日起执行，原国家经贸委、原国家计委、财政部和国家统计局2003年颁布的《中小企业标准暂行规定》同时废止。</w:t>
      </w:r>
    </w:p>
    <w:p>
      <w:pPr>
        <w:spacing w:line="440" w:lineRule="exact"/>
        <w:rPr>
          <w:rFonts w:hint="eastAsia" w:ascii="宋体" w:hAnsi="宋体" w:cs="宋体"/>
          <w:szCs w:val="21"/>
        </w:rPr>
      </w:pPr>
      <w:r>
        <w:rPr>
          <w:rFonts w:hint="eastAsia" w:ascii="宋体" w:hAnsi="宋体" w:cs="宋体"/>
          <w:b/>
          <w:bCs/>
          <w:sz w:val="24"/>
          <w:szCs w:val="22"/>
          <w:lang w:val="zh-CN"/>
        </w:rPr>
        <w:br w:type="page" w:clear="all"/>
      </w:r>
    </w:p>
    <w:p>
      <w:pPr>
        <w:spacing w:after="156" w:line="440" w:lineRule="exact"/>
        <w:outlineLvl w:val="1"/>
        <w:rPr>
          <w:rFonts w:hint="eastAsia" w:ascii="宋体" w:hAnsi="宋体" w:cs="宋体"/>
          <w:b/>
          <w:bCs/>
          <w:sz w:val="24"/>
          <w:szCs w:val="22"/>
          <w:lang w:val="zh-CN"/>
        </w:rPr>
      </w:pPr>
      <w:bookmarkStart w:id="309" w:name="_Toc16537"/>
      <w:r>
        <w:rPr>
          <w:rFonts w:hint="eastAsia" w:ascii="宋体" w:hAnsi="宋体" w:cs="宋体"/>
          <w:b/>
          <w:bCs/>
          <w:sz w:val="24"/>
          <w:szCs w:val="22"/>
          <w:lang w:val="zh-CN"/>
        </w:rPr>
        <w:t>附件</w:t>
      </w:r>
      <w:r>
        <w:rPr>
          <w:rFonts w:hint="eastAsia" w:ascii="宋体" w:hAnsi="宋体" w:cs="宋体"/>
          <w:b/>
          <w:bCs/>
          <w:sz w:val="24"/>
          <w:szCs w:val="22"/>
        </w:rPr>
        <w:t>八</w:t>
      </w:r>
      <w:r>
        <w:rPr>
          <w:rFonts w:hint="eastAsia" w:ascii="宋体" w:hAnsi="宋体" w:cs="宋体"/>
          <w:b/>
          <w:bCs/>
          <w:sz w:val="24"/>
          <w:szCs w:val="22"/>
          <w:lang w:val="zh-CN"/>
        </w:rPr>
        <w:t xml:space="preserve"> 资格证明文件</w:t>
      </w:r>
      <w:bookmarkEnd w:id="309"/>
    </w:p>
    <w:p>
      <w:pPr>
        <w:jc w:val="left"/>
        <w:rPr>
          <w:rFonts w:hint="eastAsia" w:hAnsi="宋体" w:cs="宋体"/>
          <w:b/>
          <w:bCs/>
          <w:szCs w:val="21"/>
          <w:lang w:val="zh-CN"/>
        </w:rPr>
      </w:pPr>
      <w:r>
        <w:rPr>
          <w:rFonts w:hint="eastAsia"/>
          <w:b/>
          <w:bCs/>
          <w:szCs w:val="21"/>
          <w:lang w:val="zh-CN"/>
        </w:rPr>
        <w:t>1、法人或其他组织的营业执照等证明文件（复印件加盖公章）</w:t>
      </w:r>
    </w:p>
    <w:p>
      <w:pPr>
        <w:spacing w:line="360" w:lineRule="auto"/>
        <w:rPr>
          <w:rFonts w:hint="eastAsia" w:ascii="宋体" w:hAnsi="宋体" w:cs="宋体"/>
          <w:sz w:val="24"/>
          <w:szCs w:val="24"/>
        </w:rPr>
      </w:pPr>
    </w:p>
    <w:p>
      <w:pPr>
        <w:spacing w:line="440" w:lineRule="exact"/>
        <w:rPr>
          <w:color w:val="000000"/>
          <w:sz w:val="24"/>
          <w:szCs w:val="24"/>
        </w:rPr>
      </w:pPr>
      <w:r>
        <w:rPr>
          <w:szCs w:val="21"/>
        </w:rPr>
        <w:t>注：供应商为法人单位的需提交有效的营业执照并加盖公章，供应商为其他组织的需提供有效的证明文件并加盖有效印章。</w:t>
      </w: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jc w:val="left"/>
        <w:rPr>
          <w:rFonts w:hint="eastAsia" w:ascii="宋体" w:hAnsi="宋体" w:cs="宋体"/>
          <w:b/>
          <w:bCs/>
          <w:szCs w:val="21"/>
          <w:lang w:val="zh-CN"/>
        </w:rPr>
        <w:sectPr>
          <w:footerReference r:id="rId25" w:type="first"/>
          <w:pgSz w:w="11906" w:h="16838"/>
          <w:pgMar w:top="1134" w:right="1134" w:bottom="1134" w:left="1134" w:header="851" w:footer="992" w:gutter="0"/>
          <w:cols w:space="720" w:num="1"/>
          <w:titlePg/>
          <w:docGrid w:linePitch="360" w:charSpace="0"/>
        </w:sectPr>
      </w:pPr>
    </w:p>
    <w:p>
      <w:pPr>
        <w:jc w:val="left"/>
        <w:rPr>
          <w:b/>
          <w:bCs/>
          <w:szCs w:val="21"/>
          <w:lang w:val="zh-CN"/>
        </w:rPr>
      </w:pPr>
      <w:r>
        <w:rPr>
          <w:rFonts w:hint="eastAsia"/>
          <w:b/>
          <w:bCs/>
          <w:szCs w:val="21"/>
          <w:lang w:val="zh-CN"/>
        </w:rPr>
        <w:t>2、法人代表授权书</w:t>
      </w:r>
    </w:p>
    <w:p>
      <w:pPr>
        <w:spacing w:line="360" w:lineRule="auto"/>
        <w:rPr>
          <w:rFonts w:hint="eastAsia" w:ascii="宋体" w:hAnsi="宋体" w:cs="宋体"/>
          <w:b/>
        </w:rPr>
      </w:pPr>
      <w:r>
        <w:rPr>
          <w:rFonts w:hint="eastAsia" w:ascii="宋体" w:hAnsi="宋体" w:cs="宋体"/>
          <w:b/>
        </w:rPr>
        <w:t>致江苏益诚建设工程咨询有限公司：</w:t>
      </w:r>
    </w:p>
    <w:p>
      <w:pPr>
        <w:spacing w:line="360" w:lineRule="auto"/>
        <w:rPr>
          <w:rFonts w:hint="eastAsia" w:ascii="宋体" w:hAnsi="宋体" w:cs="宋体"/>
          <w:szCs w:val="21"/>
        </w:rPr>
      </w:pPr>
      <w:r>
        <w:rPr>
          <w:rFonts w:hint="eastAsia" w:ascii="宋体" w:hAnsi="宋体" w:cs="宋体"/>
          <w:b/>
        </w:rPr>
        <w:t xml:space="preserve">   </w:t>
      </w:r>
      <w:r>
        <w:rPr>
          <w:rFonts w:hint="eastAsia" w:ascii="宋体" w:hAnsi="宋体" w:cs="宋体"/>
          <w:szCs w:val="21"/>
        </w:rPr>
        <w:t>本授权委托书声明：注册于</w:t>
      </w:r>
      <w:r>
        <w:rPr>
          <w:rFonts w:hint="eastAsia" w:ascii="宋体" w:hAnsi="宋体" w:cs="宋体"/>
          <w:szCs w:val="21"/>
          <w:u w:val="single"/>
        </w:rPr>
        <w:t xml:space="preserve">                </w:t>
      </w:r>
      <w:r>
        <w:rPr>
          <w:rFonts w:hint="eastAsia" w:ascii="宋体" w:hAnsi="宋体" w:cs="宋体"/>
          <w:szCs w:val="21"/>
        </w:rPr>
        <w:t>（供应商住址）的</w:t>
      </w:r>
      <w:r>
        <w:rPr>
          <w:rFonts w:hint="eastAsia" w:ascii="宋体" w:hAnsi="宋体" w:cs="宋体"/>
          <w:b/>
          <w:szCs w:val="21"/>
          <w:u w:val="single"/>
        </w:rPr>
        <w:t xml:space="preserve">              </w:t>
      </w:r>
      <w:r>
        <w:rPr>
          <w:rFonts w:hint="eastAsia" w:ascii="宋体" w:hAnsi="宋体" w:cs="宋体"/>
          <w:szCs w:val="21"/>
        </w:rPr>
        <w:t>（供应商名称）法定代表人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（项目名称）</w:t>
      </w:r>
      <w:r>
        <w:rPr>
          <w:rFonts w:hint="eastAsia" w:ascii="宋体" w:hAnsi="宋体" w:cs="宋体"/>
          <w:szCs w:val="21"/>
          <w:u w:val="single"/>
        </w:rPr>
        <w:t xml:space="preserve">            </w:t>
      </w:r>
      <w:r>
        <w:rPr>
          <w:rFonts w:hint="eastAsia" w:ascii="宋体" w:hAnsi="宋体" w:cs="宋体"/>
          <w:szCs w:val="21"/>
        </w:rPr>
        <w:t>（采购编号）投标，以本公司名义处理一切与之有关的事务。</w:t>
      </w:r>
    </w:p>
    <w:p>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日签字生效，特此声明。</w:t>
      </w:r>
    </w:p>
    <w:p>
      <w:pPr>
        <w:spacing w:line="360" w:lineRule="auto"/>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szCs w:val="21"/>
        </w:rPr>
        <w:t xml:space="preserve">法定代表人签字或盖章： </w:t>
      </w:r>
    </w:p>
    <w:p>
      <w:pPr>
        <w:spacing w:line="360" w:lineRule="auto"/>
        <w:rPr>
          <w:rFonts w:hint="eastAsia" w:ascii="宋体" w:hAnsi="宋体" w:cs="宋体"/>
          <w:szCs w:val="21"/>
        </w:rPr>
      </w:pPr>
      <w:r>
        <w:rPr>
          <w:rFonts w:hint="eastAsia" w:ascii="宋体" w:hAnsi="宋体" w:cs="宋体"/>
          <w:szCs w:val="21"/>
        </w:rPr>
        <w:t xml:space="preserve">授权代表签字或盖章： </w:t>
      </w:r>
    </w:p>
    <w:p>
      <w:pPr>
        <w:spacing w:line="360" w:lineRule="auto"/>
        <w:rPr>
          <w:rFonts w:hint="eastAsia" w:ascii="宋体" w:hAnsi="宋体" w:cs="宋体"/>
          <w:sz w:val="23"/>
        </w:rPr>
      </w:pPr>
      <w:r>
        <w:rPr>
          <w:rFonts w:hint="eastAsia" w:ascii="宋体" w:hAnsi="宋体" w:cs="宋体"/>
          <w:szCs w:val="21"/>
        </w:rPr>
        <w:t>供应商名称（公章）：</w:t>
      </w:r>
      <w:r>
        <w:rPr>
          <w:rFonts w:hint="eastAsia" w:ascii="宋体" w:hAnsi="宋体" w:cs="宋体"/>
          <w:sz w:val="23"/>
        </w:rPr>
        <w:t xml:space="preserve"> </w:t>
      </w:r>
    </w:p>
    <w:p>
      <w:pPr>
        <w:spacing w:line="360" w:lineRule="auto"/>
        <w:rPr>
          <w:rFonts w:hint="eastAsia" w:ascii="宋体" w:hAnsi="宋体" w:cs="宋体"/>
          <w:szCs w:val="21"/>
        </w:rPr>
      </w:pPr>
      <w:r>
        <w:rPr>
          <w:rFonts w:hint="eastAsia" w:ascii="宋体" w:hAnsi="宋体" w:cs="宋体"/>
          <w:szCs w:val="21"/>
        </w:rPr>
        <w:t>日期：</w:t>
      </w:r>
    </w:p>
    <w:p>
      <w:pPr>
        <w:spacing w:line="360" w:lineRule="auto"/>
        <w:rPr>
          <w:rFonts w:hint="eastAsia" w:ascii="宋体" w:hAnsi="宋体" w:cs="宋体"/>
          <w:b/>
          <w:szCs w:val="21"/>
        </w:rPr>
      </w:pPr>
      <w:r>
        <w:rPr>
          <w:rFonts w:hint="eastAsia" w:ascii="宋体" w:hAnsi="宋体" w:cs="宋体"/>
          <w:sz w:val="23"/>
        </w:rPr>
        <w:t xml:space="preserve"> </w:t>
      </w:r>
    </w:p>
    <w:p>
      <w:pPr>
        <w:spacing w:line="360" w:lineRule="auto"/>
        <w:rPr>
          <w:rFonts w:hint="eastAsia" w:ascii="宋体" w:hAnsi="宋体" w:cs="宋体"/>
          <w:b/>
          <w:bCs/>
          <w:szCs w:val="21"/>
        </w:rPr>
      </w:pPr>
      <w:r>
        <w:rPr>
          <w:rFonts w:hint="eastAsia" w:ascii="宋体" w:hAnsi="宋体" w:cs="宋体"/>
          <w:b/>
          <w:bCs/>
          <w:szCs w:val="21"/>
        </w:rPr>
        <w:t>附：法定代表人、供应商授权代表的身份证复印件</w:t>
      </w:r>
    </w:p>
    <w:tbl>
      <w:tblPr>
        <w:tblStyle w:val="4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trPr>
        <w:tc>
          <w:tcPr>
            <w:tcW w:w="9854" w:type="dxa"/>
          </w:tcPr>
          <w:p>
            <w:pPr>
              <w:spacing w:line="360" w:lineRule="auto"/>
              <w:rPr>
                <w:rFonts w:hint="eastAsia" w:ascii="宋体" w:hAnsi="宋体" w:cs="宋体"/>
                <w:b/>
              </w:rPr>
            </w:pPr>
          </w:p>
        </w:tc>
      </w:tr>
    </w:tbl>
    <w:p>
      <w:pPr>
        <w:spacing w:line="360" w:lineRule="auto"/>
        <w:rPr>
          <w:rFonts w:hint="eastAsia" w:ascii="宋体" w:hAnsi="宋体" w:cs="宋体"/>
          <w:sz w:val="24"/>
          <w:szCs w:val="24"/>
        </w:rPr>
      </w:pPr>
    </w:p>
    <w:p>
      <w:pPr>
        <w:spacing w:line="360" w:lineRule="auto"/>
        <w:rPr>
          <w:rFonts w:hint="eastAsia" w:ascii="宋体" w:hAnsi="宋体" w:cs="宋体"/>
          <w:sz w:val="24"/>
          <w:szCs w:val="24"/>
        </w:rPr>
        <w:sectPr>
          <w:pgSz w:w="11906" w:h="16838"/>
          <w:pgMar w:top="1134" w:right="1134" w:bottom="1134" w:left="1134" w:header="851" w:footer="992" w:gutter="0"/>
          <w:cols w:space="720" w:num="1"/>
          <w:titlePg/>
          <w:docGrid w:linePitch="360" w:charSpace="0"/>
        </w:sectPr>
      </w:pPr>
    </w:p>
    <w:p>
      <w:pPr>
        <w:spacing w:line="360" w:lineRule="auto"/>
        <w:jc w:val="left"/>
        <w:rPr>
          <w:rFonts w:hint="eastAsia" w:hAnsi="宋体" w:cs="宋体"/>
          <w:b/>
          <w:bCs/>
          <w:szCs w:val="21"/>
          <w:lang w:val="zh-CN"/>
        </w:rPr>
      </w:pPr>
      <w:r>
        <w:rPr>
          <w:rFonts w:hint="eastAsia" w:ascii="宋体" w:hAnsi="宋体" w:cs="宋体"/>
          <w:b/>
          <w:bCs/>
          <w:color w:val="000000"/>
          <w:szCs w:val="21"/>
          <w:lang w:val="zh-CN"/>
        </w:rPr>
        <w:t>3、</w:t>
      </w:r>
      <w:r>
        <w:rPr>
          <w:rFonts w:hint="eastAsia"/>
          <w:b/>
          <w:bCs/>
          <w:szCs w:val="21"/>
          <w:lang w:val="zh-CN"/>
        </w:rPr>
        <w:t>具有良好的商业信誉和健全的财务会计制度</w:t>
      </w:r>
    </w:p>
    <w:p>
      <w:pPr>
        <w:spacing w:line="360" w:lineRule="auto"/>
        <w:ind w:left="-2" w:right="-5"/>
        <w:rPr>
          <w:rFonts w:hint="eastAsia" w:ascii="宋体" w:hAnsi="宋体" w:cs="宋体"/>
          <w:sz w:val="24"/>
        </w:rPr>
      </w:pPr>
    </w:p>
    <w:p>
      <w:pPr>
        <w:spacing w:line="360" w:lineRule="auto"/>
        <w:rPr>
          <w:szCs w:val="21"/>
        </w:rPr>
      </w:pPr>
      <w:r>
        <w:rPr>
          <w:szCs w:val="21"/>
        </w:rPr>
        <w:t>具有良好的商业信誉和健全的财务会计制度，提供距</w:t>
      </w:r>
      <w:r>
        <w:rPr>
          <w:rFonts w:hint="eastAsia"/>
          <w:szCs w:val="21"/>
        </w:rPr>
        <w:t>磋商时间</w:t>
      </w:r>
      <w:r>
        <w:rPr>
          <w:szCs w:val="21"/>
        </w:rPr>
        <w:t>六个月内任意一月份的财务状况报告（</w:t>
      </w:r>
      <w:r>
        <w:rPr>
          <w:b/>
          <w:bCs/>
          <w:szCs w:val="21"/>
        </w:rPr>
        <w:t>至少包括资产负债表和利润表</w:t>
      </w:r>
      <w:r>
        <w:rPr>
          <w:szCs w:val="21"/>
        </w:rPr>
        <w:t>）（法人或者其他组织成立未满三个月的可以不提供），或其银行出具的资信证书（复印件）（开标前六个月内），或其</w:t>
      </w:r>
      <w:r>
        <w:rPr>
          <w:rFonts w:hint="eastAsia"/>
          <w:szCs w:val="21"/>
        </w:rPr>
        <w:t>2024或者2025</w:t>
      </w:r>
      <w:r>
        <w:rPr>
          <w:szCs w:val="21"/>
        </w:rPr>
        <w:t>年度经审计的财务报告复印件加盖公章；</w:t>
      </w:r>
    </w:p>
    <w:p>
      <w:pPr>
        <w:spacing w:line="440" w:lineRule="exact"/>
        <w:ind w:left="-2" w:right="-5"/>
        <w:rPr>
          <w:rFonts w:ascii="Arial" w:hAnsi="Arial" w:cs="Arial"/>
          <w:sz w:val="24"/>
        </w:rPr>
      </w:pPr>
    </w:p>
    <w:p>
      <w:pPr>
        <w:spacing w:line="360" w:lineRule="auto"/>
        <w:jc w:val="left"/>
        <w:rPr>
          <w:rFonts w:hint="eastAsia" w:ascii="宋体" w:hAnsi="宋体" w:cs="宋体"/>
          <w:szCs w:val="21"/>
          <w:lang w:val="zh-CN"/>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Cs w:val="21"/>
        </w:rPr>
      </w:pPr>
      <w:r>
        <w:rPr>
          <w:rFonts w:hint="eastAsia" w:ascii="宋体" w:hAnsi="宋体" w:cs="宋体"/>
          <w:szCs w:val="21"/>
        </w:rPr>
        <w:t>日期：</w:t>
      </w:r>
    </w:p>
    <w:p>
      <w:pPr>
        <w:spacing w:line="440" w:lineRule="exact"/>
        <w:ind w:left="-2" w:right="-5"/>
        <w:rPr>
          <w:rFonts w:ascii="Arial" w:hAnsi="Arial" w:cs="Arial"/>
          <w:szCs w:val="21"/>
        </w:rPr>
      </w:pPr>
    </w:p>
    <w:p>
      <w:pPr>
        <w:spacing w:line="440" w:lineRule="exact"/>
        <w:ind w:left="-2" w:right="-5"/>
        <w:rPr>
          <w:rFonts w:ascii="Arial" w:hAnsi="Arial" w:cs="Arial"/>
          <w:szCs w:val="21"/>
        </w:rPr>
      </w:pPr>
    </w:p>
    <w:p>
      <w:pPr>
        <w:spacing w:line="440" w:lineRule="exact"/>
        <w:ind w:left="-2" w:right="-5"/>
        <w:rPr>
          <w:rFonts w:ascii="Arial" w:hAnsi="Arial" w:cs="Arial"/>
          <w:szCs w:val="21"/>
        </w:rPr>
      </w:pPr>
      <w:r>
        <w:rPr>
          <w:rFonts w:ascii="Arial" w:hAnsi="Arial" w:cs="Arial"/>
          <w:szCs w:val="21"/>
        </w:rPr>
        <w:t xml:space="preserve">说明： </w:t>
      </w:r>
    </w:p>
    <w:p>
      <w:pPr>
        <w:spacing w:line="440" w:lineRule="exact"/>
        <w:ind w:left="-2" w:right="-5"/>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p>
    <w:p>
      <w:pPr>
        <w:spacing w:line="440" w:lineRule="exact"/>
        <w:ind w:left="-2" w:right="-5"/>
        <w:rPr>
          <w:rFonts w:ascii="Arial" w:hAnsi="Arial" w:cs="Arial"/>
          <w:szCs w:val="21"/>
        </w:rPr>
      </w:pPr>
      <w:r>
        <w:rPr>
          <w:rFonts w:ascii="Arial" w:hAnsi="Arial" w:cs="Arial"/>
          <w:szCs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p>
    <w:p>
      <w:pPr>
        <w:spacing w:line="440" w:lineRule="exact"/>
        <w:ind w:left="-2" w:right="-5"/>
        <w:rPr>
          <w:rFonts w:ascii="Arial" w:hAnsi="Arial" w:cs="Arial"/>
          <w:szCs w:val="21"/>
        </w:rPr>
      </w:pPr>
      <w:r>
        <w:rPr>
          <w:rFonts w:ascii="Arial" w:hAnsi="Arial" w:cs="Arial"/>
          <w:szCs w:val="21"/>
        </w:rPr>
        <w:t xml:space="preserve">3、银行资信证明可以是复印件并加盖供应商公章，评标委员会保留审核原件的权利。 </w:t>
      </w:r>
    </w:p>
    <w:p>
      <w:pPr>
        <w:spacing w:line="440" w:lineRule="exact"/>
        <w:ind w:left="-2" w:right="-5"/>
        <w:rPr>
          <w:rFonts w:ascii="Arial" w:hAnsi="Arial" w:cs="Arial"/>
          <w:sz w:val="24"/>
        </w:rPr>
      </w:pPr>
      <w:r>
        <w:rPr>
          <w:rFonts w:ascii="Arial" w:hAnsi="Arial" w:cs="Arial"/>
          <w:szCs w:val="21"/>
        </w:rPr>
        <w:t>4、银行资信证明应能说明该供应商与银行之间业务往来正常，无不良记录，企业信誉良好等。银行出具的存款证明不能作为银行资信证明。</w:t>
      </w: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rPr>
          <w:b/>
          <w:bCs/>
          <w:szCs w:val="21"/>
        </w:rPr>
      </w:pPr>
      <w:r>
        <w:rPr>
          <w:rFonts w:hint="eastAsia"/>
          <w:b/>
          <w:bCs/>
          <w:szCs w:val="21"/>
        </w:rPr>
        <w:br w:type="page"/>
      </w:r>
    </w:p>
    <w:p>
      <w:pPr>
        <w:jc w:val="left"/>
        <w:rPr>
          <w:rFonts w:hint="eastAsia" w:hAnsi="宋体" w:cs="宋体"/>
          <w:b/>
          <w:bCs/>
          <w:szCs w:val="21"/>
          <w:lang w:val="zh-CN"/>
        </w:rPr>
      </w:pPr>
      <w:r>
        <w:rPr>
          <w:rFonts w:hint="eastAsia"/>
          <w:b/>
          <w:bCs/>
          <w:szCs w:val="21"/>
        </w:rPr>
        <w:t>4、</w:t>
      </w:r>
      <w:r>
        <w:rPr>
          <w:rFonts w:hint="eastAsia"/>
          <w:b/>
          <w:bCs/>
          <w:szCs w:val="21"/>
          <w:lang w:val="zh-CN"/>
        </w:rPr>
        <w:t>具有履行合同所必需的设备和专业技术能力</w:t>
      </w:r>
    </w:p>
    <w:p>
      <w:pPr>
        <w:spacing w:line="360" w:lineRule="auto"/>
        <w:jc w:val="left"/>
        <w:rPr>
          <w:rFonts w:hint="eastAsia" w:ascii="宋体" w:hAnsi="宋体" w:cs="宋体"/>
        </w:rPr>
      </w:pPr>
      <w:r>
        <w:rPr>
          <w:szCs w:val="21"/>
        </w:rPr>
        <w:t>根据项目需求提供履行合同所必需的设备和专业技术能力的证明材料或相关加盖公章的承诺函，承诺函自行编写；</w:t>
      </w:r>
    </w:p>
    <w:p>
      <w:pPr>
        <w:spacing w:line="360" w:lineRule="auto"/>
        <w:jc w:val="left"/>
        <w:rPr>
          <w:rFonts w:hint="eastAsia" w:ascii="宋体" w:hAnsi="宋体" w:cs="宋体"/>
          <w:sz w:val="24"/>
          <w:szCs w:val="24"/>
        </w:rPr>
      </w:pPr>
    </w:p>
    <w:p>
      <w:pPr>
        <w:pStyle w:val="48"/>
        <w:ind w:firstLine="211"/>
        <w:jc w:val="left"/>
        <w:rPr>
          <w:b/>
          <w:sz w:val="21"/>
        </w:rPr>
      </w:pPr>
      <w:r>
        <w:rPr>
          <w:rFonts w:hint="eastAsia"/>
          <w:b/>
          <w:sz w:val="21"/>
        </w:rPr>
        <w:t>附：承诺函参考格式</w:t>
      </w:r>
    </w:p>
    <w:p>
      <w:pPr>
        <w:pStyle w:val="48"/>
        <w:ind w:firstLine="211"/>
        <w:jc w:val="center"/>
        <w:rPr>
          <w:b/>
          <w:sz w:val="21"/>
        </w:rPr>
      </w:pPr>
      <w:r>
        <w:rPr>
          <w:b/>
          <w:sz w:val="21"/>
        </w:rPr>
        <w:t>承诺函</w:t>
      </w:r>
    </w:p>
    <w:p>
      <w:pPr>
        <w:spacing w:line="360" w:lineRule="auto"/>
        <w:ind w:firstLine="1260"/>
        <w:jc w:val="left"/>
      </w:pPr>
    </w:p>
    <w:p>
      <w:pPr>
        <w:spacing w:line="360" w:lineRule="auto"/>
        <w:ind w:firstLine="1260"/>
        <w:jc w:val="left"/>
        <w:rPr>
          <w:sz w:val="24"/>
          <w:szCs w:val="24"/>
        </w:rPr>
      </w:pPr>
      <w:r>
        <w:t>我单位承诺：</w:t>
      </w:r>
      <w:r>
        <w:rPr>
          <w:bCs/>
          <w:lang w:val="zh-CN"/>
        </w:rPr>
        <w:t>具有履行合同所必需的设备和专业技术能力。</w:t>
      </w:r>
    </w:p>
    <w:p>
      <w:pPr>
        <w:spacing w:line="360" w:lineRule="auto"/>
        <w:jc w:val="left"/>
        <w:rPr>
          <w:sz w:val="24"/>
          <w:szCs w:val="24"/>
        </w:rPr>
      </w:pPr>
    </w:p>
    <w:p>
      <w:pPr>
        <w:spacing w:line="360" w:lineRule="auto"/>
        <w:rPr>
          <w:szCs w:val="21"/>
        </w:rPr>
      </w:pPr>
      <w:r>
        <w:rPr>
          <w:szCs w:val="21"/>
        </w:rPr>
        <w:t>供应商名称（公章）：</w:t>
      </w:r>
    </w:p>
    <w:p>
      <w:pPr>
        <w:spacing w:line="360" w:lineRule="auto"/>
        <w:rPr>
          <w:szCs w:val="21"/>
        </w:rPr>
      </w:pPr>
      <w:r>
        <w:rPr>
          <w:szCs w:val="21"/>
        </w:rPr>
        <w:t>授权代表（</w:t>
      </w:r>
      <w:r>
        <w:rPr>
          <w:rFonts w:hint="eastAsia"/>
          <w:szCs w:val="21"/>
        </w:rPr>
        <w:t>签字或盖章</w:t>
      </w:r>
      <w:r>
        <w:rPr>
          <w:szCs w:val="21"/>
        </w:rPr>
        <w:t>）：</w:t>
      </w:r>
    </w:p>
    <w:p>
      <w:pPr>
        <w:spacing w:line="360" w:lineRule="auto"/>
        <w:rPr>
          <w:szCs w:val="21"/>
        </w:rPr>
      </w:pPr>
      <w:r>
        <w:rPr>
          <w:szCs w:val="21"/>
        </w:rPr>
        <w:t>日期：</w:t>
      </w:r>
    </w:p>
    <w:p>
      <w:pPr>
        <w:spacing w:line="360" w:lineRule="auto"/>
        <w:jc w:val="left"/>
        <w:rPr>
          <w:rFonts w:hint="eastAsia" w:ascii="宋体" w:hAnsi="宋体" w:cs="宋体"/>
          <w:sz w:val="24"/>
          <w:szCs w:val="24"/>
        </w:rPr>
      </w:pPr>
    </w:p>
    <w:p>
      <w:pPr>
        <w:spacing w:line="360" w:lineRule="auto"/>
        <w:jc w:val="left"/>
        <w:rPr>
          <w:rFonts w:hint="eastAsia" w:ascii="宋体" w:hAnsi="宋体" w:cs="宋体"/>
          <w:sz w:val="24"/>
          <w:szCs w:val="24"/>
        </w:rPr>
      </w:pPr>
    </w:p>
    <w:p>
      <w:pPr>
        <w:spacing w:line="360" w:lineRule="auto"/>
        <w:jc w:val="left"/>
        <w:rPr>
          <w:rFonts w:hint="eastAsia" w:ascii="宋体" w:hAnsi="宋体" w:cs="宋体"/>
          <w:sz w:val="24"/>
          <w:szCs w:val="24"/>
        </w:rPr>
      </w:pPr>
    </w:p>
    <w:p>
      <w:pPr>
        <w:spacing w:line="360" w:lineRule="auto"/>
        <w:jc w:val="left"/>
        <w:rPr>
          <w:rFonts w:hint="eastAsia" w:ascii="宋体" w:hAnsi="宋体" w:cs="宋体"/>
          <w:sz w:val="24"/>
          <w:szCs w:val="24"/>
        </w:rPr>
      </w:pPr>
    </w:p>
    <w:p>
      <w:pPr>
        <w:spacing w:line="360" w:lineRule="auto"/>
        <w:jc w:val="left"/>
        <w:rPr>
          <w:rFonts w:hint="eastAsia" w:ascii="宋体" w:hAnsi="宋体" w:cs="宋体"/>
          <w:sz w:val="24"/>
          <w:szCs w:val="24"/>
        </w:rPr>
        <w:sectPr>
          <w:pgSz w:w="11906" w:h="16838"/>
          <w:pgMar w:top="1134" w:right="1134" w:bottom="1134" w:left="1134" w:header="851" w:footer="992" w:gutter="0"/>
          <w:cols w:space="720" w:num="1"/>
          <w:titlePg/>
          <w:docGrid w:linePitch="360" w:charSpace="0"/>
        </w:sectPr>
      </w:pPr>
    </w:p>
    <w:p>
      <w:pPr>
        <w:spacing w:line="360" w:lineRule="auto"/>
        <w:rPr>
          <w:rFonts w:ascii="Arial" w:hAnsi="Arial" w:cs="Arial"/>
          <w:b/>
          <w:bCs/>
          <w:szCs w:val="21"/>
          <w:lang w:val="zh-CN"/>
        </w:rPr>
      </w:pPr>
      <w:bookmarkStart w:id="310" w:name="_Toc27429"/>
      <w:bookmarkStart w:id="311" w:name="_Toc23111"/>
      <w:bookmarkStart w:id="312" w:name="_Toc19147"/>
      <w:bookmarkStart w:id="313" w:name="_Toc4863"/>
      <w:bookmarkStart w:id="314" w:name="_Toc20284"/>
      <w:r>
        <w:rPr>
          <w:rFonts w:ascii="Arial" w:hAnsi="Arial" w:cs="Arial"/>
          <w:b/>
          <w:bCs/>
          <w:szCs w:val="21"/>
          <w:lang w:val="zh-CN"/>
        </w:rPr>
        <w:t>5、参加</w:t>
      </w:r>
      <w:r>
        <w:rPr>
          <w:rFonts w:ascii="Arial" w:hAnsi="Arial" w:cs="Arial"/>
          <w:b/>
          <w:bCs/>
          <w:szCs w:val="21"/>
        </w:rPr>
        <w:t>政府</w:t>
      </w:r>
      <w:r>
        <w:rPr>
          <w:rFonts w:ascii="Arial" w:hAnsi="Arial" w:cs="Arial"/>
          <w:b/>
          <w:bCs/>
          <w:szCs w:val="21"/>
          <w:lang w:val="zh-CN"/>
        </w:rPr>
        <w:t>采购活动近三年内（成立时间不足三年的、自成立时间起），在经营活动中没有重大违法记录</w:t>
      </w:r>
      <w:bookmarkEnd w:id="310"/>
      <w:bookmarkEnd w:id="311"/>
      <w:bookmarkEnd w:id="312"/>
      <w:bookmarkEnd w:id="313"/>
      <w:bookmarkEnd w:id="314"/>
    </w:p>
    <w:p>
      <w:pPr>
        <w:spacing w:line="360" w:lineRule="exact"/>
        <w:rPr>
          <w:rFonts w:ascii="Arial" w:hAnsi="Arial" w:cs="Arial"/>
          <w:b/>
          <w:bCs/>
          <w:szCs w:val="21"/>
        </w:rPr>
      </w:pPr>
    </w:p>
    <w:p>
      <w:pPr>
        <w:spacing w:line="360" w:lineRule="exact"/>
        <w:rPr>
          <w:rFonts w:ascii="Arial" w:hAnsi="Arial" w:cs="Arial"/>
          <w:b/>
          <w:bCs/>
          <w:szCs w:val="21"/>
        </w:rPr>
      </w:pPr>
      <w:r>
        <w:rPr>
          <w:rFonts w:ascii="Arial" w:hAnsi="Arial" w:cs="Arial"/>
          <w:b/>
          <w:bCs/>
          <w:szCs w:val="21"/>
        </w:rPr>
        <w:t>附：承诺函参考格式</w:t>
      </w:r>
    </w:p>
    <w:p>
      <w:pPr>
        <w:pStyle w:val="18"/>
        <w:rPr>
          <w:rFonts w:ascii="Arial" w:hAnsi="Arial" w:cs="Arial"/>
        </w:rPr>
      </w:pPr>
    </w:p>
    <w:p>
      <w:pPr>
        <w:spacing w:line="360" w:lineRule="exact"/>
        <w:jc w:val="center"/>
        <w:rPr>
          <w:rFonts w:ascii="Arial" w:hAnsi="Arial" w:cs="Arial"/>
          <w:sz w:val="20"/>
          <w:szCs w:val="18"/>
        </w:rPr>
      </w:pPr>
      <w:r>
        <w:rPr>
          <w:rFonts w:ascii="Arial" w:hAnsi="Arial" w:cs="Arial"/>
          <w:b/>
          <w:sz w:val="28"/>
          <w:szCs w:val="18"/>
        </w:rPr>
        <w:t>近三年无重大违法记录承诺函</w:t>
      </w:r>
    </w:p>
    <w:p>
      <w:pPr>
        <w:spacing w:line="200" w:lineRule="exact"/>
        <w:rPr>
          <w:rFonts w:ascii="Arial" w:hAnsi="Arial" w:cs="Arial"/>
          <w:sz w:val="24"/>
        </w:rPr>
      </w:pPr>
    </w:p>
    <w:p>
      <w:pPr>
        <w:spacing w:line="200" w:lineRule="exact"/>
        <w:rPr>
          <w:rFonts w:ascii="Arial" w:hAnsi="Arial" w:cs="Arial"/>
          <w:sz w:val="24"/>
        </w:rPr>
      </w:pPr>
    </w:p>
    <w:p>
      <w:pPr>
        <w:spacing w:line="540" w:lineRule="exact"/>
        <w:ind w:left="60" w:firstLine="560"/>
        <w:rPr>
          <w:rFonts w:ascii="Arial" w:hAnsi="Arial" w:cs="Arial"/>
          <w:szCs w:val="21"/>
        </w:rPr>
      </w:pPr>
      <w:r>
        <w:rPr>
          <w:rFonts w:ascii="Arial" w:hAnsi="Arial" w:cs="Arial"/>
          <w:szCs w:val="21"/>
        </w:rPr>
        <w:t>我公司在参加本次政府采购活动近三年内，在以往经营活动中</w:t>
      </w:r>
      <w:r>
        <w:rPr>
          <w:rFonts w:ascii="Arial" w:hAnsi="Arial" w:cs="Arial"/>
          <w:szCs w:val="21"/>
          <w:u w:val="single"/>
        </w:rPr>
        <w:t xml:space="preserve">      </w:t>
      </w:r>
      <w:r>
        <w:rPr>
          <w:rFonts w:ascii="Arial" w:hAnsi="Arial" w:cs="Arial"/>
          <w:szCs w:val="21"/>
        </w:rPr>
        <w:t>（请填写“有”或“没有”）重大违法记录，重大违法记录是指供应商因违法经营受到刑事处罚或者责令停产停业、吊销许可证或者执照、较大数额罚款等行政处罚。</w:t>
      </w:r>
    </w:p>
    <w:p>
      <w:pPr>
        <w:spacing w:line="200" w:lineRule="exact"/>
        <w:rPr>
          <w:rFonts w:ascii="Arial" w:hAnsi="Arial" w:cs="Arial"/>
          <w:szCs w:val="21"/>
        </w:rPr>
      </w:pPr>
    </w:p>
    <w:p>
      <w:pPr>
        <w:spacing w:line="420" w:lineRule="exact"/>
        <w:ind w:left="620"/>
        <w:rPr>
          <w:rFonts w:ascii="Arial" w:hAnsi="Arial" w:cs="Arial"/>
          <w:szCs w:val="21"/>
        </w:rPr>
      </w:pPr>
      <w:r>
        <w:rPr>
          <w:rFonts w:ascii="Arial" w:hAnsi="Arial" w:cs="Arial"/>
          <w:szCs w:val="21"/>
        </w:rPr>
        <w:t>特此声明。</w:t>
      </w:r>
    </w:p>
    <w:p>
      <w:pPr>
        <w:tabs>
          <w:tab w:val="left" w:pos="972"/>
        </w:tabs>
        <w:spacing w:line="360" w:lineRule="auto"/>
        <w:rPr>
          <w:rFonts w:ascii="Arial" w:hAnsi="Arial" w:cs="Arial"/>
          <w:sz w:val="24"/>
          <w:szCs w:val="24"/>
        </w:rPr>
      </w:pPr>
      <w:r>
        <w:rPr>
          <w:rFonts w:ascii="Arial" w:hAnsi="Arial" w:cs="Arial"/>
          <w:sz w:val="24"/>
          <w:szCs w:val="24"/>
        </w:rPr>
        <w:tab/>
      </w:r>
    </w:p>
    <w:p>
      <w:pPr>
        <w:spacing w:line="440" w:lineRule="exact"/>
        <w:rPr>
          <w:rFonts w:ascii="Arial" w:hAnsi="Arial" w:cs="Arial"/>
          <w:sz w:val="24"/>
          <w:szCs w:val="24"/>
        </w:rPr>
      </w:pPr>
      <w:r>
        <w:rPr>
          <w:rFonts w:ascii="Arial" w:hAnsi="Arial" w:cs="Arial"/>
        </w:rPr>
        <w:t xml:space="preserve"> </w:t>
      </w:r>
    </w:p>
    <w:p>
      <w:pPr>
        <w:spacing w:line="360" w:lineRule="auto"/>
        <w:rPr>
          <w:rFonts w:ascii="Arial" w:hAnsi="Arial" w:cs="Arial"/>
          <w:sz w:val="24"/>
          <w:szCs w:val="24"/>
        </w:rPr>
      </w:pPr>
    </w:p>
    <w:p>
      <w:pPr>
        <w:spacing w:line="360" w:lineRule="auto"/>
        <w:jc w:val="left"/>
        <w:rPr>
          <w:rFonts w:ascii="Arial" w:hAnsi="Arial" w:cs="Arial"/>
          <w:sz w:val="24"/>
          <w:szCs w:val="24"/>
        </w:rPr>
      </w:pPr>
    </w:p>
    <w:p>
      <w:pPr>
        <w:spacing w:line="360" w:lineRule="auto"/>
        <w:jc w:val="left"/>
        <w:rPr>
          <w:rFonts w:ascii="Arial" w:hAnsi="Arial" w:cs="Arial"/>
          <w:sz w:val="24"/>
          <w:szCs w:val="24"/>
        </w:rPr>
      </w:pPr>
    </w:p>
    <w:p>
      <w:pPr>
        <w:spacing w:line="360" w:lineRule="auto"/>
        <w:rPr>
          <w:rFonts w:ascii="Arial" w:hAnsi="Arial" w:cs="Arial"/>
          <w:szCs w:val="21"/>
        </w:rPr>
      </w:pPr>
      <w:r>
        <w:rPr>
          <w:rFonts w:ascii="Arial" w:hAnsi="Arial" w:cs="Arial"/>
          <w:szCs w:val="21"/>
        </w:rPr>
        <w:t>供应商名称（公章）：</w:t>
      </w:r>
    </w:p>
    <w:p>
      <w:pPr>
        <w:spacing w:line="360" w:lineRule="auto"/>
        <w:rPr>
          <w:rFonts w:ascii="Arial" w:hAnsi="Arial" w:cs="Arial"/>
          <w:szCs w:val="21"/>
        </w:rPr>
      </w:pPr>
      <w:r>
        <w:rPr>
          <w:rFonts w:ascii="Arial" w:hAnsi="Arial" w:cs="Arial"/>
          <w:szCs w:val="21"/>
        </w:rPr>
        <w:t>授权代表（</w:t>
      </w:r>
      <w:r>
        <w:rPr>
          <w:rFonts w:hint="eastAsia" w:ascii="Arial" w:hAnsi="Arial" w:cs="Arial"/>
          <w:szCs w:val="21"/>
        </w:rPr>
        <w:t>签字或盖章</w:t>
      </w:r>
      <w:r>
        <w:rPr>
          <w:rFonts w:ascii="Arial" w:hAnsi="Arial" w:cs="Arial"/>
          <w:szCs w:val="21"/>
        </w:rPr>
        <w:t>）：</w:t>
      </w:r>
    </w:p>
    <w:p>
      <w:pPr>
        <w:spacing w:line="360" w:lineRule="auto"/>
        <w:rPr>
          <w:rFonts w:ascii="Arial" w:hAnsi="Arial" w:cs="Arial"/>
          <w:sz w:val="24"/>
          <w:szCs w:val="24"/>
        </w:rPr>
      </w:pPr>
      <w:r>
        <w:rPr>
          <w:rFonts w:ascii="Arial" w:hAnsi="Arial" w:cs="Arial"/>
          <w:szCs w:val="21"/>
        </w:rPr>
        <w:t>日期：</w:t>
      </w:r>
    </w:p>
    <w:p>
      <w:pPr>
        <w:spacing w:line="360" w:lineRule="auto"/>
        <w:rPr>
          <w:rFonts w:ascii="Arial" w:hAnsi="Arial" w:cs="Arial"/>
          <w:sz w:val="24"/>
          <w:szCs w:val="24"/>
        </w:rPr>
      </w:pPr>
    </w:p>
    <w:p>
      <w:pPr>
        <w:spacing w:line="440" w:lineRule="exact"/>
        <w:rPr>
          <w:rFonts w:ascii="Arial" w:hAnsi="Arial" w:cs="Arial"/>
          <w:szCs w:val="21"/>
        </w:rPr>
      </w:pPr>
      <w:r>
        <w:rPr>
          <w:rFonts w:ascii="Arial" w:hAnsi="Arial" w:cs="Arial"/>
          <w:szCs w:val="21"/>
        </w:rPr>
        <w:t>注：</w:t>
      </w:r>
      <w:r>
        <w:fldChar w:fldCharType="begin"/>
      </w:r>
      <w:r>
        <w:instrText xml:space="preserve"> HYPERLINK "http://www.creditchina.gov.cn/" \h </w:instrText>
      </w:r>
      <w:r>
        <w:fldChar w:fldCharType="separate"/>
      </w:r>
      <w:r>
        <w:rPr>
          <w:rFonts w:ascii="Arial" w:hAnsi="Arial" w:cs="Arial"/>
          <w:szCs w:val="21"/>
        </w:rPr>
        <w:t>1、信用信息查询渠道：信用中国网站（www.creditchina.gov.cn</w:t>
      </w:r>
      <w:r>
        <w:rPr>
          <w:rFonts w:ascii="Arial" w:hAnsi="Arial" w:cs="Arial"/>
          <w:szCs w:val="21"/>
        </w:rPr>
        <w:fldChar w:fldCharType="end"/>
      </w:r>
      <w:r>
        <w:rPr>
          <w:rFonts w:ascii="Arial" w:hAnsi="Arial" w:cs="Arial"/>
          <w:szCs w:val="21"/>
        </w:rPr>
        <w:t>）、中国政府采购网-</w:t>
      </w:r>
    </w:p>
    <w:p>
      <w:pPr>
        <w:spacing w:line="440" w:lineRule="exact"/>
        <w:rPr>
          <w:rFonts w:ascii="Arial" w:hAnsi="Arial" w:cs="Arial"/>
          <w:szCs w:val="21"/>
        </w:rPr>
      </w:pPr>
      <w:r>
        <w:rPr>
          <w:rFonts w:ascii="Arial" w:hAnsi="Arial" w:cs="Arial"/>
          <w:szCs w:val="21"/>
        </w:rPr>
        <w:t>政府采购严重违法失信行为信息记录（</w:t>
      </w:r>
      <w:r>
        <w:fldChar w:fldCharType="begin"/>
      </w:r>
      <w:r>
        <w:instrText xml:space="preserve"> HYPERLINK "http://www.ccgp.gov.cn/cr/list" \h </w:instrText>
      </w:r>
      <w:r>
        <w:fldChar w:fldCharType="separate"/>
      </w:r>
      <w:r>
        <w:rPr>
          <w:rFonts w:ascii="Arial" w:hAnsi="Arial" w:cs="Arial"/>
          <w:szCs w:val="21"/>
        </w:rPr>
        <w:t>http://www.ccgp.gov.cn</w:t>
      </w:r>
      <w:r>
        <w:rPr>
          <w:rFonts w:ascii="Arial" w:hAnsi="Arial" w:cs="Arial"/>
          <w:szCs w:val="21"/>
        </w:rPr>
        <w:fldChar w:fldCharType="end"/>
      </w:r>
      <w:r>
        <w:rPr>
          <w:rFonts w:ascii="Arial" w:hAnsi="Arial" w:cs="Arial"/>
          <w:szCs w:val="21"/>
        </w:rPr>
        <w:t xml:space="preserve">）； </w:t>
      </w:r>
    </w:p>
    <w:p>
      <w:pPr>
        <w:spacing w:line="360" w:lineRule="auto"/>
        <w:rPr>
          <w:rFonts w:ascii="Arial" w:hAnsi="Arial" w:cs="Arial"/>
          <w:sz w:val="24"/>
          <w:szCs w:val="24"/>
        </w:rPr>
      </w:pPr>
      <w:r>
        <w:rPr>
          <w:rFonts w:ascii="Arial" w:hAnsi="Arial" w:cs="Arial"/>
          <w:szCs w:val="21"/>
        </w:rPr>
        <w:t>2、信用信息查询截止时点：</w:t>
      </w:r>
      <w:r>
        <w:rPr>
          <w:b/>
          <w:bCs/>
        </w:rPr>
        <w:t>递交</w:t>
      </w:r>
      <w:r>
        <w:rPr>
          <w:rFonts w:hint="eastAsia"/>
          <w:b/>
          <w:bCs/>
        </w:rPr>
        <w:t>响应文件</w:t>
      </w:r>
      <w:r>
        <w:rPr>
          <w:b/>
          <w:bCs/>
        </w:rPr>
        <w:t>截止之日前</w:t>
      </w:r>
      <w:r>
        <w:rPr>
          <w:rFonts w:ascii="Arial" w:hAnsi="Arial" w:cs="Arial"/>
          <w:szCs w:val="21"/>
        </w:rPr>
        <w:t>。</w:t>
      </w: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rPr>
          <w:rFonts w:hint="eastAsia" w:ascii="宋体" w:hAnsi="宋体" w:cs="宋体"/>
          <w:sz w:val="24"/>
          <w:szCs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spacing w:line="360" w:lineRule="auto"/>
        <w:ind w:left="-2" w:right="-5"/>
        <w:rPr>
          <w:rFonts w:hint="eastAsia" w:ascii="宋体" w:hAnsi="宋体" w:cs="宋体"/>
          <w:sz w:val="24"/>
        </w:rPr>
      </w:pPr>
    </w:p>
    <w:p>
      <w:pPr>
        <w:rPr>
          <w:b/>
          <w:bCs/>
          <w:szCs w:val="21"/>
        </w:rPr>
      </w:pPr>
      <w:r>
        <w:rPr>
          <w:rFonts w:hint="eastAsia"/>
          <w:b/>
          <w:bCs/>
          <w:szCs w:val="21"/>
        </w:rPr>
        <w:br w:type="page"/>
      </w:r>
    </w:p>
    <w:p>
      <w:pPr>
        <w:rPr>
          <w:rFonts w:hint="eastAsia" w:hAnsi="宋体" w:cs="宋体"/>
          <w:b/>
          <w:bCs/>
          <w:szCs w:val="21"/>
        </w:rPr>
      </w:pPr>
      <w:r>
        <w:rPr>
          <w:rFonts w:hint="eastAsia"/>
          <w:b/>
          <w:bCs/>
          <w:szCs w:val="21"/>
        </w:rPr>
        <w:t>6、依法缴纳税收的记录</w:t>
      </w:r>
    </w:p>
    <w:p>
      <w:pPr>
        <w:spacing w:line="360" w:lineRule="auto"/>
        <w:rPr>
          <w:rFonts w:hint="eastAsia" w:ascii="宋体" w:hAnsi="宋体" w:cs="宋体"/>
          <w:sz w:val="24"/>
        </w:rPr>
      </w:pPr>
      <w:r>
        <w:rPr>
          <w:szCs w:val="21"/>
        </w:rPr>
        <w:t>提供距</w:t>
      </w:r>
      <w:r>
        <w:rPr>
          <w:rFonts w:hint="eastAsia"/>
          <w:szCs w:val="21"/>
        </w:rPr>
        <w:t>磋商</w:t>
      </w:r>
      <w:r>
        <w:rPr>
          <w:szCs w:val="21"/>
        </w:rPr>
        <w:t>时间六个月内任意一</w:t>
      </w:r>
      <w:r>
        <w:rPr>
          <w:rFonts w:hint="eastAsia"/>
          <w:szCs w:val="21"/>
        </w:rPr>
        <w:t>个</w:t>
      </w:r>
      <w:r>
        <w:rPr>
          <w:szCs w:val="21"/>
        </w:rPr>
        <w:t>月份的</w:t>
      </w:r>
      <w:r>
        <w:rPr>
          <w:rFonts w:hint="eastAsia"/>
          <w:szCs w:val="21"/>
        </w:rPr>
        <w:t>（企业代缴的个人所得税除外）</w:t>
      </w:r>
      <w:r>
        <w:rPr>
          <w:szCs w:val="21"/>
        </w:rPr>
        <w:t>纳税凭据复印件加盖公章（依法免税的应提供相应文件说明）；</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 w:val="24"/>
          <w:szCs w:val="24"/>
        </w:rPr>
      </w:pPr>
      <w:r>
        <w:rPr>
          <w:rFonts w:hint="eastAsia" w:ascii="宋体" w:hAnsi="宋体" w:cs="宋体"/>
          <w:szCs w:val="21"/>
        </w:rPr>
        <w:t>日期：</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sectPr>
          <w:pgSz w:w="11906" w:h="16838"/>
          <w:pgMar w:top="1134" w:right="1134" w:bottom="1134" w:left="1134" w:header="851" w:footer="992" w:gutter="0"/>
          <w:cols w:space="720" w:num="1"/>
          <w:titlePg/>
          <w:docGrid w:linePitch="360" w:charSpace="0"/>
        </w:sectPr>
      </w:pPr>
    </w:p>
    <w:p>
      <w:pPr>
        <w:jc w:val="left"/>
        <w:rPr>
          <w:b/>
          <w:bCs/>
          <w:szCs w:val="21"/>
        </w:rPr>
      </w:pPr>
      <w:r>
        <w:rPr>
          <w:rFonts w:hint="eastAsia"/>
          <w:b/>
          <w:bCs/>
          <w:szCs w:val="21"/>
        </w:rPr>
        <w:t>7、依法缴纳社会保障资金的记录</w:t>
      </w:r>
    </w:p>
    <w:p>
      <w:pPr>
        <w:spacing w:line="360" w:lineRule="auto"/>
        <w:rPr>
          <w:rFonts w:hint="eastAsia" w:ascii="宋体" w:hAnsi="宋体" w:cs="宋体"/>
          <w:szCs w:val="21"/>
          <w:lang w:bidi="en-US"/>
        </w:rPr>
      </w:pPr>
    </w:p>
    <w:p>
      <w:pPr>
        <w:spacing w:line="360" w:lineRule="auto"/>
        <w:rPr>
          <w:rFonts w:hint="eastAsia" w:ascii="宋体" w:hAnsi="宋体" w:cs="宋体"/>
          <w:sz w:val="24"/>
          <w:szCs w:val="24"/>
        </w:rPr>
      </w:pPr>
      <w:r>
        <w:rPr>
          <w:szCs w:val="21"/>
        </w:rPr>
        <w:t>提供距</w:t>
      </w:r>
      <w:r>
        <w:rPr>
          <w:rFonts w:hint="eastAsia"/>
          <w:szCs w:val="21"/>
        </w:rPr>
        <w:t>磋商</w:t>
      </w:r>
      <w:r>
        <w:rPr>
          <w:szCs w:val="21"/>
        </w:rPr>
        <w:t>时间六个月内任意一</w:t>
      </w:r>
      <w:r>
        <w:rPr>
          <w:rFonts w:hint="eastAsia"/>
          <w:szCs w:val="21"/>
        </w:rPr>
        <w:t>个</w:t>
      </w:r>
      <w:r>
        <w:rPr>
          <w:szCs w:val="21"/>
        </w:rPr>
        <w:t>月份的依法缴纳社会保障资金的凭据复印件加盖公章；</w:t>
      </w:r>
      <w:r>
        <w:rPr>
          <w:rFonts w:hint="eastAsia" w:ascii="宋体" w:hAnsi="宋体" w:cs="宋体"/>
        </w:rPr>
        <w:t>（凭据可以是缴费的银行单据、专用收据、社会保险缴纳清单或者所在社保机构开具的证明等，自行编写无效，依法不需要缴纳社会保障资金的应提供相应文件说明）；</w:t>
      </w:r>
    </w:p>
    <w:p>
      <w:pPr>
        <w:spacing w:line="360" w:lineRule="auto"/>
        <w:rPr>
          <w:rFonts w:hint="eastAsia" w:ascii="宋体" w:hAnsi="宋体" w:cs="宋体"/>
          <w:sz w:val="24"/>
        </w:rPr>
      </w:pPr>
    </w:p>
    <w:p>
      <w:pPr>
        <w:spacing w:line="360" w:lineRule="auto"/>
        <w:rPr>
          <w:rFonts w:hint="eastAsia" w:ascii="宋体" w:hAnsi="宋体" w:cs="宋体"/>
          <w:b/>
        </w:rPr>
      </w:pPr>
      <w:r>
        <w:rPr>
          <w:rFonts w:hint="eastAsia" w:ascii="宋体" w:hAnsi="宋体" w:cs="宋体"/>
          <w:b/>
        </w:rPr>
        <w:t xml:space="preserve">  </w:t>
      </w:r>
    </w:p>
    <w:p>
      <w:pPr>
        <w:spacing w:line="360" w:lineRule="auto"/>
        <w:rPr>
          <w:rFonts w:hint="eastAsia" w:ascii="宋体" w:hAnsi="宋体" w:cs="宋体"/>
          <w:b/>
        </w:rPr>
      </w:pPr>
    </w:p>
    <w:p>
      <w:pPr>
        <w:spacing w:line="360" w:lineRule="auto"/>
        <w:rPr>
          <w:rFonts w:hint="eastAsia" w:ascii="宋体" w:hAnsi="宋体" w:cs="宋体"/>
          <w:sz w:val="24"/>
        </w:rPr>
      </w:pPr>
    </w:p>
    <w:p>
      <w:pPr>
        <w:spacing w:line="360" w:lineRule="auto"/>
        <w:rPr>
          <w:rFonts w:hint="eastAsia" w:ascii="宋体" w:hAnsi="宋体" w:cs="宋体"/>
          <w:szCs w:val="21"/>
        </w:rPr>
      </w:pPr>
      <w:r>
        <w:rPr>
          <w:rFonts w:hint="eastAsia" w:ascii="宋体" w:hAnsi="宋体" w:cs="宋体"/>
          <w:szCs w:val="21"/>
        </w:rPr>
        <w:t>供应商名称（公章）：</w:t>
      </w:r>
    </w:p>
    <w:p>
      <w:pPr>
        <w:spacing w:line="360" w:lineRule="auto"/>
        <w:rPr>
          <w:rFonts w:hint="eastAsia" w:ascii="宋体" w:hAnsi="宋体" w:cs="宋体"/>
          <w:szCs w:val="21"/>
        </w:rPr>
      </w:pPr>
      <w:r>
        <w:rPr>
          <w:rFonts w:hint="eastAsia" w:ascii="宋体" w:hAnsi="宋体" w:cs="宋体"/>
          <w:szCs w:val="21"/>
        </w:rPr>
        <w:t>授权代表（签字或盖章）：</w:t>
      </w:r>
    </w:p>
    <w:p>
      <w:pPr>
        <w:spacing w:line="360" w:lineRule="auto"/>
        <w:rPr>
          <w:rFonts w:hint="eastAsia" w:ascii="宋体" w:hAnsi="宋体" w:cs="宋体"/>
          <w:sz w:val="24"/>
          <w:szCs w:val="24"/>
        </w:rPr>
      </w:pPr>
      <w:r>
        <w:rPr>
          <w:rFonts w:hint="eastAsia" w:ascii="宋体" w:hAnsi="宋体" w:cs="宋体"/>
          <w:szCs w:val="21"/>
        </w:rPr>
        <w:t>日期：</w:t>
      </w:r>
    </w:p>
    <w:p>
      <w:pPr>
        <w:spacing w:line="360" w:lineRule="auto"/>
        <w:rPr>
          <w:rFonts w:hint="eastAsia" w:ascii="宋体" w:hAnsi="宋体" w:cs="宋体"/>
          <w:sz w:val="24"/>
        </w:rPr>
      </w:pPr>
    </w:p>
    <w:p>
      <w:pPr>
        <w:spacing w:line="360" w:lineRule="auto"/>
        <w:rPr>
          <w:rFonts w:hint="eastAsia" w:ascii="宋体" w:hAnsi="宋体" w:cs="宋体"/>
          <w:b/>
        </w:rPr>
      </w:pPr>
    </w:p>
    <w:p>
      <w:pPr>
        <w:spacing w:line="360" w:lineRule="auto"/>
        <w:jc w:val="center"/>
        <w:rPr>
          <w:rFonts w:hint="eastAsia" w:ascii="宋体" w:hAnsi="宋体" w:cs="宋体"/>
        </w:rPr>
      </w:pPr>
    </w:p>
    <w:p>
      <w:pPr>
        <w:spacing w:line="360" w:lineRule="auto"/>
        <w:rPr>
          <w:rFonts w:hint="eastAsia" w:ascii="宋体" w:hAnsi="宋体" w:cs="宋体"/>
          <w:b/>
        </w:rPr>
      </w:pPr>
    </w:p>
    <w:p>
      <w:pPr>
        <w:spacing w:line="360" w:lineRule="auto"/>
        <w:ind w:right="-5"/>
        <w:rPr>
          <w:rFonts w:hint="eastAsia" w:ascii="宋体" w:hAnsi="宋体" w:cs="宋体"/>
          <w:b/>
        </w:rPr>
      </w:pPr>
    </w:p>
    <w:p>
      <w:pPr>
        <w:spacing w:line="360" w:lineRule="auto"/>
        <w:ind w:right="-5"/>
        <w:rPr>
          <w:rFonts w:hint="eastAsia" w:ascii="宋体" w:hAnsi="宋体" w:cs="宋体"/>
          <w:b/>
        </w:rPr>
      </w:pPr>
    </w:p>
    <w:p>
      <w:pPr>
        <w:spacing w:line="360" w:lineRule="auto"/>
        <w:ind w:right="-5"/>
        <w:rPr>
          <w:rFonts w:hint="eastAsia" w:ascii="宋体" w:hAnsi="宋体" w:cs="宋体"/>
          <w:b/>
        </w:rPr>
      </w:pPr>
    </w:p>
    <w:p>
      <w:pPr>
        <w:spacing w:line="360" w:lineRule="auto"/>
        <w:ind w:right="-5"/>
        <w:rPr>
          <w:rFonts w:hint="eastAsia" w:ascii="宋体" w:hAnsi="宋体" w:cs="宋体"/>
          <w:b/>
        </w:rPr>
      </w:pPr>
    </w:p>
    <w:p>
      <w:pPr>
        <w:jc w:val="left"/>
        <w:rPr>
          <w:b/>
          <w:bCs/>
          <w:szCs w:val="21"/>
        </w:rPr>
      </w:pPr>
      <w:r>
        <w:rPr>
          <w:rFonts w:hint="eastAsia"/>
          <w:b/>
          <w:bCs/>
          <w:szCs w:val="21"/>
        </w:rPr>
        <w:br w:type="page" w:clear="all"/>
      </w:r>
      <w:r>
        <w:rPr>
          <w:rFonts w:hint="eastAsia"/>
          <w:b/>
          <w:bCs/>
          <w:szCs w:val="21"/>
        </w:rPr>
        <w:t>8、供应商认为其需要提供的其他资格证明文件</w:t>
      </w:r>
    </w:p>
    <w:p>
      <w:pPr>
        <w:spacing w:line="360" w:lineRule="auto"/>
        <w:rPr>
          <w:rFonts w:hint="eastAsia" w:ascii="宋体" w:hAnsi="宋体" w:cs="宋体"/>
          <w:b/>
        </w:rPr>
      </w:pPr>
      <w:r>
        <w:rPr>
          <w:rFonts w:hint="eastAsia" w:ascii="宋体" w:hAnsi="宋体" w:cs="宋体"/>
          <w:sz w:val="24"/>
        </w:rPr>
        <w:t xml:space="preserve">    </w:t>
      </w:r>
      <w:r>
        <w:rPr>
          <w:rFonts w:hint="eastAsia" w:ascii="宋体" w:hAnsi="宋体" w:cs="宋体"/>
          <w:b/>
        </w:rPr>
        <w:t xml:space="preserve">      </w:t>
      </w:r>
    </w:p>
    <w:p>
      <w:pPr>
        <w:spacing w:line="440" w:lineRule="exact"/>
        <w:rPr>
          <w:b/>
        </w:rPr>
      </w:pPr>
      <w:r>
        <w:rPr>
          <w:sz w:val="24"/>
        </w:rPr>
        <w:t xml:space="preserve"> </w:t>
      </w:r>
      <w:bookmarkStart w:id="315" w:name="_Toc5227"/>
      <w:bookmarkStart w:id="316" w:name="_Toc32549"/>
      <w:r>
        <w:rPr>
          <w:rFonts w:hint="eastAsia"/>
          <w:b/>
        </w:rPr>
        <w:t>（1）</w:t>
      </w:r>
      <w:r>
        <w:rPr>
          <w:b/>
        </w:rPr>
        <w:t>声明函（参考格式）</w:t>
      </w:r>
      <w:bookmarkEnd w:id="315"/>
      <w:bookmarkEnd w:id="316"/>
    </w:p>
    <w:p>
      <w:pPr>
        <w:spacing w:line="440" w:lineRule="exact"/>
        <w:rPr>
          <w:b/>
        </w:rPr>
      </w:pPr>
    </w:p>
    <w:p>
      <w:pPr>
        <w:spacing w:line="360" w:lineRule="auto"/>
        <w:jc w:val="center"/>
        <w:rPr>
          <w:b/>
          <w:bCs/>
          <w:szCs w:val="21"/>
        </w:rPr>
      </w:pPr>
      <w:r>
        <w:rPr>
          <w:b/>
          <w:bCs/>
          <w:szCs w:val="21"/>
        </w:rPr>
        <w:t>声明函</w:t>
      </w:r>
    </w:p>
    <w:p>
      <w:pPr>
        <w:spacing w:line="360" w:lineRule="auto"/>
        <w:jc w:val="left"/>
        <w:rPr>
          <w:b/>
          <w:bCs/>
          <w:szCs w:val="21"/>
        </w:rPr>
      </w:pPr>
      <w:r>
        <w:rPr>
          <w:rFonts w:hint="eastAsia"/>
          <w:b/>
          <w:bCs/>
          <w:szCs w:val="21"/>
        </w:rPr>
        <w:t>江苏益诚建设工程咨询有限公司</w:t>
      </w:r>
      <w:r>
        <w:rPr>
          <w:b/>
          <w:bCs/>
          <w:szCs w:val="21"/>
        </w:rPr>
        <w:t xml:space="preserve">： </w:t>
      </w:r>
    </w:p>
    <w:p>
      <w:pPr>
        <w:spacing w:line="360" w:lineRule="auto"/>
        <w:ind w:firstLine="420"/>
        <w:rPr>
          <w:b/>
          <w:bCs/>
          <w:szCs w:val="21"/>
        </w:rPr>
      </w:pPr>
      <w:r>
        <w:rPr>
          <w:szCs w:val="21"/>
        </w:rPr>
        <w:t>我单位未组成联合体投标</w:t>
      </w:r>
      <w:r>
        <w:rPr>
          <w:rFonts w:hint="eastAsia"/>
          <w:szCs w:val="21"/>
        </w:rPr>
        <w:t>响应</w:t>
      </w:r>
      <w:r>
        <w:rPr>
          <w:szCs w:val="21"/>
        </w:rPr>
        <w:t>，</w:t>
      </w:r>
      <w:r>
        <w:rPr>
          <w:rFonts w:hint="eastAsia"/>
          <w:szCs w:val="21"/>
        </w:rPr>
        <w:t>成交</w:t>
      </w:r>
      <w:r>
        <w:rPr>
          <w:szCs w:val="21"/>
        </w:rPr>
        <w:t>后不进行分包、转包。</w:t>
      </w:r>
      <w:r>
        <w:rPr>
          <w:b/>
          <w:bCs/>
          <w:szCs w:val="21"/>
        </w:rPr>
        <w:t xml:space="preserve"> </w:t>
      </w:r>
    </w:p>
    <w:p>
      <w:pPr>
        <w:spacing w:line="360" w:lineRule="auto"/>
        <w:ind w:firstLine="420"/>
        <w:rPr>
          <w:szCs w:val="21"/>
          <w:u w:val="single"/>
        </w:rPr>
      </w:pPr>
      <w:r>
        <w:rPr>
          <w:szCs w:val="21"/>
        </w:rPr>
        <w:t>我单位负责人</w:t>
      </w:r>
      <w:r>
        <w:rPr>
          <w:szCs w:val="21"/>
          <w:u w:val="single"/>
        </w:rPr>
        <w:t xml:space="preserve">    （负责人姓名、身份证号）</w:t>
      </w:r>
      <w:r>
        <w:rPr>
          <w:szCs w:val="21"/>
        </w:rPr>
        <w:t>，与我单位存在直接控股、管理关系的单位为</w:t>
      </w:r>
    </w:p>
    <w:p>
      <w:pPr>
        <w:spacing w:line="360" w:lineRule="auto"/>
        <w:jc w:val="left"/>
        <w:rPr>
          <w:szCs w:val="21"/>
        </w:rPr>
      </w:pPr>
      <w:r>
        <w:rPr>
          <w:szCs w:val="21"/>
          <w:u w:val="single"/>
        </w:rPr>
        <w:t>（单位名称）</w:t>
      </w:r>
      <w:r>
        <w:rPr>
          <w:szCs w:val="21"/>
        </w:rPr>
        <w:t>，不存在与我单位负责人为同一人或者存在直接控股、管理</w:t>
      </w:r>
      <w:r>
        <w:rPr>
          <w:rFonts w:hint="eastAsia"/>
          <w:szCs w:val="21"/>
        </w:rPr>
        <w:t>关系</w:t>
      </w:r>
      <w:r>
        <w:rPr>
          <w:szCs w:val="21"/>
        </w:rPr>
        <w:t>的不同供应商同时参加本项目同一包投标</w:t>
      </w:r>
      <w:r>
        <w:rPr>
          <w:rFonts w:hint="eastAsia"/>
          <w:szCs w:val="21"/>
        </w:rPr>
        <w:t>响应</w:t>
      </w:r>
      <w:r>
        <w:rPr>
          <w:szCs w:val="21"/>
        </w:rPr>
        <w:t xml:space="preserve">的情形。 </w:t>
      </w:r>
    </w:p>
    <w:p>
      <w:pPr>
        <w:widowControl/>
        <w:spacing w:line="360" w:lineRule="auto"/>
        <w:ind w:firstLine="420"/>
        <w:rPr>
          <w:color w:val="000000"/>
          <w:szCs w:val="21"/>
        </w:rPr>
      </w:pPr>
      <w:r>
        <w:rPr>
          <w:color w:val="000000"/>
          <w:szCs w:val="21"/>
        </w:rPr>
        <w:t>我单位不属于为采购项目提供整体设计、规范编制或者项目管理、监理、检测等服务的情形。</w:t>
      </w:r>
    </w:p>
    <w:p>
      <w:pPr>
        <w:widowControl/>
        <w:spacing w:line="360" w:lineRule="auto"/>
        <w:ind w:firstLine="420"/>
        <w:rPr>
          <w:color w:val="000000"/>
          <w:szCs w:val="21"/>
        </w:rPr>
      </w:pPr>
      <w:r>
        <w:rPr>
          <w:color w:val="000000"/>
          <w:szCs w:val="21"/>
        </w:rPr>
        <w:t>我单位未被列入失信被执行人、</w:t>
      </w:r>
      <w:r>
        <w:rPr>
          <w:rFonts w:hint="eastAsia"/>
          <w:color w:val="000000"/>
          <w:szCs w:val="21"/>
        </w:rPr>
        <w:t>重大税收违法失信主体</w:t>
      </w:r>
      <w:r>
        <w:rPr>
          <w:color w:val="000000"/>
          <w:szCs w:val="21"/>
        </w:rPr>
        <w:t>、政府采购严重违法失信行为记录名单。</w:t>
      </w:r>
    </w:p>
    <w:p>
      <w:pPr>
        <w:spacing w:line="360" w:lineRule="auto"/>
        <w:ind w:firstLine="422"/>
        <w:rPr>
          <w:szCs w:val="21"/>
        </w:rPr>
      </w:pPr>
      <w:r>
        <w:rPr>
          <w:b/>
          <w:bCs/>
          <w:szCs w:val="21"/>
        </w:rPr>
        <w:t>特此声明。</w:t>
      </w:r>
    </w:p>
    <w:p>
      <w:pPr>
        <w:rPr>
          <w:sz w:val="24"/>
          <w:szCs w:val="22"/>
        </w:rPr>
      </w:pPr>
    </w:p>
    <w:p>
      <w:pPr>
        <w:spacing w:line="360" w:lineRule="auto"/>
        <w:ind w:left="-2" w:right="-5"/>
        <w:rPr>
          <w:szCs w:val="21"/>
        </w:rPr>
      </w:pPr>
    </w:p>
    <w:p>
      <w:pPr>
        <w:spacing w:line="360" w:lineRule="auto"/>
        <w:ind w:left="-2" w:right="-5"/>
        <w:rPr>
          <w:szCs w:val="21"/>
        </w:rPr>
      </w:pPr>
    </w:p>
    <w:p>
      <w:pPr>
        <w:spacing w:line="360" w:lineRule="auto"/>
        <w:rPr>
          <w:szCs w:val="21"/>
        </w:rPr>
      </w:pPr>
      <w:r>
        <w:rPr>
          <w:szCs w:val="21"/>
        </w:rPr>
        <w:t>供应商名称（公章）：</w:t>
      </w:r>
    </w:p>
    <w:p>
      <w:pPr>
        <w:spacing w:line="360" w:lineRule="auto"/>
        <w:rPr>
          <w:szCs w:val="21"/>
        </w:rPr>
      </w:pPr>
      <w:r>
        <w:rPr>
          <w:szCs w:val="21"/>
        </w:rPr>
        <w:t>授权代表（</w:t>
      </w:r>
      <w:r>
        <w:rPr>
          <w:rFonts w:hint="eastAsia"/>
          <w:szCs w:val="21"/>
        </w:rPr>
        <w:t>签字或盖章</w:t>
      </w:r>
      <w:r>
        <w:rPr>
          <w:szCs w:val="21"/>
        </w:rPr>
        <w:t>）：</w:t>
      </w:r>
    </w:p>
    <w:p>
      <w:pPr>
        <w:spacing w:line="360" w:lineRule="auto"/>
        <w:jc w:val="left"/>
        <w:rPr>
          <w:szCs w:val="21"/>
        </w:rPr>
      </w:pPr>
      <w:r>
        <w:rPr>
          <w:szCs w:val="21"/>
        </w:rPr>
        <w:t>日期：</w:t>
      </w:r>
    </w:p>
    <w:p>
      <w:pPr>
        <w:rPr>
          <w:szCs w:val="21"/>
        </w:rPr>
      </w:pPr>
      <w:r>
        <w:rPr>
          <w:szCs w:val="21"/>
        </w:rPr>
        <w:br w:type="page" w:clear="all"/>
      </w:r>
    </w:p>
    <w:p>
      <w:pPr>
        <w:spacing w:line="440" w:lineRule="exact"/>
        <w:rPr>
          <w:rFonts w:ascii="Arial" w:hAnsi="Arial" w:cs="Arial"/>
          <w:b/>
        </w:rPr>
      </w:pPr>
      <w:r>
        <w:rPr>
          <w:rFonts w:ascii="Arial" w:hAnsi="Arial" w:cs="Arial"/>
          <w:b/>
        </w:rPr>
        <w:t>（2）其他特定资格要求（如有）</w:t>
      </w:r>
    </w:p>
    <w:p>
      <w:pPr>
        <w:spacing w:line="440" w:lineRule="exact"/>
        <w:rPr>
          <w:rFonts w:ascii="Arial" w:hAnsi="Arial" w:cs="Arial"/>
          <w:b/>
        </w:rPr>
      </w:pPr>
    </w:p>
    <w:p>
      <w:pPr>
        <w:pStyle w:val="210"/>
        <w:rPr>
          <w:rFonts w:ascii="Arial" w:hAnsi="Arial" w:cs="Arial"/>
        </w:rPr>
      </w:pPr>
    </w:p>
    <w:p>
      <w:pPr>
        <w:pStyle w:val="210"/>
        <w:rPr>
          <w:rFonts w:ascii="Arial" w:hAnsi="Arial" w:cs="Arial"/>
        </w:rPr>
      </w:pPr>
    </w:p>
    <w:p>
      <w:pPr>
        <w:spacing w:line="360" w:lineRule="auto"/>
        <w:rPr>
          <w:rFonts w:ascii="Arial" w:hAnsi="Arial" w:cs="Arial"/>
          <w:szCs w:val="21"/>
        </w:rPr>
      </w:pPr>
      <w:r>
        <w:rPr>
          <w:rFonts w:ascii="Arial" w:hAnsi="Arial" w:cs="Arial"/>
          <w:szCs w:val="21"/>
        </w:rPr>
        <w:t>供应商名称（公章）：</w:t>
      </w:r>
    </w:p>
    <w:p>
      <w:pPr>
        <w:spacing w:line="360" w:lineRule="auto"/>
        <w:rPr>
          <w:rFonts w:ascii="Arial" w:hAnsi="Arial" w:cs="Arial"/>
          <w:szCs w:val="21"/>
        </w:rPr>
      </w:pPr>
      <w:r>
        <w:rPr>
          <w:rFonts w:ascii="Arial" w:hAnsi="Arial" w:cs="Arial"/>
          <w:szCs w:val="21"/>
        </w:rPr>
        <w:t>授权代表（</w:t>
      </w:r>
      <w:r>
        <w:rPr>
          <w:rFonts w:hint="eastAsia" w:ascii="Arial" w:hAnsi="Arial" w:cs="Arial"/>
          <w:szCs w:val="21"/>
        </w:rPr>
        <w:t>签字或盖章</w:t>
      </w:r>
      <w:r>
        <w:rPr>
          <w:rFonts w:ascii="Arial" w:hAnsi="Arial" w:cs="Arial"/>
          <w:szCs w:val="21"/>
        </w:rPr>
        <w:t>）：</w:t>
      </w:r>
    </w:p>
    <w:p>
      <w:pPr>
        <w:spacing w:line="440" w:lineRule="exact"/>
        <w:rPr>
          <w:rFonts w:ascii="Arial" w:hAnsi="Arial" w:cs="Arial"/>
        </w:rPr>
        <w:sectPr>
          <w:pgSz w:w="11906" w:h="16838"/>
          <w:pgMar w:top="1418" w:right="1418" w:bottom="1418" w:left="1418" w:header="851" w:footer="992" w:gutter="0"/>
          <w:cols w:space="720" w:num="1"/>
          <w:titlePg/>
          <w:docGrid w:linePitch="360" w:charSpace="0"/>
        </w:sectPr>
      </w:pPr>
      <w:r>
        <w:rPr>
          <w:rFonts w:ascii="Arial" w:hAnsi="Arial" w:cs="Arial"/>
          <w:szCs w:val="21"/>
        </w:rPr>
        <w:t>日期</w:t>
      </w:r>
      <w:bookmarkStart w:id="317" w:name="_Toc20105"/>
      <w:r>
        <w:rPr>
          <w:rFonts w:ascii="Arial" w:hAnsi="Arial" w:cs="Arial"/>
          <w:szCs w:val="21"/>
        </w:rPr>
        <w:t>：</w:t>
      </w:r>
      <w:bookmarkEnd w:id="317"/>
    </w:p>
    <w:p>
      <w:pPr>
        <w:spacing w:line="360" w:lineRule="auto"/>
        <w:outlineLvl w:val="1"/>
        <w:rPr>
          <w:rFonts w:ascii="Arial" w:hAnsi="Arial" w:cs="Arial"/>
          <w:b/>
          <w:bCs/>
          <w:sz w:val="24"/>
          <w:szCs w:val="22"/>
          <w:lang w:val="zh-CN"/>
        </w:rPr>
      </w:pPr>
      <w:bookmarkStart w:id="318" w:name="_Toc4584"/>
      <w:bookmarkStart w:id="319" w:name="_Toc2349"/>
      <w:bookmarkStart w:id="320" w:name="_Toc28284"/>
      <w:bookmarkStart w:id="321" w:name="_Toc30783"/>
      <w:r>
        <w:rPr>
          <w:rFonts w:ascii="Arial" w:hAnsi="Arial" w:cs="Arial"/>
          <w:b/>
          <w:bCs/>
          <w:sz w:val="24"/>
          <w:szCs w:val="22"/>
          <w:lang w:val="zh-CN"/>
        </w:rPr>
        <w:t>附件</w:t>
      </w:r>
      <w:r>
        <w:rPr>
          <w:rFonts w:hint="eastAsia" w:ascii="Arial" w:hAnsi="Arial" w:cs="Arial"/>
          <w:b/>
          <w:bCs/>
          <w:sz w:val="24"/>
          <w:szCs w:val="22"/>
        </w:rPr>
        <w:t>九</w:t>
      </w:r>
      <w:r>
        <w:rPr>
          <w:rFonts w:ascii="Arial" w:hAnsi="Arial" w:cs="Arial"/>
          <w:b/>
          <w:bCs/>
          <w:sz w:val="24"/>
          <w:szCs w:val="22"/>
        </w:rPr>
        <w:t xml:space="preserve"> </w:t>
      </w:r>
      <w:bookmarkEnd w:id="318"/>
      <w:bookmarkEnd w:id="319"/>
      <w:r>
        <w:rPr>
          <w:rFonts w:ascii="Arial" w:hAnsi="Arial" w:cs="Arial"/>
          <w:b/>
          <w:bCs/>
          <w:sz w:val="24"/>
          <w:szCs w:val="22"/>
          <w:lang w:val="zh-CN"/>
        </w:rPr>
        <w:t>供应商认为应提供的其他材料</w:t>
      </w:r>
      <w:bookmarkEnd w:id="320"/>
      <w:bookmarkEnd w:id="321"/>
    </w:p>
    <w:p>
      <w:pPr>
        <w:pStyle w:val="210"/>
        <w:ind w:firstLine="0"/>
        <w:rPr>
          <w:rFonts w:ascii="Arial" w:hAnsi="Arial" w:cs="Arial"/>
          <w:b/>
          <w:bCs/>
        </w:rPr>
      </w:pPr>
      <w:r>
        <w:rPr>
          <w:rFonts w:hint="eastAsia" w:ascii="Arial" w:hAnsi="Arial" w:cs="Arial"/>
          <w:b/>
          <w:bCs/>
        </w:rPr>
        <w:t>1、</w:t>
      </w:r>
      <w:r>
        <w:rPr>
          <w:rFonts w:ascii="Arial" w:hAnsi="Arial" w:cs="Arial"/>
          <w:b/>
          <w:bCs/>
        </w:rPr>
        <w:t>业绩清单（参考格式）</w:t>
      </w:r>
    </w:p>
    <w:tbl>
      <w:tblPr>
        <w:tblStyle w:val="49"/>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9"/>
        <w:gridCol w:w="1506"/>
        <w:gridCol w:w="1757"/>
        <w:gridCol w:w="2138"/>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r>
              <w:rPr>
                <w:rFonts w:ascii="Arial" w:hAnsi="Arial" w:cs="Arial"/>
                <w:szCs w:val="21"/>
              </w:rPr>
              <w:t>序号</w:t>
            </w:r>
          </w:p>
        </w:tc>
        <w:tc>
          <w:tcPr>
            <w:tcW w:w="1679" w:type="dxa"/>
            <w:vAlign w:val="center"/>
          </w:tcPr>
          <w:p>
            <w:pPr>
              <w:jc w:val="center"/>
              <w:rPr>
                <w:rFonts w:ascii="Arial" w:hAnsi="Arial" w:cs="Arial"/>
                <w:szCs w:val="21"/>
              </w:rPr>
            </w:pPr>
            <w:r>
              <w:rPr>
                <w:rFonts w:ascii="Arial" w:hAnsi="Arial" w:cs="Arial"/>
                <w:szCs w:val="21"/>
              </w:rPr>
              <w:t>项目名称</w:t>
            </w:r>
          </w:p>
        </w:tc>
        <w:tc>
          <w:tcPr>
            <w:tcW w:w="1506" w:type="dxa"/>
            <w:vAlign w:val="center"/>
          </w:tcPr>
          <w:p>
            <w:pPr>
              <w:tabs>
                <w:tab w:val="left" w:pos="6252"/>
              </w:tabs>
              <w:jc w:val="center"/>
              <w:rPr>
                <w:rFonts w:ascii="Arial" w:hAnsi="Arial" w:cs="Arial"/>
                <w:szCs w:val="21"/>
              </w:rPr>
            </w:pPr>
            <w:r>
              <w:rPr>
                <w:rFonts w:ascii="Arial" w:hAnsi="Arial" w:cs="Arial"/>
                <w:szCs w:val="21"/>
              </w:rPr>
              <w:t>项目时间</w:t>
            </w:r>
          </w:p>
        </w:tc>
        <w:tc>
          <w:tcPr>
            <w:tcW w:w="1757" w:type="dxa"/>
            <w:vAlign w:val="center"/>
          </w:tcPr>
          <w:p>
            <w:pPr>
              <w:tabs>
                <w:tab w:val="left" w:pos="6252"/>
              </w:tabs>
              <w:jc w:val="center"/>
              <w:rPr>
                <w:rFonts w:ascii="Arial" w:hAnsi="Arial" w:cs="Arial"/>
                <w:szCs w:val="21"/>
              </w:rPr>
            </w:pPr>
            <w:r>
              <w:rPr>
                <w:rFonts w:ascii="Arial" w:hAnsi="Arial" w:cs="Arial"/>
                <w:szCs w:val="21"/>
              </w:rPr>
              <w:t>合同金额</w:t>
            </w:r>
          </w:p>
        </w:tc>
        <w:tc>
          <w:tcPr>
            <w:tcW w:w="2138" w:type="dxa"/>
            <w:vAlign w:val="center"/>
          </w:tcPr>
          <w:p>
            <w:pPr>
              <w:tabs>
                <w:tab w:val="left" w:pos="6252"/>
              </w:tabs>
              <w:jc w:val="center"/>
              <w:rPr>
                <w:rFonts w:ascii="Arial" w:hAnsi="Arial" w:cs="Arial"/>
                <w:szCs w:val="21"/>
              </w:rPr>
            </w:pPr>
            <w:r>
              <w:rPr>
                <w:rFonts w:ascii="Arial" w:hAnsi="Arial" w:cs="Arial"/>
                <w:szCs w:val="21"/>
              </w:rPr>
              <w:t>业主单位及联系电话</w:t>
            </w:r>
          </w:p>
        </w:tc>
        <w:tc>
          <w:tcPr>
            <w:tcW w:w="1484" w:type="dxa"/>
            <w:vAlign w:val="center"/>
          </w:tcPr>
          <w:p>
            <w:pPr>
              <w:jc w:val="center"/>
              <w:rPr>
                <w:rFonts w:ascii="Arial" w:hAnsi="Arial" w:cs="Arial"/>
                <w:szCs w:val="21"/>
              </w:rPr>
            </w:pPr>
            <w:r>
              <w:rPr>
                <w:rFonts w:ascii="Arial" w:hAnsi="Arial" w:cs="Arial"/>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vAlign w:val="center"/>
          </w:tcPr>
          <w:p>
            <w:pPr>
              <w:jc w:val="center"/>
              <w:rPr>
                <w:rFonts w:ascii="Arial" w:hAnsi="Arial" w:cs="Arial"/>
                <w:szCs w:val="21"/>
              </w:rPr>
            </w:pPr>
          </w:p>
        </w:tc>
        <w:tc>
          <w:tcPr>
            <w:tcW w:w="1679" w:type="dxa"/>
            <w:vAlign w:val="center"/>
          </w:tcPr>
          <w:p>
            <w:pPr>
              <w:jc w:val="center"/>
              <w:rPr>
                <w:rFonts w:ascii="Arial" w:hAnsi="Arial" w:cs="Arial"/>
                <w:szCs w:val="21"/>
              </w:rPr>
            </w:pPr>
          </w:p>
        </w:tc>
        <w:tc>
          <w:tcPr>
            <w:tcW w:w="1506" w:type="dxa"/>
          </w:tcPr>
          <w:p>
            <w:pPr>
              <w:jc w:val="center"/>
              <w:rPr>
                <w:rFonts w:ascii="Arial" w:hAnsi="Arial" w:cs="Arial"/>
                <w:szCs w:val="21"/>
              </w:rPr>
            </w:pPr>
          </w:p>
        </w:tc>
        <w:tc>
          <w:tcPr>
            <w:tcW w:w="1757" w:type="dxa"/>
            <w:vAlign w:val="center"/>
          </w:tcPr>
          <w:p>
            <w:pPr>
              <w:jc w:val="center"/>
              <w:rPr>
                <w:rFonts w:ascii="Arial" w:hAnsi="Arial" w:cs="Arial"/>
                <w:szCs w:val="21"/>
              </w:rPr>
            </w:pPr>
          </w:p>
        </w:tc>
        <w:tc>
          <w:tcPr>
            <w:tcW w:w="2138" w:type="dxa"/>
            <w:vAlign w:val="center"/>
          </w:tcPr>
          <w:p>
            <w:pPr>
              <w:jc w:val="center"/>
              <w:rPr>
                <w:rFonts w:ascii="Arial" w:hAnsi="Arial" w:cs="Arial"/>
                <w:szCs w:val="21"/>
              </w:rPr>
            </w:pPr>
          </w:p>
        </w:tc>
        <w:tc>
          <w:tcPr>
            <w:tcW w:w="1484" w:type="dxa"/>
            <w:vAlign w:val="center"/>
          </w:tcPr>
          <w:p>
            <w:pPr>
              <w:jc w:val="center"/>
              <w:rPr>
                <w:rFonts w:ascii="Arial" w:hAnsi="Arial" w:cs="Arial"/>
                <w:szCs w:val="21"/>
              </w:rPr>
            </w:pPr>
          </w:p>
        </w:tc>
      </w:tr>
    </w:tbl>
    <w:p>
      <w:pPr>
        <w:spacing w:line="360" w:lineRule="auto"/>
        <w:ind w:right="-5"/>
        <w:rPr>
          <w:rFonts w:ascii="Arial" w:hAnsi="Arial" w:cs="Arial"/>
          <w:b/>
          <w:szCs w:val="21"/>
        </w:rPr>
      </w:pPr>
    </w:p>
    <w:p>
      <w:pPr>
        <w:widowControl/>
        <w:rPr>
          <w:rFonts w:ascii="Arial" w:hAnsi="Arial" w:cs="Arial"/>
          <w:b/>
          <w:szCs w:val="21"/>
        </w:rPr>
      </w:pPr>
      <w:r>
        <w:rPr>
          <w:rFonts w:ascii="Arial" w:hAnsi="Arial" w:cs="Arial"/>
          <w:b/>
          <w:sz w:val="24"/>
          <w:szCs w:val="24"/>
        </w:rPr>
        <w:t xml:space="preserve"> </w:t>
      </w:r>
      <w:r>
        <w:rPr>
          <w:rFonts w:hint="eastAsia" w:ascii="Arial" w:hAnsi="Arial" w:cs="Arial"/>
          <w:b/>
          <w:sz w:val="24"/>
          <w:szCs w:val="24"/>
        </w:rPr>
        <w:t>2</w:t>
      </w:r>
      <w:r>
        <w:rPr>
          <w:rFonts w:ascii="Arial" w:hAnsi="Arial" w:cs="Arial"/>
          <w:b/>
          <w:szCs w:val="21"/>
        </w:rPr>
        <w:t>、拟参与本项目服务人员一览表</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序号</w:t>
            </w:r>
          </w:p>
        </w:tc>
        <w:tc>
          <w:tcPr>
            <w:tcW w:w="896"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姓名</w:t>
            </w:r>
          </w:p>
        </w:tc>
        <w:tc>
          <w:tcPr>
            <w:tcW w:w="663"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性别</w:t>
            </w:r>
          </w:p>
        </w:tc>
        <w:tc>
          <w:tcPr>
            <w:tcW w:w="709"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年龄</w:t>
            </w:r>
          </w:p>
        </w:tc>
        <w:tc>
          <w:tcPr>
            <w:tcW w:w="1134"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专业</w:t>
            </w:r>
          </w:p>
        </w:tc>
        <w:tc>
          <w:tcPr>
            <w:tcW w:w="931"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学历</w:t>
            </w:r>
          </w:p>
        </w:tc>
        <w:tc>
          <w:tcPr>
            <w:tcW w:w="1020"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执业</w:t>
            </w:r>
          </w:p>
          <w:p>
            <w:pPr>
              <w:widowControl/>
              <w:jc w:val="center"/>
              <w:rPr>
                <w:rFonts w:ascii="Arial" w:hAnsi="Arial" w:cs="Arial"/>
                <w:bCs/>
                <w:szCs w:val="21"/>
              </w:rPr>
            </w:pPr>
            <w:r>
              <w:rPr>
                <w:rFonts w:ascii="Arial" w:hAnsi="Arial" w:cs="Arial"/>
                <w:bCs/>
                <w:szCs w:val="21"/>
              </w:rPr>
              <w:t>资格</w:t>
            </w:r>
          </w:p>
        </w:tc>
        <w:tc>
          <w:tcPr>
            <w:tcW w:w="994"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证书号</w:t>
            </w:r>
          </w:p>
        </w:tc>
        <w:tc>
          <w:tcPr>
            <w:tcW w:w="882"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技术职称</w:t>
            </w:r>
          </w:p>
        </w:tc>
        <w:tc>
          <w:tcPr>
            <w:tcW w:w="850"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pPr>
              <w:widowControl/>
              <w:jc w:val="center"/>
              <w:rPr>
                <w:rFonts w:ascii="Arial" w:hAnsi="Arial" w:cs="Arial"/>
                <w:bCs/>
                <w:szCs w:val="21"/>
              </w:rPr>
            </w:pPr>
            <w:r>
              <w:rPr>
                <w:rFonts w:ascii="Arial" w:hAnsi="Arial" w:cs="Arial"/>
                <w:bCs/>
                <w:szCs w:val="21"/>
              </w:rPr>
              <w:t>备注</w:t>
            </w: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rPr>
                <w:rFonts w:ascii="Arial" w:hAnsi="Arial" w:cs="Arial"/>
                <w:bCs/>
                <w:szCs w:val="21"/>
              </w:rPr>
            </w:pPr>
          </w:p>
        </w:tc>
        <w:tc>
          <w:tcPr>
            <w:tcW w:w="896"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663"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709"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13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3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102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994"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82"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0"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c>
          <w:tcPr>
            <w:tcW w:w="851" w:type="dxa"/>
            <w:tcBorders>
              <w:top w:val="single" w:color="000000" w:sz="4" w:space="0"/>
              <w:left w:val="nil"/>
              <w:bottom w:val="single" w:color="000000" w:sz="4" w:space="0"/>
              <w:right w:val="single" w:color="000000" w:sz="4" w:space="0"/>
            </w:tcBorders>
          </w:tcPr>
          <w:p>
            <w:pPr>
              <w:widowControl/>
              <w:rPr>
                <w:rFonts w:ascii="Arial" w:hAnsi="Arial" w:cs="Arial"/>
                <w:bCs/>
                <w:szCs w:val="21"/>
              </w:rPr>
            </w:pPr>
          </w:p>
        </w:tc>
      </w:tr>
    </w:tbl>
    <w:p>
      <w:pPr>
        <w:spacing w:line="360" w:lineRule="auto"/>
        <w:ind w:right="-5"/>
        <w:rPr>
          <w:rFonts w:ascii="Arial" w:hAnsi="Arial" w:cs="Arial"/>
          <w:b/>
          <w:szCs w:val="21"/>
        </w:rPr>
      </w:pPr>
    </w:p>
    <w:p>
      <w:pPr>
        <w:spacing w:line="240" w:lineRule="atLeast"/>
        <w:rPr>
          <w:rFonts w:ascii="Arial" w:hAnsi="Arial" w:cs="Arial"/>
          <w:b/>
          <w:sz w:val="24"/>
          <w:szCs w:val="24"/>
        </w:rPr>
      </w:pPr>
      <w:r>
        <w:rPr>
          <w:rFonts w:ascii="Arial" w:hAnsi="Arial" w:cs="Arial"/>
          <w:b/>
          <w:sz w:val="24"/>
          <w:szCs w:val="24"/>
        </w:rPr>
        <w:t xml:space="preserve"> </w:t>
      </w:r>
    </w:p>
    <w:p>
      <w:pPr>
        <w:spacing w:line="240" w:lineRule="atLeast"/>
        <w:rPr>
          <w:rFonts w:ascii="Arial" w:hAnsi="Arial" w:cs="Arial"/>
          <w:b/>
          <w:sz w:val="24"/>
          <w:szCs w:val="24"/>
        </w:rPr>
      </w:pPr>
    </w:p>
    <w:p>
      <w:pPr>
        <w:spacing w:line="360" w:lineRule="auto"/>
        <w:ind w:right="-5"/>
        <w:rPr>
          <w:rFonts w:ascii="Arial" w:hAnsi="Arial" w:cs="Arial"/>
          <w:b/>
          <w:szCs w:val="21"/>
          <w:lang w:val="zh-CN"/>
        </w:rPr>
      </w:pPr>
      <w:r>
        <w:rPr>
          <w:rFonts w:ascii="Arial" w:hAnsi="Arial" w:cs="Arial"/>
          <w:b/>
          <w:szCs w:val="21"/>
          <w:lang w:val="zh-CN"/>
        </w:rPr>
        <w:t>（针对具体的评标标准提供相应其他材料）</w:t>
      </w:r>
    </w:p>
    <w:p>
      <w:pPr>
        <w:pStyle w:val="48"/>
        <w:ind w:firstLine="0"/>
        <w:rPr>
          <w:rFonts w:ascii="Arial" w:hAnsi="Arial" w:cs="Arial"/>
        </w:rPr>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p>
      <w:pPr>
        <w:spacing w:line="360" w:lineRule="auto"/>
        <w:outlineLvl w:val="1"/>
        <w:rPr>
          <w:b/>
          <w:bCs/>
          <w:sz w:val="24"/>
          <w:szCs w:val="22"/>
        </w:rPr>
      </w:pPr>
      <w:bookmarkStart w:id="322" w:name="_Toc6879"/>
      <w:r>
        <w:rPr>
          <w:b/>
          <w:bCs/>
          <w:sz w:val="24"/>
          <w:szCs w:val="22"/>
        </w:rPr>
        <w:t>附件</w:t>
      </w:r>
      <w:r>
        <w:rPr>
          <w:rFonts w:hint="eastAsia"/>
          <w:b/>
          <w:bCs/>
          <w:sz w:val="24"/>
          <w:szCs w:val="22"/>
        </w:rPr>
        <w:t>十</w:t>
      </w:r>
      <w:r>
        <w:rPr>
          <w:b/>
          <w:bCs/>
          <w:sz w:val="24"/>
          <w:szCs w:val="22"/>
        </w:rPr>
        <w:t>评标标准中承诺函格式</w:t>
      </w:r>
      <w:bookmarkEnd w:id="322"/>
    </w:p>
    <w:p>
      <w:pPr>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Arial"/>
          <w:sz w:val="24"/>
        </w:rPr>
      </w:pPr>
    </w:p>
    <w:p>
      <w:pPr>
        <w:pBdr>
          <w:top w:val="none" w:color="000000" w:sz="0" w:space="0"/>
          <w:left w:val="none" w:color="000000" w:sz="0" w:space="0"/>
          <w:bottom w:val="none" w:color="000000" w:sz="0" w:space="0"/>
          <w:right w:val="none" w:color="000000" w:sz="0" w:space="0"/>
        </w:pBdr>
        <w:spacing w:line="85" w:lineRule="atLeast"/>
        <w:ind w:firstLine="480"/>
      </w:pPr>
      <w:r>
        <w:rPr>
          <w:rFonts w:ascii="Arial" w:hAnsi="Arial" w:eastAsia="Arial" w:cs="Arial"/>
          <w:sz w:val="24"/>
        </w:rPr>
        <w:t>1、</w:t>
      </w:r>
      <w:r>
        <w:rPr>
          <w:rFonts w:hint="eastAsia" w:ascii="宋体" w:hAnsi="宋体" w:cs="宋体"/>
          <w:sz w:val="24"/>
        </w:rPr>
        <w:t>备品备件</w:t>
      </w:r>
      <w:r>
        <w:rPr>
          <w:rFonts w:ascii="Arial" w:hAnsi="Arial" w:eastAsia="Arial" w:cs="Arial"/>
          <w:sz w:val="24"/>
        </w:rPr>
        <w:t>承诺函格式</w:t>
      </w:r>
    </w:p>
    <w:p>
      <w:pPr>
        <w:pBdr>
          <w:top w:val="none" w:color="000000" w:sz="0" w:space="0"/>
          <w:left w:val="none" w:color="000000" w:sz="0" w:space="0"/>
          <w:bottom w:val="none" w:color="000000" w:sz="0" w:space="0"/>
          <w:right w:val="none" w:color="000000" w:sz="0" w:space="0"/>
        </w:pBdr>
        <w:spacing w:line="85" w:lineRule="atLeast"/>
        <w:ind w:firstLine="560"/>
        <w:jc w:val="center"/>
      </w:pPr>
      <w:r>
        <w:rPr>
          <w:rFonts w:ascii="宋体" w:hAnsi="宋体" w:cs="宋体"/>
          <w:sz w:val="28"/>
        </w:rPr>
        <w:t>承诺函</w:t>
      </w:r>
    </w:p>
    <w:p>
      <w:pPr>
        <w:pBdr>
          <w:top w:val="none" w:color="000000" w:sz="0" w:space="0"/>
          <w:left w:val="none" w:color="000000" w:sz="0" w:space="0"/>
          <w:bottom w:val="none" w:color="000000" w:sz="0" w:space="0"/>
          <w:right w:val="none" w:color="000000" w:sz="0" w:space="0"/>
        </w:pBdr>
        <w:spacing w:line="520" w:lineRule="exact"/>
        <w:ind w:firstLine="720"/>
      </w:pPr>
      <w:r>
        <w:rPr>
          <w:rFonts w:ascii="宋体" w:hAnsi="宋体" w:cs="宋体"/>
          <w:sz w:val="24"/>
        </w:rPr>
        <w:t>我单位</w:t>
      </w:r>
      <w:r>
        <w:rPr>
          <w:rFonts w:hint="eastAsia" w:ascii="宋体" w:hAnsi="宋体" w:cs="宋体"/>
          <w:sz w:val="24"/>
        </w:rPr>
        <w:t>郑重</w:t>
      </w:r>
      <w:r>
        <w:rPr>
          <w:rFonts w:ascii="宋体" w:hAnsi="宋体" w:cs="宋体"/>
          <w:sz w:val="24"/>
        </w:rPr>
        <w:t>承诺：</w:t>
      </w:r>
    </w:p>
    <w:p>
      <w:pPr>
        <w:pBdr>
          <w:top w:val="none" w:color="000000" w:sz="0" w:space="0"/>
          <w:left w:val="none" w:color="000000" w:sz="0" w:space="0"/>
          <w:bottom w:val="none" w:color="000000" w:sz="0" w:space="0"/>
          <w:right w:val="none" w:color="000000" w:sz="0" w:space="0"/>
        </w:pBdr>
        <w:spacing w:line="520" w:lineRule="exact"/>
        <w:ind w:firstLine="720"/>
      </w:pPr>
      <w:r>
        <w:rPr>
          <w:rFonts w:ascii="宋体" w:hAnsi="宋体" w:cs="宋体"/>
          <w:sz w:val="24"/>
        </w:rPr>
        <w:t>在</w:t>
      </w:r>
      <w:r>
        <w:rPr>
          <w:rFonts w:eastAsia="Times New Roman"/>
          <w:sz w:val="24"/>
        </w:rPr>
        <w:t>______________</w:t>
      </w:r>
      <w:r>
        <w:rPr>
          <w:rFonts w:hint="eastAsia" w:ascii="宋体" w:hAnsi="宋体" w:cs="宋体"/>
          <w:sz w:val="24"/>
        </w:rPr>
        <w:t>（采购号）</w:t>
      </w:r>
      <w:r>
        <w:rPr>
          <w:rFonts w:ascii="宋体" w:hAnsi="宋体" w:cs="宋体"/>
          <w:sz w:val="24"/>
        </w:rPr>
        <w:t>号</w:t>
      </w:r>
      <w:r>
        <w:rPr>
          <w:rFonts w:eastAsia="Times New Roman"/>
          <w:sz w:val="24"/>
        </w:rPr>
        <w:t>__________________</w:t>
      </w:r>
      <w:r>
        <w:rPr>
          <w:rFonts w:ascii="宋体" w:hAnsi="宋体" w:cs="宋体"/>
          <w:sz w:val="24"/>
        </w:rPr>
        <w:t>项目实施过程中，</w:t>
      </w:r>
      <w:r>
        <w:rPr>
          <w:rFonts w:hint="eastAsia" w:ascii="宋体" w:hAnsi="宋体" w:cs="宋体"/>
          <w:sz w:val="24"/>
        </w:rPr>
        <w:t>在江苏省无线电监测站建立备品备件库，按照用户招标文件要求提供省监测站常用备品备件。具体清单如下：</w:t>
      </w:r>
    </w:p>
    <w:p>
      <w:pPr>
        <w:pBdr>
          <w:top w:val="none" w:color="000000" w:sz="0" w:space="0"/>
          <w:left w:val="none" w:color="000000" w:sz="0" w:space="0"/>
          <w:bottom w:val="none" w:color="000000" w:sz="0" w:space="0"/>
          <w:right w:val="none" w:color="000000" w:sz="0" w:space="0"/>
        </w:pBdr>
        <w:spacing w:line="85" w:lineRule="atLeast"/>
      </w:pP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2755"/>
        <w:gridCol w:w="25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pPr>
              <w:spacing w:line="85" w:lineRule="atLeast"/>
            </w:pPr>
            <w:r>
              <w:rPr>
                <w:rFonts w:hint="eastAsia" w:ascii="宋体" w:hAnsi="Arial" w:cs="宋体"/>
                <w:sz w:val="24"/>
                <w:szCs w:val="24"/>
                <w:lang w:val="zh-CN"/>
              </w:rPr>
              <w:t>序号</w:t>
            </w:r>
          </w:p>
        </w:tc>
        <w:tc>
          <w:tcPr>
            <w:tcW w:w="2755" w:type="dxa"/>
          </w:tcPr>
          <w:p>
            <w:pPr>
              <w:spacing w:line="85" w:lineRule="atLeast"/>
            </w:pPr>
            <w:r>
              <w:rPr>
                <w:rFonts w:hint="eastAsia"/>
              </w:rPr>
              <w:t>备品备件名称及型号</w:t>
            </w:r>
          </w:p>
        </w:tc>
        <w:tc>
          <w:tcPr>
            <w:tcW w:w="2578" w:type="dxa"/>
          </w:tcPr>
          <w:p>
            <w:pPr>
              <w:spacing w:line="85" w:lineRule="atLeast"/>
            </w:pPr>
            <w:r>
              <w:rPr>
                <w:rFonts w:hint="eastAsia"/>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pPr>
              <w:spacing w:line="85" w:lineRule="atLeast"/>
            </w:pPr>
            <w:r>
              <w:rPr>
                <w:rFonts w:hint="eastAsia" w:ascii="宋体" w:hAnsi="Arial" w:cs="宋体"/>
                <w:sz w:val="24"/>
                <w:szCs w:val="24"/>
                <w:lang w:val="zh-CN"/>
              </w:rPr>
              <w:t>1</w:t>
            </w:r>
          </w:p>
        </w:tc>
        <w:tc>
          <w:tcPr>
            <w:tcW w:w="2755" w:type="dxa"/>
          </w:tcPr>
          <w:p>
            <w:pPr>
              <w:spacing w:line="85" w:lineRule="atLeast"/>
            </w:pPr>
          </w:p>
        </w:tc>
        <w:tc>
          <w:tcPr>
            <w:tcW w:w="2578" w:type="dxa"/>
          </w:tcPr>
          <w:p>
            <w:pPr>
              <w:spacing w:line="85" w:lineRule="atLeas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17" w:type="dxa"/>
          </w:tcPr>
          <w:p>
            <w:pPr>
              <w:spacing w:line="85" w:lineRule="atLeast"/>
            </w:pPr>
            <w:r>
              <w:rPr>
                <w:rFonts w:hint="eastAsia" w:ascii="宋体" w:hAnsi="Arial" w:cs="宋体"/>
                <w:sz w:val="24"/>
                <w:szCs w:val="24"/>
                <w:lang w:val="zh-CN"/>
              </w:rPr>
              <w:t>2</w:t>
            </w:r>
          </w:p>
        </w:tc>
        <w:tc>
          <w:tcPr>
            <w:tcW w:w="2755" w:type="dxa"/>
          </w:tcPr>
          <w:p>
            <w:pPr>
              <w:spacing w:line="85" w:lineRule="atLeast"/>
            </w:pPr>
          </w:p>
        </w:tc>
        <w:tc>
          <w:tcPr>
            <w:tcW w:w="2578" w:type="dxa"/>
          </w:tcPr>
          <w:p>
            <w:pPr>
              <w:spacing w:line="85" w:lineRule="atLeas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pPr>
              <w:spacing w:line="85" w:lineRule="atLeast"/>
            </w:pPr>
            <w:r>
              <w:rPr>
                <w:rFonts w:hint="eastAsia" w:ascii="宋体" w:hAnsi="Arial" w:cs="宋体"/>
                <w:sz w:val="24"/>
                <w:szCs w:val="24"/>
                <w:lang w:val="zh-CN"/>
              </w:rPr>
              <w:t>3</w:t>
            </w:r>
          </w:p>
        </w:tc>
        <w:tc>
          <w:tcPr>
            <w:tcW w:w="2755" w:type="dxa"/>
          </w:tcPr>
          <w:p>
            <w:pPr>
              <w:spacing w:line="85" w:lineRule="atLeast"/>
            </w:pPr>
          </w:p>
        </w:tc>
        <w:tc>
          <w:tcPr>
            <w:tcW w:w="2578" w:type="dxa"/>
          </w:tcPr>
          <w:p>
            <w:pPr>
              <w:spacing w:line="85" w:lineRule="atLeas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pPr>
              <w:spacing w:line="85" w:lineRule="atLeast"/>
            </w:pPr>
            <w:r>
              <w:rPr>
                <w:rFonts w:hint="eastAsia" w:ascii="宋体" w:hAnsi="Arial" w:cs="宋体"/>
                <w:sz w:val="24"/>
                <w:szCs w:val="24"/>
                <w:lang w:val="zh-CN"/>
              </w:rPr>
              <w:t>4</w:t>
            </w:r>
          </w:p>
        </w:tc>
        <w:tc>
          <w:tcPr>
            <w:tcW w:w="2755" w:type="dxa"/>
          </w:tcPr>
          <w:p>
            <w:pPr>
              <w:spacing w:line="85" w:lineRule="atLeast"/>
            </w:pPr>
          </w:p>
        </w:tc>
        <w:tc>
          <w:tcPr>
            <w:tcW w:w="2578" w:type="dxa"/>
          </w:tcPr>
          <w:p>
            <w:pPr>
              <w:spacing w:line="85" w:lineRule="atLeas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17" w:type="dxa"/>
          </w:tcPr>
          <w:p>
            <w:pPr>
              <w:spacing w:line="85" w:lineRule="atLeast"/>
            </w:pPr>
            <w:r>
              <w:rPr>
                <w:rFonts w:hint="eastAsia" w:ascii="宋体" w:hAnsi="Arial" w:cs="宋体"/>
                <w:sz w:val="24"/>
                <w:szCs w:val="24"/>
                <w:lang w:val="zh-CN"/>
              </w:rPr>
              <w:t>5</w:t>
            </w:r>
          </w:p>
        </w:tc>
        <w:tc>
          <w:tcPr>
            <w:tcW w:w="2755" w:type="dxa"/>
          </w:tcPr>
          <w:p>
            <w:pPr>
              <w:spacing w:line="85" w:lineRule="atLeast"/>
            </w:pPr>
          </w:p>
        </w:tc>
        <w:tc>
          <w:tcPr>
            <w:tcW w:w="2578" w:type="dxa"/>
          </w:tcPr>
          <w:p>
            <w:pPr>
              <w:spacing w:line="85" w:lineRule="atLeas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tcPr>
          <w:p>
            <w:pPr>
              <w:spacing w:line="85" w:lineRule="atLeast"/>
              <w:rPr>
                <w:rFonts w:ascii="宋体" w:hAnsi="Arial" w:cs="宋体"/>
                <w:sz w:val="24"/>
                <w:szCs w:val="24"/>
                <w:lang w:val="zh-CN"/>
              </w:rPr>
            </w:pPr>
          </w:p>
        </w:tc>
        <w:tc>
          <w:tcPr>
            <w:tcW w:w="2755" w:type="dxa"/>
          </w:tcPr>
          <w:p>
            <w:pPr>
              <w:spacing w:line="85" w:lineRule="atLeast"/>
            </w:pPr>
            <w:r>
              <w:t>……</w:t>
            </w:r>
          </w:p>
        </w:tc>
        <w:tc>
          <w:tcPr>
            <w:tcW w:w="2578" w:type="dxa"/>
          </w:tcPr>
          <w:p>
            <w:pPr>
              <w:spacing w:line="85" w:lineRule="atLeast"/>
            </w:pPr>
          </w:p>
        </w:tc>
      </w:tr>
    </w:tbl>
    <w:p>
      <w:pPr>
        <w:pBdr>
          <w:top w:val="none" w:color="000000" w:sz="0" w:space="0"/>
          <w:left w:val="none" w:color="000000" w:sz="0" w:space="0"/>
          <w:bottom w:val="none" w:color="000000" w:sz="0" w:space="0"/>
          <w:right w:val="none" w:color="000000" w:sz="0" w:space="0"/>
        </w:pBdr>
        <w:spacing w:line="85" w:lineRule="atLeast"/>
      </w:pP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pPr>
      <w:r>
        <w:rPr>
          <w:rFonts w:hint="eastAsia" w:ascii="宋体" w:hAnsi="宋体" w:cs="宋体"/>
          <w:sz w:val="24"/>
        </w:rPr>
        <w:t xml:space="preserve">                              </w:t>
      </w:r>
      <w:r>
        <w:rPr>
          <w:rFonts w:ascii="宋体" w:hAnsi="宋体" w:cs="宋体"/>
          <w:sz w:val="24"/>
        </w:rPr>
        <w:t>供应商全称（加盖公章）：</w:t>
      </w: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pPr>
      <w:r>
        <w:rPr>
          <w:rFonts w:hint="eastAsia" w:ascii="宋体" w:hAnsi="宋体" w:cs="宋体"/>
          <w:sz w:val="24"/>
        </w:rPr>
        <w:t xml:space="preserve">            </w:t>
      </w:r>
      <w:r>
        <w:rPr>
          <w:rFonts w:ascii="宋体" w:hAnsi="宋体" w:cs="宋体"/>
          <w:sz w:val="24"/>
        </w:rPr>
        <w:t>日期：</w:t>
      </w:r>
    </w:p>
    <w:p>
      <w:pPr>
        <w:pBdr>
          <w:top w:val="none" w:color="000000" w:sz="0" w:space="0"/>
          <w:left w:val="none" w:color="000000" w:sz="0" w:space="0"/>
          <w:bottom w:val="none" w:color="000000" w:sz="0" w:space="0"/>
          <w:right w:val="none" w:color="000000" w:sz="0" w:space="0"/>
        </w:pBdr>
        <w:spacing w:line="85" w:lineRule="atLeast"/>
      </w:pPr>
      <w:r>
        <w:rPr>
          <w:rFonts w:ascii="Arial" w:hAnsi="Arial" w:eastAsia="Arial" w:cs="Arial"/>
          <w:sz w:val="28"/>
        </w:rPr>
        <w:t> </w:t>
      </w:r>
    </w:p>
    <w:p>
      <w:pPr>
        <w:pBdr>
          <w:top w:val="none" w:color="000000" w:sz="0" w:space="0"/>
          <w:left w:val="none" w:color="000000" w:sz="0" w:space="0"/>
          <w:bottom w:val="none" w:color="000000" w:sz="0" w:space="0"/>
          <w:right w:val="none" w:color="000000" w:sz="0" w:space="0"/>
        </w:pBdr>
        <w:spacing w:line="360" w:lineRule="atLeast"/>
        <w:ind w:firstLine="480"/>
      </w:pPr>
      <w:r>
        <w:rPr>
          <w:rFonts w:ascii="宋体" w:hAnsi="宋体" w:cs="宋体"/>
          <w:sz w:val="24"/>
        </w:rPr>
        <w:t> </w:t>
      </w:r>
    </w:p>
    <w:p>
      <w:pPr>
        <w:pBdr>
          <w:top w:val="none" w:color="000000" w:sz="0" w:space="0"/>
          <w:left w:val="none" w:color="000000" w:sz="0" w:space="0"/>
          <w:bottom w:val="none" w:color="000000" w:sz="0" w:space="0"/>
          <w:right w:val="none" w:color="000000" w:sz="0" w:space="0"/>
        </w:pBdr>
        <w:spacing w:line="360" w:lineRule="atLeast"/>
        <w:ind w:firstLine="480"/>
      </w:pPr>
      <w:r>
        <w:rPr>
          <w:rFonts w:ascii="宋体" w:hAnsi="宋体" w:cs="宋体"/>
          <w:sz w:val="24"/>
        </w:rPr>
        <w:t> </w:t>
      </w:r>
    </w:p>
    <w:p>
      <w:pPr>
        <w:pBdr>
          <w:top w:val="none" w:color="000000" w:sz="0" w:space="0"/>
          <w:left w:val="none" w:color="000000" w:sz="0" w:space="0"/>
          <w:bottom w:val="none" w:color="000000" w:sz="0" w:space="0"/>
          <w:right w:val="none" w:color="000000" w:sz="0" w:space="0"/>
        </w:pBdr>
        <w:spacing w:line="360" w:lineRule="atLeast"/>
        <w:ind w:firstLine="480"/>
      </w:pPr>
      <w:r>
        <w:rPr>
          <w:rFonts w:ascii="宋体" w:hAnsi="宋体" w:cs="宋体"/>
          <w:sz w:val="24"/>
        </w:rPr>
        <w:t> </w:t>
      </w:r>
    </w:p>
    <w:p>
      <w:pPr>
        <w:pBdr>
          <w:top w:val="none" w:color="000000" w:sz="0" w:space="0"/>
          <w:left w:val="none" w:color="000000" w:sz="0" w:space="0"/>
          <w:bottom w:val="none" w:color="000000" w:sz="0" w:space="0"/>
          <w:right w:val="none" w:color="000000" w:sz="0" w:space="0"/>
        </w:pBdr>
        <w:spacing w:line="85" w:lineRule="atLeast"/>
      </w:pPr>
      <w:r>
        <w:rPr>
          <w:rFonts w:ascii="Arial" w:hAnsi="Arial" w:eastAsia="Arial" w:cs="Arial"/>
          <w:sz w:val="28"/>
        </w:rPr>
        <w:t> </w:t>
      </w:r>
    </w:p>
    <w:p>
      <w:pPr>
        <w:pBdr>
          <w:top w:val="none" w:color="000000" w:sz="0" w:space="0"/>
          <w:left w:val="none" w:color="000000" w:sz="0" w:space="0"/>
          <w:bottom w:val="none" w:color="000000" w:sz="0" w:space="0"/>
          <w:right w:val="none" w:color="000000" w:sz="0" w:space="0"/>
        </w:pBdr>
        <w:spacing w:line="85" w:lineRule="atLeast"/>
        <w:ind w:firstLine="480"/>
      </w:pPr>
      <w:r>
        <w:rPr>
          <w:rFonts w:ascii="Arial" w:hAnsi="Arial" w:eastAsia="Arial" w:cs="Arial"/>
          <w:sz w:val="24"/>
        </w:rPr>
        <w:t>2、</w:t>
      </w:r>
      <w:r>
        <w:rPr>
          <w:rFonts w:hint="eastAsia" w:ascii="宋体" w:hAnsi="宋体" w:cs="宋体"/>
          <w:sz w:val="24"/>
        </w:rPr>
        <w:t>应急演练</w:t>
      </w:r>
      <w:r>
        <w:rPr>
          <w:rFonts w:ascii="Arial" w:hAnsi="Arial" w:eastAsia="Arial" w:cs="Arial"/>
          <w:sz w:val="24"/>
        </w:rPr>
        <w:t>承诺函格式</w:t>
      </w:r>
    </w:p>
    <w:p>
      <w:pPr>
        <w:pBdr>
          <w:top w:val="none" w:color="000000" w:sz="0" w:space="0"/>
          <w:left w:val="none" w:color="000000" w:sz="0" w:space="0"/>
          <w:bottom w:val="none" w:color="000000" w:sz="0" w:space="0"/>
          <w:right w:val="none" w:color="000000" w:sz="0" w:space="0"/>
        </w:pBdr>
        <w:spacing w:line="85" w:lineRule="atLeast"/>
        <w:ind w:firstLine="560"/>
        <w:jc w:val="center"/>
      </w:pPr>
      <w:r>
        <w:rPr>
          <w:rFonts w:ascii="宋体" w:hAnsi="宋体" w:cs="宋体"/>
          <w:sz w:val="28"/>
        </w:rPr>
        <w:t>承诺函</w:t>
      </w:r>
    </w:p>
    <w:p>
      <w:pPr>
        <w:pBdr>
          <w:top w:val="none" w:color="000000" w:sz="0" w:space="0"/>
          <w:left w:val="none" w:color="000000" w:sz="0" w:space="0"/>
          <w:bottom w:val="none" w:color="000000" w:sz="0" w:space="0"/>
          <w:right w:val="none" w:color="000000" w:sz="0" w:space="0"/>
        </w:pBdr>
        <w:spacing w:line="520" w:lineRule="exact"/>
        <w:ind w:firstLine="720"/>
        <w:rPr>
          <w:rFonts w:hint="eastAsia" w:ascii="宋体" w:hAnsi="宋体" w:cs="宋体"/>
          <w:sz w:val="24"/>
        </w:rPr>
      </w:pPr>
      <w:r>
        <w:rPr>
          <w:rFonts w:ascii="宋体" w:hAnsi="宋体" w:cs="宋体"/>
          <w:sz w:val="24"/>
        </w:rPr>
        <w:t>我单位</w:t>
      </w:r>
      <w:r>
        <w:rPr>
          <w:rFonts w:hint="eastAsia" w:ascii="宋体" w:hAnsi="宋体" w:cs="宋体"/>
          <w:sz w:val="24"/>
        </w:rPr>
        <w:t>郑重</w:t>
      </w:r>
      <w:r>
        <w:rPr>
          <w:rFonts w:ascii="宋体" w:hAnsi="宋体" w:cs="宋体"/>
          <w:sz w:val="24"/>
        </w:rPr>
        <w:t>承诺：</w:t>
      </w:r>
    </w:p>
    <w:p>
      <w:pPr>
        <w:pBdr>
          <w:top w:val="none" w:color="000000" w:sz="0" w:space="0"/>
          <w:left w:val="none" w:color="000000" w:sz="0" w:space="0"/>
          <w:bottom w:val="none" w:color="000000" w:sz="0" w:space="0"/>
          <w:right w:val="none" w:color="000000" w:sz="0" w:space="0"/>
        </w:pBdr>
        <w:spacing w:line="520" w:lineRule="exact"/>
        <w:ind w:firstLine="720"/>
        <w:rPr>
          <w:rFonts w:hint="eastAsia" w:ascii="宋体" w:hAnsi="宋体" w:cs="宋体"/>
          <w:sz w:val="24"/>
        </w:rPr>
      </w:pPr>
      <w:r>
        <w:rPr>
          <w:rFonts w:ascii="宋体" w:hAnsi="宋体" w:cs="宋体"/>
          <w:sz w:val="24"/>
        </w:rPr>
        <w:t>在______________</w:t>
      </w:r>
      <w:r>
        <w:rPr>
          <w:rFonts w:hint="eastAsia" w:ascii="宋体" w:hAnsi="宋体" w:cs="宋体"/>
          <w:sz w:val="24"/>
        </w:rPr>
        <w:t>（采购号）</w:t>
      </w:r>
      <w:r>
        <w:rPr>
          <w:rFonts w:ascii="宋体" w:hAnsi="宋体" w:cs="宋体"/>
          <w:sz w:val="24"/>
        </w:rPr>
        <w:t>号__________________项目服务过程中，</w:t>
      </w:r>
      <w:r>
        <w:rPr>
          <w:rFonts w:hint="eastAsia" w:ascii="宋体" w:hAnsi="宋体" w:cs="宋体"/>
          <w:sz w:val="24"/>
        </w:rPr>
        <w:t>提供应急演练预案。服务期内至少提供1 次模拟故障演练服务</w:t>
      </w:r>
      <w:r>
        <w:rPr>
          <w:rFonts w:ascii="宋体" w:hAnsi="宋体" w:cs="宋体"/>
          <w:sz w:val="24"/>
        </w:rPr>
        <w:t>。</w:t>
      </w:r>
    </w:p>
    <w:p>
      <w:pPr>
        <w:pBdr>
          <w:top w:val="none" w:color="000000" w:sz="0" w:space="0"/>
          <w:left w:val="none" w:color="000000" w:sz="0" w:space="0"/>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0"/>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hint="eastAsia" w:ascii="宋体" w:hAnsi="宋体" w:cs="宋体"/>
          <w:sz w:val="24"/>
        </w:rPr>
      </w:pPr>
      <w:r>
        <w:rPr>
          <w:rFonts w:hint="eastAsia" w:ascii="宋体" w:hAnsi="宋体" w:cs="宋体"/>
          <w:sz w:val="24"/>
        </w:rPr>
        <w:t xml:space="preserve">                            </w:t>
      </w:r>
      <w:r>
        <w:rPr>
          <w:rFonts w:ascii="宋体" w:hAnsi="宋体" w:cs="宋体"/>
          <w:sz w:val="24"/>
        </w:rPr>
        <w:t>供应商全称（加盖公章）：</w:t>
      </w: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hint="eastAsia" w:ascii="宋体" w:hAnsi="宋体" w:cs="宋体"/>
          <w:sz w:val="24"/>
        </w:rPr>
      </w:pPr>
      <w:r>
        <w:rPr>
          <w:rFonts w:hint="eastAsia" w:ascii="宋体" w:hAnsi="宋体" w:cs="宋体"/>
          <w:sz w:val="24"/>
        </w:rPr>
        <w:t xml:space="preserve">         </w:t>
      </w:r>
      <w:r>
        <w:rPr>
          <w:rFonts w:ascii="宋体" w:hAnsi="宋体" w:cs="宋体"/>
          <w:sz w:val="24"/>
        </w:rPr>
        <w:t>日期：</w:t>
      </w: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hint="eastAsia" w:ascii="宋体" w:hAnsi="宋体" w:cs="宋体"/>
          <w:sz w:val="24"/>
        </w:rPr>
      </w:pPr>
    </w:p>
    <w:p>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hint="eastAsia" w:ascii="宋体" w:hAnsi="宋体" w:cs="宋体"/>
          <w:sz w:val="24"/>
        </w:rPr>
      </w:pPr>
    </w:p>
    <w:p>
      <w:pPr>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Arial"/>
          <w:sz w:val="24"/>
        </w:rPr>
      </w:pPr>
    </w:p>
    <w:p>
      <w:pPr>
        <w:pBdr>
          <w:top w:val="none" w:color="000000" w:sz="0" w:space="0"/>
          <w:left w:val="none" w:color="000000" w:sz="0" w:space="0"/>
          <w:bottom w:val="none" w:color="000000" w:sz="0" w:space="0"/>
          <w:right w:val="none" w:color="000000" w:sz="0" w:space="0"/>
        </w:pBdr>
        <w:spacing w:line="85" w:lineRule="atLeast"/>
        <w:ind w:firstLine="480"/>
      </w:pPr>
      <w:r>
        <w:rPr>
          <w:rFonts w:ascii="Arial" w:hAnsi="Arial" w:eastAsia="Arial" w:cs="Arial"/>
          <w:sz w:val="24"/>
        </w:rPr>
        <w:t>3、</w:t>
      </w:r>
      <w:r>
        <w:rPr>
          <w:rFonts w:hint="eastAsia" w:ascii="宋体" w:hAnsi="宋体" w:cs="宋体"/>
          <w:sz w:val="24"/>
        </w:rPr>
        <w:t>重要保障及应急服务</w:t>
      </w:r>
      <w:r>
        <w:rPr>
          <w:rFonts w:ascii="Arial" w:hAnsi="Arial" w:eastAsia="Arial" w:cs="Arial"/>
          <w:sz w:val="24"/>
        </w:rPr>
        <w:t>承诺函格式</w:t>
      </w:r>
    </w:p>
    <w:p>
      <w:pPr>
        <w:pBdr>
          <w:top w:val="none" w:color="000000" w:sz="0" w:space="0"/>
          <w:left w:val="none" w:color="000000" w:sz="0" w:space="0"/>
          <w:bottom w:val="none" w:color="000000" w:sz="0" w:space="0"/>
          <w:right w:val="none" w:color="000000" w:sz="0" w:space="0"/>
        </w:pBdr>
        <w:spacing w:line="85" w:lineRule="atLeast"/>
        <w:ind w:firstLine="560"/>
        <w:jc w:val="center"/>
      </w:pPr>
      <w:r>
        <w:rPr>
          <w:rFonts w:ascii="宋体" w:hAnsi="宋体" w:cs="宋体"/>
          <w:sz w:val="28"/>
        </w:rPr>
        <w:t>承诺函</w:t>
      </w:r>
    </w:p>
    <w:p>
      <w:pPr>
        <w:pBdr>
          <w:top w:val="none" w:color="000000" w:sz="0" w:space="0"/>
          <w:left w:val="none" w:color="000000" w:sz="0" w:space="9"/>
          <w:bottom w:val="none" w:color="000000" w:sz="0" w:space="0"/>
          <w:right w:val="none" w:color="000000" w:sz="0" w:space="0"/>
        </w:pBdr>
        <w:spacing w:line="520" w:lineRule="exact"/>
        <w:ind w:firstLine="480"/>
        <w:rPr>
          <w:rFonts w:hint="eastAsia" w:ascii="宋体" w:hAnsi="宋体" w:cs="宋体"/>
          <w:sz w:val="24"/>
        </w:rPr>
      </w:pPr>
      <w:r>
        <w:rPr>
          <w:rFonts w:ascii="宋体" w:hAnsi="宋体" w:cs="宋体"/>
          <w:sz w:val="24"/>
        </w:rPr>
        <w:t>我单位</w:t>
      </w:r>
      <w:r>
        <w:rPr>
          <w:rFonts w:hint="eastAsia" w:ascii="宋体" w:hAnsi="宋体" w:cs="宋体"/>
          <w:sz w:val="24"/>
        </w:rPr>
        <w:t>郑重</w:t>
      </w:r>
      <w:r>
        <w:rPr>
          <w:rFonts w:ascii="宋体" w:hAnsi="宋体" w:cs="宋体"/>
          <w:sz w:val="24"/>
        </w:rPr>
        <w:t>承诺：</w:t>
      </w:r>
    </w:p>
    <w:p>
      <w:pPr>
        <w:spacing w:line="520" w:lineRule="exact"/>
        <w:ind w:firstLine="480"/>
        <w:rPr>
          <w:rFonts w:hint="eastAsia" w:ascii="宋体" w:hAnsi="宋体" w:cs="宋体"/>
          <w:sz w:val="24"/>
          <w:szCs w:val="24"/>
          <w:lang w:val="zh-CN"/>
        </w:rPr>
      </w:pPr>
      <w:r>
        <w:rPr>
          <w:rFonts w:ascii="宋体" w:hAnsi="宋体" w:cs="宋体"/>
          <w:sz w:val="24"/>
        </w:rPr>
        <w:t>在______________</w:t>
      </w:r>
      <w:r>
        <w:rPr>
          <w:rFonts w:hint="eastAsia" w:ascii="宋体" w:hAnsi="宋体" w:cs="宋体"/>
          <w:sz w:val="24"/>
        </w:rPr>
        <w:t>（采购号）</w:t>
      </w:r>
      <w:r>
        <w:rPr>
          <w:rFonts w:ascii="宋体" w:hAnsi="宋体" w:cs="宋体"/>
          <w:sz w:val="24"/>
        </w:rPr>
        <w:t>号__________________ 项目服务过程中，</w:t>
      </w:r>
      <w:r>
        <w:rPr>
          <w:rFonts w:hint="eastAsia" w:ascii="宋体" w:hAnsi="宋体" w:cs="宋体"/>
          <w:sz w:val="24"/>
        </w:rPr>
        <w:t>按用户要求提供重要节假日、重要活动、恶劣天气期间的7*</w:t>
      </w:r>
      <w:r>
        <w:rPr>
          <w:rFonts w:ascii="宋体" w:hAnsi="宋体" w:cs="宋体"/>
          <w:sz w:val="24"/>
        </w:rPr>
        <w:t>24</w:t>
      </w:r>
      <w:r>
        <w:rPr>
          <w:rFonts w:hint="eastAsia" w:ascii="宋体" w:hAnsi="宋体" w:cs="宋体"/>
          <w:sz w:val="24"/>
        </w:rPr>
        <w:t>小时现场重要保障服务。其他非工作时间，</w:t>
      </w:r>
      <w:r>
        <w:rPr>
          <w:rFonts w:hint="eastAsia" w:ascii="宋体" w:hAnsi="宋体" w:cs="宋体"/>
          <w:sz w:val="24"/>
          <w:szCs w:val="24"/>
        </w:rPr>
        <w:t>在任何情况下</w:t>
      </w:r>
      <w:r>
        <w:rPr>
          <w:rFonts w:hint="eastAsia" w:ascii="宋体" w:hAnsi="宋体" w:cs="宋体"/>
          <w:sz w:val="24"/>
          <w:szCs w:val="24"/>
          <w:lang w:val="zh-CN"/>
        </w:rPr>
        <w:t>，</w:t>
      </w:r>
      <w:r>
        <w:rPr>
          <w:rFonts w:hint="eastAsia" w:ascii="宋体" w:hAnsi="宋体" w:cs="宋体"/>
          <w:sz w:val="24"/>
          <w:szCs w:val="24"/>
        </w:rPr>
        <w:t>驻场人员必须能够在</w:t>
      </w:r>
      <w:r>
        <w:rPr>
          <w:rFonts w:hint="eastAsia" w:ascii="宋体" w:hAnsi="宋体" w:cs="宋体"/>
          <w:sz w:val="24"/>
          <w:szCs w:val="24"/>
          <w:lang w:val="zh-CN"/>
        </w:rPr>
        <w:t>10分钟之内到达</w:t>
      </w:r>
      <w:r>
        <w:rPr>
          <w:rFonts w:hint="eastAsia" w:ascii="宋体" w:hAnsi="宋体" w:cs="宋体"/>
          <w:sz w:val="24"/>
          <w:szCs w:val="24"/>
        </w:rPr>
        <w:t>省站</w:t>
      </w:r>
      <w:r>
        <w:rPr>
          <w:rFonts w:hint="eastAsia" w:ascii="宋体" w:hAnsi="宋体" w:cs="宋体"/>
          <w:sz w:val="24"/>
          <w:szCs w:val="24"/>
          <w:lang w:val="zh-CN"/>
        </w:rPr>
        <w:t>机房，现场进行</w:t>
      </w:r>
      <w:r>
        <w:rPr>
          <w:rFonts w:hint="eastAsia" w:ascii="宋体" w:hAnsi="宋体" w:cs="宋体"/>
          <w:sz w:val="24"/>
          <w:szCs w:val="24"/>
        </w:rPr>
        <w:t>各类</w:t>
      </w:r>
      <w:r>
        <w:rPr>
          <w:rFonts w:hint="eastAsia" w:ascii="宋体" w:hAnsi="宋体" w:cs="宋体"/>
          <w:sz w:val="24"/>
          <w:szCs w:val="24"/>
          <w:lang w:val="zh-CN"/>
        </w:rPr>
        <w:t>应急处置</w:t>
      </w:r>
      <w:r>
        <w:rPr>
          <w:rFonts w:hint="eastAsia" w:ascii="宋体" w:hAnsi="宋体" w:cs="宋体"/>
          <w:sz w:val="24"/>
          <w:szCs w:val="24"/>
        </w:rPr>
        <w:t>和按照采购人要求开展具体保障工作</w:t>
      </w:r>
      <w:r>
        <w:rPr>
          <w:rFonts w:hint="eastAsia" w:ascii="宋体" w:hAnsi="宋体" w:cs="宋体"/>
          <w:sz w:val="24"/>
          <w:szCs w:val="24"/>
          <w:lang w:val="zh-CN"/>
        </w:rPr>
        <w:t>。</w:t>
      </w:r>
    </w:p>
    <w:p>
      <w:pPr>
        <w:pBdr>
          <w:top w:val="none" w:color="000000" w:sz="0" w:space="0"/>
          <w:left w:val="none" w:color="000000" w:sz="0" w:space="0"/>
          <w:bottom w:val="none" w:color="000000" w:sz="0" w:space="0"/>
          <w:right w:val="none" w:color="000000" w:sz="0" w:space="0"/>
        </w:pBdr>
        <w:tabs>
          <w:tab w:val="left" w:pos="4860"/>
        </w:tabs>
        <w:spacing w:line="520" w:lineRule="exact"/>
        <w:ind w:right="1560" w:firstLine="200"/>
        <w:jc w:val="center"/>
        <w:rPr>
          <w:rFonts w:hint="eastAsia" w:ascii="宋体" w:hAnsi="宋体" w:cs="宋体"/>
          <w:sz w:val="24"/>
        </w:rPr>
      </w:pPr>
      <w:r>
        <w:rPr>
          <w:rFonts w:hint="eastAsia" w:ascii="宋体" w:hAnsi="宋体" w:cs="宋体"/>
          <w:sz w:val="24"/>
        </w:rPr>
        <w:t xml:space="preserve">                              </w:t>
      </w:r>
    </w:p>
    <w:p>
      <w:pPr>
        <w:pBdr>
          <w:top w:val="none" w:color="000000" w:sz="0" w:space="0"/>
          <w:left w:val="none" w:color="000000" w:sz="0" w:space="0"/>
          <w:bottom w:val="none" w:color="000000" w:sz="0" w:space="0"/>
          <w:right w:val="none" w:color="000000" w:sz="0" w:space="0"/>
        </w:pBdr>
        <w:tabs>
          <w:tab w:val="left" w:pos="4860"/>
        </w:tabs>
        <w:spacing w:line="520" w:lineRule="exact"/>
        <w:ind w:right="1560" w:firstLine="200"/>
        <w:jc w:val="center"/>
        <w:rPr>
          <w:rFonts w:hint="eastAsia" w:ascii="宋体" w:hAnsi="宋体" w:cs="宋体"/>
          <w:sz w:val="24"/>
        </w:rPr>
      </w:pPr>
      <w:r>
        <w:rPr>
          <w:rFonts w:hint="eastAsia" w:ascii="宋体" w:hAnsi="宋体" w:cs="宋体"/>
          <w:sz w:val="24"/>
        </w:rPr>
        <w:t xml:space="preserve">                              </w:t>
      </w:r>
      <w:r>
        <w:rPr>
          <w:rFonts w:ascii="宋体" w:hAnsi="宋体" w:cs="宋体"/>
          <w:sz w:val="24"/>
        </w:rPr>
        <w:t>供应商全称（加盖公章）：</w:t>
      </w:r>
    </w:p>
    <w:p>
      <w:pPr>
        <w:pBdr>
          <w:top w:val="none" w:color="000000" w:sz="0" w:space="0"/>
          <w:left w:val="none" w:color="000000" w:sz="0" w:space="0"/>
          <w:bottom w:val="none" w:color="000000" w:sz="0" w:space="0"/>
          <w:right w:val="none" w:color="000000" w:sz="0" w:space="0"/>
        </w:pBdr>
        <w:tabs>
          <w:tab w:val="left" w:pos="4860"/>
        </w:tabs>
        <w:spacing w:line="520" w:lineRule="exact"/>
        <w:ind w:right="1560" w:firstLine="200"/>
        <w:jc w:val="center"/>
        <w:rPr>
          <w:rFonts w:hint="eastAsia" w:ascii="宋体" w:hAnsi="宋体" w:cs="宋体"/>
          <w:sz w:val="24"/>
        </w:rPr>
      </w:pPr>
      <w:r>
        <w:rPr>
          <w:rFonts w:hint="eastAsia" w:ascii="宋体" w:hAnsi="宋体" w:cs="宋体"/>
          <w:sz w:val="24"/>
        </w:rPr>
        <w:t xml:space="preserve">            </w:t>
      </w:r>
      <w:r>
        <w:rPr>
          <w:rFonts w:ascii="宋体" w:hAnsi="宋体" w:cs="宋体"/>
          <w:sz w:val="24"/>
        </w:rPr>
        <w:t>日期：</w:t>
      </w:r>
    </w:p>
    <w:p>
      <w:pPr>
        <w:pBdr>
          <w:top w:val="none" w:color="000000" w:sz="0" w:space="0"/>
          <w:left w:val="none" w:color="000000" w:sz="0" w:space="9"/>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9"/>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9"/>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9"/>
          <w:bottom w:val="none" w:color="000000" w:sz="0" w:space="0"/>
          <w:right w:val="none" w:color="000000" w:sz="0" w:space="0"/>
        </w:pBdr>
        <w:spacing w:line="85" w:lineRule="atLeast"/>
        <w:ind w:firstLine="723"/>
      </w:pPr>
      <w:r>
        <w:rPr>
          <w:rFonts w:eastAsia="Times New Roman"/>
          <w:b/>
          <w:sz w:val="24"/>
        </w:rPr>
        <w:t> </w:t>
      </w:r>
    </w:p>
    <w:p>
      <w:pPr>
        <w:pBdr>
          <w:top w:val="none" w:color="000000" w:sz="0" w:space="0"/>
          <w:left w:val="none" w:color="000000" w:sz="0" w:space="9"/>
          <w:bottom w:val="none" w:color="000000" w:sz="0" w:space="0"/>
          <w:right w:val="none" w:color="000000" w:sz="0" w:space="0"/>
        </w:pBdr>
        <w:spacing w:line="85" w:lineRule="atLeast"/>
        <w:ind w:firstLine="480"/>
        <w:rPr>
          <w:rFonts w:ascii="Arial" w:hAnsi="Arial" w:eastAsia="Arial" w:cs="Arial"/>
          <w:sz w:val="24"/>
        </w:rPr>
      </w:pPr>
      <w:r>
        <w:rPr>
          <w:rFonts w:ascii="Arial" w:hAnsi="Arial" w:eastAsia="Arial" w:cs="Arial"/>
          <w:sz w:val="24"/>
        </w:rPr>
        <w:t> </w:t>
      </w:r>
      <w:r>
        <w:rPr>
          <w:rFonts w:hint="eastAsia" w:ascii="Arial" w:hAnsi="Arial" w:eastAsia="Arial" w:cs="Arial"/>
          <w:sz w:val="24"/>
        </w:rPr>
        <w:t>4</w:t>
      </w:r>
      <w:r>
        <w:rPr>
          <w:rFonts w:hint="eastAsia" w:ascii="宋体" w:hAnsi="宋体" w:cs="宋体"/>
          <w:sz w:val="24"/>
        </w:rPr>
        <w:t>、驻场服务承诺函</w:t>
      </w:r>
    </w:p>
    <w:p>
      <w:pPr>
        <w:pBdr>
          <w:top w:val="none" w:color="000000" w:sz="0" w:space="0"/>
          <w:left w:val="none" w:color="000000" w:sz="0" w:space="9"/>
          <w:bottom w:val="none" w:color="000000" w:sz="0" w:space="0"/>
          <w:right w:val="none" w:color="000000" w:sz="0" w:space="0"/>
        </w:pBdr>
        <w:spacing w:line="85" w:lineRule="atLeast"/>
        <w:ind w:firstLine="560"/>
        <w:jc w:val="center"/>
      </w:pPr>
      <w:r>
        <w:rPr>
          <w:rFonts w:ascii="宋体" w:hAnsi="宋体" w:cs="宋体"/>
          <w:sz w:val="28"/>
        </w:rPr>
        <w:t>承诺函</w:t>
      </w:r>
    </w:p>
    <w:p>
      <w:pPr>
        <w:pBdr>
          <w:top w:val="none" w:color="000000" w:sz="0" w:space="0"/>
          <w:left w:val="none" w:color="000000" w:sz="0" w:space="9"/>
          <w:bottom w:val="none" w:color="000000" w:sz="0" w:space="0"/>
          <w:right w:val="none" w:color="000000" w:sz="0" w:space="0"/>
        </w:pBdr>
        <w:spacing w:line="520" w:lineRule="exact"/>
        <w:ind w:firstLine="480"/>
        <w:rPr>
          <w:rFonts w:hint="eastAsia" w:ascii="宋体" w:hAnsi="宋体" w:cs="宋体"/>
          <w:sz w:val="24"/>
        </w:rPr>
      </w:pPr>
      <w:r>
        <w:rPr>
          <w:rFonts w:ascii="宋体" w:hAnsi="宋体" w:cs="宋体"/>
          <w:sz w:val="24"/>
        </w:rPr>
        <w:t>我单位</w:t>
      </w:r>
      <w:r>
        <w:rPr>
          <w:rFonts w:hint="eastAsia" w:ascii="宋体" w:hAnsi="宋体" w:cs="宋体"/>
          <w:sz w:val="24"/>
        </w:rPr>
        <w:t>郑重</w:t>
      </w:r>
      <w:r>
        <w:rPr>
          <w:rFonts w:ascii="宋体" w:hAnsi="宋体" w:cs="宋体"/>
          <w:sz w:val="24"/>
        </w:rPr>
        <w:t>承诺：</w:t>
      </w:r>
    </w:p>
    <w:p>
      <w:pPr>
        <w:spacing w:line="520" w:lineRule="exact"/>
        <w:ind w:firstLine="480"/>
        <w:rPr>
          <w:rFonts w:ascii="宋体" w:cs="宋体"/>
          <w:sz w:val="24"/>
          <w:szCs w:val="24"/>
          <w:lang w:val="zh-CN"/>
        </w:rPr>
      </w:pPr>
      <w:r>
        <w:rPr>
          <w:rFonts w:ascii="宋体" w:hAnsi="宋体" w:cs="宋体"/>
          <w:sz w:val="24"/>
        </w:rPr>
        <w:t>在______________</w:t>
      </w:r>
      <w:r>
        <w:rPr>
          <w:rFonts w:hint="eastAsia" w:ascii="宋体" w:hAnsi="宋体" w:cs="宋体"/>
          <w:sz w:val="24"/>
        </w:rPr>
        <w:t>（采购号）</w:t>
      </w:r>
      <w:r>
        <w:rPr>
          <w:rFonts w:ascii="宋体" w:hAnsi="宋体" w:cs="宋体"/>
          <w:sz w:val="24"/>
        </w:rPr>
        <w:t>号__________________ 项目服务过程中，</w:t>
      </w:r>
      <w:r>
        <w:rPr>
          <w:rFonts w:hint="eastAsia" w:ascii="宋体" w:hAnsi="宋体" w:cs="宋体"/>
          <w:sz w:val="24"/>
        </w:rPr>
        <w:t>提供符合招标要求的至少3人驻场服务</w:t>
      </w:r>
      <w:r>
        <w:rPr>
          <w:rFonts w:hint="eastAsia" w:ascii="宋体" w:cs="宋体"/>
          <w:sz w:val="24"/>
          <w:szCs w:val="24"/>
          <w:lang w:val="zh-CN"/>
        </w:rPr>
        <w:t>。</w:t>
      </w:r>
    </w:p>
    <w:p>
      <w:pPr>
        <w:pBdr>
          <w:top w:val="none" w:color="000000" w:sz="0" w:space="0"/>
          <w:left w:val="none" w:color="000000" w:sz="0" w:space="9"/>
          <w:bottom w:val="none" w:color="000000" w:sz="0" w:space="0"/>
          <w:right w:val="none" w:color="000000" w:sz="0" w:space="0"/>
        </w:pBdr>
        <w:spacing w:line="520" w:lineRule="exact"/>
        <w:ind w:firstLine="720"/>
        <w:rPr>
          <w:rFonts w:hint="eastAsia" w:ascii="宋体" w:hAnsi="宋体" w:cs="宋体"/>
          <w:sz w:val="24"/>
        </w:rPr>
      </w:pPr>
      <w:r>
        <w:rPr>
          <w:rFonts w:ascii="宋体" w:hAnsi="宋体" w:cs="宋体"/>
          <w:sz w:val="24"/>
        </w:rPr>
        <w:t> </w:t>
      </w:r>
    </w:p>
    <w:p>
      <w:pPr>
        <w:pBdr>
          <w:top w:val="none" w:color="000000" w:sz="0" w:space="0"/>
          <w:left w:val="none" w:color="000000" w:sz="0" w:space="0"/>
          <w:bottom w:val="none" w:color="000000" w:sz="0" w:space="0"/>
          <w:right w:val="none" w:color="000000" w:sz="0" w:space="0"/>
        </w:pBdr>
        <w:tabs>
          <w:tab w:val="left" w:pos="4860"/>
        </w:tabs>
        <w:spacing w:line="520" w:lineRule="exact"/>
        <w:ind w:right="1560" w:firstLine="480"/>
        <w:jc w:val="center"/>
        <w:rPr>
          <w:rFonts w:hint="eastAsia" w:ascii="宋体" w:hAnsi="宋体" w:cs="宋体"/>
          <w:sz w:val="24"/>
        </w:rPr>
      </w:pPr>
      <w:r>
        <w:rPr>
          <w:rFonts w:hint="eastAsia" w:ascii="宋体" w:hAnsi="宋体" w:cs="宋体"/>
          <w:sz w:val="24"/>
        </w:rPr>
        <w:t xml:space="preserve">                            </w:t>
      </w:r>
      <w:r>
        <w:rPr>
          <w:rFonts w:ascii="宋体" w:hAnsi="宋体" w:cs="宋体"/>
          <w:sz w:val="24"/>
        </w:rPr>
        <w:t>供应商全称（加盖公章）：</w:t>
      </w:r>
    </w:p>
    <w:p>
      <w:pPr>
        <w:pBdr>
          <w:top w:val="none" w:color="000000" w:sz="0" w:space="0"/>
          <w:left w:val="none" w:color="000000" w:sz="0" w:space="0"/>
          <w:bottom w:val="none" w:color="000000" w:sz="0" w:space="0"/>
          <w:right w:val="none" w:color="000000" w:sz="0" w:space="0"/>
        </w:pBdr>
        <w:tabs>
          <w:tab w:val="left" w:pos="4860"/>
        </w:tabs>
        <w:spacing w:line="520" w:lineRule="exact"/>
        <w:ind w:right="1560" w:firstLine="480"/>
        <w:jc w:val="center"/>
        <w:rPr>
          <w:rFonts w:hint="eastAsia" w:ascii="宋体" w:hAnsi="宋体" w:cs="宋体"/>
          <w:sz w:val="24"/>
        </w:rPr>
      </w:pPr>
      <w:r>
        <w:rPr>
          <w:rFonts w:hint="eastAsia" w:ascii="宋体" w:hAnsi="宋体" w:cs="宋体"/>
          <w:sz w:val="24"/>
        </w:rPr>
        <w:t xml:space="preserve">          </w:t>
      </w:r>
      <w:r>
        <w:rPr>
          <w:rFonts w:ascii="宋体" w:hAnsi="宋体" w:cs="宋体"/>
          <w:sz w:val="24"/>
        </w:rPr>
        <w:t>日期：</w:t>
      </w:r>
    </w:p>
    <w:p>
      <w:pPr>
        <w:pStyle w:val="48"/>
        <w:ind w:firstLine="0"/>
      </w:pPr>
    </w:p>
    <w:p>
      <w:pPr>
        <w:pStyle w:val="48"/>
        <w:ind w:firstLine="0"/>
      </w:pPr>
    </w:p>
    <w:p>
      <w:pPr>
        <w:pStyle w:val="48"/>
        <w:ind w:firstLine="0"/>
      </w:pPr>
    </w:p>
    <w:p>
      <w:pPr>
        <w:pStyle w:val="48"/>
        <w:ind w:firstLine="0"/>
      </w:pPr>
    </w:p>
    <w:p>
      <w:pPr>
        <w:pStyle w:val="48"/>
        <w:ind w:firstLine="0"/>
      </w:pPr>
    </w:p>
    <w:p>
      <w:pPr>
        <w:pStyle w:val="48"/>
        <w:ind w:firstLine="0"/>
      </w:pPr>
    </w:p>
    <w:sectPr>
      <w:footerReference r:id="rId27" w:type="first"/>
      <w:footerReference r:id="rId26" w:type="default"/>
      <w:pgSz w:w="11906" w:h="16838"/>
      <w:pgMar w:top="1134" w:right="1134" w:bottom="1134" w:left="1134"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1F3D81C-44CC-441F-87A6-A2FC365A1594}"/>
  </w:font>
  <w:font w:name="黑体">
    <w:panose1 w:val="02010609060101010101"/>
    <w:charset w:val="86"/>
    <w:family w:val="auto"/>
    <w:pitch w:val="default"/>
    <w:sig w:usb0="800002BF" w:usb1="38CF7CFA" w:usb2="00000016" w:usb3="00000000" w:csb0="00040001" w:csb1="00000000"/>
    <w:embedRegular r:id="rId2" w:fontKey="{2CDDFA33-F28C-40AC-AB1F-6129E0E47B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9E47C8F-DBA4-4348-8C48-49C716D7991F}"/>
  </w:font>
  <w:font w:name="仿宋_GB2312">
    <w:altName w:val="仿宋"/>
    <w:panose1 w:val="02010609030101010101"/>
    <w:charset w:val="86"/>
    <w:family w:val="modern"/>
    <w:pitch w:val="default"/>
    <w:sig w:usb0="00000000" w:usb1="00000000" w:usb2="00000010" w:usb3="00000000" w:csb0="00040000" w:csb1="00000000"/>
    <w:embedRegular r:id="rId4" w:fontKey="{B1E782CD-C9C8-41A6-B7FB-D5E354D66A52}"/>
  </w:font>
  <w:font w:name="Verdana">
    <w:panose1 w:val="020B0604030504040204"/>
    <w:charset w:val="00"/>
    <w:family w:val="swiss"/>
    <w:pitch w:val="default"/>
    <w:sig w:usb0="A00006FF" w:usb1="4000205B" w:usb2="00000010" w:usb3="00000000" w:csb0="2000019F" w:csb1="00000000"/>
  </w:font>
  <w:font w:name="华文新魏">
    <w:panose1 w:val="02010800040101010101"/>
    <w:charset w:val="86"/>
    <w:family w:val="auto"/>
    <w:pitch w:val="default"/>
    <w:sig w:usb0="00000001" w:usb1="080F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embedRegular r:id="rId5" w:fontKey="{E2AB2D6C-9017-4300-A908-90804C04202F}"/>
  </w:font>
  <w:font w:name="华文中宋">
    <w:panose1 w:val="02010600040101010101"/>
    <w:charset w:val="86"/>
    <w:family w:val="auto"/>
    <w:pitch w:val="default"/>
    <w:sig w:usb0="00000287" w:usb1="080F0000" w:usb2="00000000" w:usb3="00000000" w:csb0="0004009F" w:csb1="DFD70000"/>
    <w:embedRegular r:id="rId6" w:fontKey="{1CB0AAE9-E09D-4EEA-9444-BB6CFE911083}"/>
  </w:font>
  <w:font w:name="楷体_GB2312">
    <w:panose1 w:val="02010609030101010101"/>
    <w:charset w:val="86"/>
    <w:family w:val="modern"/>
    <w:pitch w:val="default"/>
    <w:sig w:usb0="00000001" w:usb1="080E0000" w:usb2="00000000" w:usb3="00000000" w:csb0="00040000" w:csb1="00000000"/>
    <w:embedRegular r:id="rId7" w:fontKey="{307B5C9C-B1D2-4A3C-ADF1-0081BA21EB3A}"/>
  </w:font>
  <w:font w:name="仿宋">
    <w:panose1 w:val="02010609060101010101"/>
    <w:charset w:val="86"/>
    <w:family w:val="modern"/>
    <w:pitch w:val="default"/>
    <w:sig w:usb0="800002BF" w:usb1="38CF7CFA" w:usb2="00000016" w:usb3="00000000" w:csb0="00040001" w:csb1="00000000"/>
    <w:embedRegular r:id="rId8" w:fontKey="{8F14AC54-4011-4623-A019-C1DF1B22F9D6}"/>
  </w:font>
  <w:font w:name="方正楷体_GBK">
    <w:panose1 w:val="03000509000000000000"/>
    <w:charset w:val="86"/>
    <w:family w:val="script"/>
    <w:pitch w:val="default"/>
    <w:sig w:usb0="00000001" w:usb1="080E0000" w:usb2="00000000" w:usb3="00000000" w:csb0="00040000" w:csb1="00000000"/>
    <w:embedRegular r:id="rId9" w:fontKey="{49E11DED-5E3B-432A-9BA9-69DBAD4C4E7B}"/>
  </w:font>
  <w:font w:name="方正黑体_GBK">
    <w:panose1 w:val="03000509000000000000"/>
    <w:charset w:val="86"/>
    <w:family w:val="script"/>
    <w:pitch w:val="default"/>
    <w:sig w:usb0="00000001" w:usb1="080E0000" w:usb2="00000000" w:usb3="00000000" w:csb0="00040000" w:csb1="00000000"/>
    <w:embedRegular r:id="rId10" w:fontKey="{C11C0878-7266-4221-B523-160A49E7BEB4}"/>
  </w:font>
  <w:font w:name="方正小标宋_GBK">
    <w:altName w:val="微软雅黑"/>
    <w:panose1 w:val="03000509000000000000"/>
    <w:charset w:val="86"/>
    <w:family w:val="script"/>
    <w:pitch w:val="default"/>
    <w:sig w:usb0="00000000" w:usb1="00000000" w:usb2="00000010" w:usb3="00000000" w:csb0="00040000" w:csb1="00000000"/>
    <w:embedRegular r:id="rId11" w:fontKey="{C4561E49-FDCA-4DB6-914D-8BBE36BA8565}"/>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4"/>
      </w:rPr>
    </w:pPr>
  </w:p>
  <w:p>
    <w:pPr>
      <w:pStyle w:val="32"/>
      <w:framePr w:wrap="around" w:vAnchor="text" w:hAnchor="page" w:x="6104" w:y="52"/>
      <w:rPr>
        <w:rStyle w:val="54"/>
      </w:rPr>
    </w:pPr>
  </w:p>
  <w:p>
    <w:pPr>
      <w:pStyle w:val="32"/>
      <w:jc w:val="center"/>
      <w:rPr>
        <w:sz w:val="24"/>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文本框 11" o:spid="_x0000_s103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4rufv3QEAALIDAAAOAAAA&#10;AAAAAAEAIAAAACIBAABkcnMvZTJvRG9jLnhtbFBLBQYAAAAABgAGAFkBAABxBQAAAAA=&#10;">
          <v:path/>
          <v:fill on="f" focussize="0,0"/>
          <v:stroke on="f" weight="1.25pt" joinstyle="miter"/>
          <v:imagedata o:title=""/>
          <o:lock v:ext="edit"/>
          <v:textbox inset="0mm,0mm,0mm,0mm" style="mso-fit-shape-to-text:t;">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r>
                  <w:rPr>
                    <w:rFonts w:hint="eastAsia"/>
                    <w:sz w:val="18"/>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4"/>
      </w:rPr>
    </w:pPr>
    <w:r>
      <w:rPr>
        <w:rStyle w:val="54"/>
        <w:rFonts w:hint="eastAsia"/>
      </w:rPr>
      <w:t xml:space="preserve">            </w:t>
    </w:r>
  </w:p>
  <w:p>
    <w:pPr>
      <w:pStyle w:val="32"/>
      <w:framePr w:wrap="around" w:vAnchor="text" w:hAnchor="page" w:x="6104" w:y="52"/>
      <w:rPr>
        <w:rStyle w:val="54"/>
      </w:rPr>
    </w:pPr>
    <w:r>
      <w:rPr>
        <w:rStyle w:val="54"/>
        <w:rFonts w:hint="eastAsia"/>
      </w:rPr>
      <w:t xml:space="preserve">                   </w:t>
    </w:r>
  </w:p>
  <w:p>
    <w:pPr>
      <w:pStyle w:val="32"/>
      <w:jc w:val="center"/>
      <w:rPr>
        <w:sz w:val="24"/>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_x0000_s1036" o:spid="_x0000_s103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XM1avLAQAAnAMAAA4AAAAAAAAAAQAgAAAAHgEAAGRycy9lMm9E&#10;b2MueG1sUEsFBgAAAAAGAAYAWQEAAFsFAAAAAA==&#10;">
          <v:path/>
          <v:fill on="f" focussize="0,0"/>
          <v:stroke on="f" joinstyle="miter"/>
          <v:imagedata o:title=""/>
          <o:lock v:ext="edit"/>
          <v:textbox inset="0mm,0mm,0mm,0mm" style="mso-fit-shape-to-text:t;">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24</w:t>
                </w:r>
                <w:r>
                  <w:rPr>
                    <w:rFonts w:hint="eastAsia"/>
                    <w:sz w:val="18"/>
                  </w:rPr>
                  <w:fldChar w:fldCharType="end"/>
                </w:r>
                <w:r>
                  <w:rPr>
                    <w:rFonts w:hint="eastAsia"/>
                    <w:sz w:val="18"/>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tabs>
        <w:tab w:val="center" w:pos="4819"/>
        <w:tab w:val="clear" w:pos="4153"/>
      </w:tabs>
      <w:rPr>
        <w:sz w:val="24"/>
        <w:szCs w:val="21"/>
      </w:rPr>
    </w:pPr>
    <w:r>
      <w:rPr>
        <w:rFonts w:hint="eastAsia"/>
        <w:sz w:val="24"/>
        <w:szCs w:val="21"/>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_x0000_s1035" o:spid="_x0000_s1035"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uVnccwBAACc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S1X&#10;SZ/eY0Vp954S4/AKBtqa2Y/JeejfQUMPxSlCFmFog01iED1G2aT15aa1GiKTCWK9Wq9LCkmKzReq&#10;Vohqfu4DxtcKLEtGzQMNM8OL81uMY+qckqo52Gtj8kCN+8tBmMlTJCap45FTHA7DRO8AzYWI9LQH&#10;NXe09pyZN45kTiszG2E2DpORaqB/Saz3OveT8EeoqRgNLTOaFixtxZ/3nPX7U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q5WdxzAEAAJwDAAAOAAAAAAAAAAEAIAAAAB4BAABkcnMvZTJv&#10;RG9jLnhtbFBLBQYAAAAABgAGAFkBAABcBQAAAAA=&#10;">
          <v:path/>
          <v:fill on="f" focussize="0,0"/>
          <v:stroke on="f" joinstyle="miter"/>
          <v:imagedata o:title=""/>
          <o:lock v:ext="edit"/>
          <v:textbox inset="0mm,0mm,0mm,0mm" style="mso-fit-shape-to-text:t;">
            <w:txbxContent>
              <w:p>
                <w:pPr>
                  <w:rPr>
                    <w:sz w:val="18"/>
                  </w:rPr>
                </w:pP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32" o:spid="_x0000_s1032"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1wBbb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HGIkSQMV&#10;v//29f77z/sfXxDsgUBbbccQt9AQ6XZXagdt0+9b2PS8d5Vp/D8wQuAHee8O8rKdQ9QfSgdpGoGL&#10;gq9fAH54PK6Nda+YapA3Mmygfq2sZDO3rgvtQ/xtUhVciLaGQqItkDg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B1wBbbeAgAAJgYAAA4AAAAAAAAAAQAgAAAAHwEAAGRycy9lMm9Eb2MueG1sUEsF&#10;BgAAAAAGAAYAWQEAAG8GA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_x0000_s1034" o:spid="_x0000_s1034"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POxz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tPOxzeAgAAJgYAAA4AAAAAAAAAAQAgAAAAHwEAAGRycy9lMm9Eb2MueG1sUEsF&#10;BgAAAAAGAAYAWQEAAG8GA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66</w:t>
                </w:r>
                <w:r>
                  <w:fldChar w:fldCharType="end"/>
                </w:r>
              </w:p>
            </w:txbxContent>
          </v:textbox>
        </v:shape>
      </w:pict>
    </w:r>
    <w:r>
      <w:pict>
        <v:shape id="_x0000_s1033" o:spid="_x0000_s1033"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ls0K8wBAACc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S1X&#10;SZ/eY0Vp954S4/AKBtqa2Y/JeejfQUMPxSlCFmFog01iED1G2aT15aa1GiKTCWK9Wq9LCkmKzReq&#10;Vohqfu4DxtcKLEtGzQMNM8OL81uMY+qckqo52Gtj8kCN+8tBmMlTJCap45FTHA7DRO8AzYWI9LQH&#10;NXe09pyZN45kTiszG2E2DpORaqB/Saz3OveT8EeoqRgNLTOaFixtxZ/3nPX7U21/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SWzQrzAEAAJwDAAAOAAAAAAAAAAEAIAAAAB4BAABkcnMvZTJv&#10;RG9jLnhtbFBLBQYAAAAABgAGAFkBAABcBQAAAAA=&#10;">
          <v:path/>
          <v:fill on="f" focussize="0,0"/>
          <v:stroke on="f" joinstyle="miter"/>
          <v:imagedata o:title=""/>
          <o:lock v:ext="edit"/>
          <v:textbox inset="0mm,0mm,0mm,0mm" style="mso-fit-shape-to-text:t;">
            <w:txbxContent>
              <w:p>
                <w:pPr>
                  <w:rPr>
                    <w:sz w:val="18"/>
                  </w:rPr>
                </w:pP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29" o:spid="_x0000_s1029"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84</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_x0000_s1031" o:spid="_x0000_s1031"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2</w:t>
                </w:r>
                <w:r>
                  <w:fldChar w:fldCharType="end"/>
                </w:r>
              </w:p>
            </w:txbxContent>
          </v:textbox>
        </v:shape>
      </w:pict>
    </w:r>
    <w:r>
      <w:pict>
        <v:shape id="_x0000_s1030" o:spid="_x0000_s1030"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MEdUc4BAACdAwAADgAAAGRycy9lMm9Eb2MueG1srVNLjtswDN0X6B0E&#10;7Rs7ATo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3rzmhLLDE788v3b5cevy8+v&#10;ZLlKAvUuVJh37zAzDm9gwLWZ/SE5m/4DtPiQHSNkFQbpTVID+RHMRrHPV7HFEAlPEOvVel1iiGNs&#10;vmC1glXzc+dDfCvAkGTU1OM0Mzw7vQ9xTJ1TUjULe6V1nqi2/zgQM3mKxCR1PHKKQzNM9Bpoz0ik&#10;x0WoqcW9p0S/s6hz2pnZ8LPRTEaqEdwdst6r3E/CH6GmYji1zGjasLQWf99z1p9ftf0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DTBHVHOAQAAnQMAAA4AAAAAAAAAAQAgAAAAHgEAAGRycy9l&#10;Mm9Eb2MueG1sUEsFBgAAAAAGAAYAWQEAAF4FAAAAAA==&#10;">
          <v:path/>
          <v:fill on="f" focussize="0,0"/>
          <v:stroke on="f" joinstyle="miter"/>
          <v:imagedata o:title=""/>
          <o:lock v:ext="edit"/>
          <v:textbox inset="0mm,0mm,0mm,0mm" style="mso-fit-shape-to-text:t;">
            <w:txbxContent>
              <w:p>
                <w:pPr>
                  <w:rPr>
                    <w:sz w:val="18"/>
                  </w:rPr>
                </w:pPr>
                <w:r>
                  <w:rPr>
                    <w:sz w:val="18"/>
                  </w:rPr>
                  <w:t xml:space="preserve">第 </w:t>
                </w:r>
                <w:r>
                  <w:rPr>
                    <w:rFonts w:hint="eastAsia"/>
                    <w:sz w:val="18"/>
                  </w:rPr>
                  <w:t>62</w:t>
                </w:r>
                <w:r>
                  <w:rPr>
                    <w:sz w:val="18"/>
                  </w:rPr>
                  <w:t xml:space="preserve"> 页</w:t>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28" o:spid="_x0000_s1028"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AlwbVveAgAAJgYAAA4AAAAAAAAAAQAgAAAAHwEAAGRycy9lMm9Eb2MueG1sUEsF&#10;BgAAAAAGAAYAWQEAAG8GA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73</w:t>
                </w:r>
                <w:r>
                  <w:fldChar w:fldCharType="end"/>
                </w:r>
              </w:p>
            </w:txbxContent>
          </v:textbox>
        </v:shape>
      </w:pict>
    </w:r>
  </w:p>
  <w:p>
    <w:pPr>
      <w:pStyle w:val="32"/>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27" o:spid="_x0000_s1027"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Y/z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a/9j/N0CAAAmBgAADgAAAAAAAAABACAAAAAfAQAAZHJzL2Uyb0RvYy54bWxQSwUG&#10;AAAAAAYABgBZAQAAbgY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82</w:t>
                </w:r>
                <w:r>
                  <w:fldChar w:fldCharType="end"/>
                </w:r>
              </w:p>
            </w:txbxContent>
          </v:textbox>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25" o:spid="_x0000_s1025"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AXVb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cBdVt0CAAAmBgAADgAAAAAAAAABACAAAAAfAQAAZHJzL2Uyb0RvYy54bWxQSwUG&#10;AAAAAAYABgBZAQAAbgY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87</w:t>
                </w:r>
                <w:r>
                  <w:fldChar w:fldCharType="end"/>
                </w:r>
              </w:p>
            </w:txbxContent>
          </v:textbox>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HbnP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HGAkSQMV&#10;v//29f77z/sfXxDsgUBbbccQt9AQ6XZXagdt0+9b2PS8d5Vp/D8wQuAHee8O8rKdQ9QfSgdpGoGL&#10;gq9fAH54PK6Nda+YapA3Mmygfq2sZDO3rgvtQ/xtUhVciLaGQqItkDg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IaHbnPeAgAAJgYAAA4AAAAAAAAAAQAgAAAAHwEAAGRycy9lMm9Eb2MueG1sUEsF&#10;BgAAAAAGAAYAWQEAAG8GAAAAAA==&#10;">
          <v:path/>
          <v:fill on="f" focussize="0,0"/>
          <v:stroke on="f" weight="0.5pt" joinstyle="miter"/>
          <v:imagedata o:title=""/>
          <o:lock v:ext="edit"/>
          <v:textbox inset="0mm,0mm,0mm,0mm" style="mso-fit-shape-to-text:t;">
            <w:txbxContent>
              <w:p>
                <w:pPr>
                  <w:pStyle w:val="32"/>
                </w:pPr>
                <w:r>
                  <w:fldChar w:fldCharType="begin"/>
                </w:r>
                <w:r>
                  <w:instrText xml:space="preserve"> PAGE  \* MERGEFORMAT </w:instrText>
                </w:r>
                <w:r>
                  <w:fldChar w:fldCharType="separate"/>
                </w:r>
                <w:r>
                  <w:t>85</w:t>
                </w:r>
                <w:r>
                  <w:fldChar w:fldCharType="end"/>
                </w:r>
              </w:p>
            </w:txbxContent>
          </v:textbox>
        </v:shape>
      </w:pict>
    </w:r>
  </w:p>
  <w:p>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jc w:val="left"/>
      <w:rPr>
        <w:sz w:val="21"/>
      </w:rPr>
    </w:pPr>
    <w:r>
      <w:t xml:space="preserve">     </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pPr>
    <w:r>
      <w:t xml:space="preserve">     </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rPr>
        <w:sz w:val="21"/>
      </w:rPr>
    </w:pPr>
    <w:r>
      <w:t xml:space="preserve">                            </w:t>
    </w:r>
    <w:r>
      <w:rPr>
        <w:rFonts w:hint="eastAsia"/>
      </w:rPr>
      <w:t xml:space="preserve">                                       </w:t>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pPr>
    <w:r>
      <w:t xml:space="preserve">                             </w:t>
    </w:r>
    <w:r>
      <w:rPr>
        <w:rFonts w:hint="eastAsia"/>
      </w:rPr>
      <w:t xml:space="preserve">                          </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36"/>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FD886F27"/>
    <w:multiLevelType w:val="singleLevel"/>
    <w:tmpl w:val="FD886F27"/>
    <w:lvl w:ilvl="0" w:tentative="0">
      <w:start w:val="2"/>
      <w:numFmt w:val="decimal"/>
      <w:suff w:val="nothing"/>
      <w:lvlText w:val="（%1）"/>
      <w:lvlJc w:val="left"/>
    </w:lvl>
  </w:abstractNum>
  <w:abstractNum w:abstractNumId="2">
    <w:nsid w:val="0053208E"/>
    <w:multiLevelType w:val="multilevel"/>
    <w:tmpl w:val="0053208E"/>
    <w:lvl w:ilvl="0" w:tentative="0">
      <w:start w:val="1"/>
      <w:numFmt w:val="upperLetter"/>
      <w:pStyle w:val="5"/>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6EBD050"/>
    <w:multiLevelType w:val="singleLevel"/>
    <w:tmpl w:val="26EBD050"/>
    <w:lvl w:ilvl="0" w:tentative="0">
      <w:start w:val="3"/>
      <w:numFmt w:val="chineseCounting"/>
      <w:suff w:val="nothing"/>
      <w:lvlText w:val="%1、"/>
      <w:lvlJc w:val="left"/>
      <w:rPr>
        <w:rFonts w:hint="eastAsia"/>
      </w:rPr>
    </w:lvl>
  </w:abstractNum>
  <w:abstractNum w:abstractNumId="4">
    <w:nsid w:val="59ADCABA"/>
    <w:multiLevelType w:val="multilevel"/>
    <w:tmpl w:val="59ADCABA"/>
    <w:lvl w:ilvl="0" w:tentative="0">
      <w:start w:val="2"/>
      <w:numFmt w:val="decimal"/>
      <w:suff w:val="nothing"/>
      <w:lvlText w:val="第 %1 部分 "/>
      <w:lvlJc w:val="left"/>
      <w:pPr>
        <w:ind w:left="3420" w:hanging="180"/>
      </w:pPr>
      <w:rPr>
        <w:rFonts w:hint="eastAsia" w:cs="Times New Roman"/>
        <w:i w:val="0"/>
        <w:iCs w:val="0"/>
        <w:caps w:val="0"/>
        <w:smallCaps w:val="0"/>
        <w:strike w:val="0"/>
        <w:vanish w:val="0"/>
        <w:color w:val="000000"/>
        <w:spacing w:val="0"/>
        <w:position w:val="0"/>
        <w:u w:val="none"/>
        <w:vertAlign w:val="baseline"/>
      </w:rPr>
    </w:lvl>
    <w:lvl w:ilvl="1" w:tentative="0">
      <w:start w:val="1"/>
      <w:numFmt w:val="decimal"/>
      <w:suff w:val="nothing"/>
      <w:lvlText w:val="%1.%2 "/>
      <w:lvlJc w:val="left"/>
      <w:pPr>
        <w:ind w:left="2165" w:firstLine="0"/>
      </w:pPr>
      <w:rPr>
        <w:rFonts w:hint="default" w:ascii="Times New Roman" w:hAnsi="Times New Roman" w:eastAsia="宋体"/>
        <w:b/>
        <w:i w:val="0"/>
        <w:sz w:val="36"/>
      </w:rPr>
    </w:lvl>
    <w:lvl w:ilvl="2" w:tentative="0">
      <w:start w:val="1"/>
      <w:numFmt w:val="decimal"/>
      <w:pStyle w:val="240"/>
      <w:suff w:val="nothing"/>
      <w:lvlText w:val="%1.%2.%3 "/>
      <w:lvlJc w:val="left"/>
      <w:pPr>
        <w:ind w:left="0" w:firstLine="0"/>
      </w:pPr>
      <w:rPr>
        <w:rFonts w:hint="default" w:ascii="Times New Roman" w:hAnsi="Times New Roman" w:eastAsia="黑体"/>
        <w:b w:val="0"/>
        <w:i w:val="0"/>
        <w:sz w:val="32"/>
      </w:rPr>
    </w:lvl>
    <w:lvl w:ilvl="3" w:tentative="0">
      <w:start w:val="1"/>
      <w:numFmt w:val="decimal"/>
      <w:suff w:val="nothing"/>
      <w:lvlText w:val="%1.%2.3.%4 "/>
      <w:lvlJc w:val="left"/>
      <w:pPr>
        <w:ind w:left="720" w:firstLine="0"/>
      </w:pPr>
      <w:rPr>
        <w:rFonts w:hint="eastAsia" w:ascii="Times New Roman" w:hAnsi="Times New Roman" w:cs="Times New Roman"/>
        <w:i w:val="0"/>
        <w:iCs w:val="0"/>
        <w:caps w:val="0"/>
        <w:smallCaps w:val="0"/>
        <w:strike w:val="0"/>
        <w:vanish w:val="0"/>
        <w:color w:val="000000"/>
        <w:spacing w:val="0"/>
        <w:position w:val="0"/>
        <w:u w:val="none"/>
        <w:vertAlign w:val="baseline"/>
      </w:rPr>
    </w:lvl>
    <w:lvl w:ilvl="4" w:tentative="0">
      <w:start w:val="1"/>
      <w:numFmt w:val="decimal"/>
      <w:suff w:val="nothing"/>
      <w:lvlText w:val="%5、"/>
      <w:lvlJc w:val="left"/>
      <w:pPr>
        <w:ind w:left="720" w:firstLine="0"/>
      </w:pPr>
      <w:rPr>
        <w:rFonts w:hint="default" w:ascii="Times New Roman" w:hAnsi="Times New Roman" w:eastAsia="黑体"/>
        <w:b w:val="0"/>
        <w:i w:val="0"/>
        <w:sz w:val="28"/>
      </w:rPr>
    </w:lvl>
    <w:lvl w:ilvl="5" w:tentative="0">
      <w:start w:val="1"/>
      <w:numFmt w:val="none"/>
      <w:suff w:val="nothing"/>
      <w:lvlText w:val=""/>
      <w:lvlJc w:val="left"/>
      <w:pPr>
        <w:ind w:left="180" w:firstLine="0"/>
      </w:pPr>
      <w:rPr>
        <w:rFonts w:hint="eastAsia"/>
      </w:rPr>
    </w:lvl>
    <w:lvl w:ilvl="6" w:tentative="0">
      <w:start w:val="1"/>
      <w:numFmt w:val="none"/>
      <w:suff w:val="nothing"/>
      <w:lvlText w:val=""/>
      <w:lvlJc w:val="left"/>
      <w:pPr>
        <w:ind w:left="180" w:firstLine="0"/>
      </w:pPr>
      <w:rPr>
        <w:rFonts w:hint="eastAsia"/>
      </w:rPr>
    </w:lvl>
    <w:lvl w:ilvl="7" w:tentative="0">
      <w:start w:val="1"/>
      <w:numFmt w:val="none"/>
      <w:suff w:val="nothing"/>
      <w:lvlText w:val=""/>
      <w:lvlJc w:val="left"/>
      <w:pPr>
        <w:ind w:left="180" w:firstLine="0"/>
      </w:pPr>
      <w:rPr>
        <w:rFonts w:hint="eastAsia"/>
      </w:rPr>
    </w:lvl>
    <w:lvl w:ilvl="8" w:tentative="0">
      <w:start w:val="1"/>
      <w:numFmt w:val="none"/>
      <w:suff w:val="nothing"/>
      <w:lvlText w:val=""/>
      <w:lvlJc w:val="left"/>
      <w:pPr>
        <w:ind w:left="180" w:firstLine="0"/>
      </w:pPr>
      <w:rPr>
        <w:rFonts w:hint="eastAsia"/>
      </w:rPr>
    </w:lvl>
  </w:abstractNum>
  <w:abstractNum w:abstractNumId="5">
    <w:nsid w:val="5F0A52D4"/>
    <w:multiLevelType w:val="multilevel"/>
    <w:tmpl w:val="5F0A52D4"/>
    <w:lvl w:ilvl="0" w:tentative="0">
      <w:start w:val="1"/>
      <w:numFmt w:val="decimalEnclosedCircle"/>
      <w:lvlText w:val="%1"/>
      <w:lvlJc w:val="left"/>
      <w:pPr>
        <w:ind w:left="840" w:hanging="360"/>
      </w:pPr>
      <w:rPr>
        <w:rFonts w:hAnsi="宋体"/>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ExpandShiftReturn/>
    <w:doNotWrapTextWithPunct/>
    <w:doNotUseEastAsianBreakRules/>
    <w:useFELayout/>
    <w:doNotUseIndentAsNumberingTabStop/>
    <w:compatSetting w:name="compatibilityMode" w:uri="http://schemas.microsoft.com/office/word" w:val="12"/>
  </w:compat>
  <w:rsids>
    <w:rsidRoot w:val="004C3590"/>
    <w:rsid w:val="00010261"/>
    <w:rsid w:val="00013FD7"/>
    <w:rsid w:val="0001541A"/>
    <w:rsid w:val="0003488D"/>
    <w:rsid w:val="0005340C"/>
    <w:rsid w:val="00074E18"/>
    <w:rsid w:val="000F2989"/>
    <w:rsid w:val="00135F76"/>
    <w:rsid w:val="00140E30"/>
    <w:rsid w:val="001A294F"/>
    <w:rsid w:val="001E5E74"/>
    <w:rsid w:val="002057E0"/>
    <w:rsid w:val="002355AF"/>
    <w:rsid w:val="00250CB8"/>
    <w:rsid w:val="002849A3"/>
    <w:rsid w:val="002C38BE"/>
    <w:rsid w:val="002E7C12"/>
    <w:rsid w:val="003008D2"/>
    <w:rsid w:val="0033514C"/>
    <w:rsid w:val="003522FB"/>
    <w:rsid w:val="003C1C01"/>
    <w:rsid w:val="003E6853"/>
    <w:rsid w:val="004360B8"/>
    <w:rsid w:val="00460EF6"/>
    <w:rsid w:val="004922B0"/>
    <w:rsid w:val="004C3590"/>
    <w:rsid w:val="004D27E1"/>
    <w:rsid w:val="004D3D2B"/>
    <w:rsid w:val="005A59BC"/>
    <w:rsid w:val="005C31DD"/>
    <w:rsid w:val="005E6594"/>
    <w:rsid w:val="005F1A86"/>
    <w:rsid w:val="00611311"/>
    <w:rsid w:val="00650A2B"/>
    <w:rsid w:val="006A5B1B"/>
    <w:rsid w:val="006D2D3B"/>
    <w:rsid w:val="006E3337"/>
    <w:rsid w:val="006F4BDB"/>
    <w:rsid w:val="006F727D"/>
    <w:rsid w:val="007572E3"/>
    <w:rsid w:val="00760E8C"/>
    <w:rsid w:val="00764C23"/>
    <w:rsid w:val="007725A5"/>
    <w:rsid w:val="007B2FD3"/>
    <w:rsid w:val="007D5E25"/>
    <w:rsid w:val="007F72E8"/>
    <w:rsid w:val="00860436"/>
    <w:rsid w:val="00860C06"/>
    <w:rsid w:val="0086351E"/>
    <w:rsid w:val="00884FE5"/>
    <w:rsid w:val="008A394F"/>
    <w:rsid w:val="008C0D6D"/>
    <w:rsid w:val="009676F0"/>
    <w:rsid w:val="009F6999"/>
    <w:rsid w:val="00A13E0C"/>
    <w:rsid w:val="00A229BA"/>
    <w:rsid w:val="00A41A5B"/>
    <w:rsid w:val="00A42548"/>
    <w:rsid w:val="00A57EAE"/>
    <w:rsid w:val="00A6295E"/>
    <w:rsid w:val="00AC2D66"/>
    <w:rsid w:val="00AF0951"/>
    <w:rsid w:val="00AF25BD"/>
    <w:rsid w:val="00B447BC"/>
    <w:rsid w:val="00BC1023"/>
    <w:rsid w:val="00C27570"/>
    <w:rsid w:val="00C33864"/>
    <w:rsid w:val="00C66D2D"/>
    <w:rsid w:val="00C900CF"/>
    <w:rsid w:val="00CC62E9"/>
    <w:rsid w:val="00CD3D83"/>
    <w:rsid w:val="00CD420C"/>
    <w:rsid w:val="00D40F3B"/>
    <w:rsid w:val="00D47A54"/>
    <w:rsid w:val="00D717D1"/>
    <w:rsid w:val="00D97BD7"/>
    <w:rsid w:val="00DF7F68"/>
    <w:rsid w:val="00E03086"/>
    <w:rsid w:val="00E80160"/>
    <w:rsid w:val="00EA57F4"/>
    <w:rsid w:val="00EA6CEC"/>
    <w:rsid w:val="00EC4DB9"/>
    <w:rsid w:val="00EE0A76"/>
    <w:rsid w:val="00EE326F"/>
    <w:rsid w:val="00EF0FBD"/>
    <w:rsid w:val="00EF2A80"/>
    <w:rsid w:val="00EF2C6B"/>
    <w:rsid w:val="00F4495B"/>
    <w:rsid w:val="00F73B72"/>
    <w:rsid w:val="00FD614D"/>
    <w:rsid w:val="01B82438"/>
    <w:rsid w:val="02217FDE"/>
    <w:rsid w:val="030F42DA"/>
    <w:rsid w:val="040A4919"/>
    <w:rsid w:val="069114AA"/>
    <w:rsid w:val="075535F7"/>
    <w:rsid w:val="07E07FF3"/>
    <w:rsid w:val="07F15CD0"/>
    <w:rsid w:val="0CB17E61"/>
    <w:rsid w:val="0DA63A8D"/>
    <w:rsid w:val="0EB83A78"/>
    <w:rsid w:val="0F4D58B9"/>
    <w:rsid w:val="0F543075"/>
    <w:rsid w:val="0F562F00"/>
    <w:rsid w:val="0FFA1E6E"/>
    <w:rsid w:val="11494E5B"/>
    <w:rsid w:val="12C13A3A"/>
    <w:rsid w:val="13CD3C05"/>
    <w:rsid w:val="148548B7"/>
    <w:rsid w:val="152F4368"/>
    <w:rsid w:val="153D3D88"/>
    <w:rsid w:val="178D1696"/>
    <w:rsid w:val="182C1032"/>
    <w:rsid w:val="18C72BDD"/>
    <w:rsid w:val="195C14A3"/>
    <w:rsid w:val="19996135"/>
    <w:rsid w:val="19C452DD"/>
    <w:rsid w:val="1B1C538E"/>
    <w:rsid w:val="1CB33AD0"/>
    <w:rsid w:val="1E1461C4"/>
    <w:rsid w:val="1F187782"/>
    <w:rsid w:val="20344F28"/>
    <w:rsid w:val="20A57BD4"/>
    <w:rsid w:val="20D504B9"/>
    <w:rsid w:val="219A700D"/>
    <w:rsid w:val="220F16C0"/>
    <w:rsid w:val="222B1451"/>
    <w:rsid w:val="22864680"/>
    <w:rsid w:val="22916662"/>
    <w:rsid w:val="24431733"/>
    <w:rsid w:val="24FB35A7"/>
    <w:rsid w:val="25B476E5"/>
    <w:rsid w:val="274C1491"/>
    <w:rsid w:val="28691CC3"/>
    <w:rsid w:val="2A2A4293"/>
    <w:rsid w:val="2ACB46DB"/>
    <w:rsid w:val="2D862376"/>
    <w:rsid w:val="2DA42760"/>
    <w:rsid w:val="2DDB7CBC"/>
    <w:rsid w:val="2F286B34"/>
    <w:rsid w:val="2FEE7F99"/>
    <w:rsid w:val="30B00A0B"/>
    <w:rsid w:val="31C51E84"/>
    <w:rsid w:val="33B96710"/>
    <w:rsid w:val="33E83C08"/>
    <w:rsid w:val="34A264AC"/>
    <w:rsid w:val="364D069A"/>
    <w:rsid w:val="37651E44"/>
    <w:rsid w:val="38433B03"/>
    <w:rsid w:val="38561A88"/>
    <w:rsid w:val="39EF3F42"/>
    <w:rsid w:val="3B0A4DAB"/>
    <w:rsid w:val="3C4C7957"/>
    <w:rsid w:val="3D511878"/>
    <w:rsid w:val="3EEA117C"/>
    <w:rsid w:val="3F830C89"/>
    <w:rsid w:val="40093884"/>
    <w:rsid w:val="421F738E"/>
    <w:rsid w:val="428611BC"/>
    <w:rsid w:val="42927988"/>
    <w:rsid w:val="42EB1A53"/>
    <w:rsid w:val="44103433"/>
    <w:rsid w:val="4537784E"/>
    <w:rsid w:val="464C0026"/>
    <w:rsid w:val="4CCA6149"/>
    <w:rsid w:val="51B15B29"/>
    <w:rsid w:val="526D1A50"/>
    <w:rsid w:val="535675C7"/>
    <w:rsid w:val="551A3190"/>
    <w:rsid w:val="55BB6505"/>
    <w:rsid w:val="57263DE7"/>
    <w:rsid w:val="57337AAB"/>
    <w:rsid w:val="57EC5BA9"/>
    <w:rsid w:val="58F80474"/>
    <w:rsid w:val="590D5D3B"/>
    <w:rsid w:val="5CCC14E7"/>
    <w:rsid w:val="5FEF619A"/>
    <w:rsid w:val="60CE4FE3"/>
    <w:rsid w:val="639A1BF3"/>
    <w:rsid w:val="6470717E"/>
    <w:rsid w:val="65424FBE"/>
    <w:rsid w:val="69582C27"/>
    <w:rsid w:val="6A240950"/>
    <w:rsid w:val="6B4C2497"/>
    <w:rsid w:val="6BCF769C"/>
    <w:rsid w:val="6CF01A9C"/>
    <w:rsid w:val="6D7A3B1D"/>
    <w:rsid w:val="6DF63E89"/>
    <w:rsid w:val="6E8071B6"/>
    <w:rsid w:val="6F5168CA"/>
    <w:rsid w:val="72330169"/>
    <w:rsid w:val="72C93933"/>
    <w:rsid w:val="74B94F31"/>
    <w:rsid w:val="753D12FE"/>
    <w:rsid w:val="763919D9"/>
    <w:rsid w:val="77C43611"/>
    <w:rsid w:val="77CF26E1"/>
    <w:rsid w:val="77DA405A"/>
    <w:rsid w:val="78225024"/>
    <w:rsid w:val="7848100D"/>
    <w:rsid w:val="78B6564F"/>
    <w:rsid w:val="790B52AD"/>
    <w:rsid w:val="7A7A445B"/>
    <w:rsid w:val="7AC65B4D"/>
    <w:rsid w:val="7BBD0AA3"/>
    <w:rsid w:val="7C1018D0"/>
    <w:rsid w:val="7CD4213D"/>
    <w:rsid w:val="7D594782"/>
    <w:rsid w:val="7D614DE3"/>
    <w:rsid w:val="7F450DFE"/>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50"/>
        <o:r id="V:Rule2" type="connector" idref="#直接箭头连接符 20"/>
        <o:r id="V:Rule3" type="connector" idref="#直接箭头连接符 19"/>
        <o:r id="V:Rule4" type="connector" idref="#直接箭头连接符 15"/>
        <o:r id="V:Rule5" type="connector" idref="#直接箭头连接符 13"/>
        <o:r id="V:Rule6" type="connector" idref="#直接箭头连接符 11"/>
        <o:r id="V:Rule7" type="connector" idref="#直接箭头连接符 25"/>
        <o:r id="V:Rule8" type="connector" idref="#_x0000_s2057"/>
        <o:r id="V:Rule9" type="connector" idref="#直接箭头连接符 24"/>
        <o:r id="V:Rule10" type="connector" idref="#直接箭头连接符 14"/>
        <o:r id="V:Rule11" type="connector" idref="#直接箭头连接符 23"/>
        <o:r id="V:Rule12" type="connector" idref="#直接箭头连接符 22"/>
        <o:r id="V:Rule13" type="connector" idref="#直接箭头连接符 2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qFormat/>
    <w:uiPriority w:val="0"/>
    <w:pPr>
      <w:keepNext/>
      <w:spacing w:line="440" w:lineRule="exact"/>
      <w:jc w:val="center"/>
      <w:outlineLvl w:val="0"/>
    </w:pPr>
    <w:rPr>
      <w:rFonts w:ascii="宋体"/>
      <w:sz w:val="28"/>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numPr>
        <w:ilvl w:val="0"/>
        <w:numId w:val="1"/>
      </w:numPr>
      <w:spacing w:line="400" w:lineRule="exact"/>
      <w:jc w:val="center"/>
      <w:outlineLvl w:val="2"/>
    </w:pPr>
    <w:rPr>
      <w:rFonts w:ascii="仿宋_GB2312" w:eastAsia="仿宋_GB2312"/>
      <w:sz w:val="32"/>
    </w:rPr>
  </w:style>
  <w:style w:type="paragraph" w:styleId="2">
    <w:name w:val="heading 4"/>
    <w:basedOn w:val="1"/>
    <w:next w:val="1"/>
    <w:qFormat/>
    <w:uiPriority w:val="0"/>
    <w:pPr>
      <w:keepNext/>
      <w:keepLines/>
      <w:spacing w:before="280" w:after="290" w:line="372" w:lineRule="auto"/>
      <w:outlineLvl w:val="3"/>
    </w:pPr>
    <w:rPr>
      <w:rFonts w:ascii="Arial" w:hAnsi="Arial" w:eastAsia="黑体" w:cs="Arial"/>
      <w:b/>
      <w:bCs/>
      <w:sz w:val="28"/>
      <w:szCs w:val="28"/>
    </w:rPr>
  </w:style>
  <w:style w:type="paragraph" w:styleId="6">
    <w:name w:val="heading 5"/>
    <w:basedOn w:val="1"/>
    <w:next w:val="1"/>
    <w:link w:val="6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contextualSpacing/>
    </w:pPr>
  </w:style>
  <w:style w:type="paragraph" w:styleId="12">
    <w:name w:val="toc 7"/>
    <w:basedOn w:val="1"/>
    <w:next w:val="1"/>
    <w:qFormat/>
    <w:uiPriority w:val="0"/>
    <w:pPr>
      <w:ind w:left="2520"/>
    </w:pPr>
  </w:style>
  <w:style w:type="paragraph" w:styleId="13">
    <w:name w:val="Note Heading"/>
    <w:basedOn w:val="1"/>
    <w:next w:val="1"/>
    <w:qFormat/>
    <w:uiPriority w:val="99"/>
    <w:rPr>
      <w:rFonts w:ascii="Verdana" w:hAnsi="Verdana"/>
    </w:rPr>
  </w:style>
  <w:style w:type="paragraph" w:styleId="14">
    <w:name w:val="Normal Indent"/>
    <w:basedOn w:val="1"/>
    <w:qFormat/>
    <w:uiPriority w:val="0"/>
    <w:pPr>
      <w:ind w:firstLine="420"/>
    </w:pPr>
    <w:rPr>
      <w:b/>
      <w:sz w:val="24"/>
    </w:rPr>
  </w:style>
  <w:style w:type="paragraph" w:styleId="15">
    <w:name w:val="caption"/>
    <w:basedOn w:val="1"/>
    <w:next w:val="1"/>
    <w:semiHidden/>
    <w:unhideWhenUsed/>
    <w:qFormat/>
    <w:uiPriority w:val="35"/>
    <w:pPr>
      <w:spacing w:line="276" w:lineRule="auto"/>
    </w:pPr>
    <w:rPr>
      <w:b/>
      <w:bCs/>
      <w:color w:val="4F81BD" w:themeColor="accent1"/>
      <w:sz w:val="18"/>
      <w:szCs w:val="18"/>
    </w:rPr>
  </w:style>
  <w:style w:type="paragraph" w:styleId="16">
    <w:name w:val="Document Map"/>
    <w:basedOn w:val="1"/>
    <w:link w:val="212"/>
    <w:qFormat/>
    <w:uiPriority w:val="0"/>
    <w:rPr>
      <w:rFonts w:ascii="宋体"/>
      <w:sz w:val="18"/>
      <w:szCs w:val="18"/>
    </w:rPr>
  </w:style>
  <w:style w:type="paragraph" w:styleId="17">
    <w:name w:val="annotation text"/>
    <w:basedOn w:val="1"/>
    <w:link w:val="213"/>
    <w:qFormat/>
    <w:uiPriority w:val="0"/>
    <w:pPr>
      <w:jc w:val="left"/>
    </w:pPr>
  </w:style>
  <w:style w:type="paragraph" w:styleId="18">
    <w:name w:val="Body Text"/>
    <w:basedOn w:val="1"/>
    <w:next w:val="1"/>
    <w:link w:val="214"/>
    <w:qFormat/>
    <w:uiPriority w:val="0"/>
    <w:rPr>
      <w:rFonts w:ascii="宋体"/>
      <w:sz w:val="28"/>
    </w:rPr>
  </w:style>
  <w:style w:type="paragraph" w:styleId="19">
    <w:name w:val="Body Text Indent"/>
    <w:basedOn w:val="1"/>
    <w:next w:val="20"/>
    <w:qFormat/>
    <w:uiPriority w:val="0"/>
    <w:pPr>
      <w:spacing w:line="360" w:lineRule="auto"/>
      <w:ind w:firstLine="420"/>
    </w:pPr>
    <w:rPr>
      <w:rFonts w:ascii="宋体"/>
      <w:sz w:val="24"/>
    </w:rPr>
  </w:style>
  <w:style w:type="paragraph" w:styleId="20">
    <w:name w:val="Body Text First Indent 2"/>
    <w:basedOn w:val="19"/>
    <w:next w:val="1"/>
    <w:qFormat/>
    <w:uiPriority w:val="0"/>
  </w:style>
  <w:style w:type="paragraph" w:styleId="21">
    <w:name w:val="List 2"/>
    <w:basedOn w:val="1"/>
    <w:qFormat/>
    <w:uiPriority w:val="0"/>
    <w:pPr>
      <w:ind w:left="100" w:hanging="200"/>
    </w:pPr>
  </w:style>
  <w:style w:type="paragraph" w:styleId="22">
    <w:name w:val="Block Text"/>
    <w:basedOn w:val="1"/>
    <w:unhideWhenUsed/>
    <w:qFormat/>
    <w:uiPriority w:val="99"/>
    <w:pPr>
      <w:spacing w:beforeAutospacing="1"/>
      <w:ind w:left="1440" w:right="1440"/>
    </w:pPr>
  </w:style>
  <w:style w:type="paragraph" w:styleId="23">
    <w:name w:val="index 4"/>
    <w:basedOn w:val="1"/>
    <w:next w:val="1"/>
    <w:qFormat/>
    <w:uiPriority w:val="0"/>
    <w:pPr>
      <w:ind w:left="600"/>
    </w:pPr>
    <w:rPr>
      <w:szCs w:val="24"/>
    </w:rPr>
  </w:style>
  <w:style w:type="paragraph" w:styleId="24">
    <w:name w:val="toc 5"/>
    <w:basedOn w:val="1"/>
    <w:next w:val="1"/>
    <w:qFormat/>
    <w:uiPriority w:val="0"/>
    <w:pPr>
      <w:ind w:left="1680"/>
    </w:pPr>
  </w:style>
  <w:style w:type="paragraph" w:styleId="25">
    <w:name w:val="toc 3"/>
    <w:basedOn w:val="1"/>
    <w:next w:val="1"/>
    <w:qFormat/>
    <w:uiPriority w:val="39"/>
    <w:pPr>
      <w:ind w:left="840"/>
    </w:pPr>
  </w:style>
  <w:style w:type="paragraph" w:styleId="26">
    <w:name w:val="Plain Text"/>
    <w:basedOn w:val="1"/>
    <w:link w:val="211"/>
    <w:qFormat/>
    <w:uiPriority w:val="0"/>
    <w:rPr>
      <w:rFonts w:ascii="宋体" w:hAnsi="Courier New"/>
    </w:rPr>
  </w:style>
  <w:style w:type="paragraph" w:styleId="27">
    <w:name w:val="toc 8"/>
    <w:basedOn w:val="1"/>
    <w:next w:val="1"/>
    <w:qFormat/>
    <w:uiPriority w:val="0"/>
    <w:pPr>
      <w:ind w:left="2940"/>
    </w:pPr>
  </w:style>
  <w:style w:type="paragraph" w:styleId="28">
    <w:name w:val="Date"/>
    <w:basedOn w:val="1"/>
    <w:next w:val="1"/>
    <w:qFormat/>
    <w:uiPriority w:val="0"/>
    <w:rPr>
      <w:rFonts w:ascii="宋体"/>
    </w:rPr>
  </w:style>
  <w:style w:type="paragraph" w:styleId="29">
    <w:name w:val="Body Text Indent 2"/>
    <w:basedOn w:val="1"/>
    <w:qFormat/>
    <w:uiPriority w:val="0"/>
    <w:pPr>
      <w:spacing w:line="420" w:lineRule="exact"/>
      <w:ind w:firstLine="525"/>
    </w:pPr>
    <w:rPr>
      <w:rFonts w:ascii="宋体"/>
    </w:rPr>
  </w:style>
  <w:style w:type="paragraph" w:styleId="30">
    <w:name w:val="endnote text"/>
    <w:basedOn w:val="1"/>
    <w:link w:val="207"/>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link w:val="215"/>
    <w:qFormat/>
    <w:uiPriority w:val="99"/>
    <w:pPr>
      <w:tabs>
        <w:tab w:val="center" w:pos="4153"/>
        <w:tab w:val="right" w:pos="8306"/>
      </w:tabs>
      <w:jc w:val="left"/>
    </w:pPr>
    <w:rPr>
      <w:sz w:val="18"/>
    </w:rPr>
  </w:style>
  <w:style w:type="paragraph" w:styleId="33">
    <w:name w:val="envelope return"/>
    <w:basedOn w:val="1"/>
    <w:qFormat/>
    <w:uiPriority w:val="0"/>
    <w:rPr>
      <w:rFonts w:ascii="Arial" w:hAnsi="Arial"/>
    </w:rPr>
  </w:style>
  <w:style w:type="paragraph" w:styleId="34">
    <w:name w:val="header"/>
    <w:basedOn w:val="1"/>
    <w:qFormat/>
    <w:uiPriority w:val="0"/>
    <w:pPr>
      <w:pBdr>
        <w:bottom w:val="single" w:color="auto" w:sz="6" w:space="1"/>
      </w:pBdr>
      <w:tabs>
        <w:tab w:val="center" w:pos="4153"/>
        <w:tab w:val="right" w:pos="8306"/>
      </w:tabs>
      <w:jc w:val="center"/>
    </w:pPr>
    <w:rPr>
      <w:sz w:val="18"/>
    </w:rPr>
  </w:style>
  <w:style w:type="paragraph" w:styleId="35">
    <w:name w:val="toc 1"/>
    <w:basedOn w:val="1"/>
    <w:next w:val="1"/>
    <w:qFormat/>
    <w:uiPriority w:val="39"/>
  </w:style>
  <w:style w:type="paragraph" w:styleId="36">
    <w:name w:val="toc 4"/>
    <w:basedOn w:val="1"/>
    <w:next w:val="1"/>
    <w:qFormat/>
    <w:uiPriority w:val="0"/>
    <w:pPr>
      <w:ind w:left="1260"/>
    </w:pPr>
  </w:style>
  <w:style w:type="paragraph" w:styleId="37">
    <w:name w:val="Subtitle"/>
    <w:basedOn w:val="1"/>
    <w:next w:val="1"/>
    <w:link w:val="73"/>
    <w:qFormat/>
    <w:uiPriority w:val="11"/>
    <w:pPr>
      <w:spacing w:before="200" w:after="200"/>
    </w:pPr>
    <w:rPr>
      <w:sz w:val="24"/>
      <w:szCs w:val="24"/>
    </w:rPr>
  </w:style>
  <w:style w:type="paragraph" w:styleId="38">
    <w:name w:val="footnote text"/>
    <w:basedOn w:val="1"/>
    <w:link w:val="206"/>
    <w:semiHidden/>
    <w:unhideWhenUsed/>
    <w:qFormat/>
    <w:uiPriority w:val="99"/>
    <w:pPr>
      <w:spacing w:after="40"/>
    </w:pPr>
    <w:rPr>
      <w:sz w:val="18"/>
    </w:rPr>
  </w:style>
  <w:style w:type="paragraph" w:styleId="39">
    <w:name w:val="toc 6"/>
    <w:basedOn w:val="1"/>
    <w:next w:val="1"/>
    <w:qFormat/>
    <w:uiPriority w:val="0"/>
    <w:pPr>
      <w:ind w:left="2100"/>
    </w:pPr>
  </w:style>
  <w:style w:type="paragraph" w:styleId="40">
    <w:name w:val="Body Text Indent 3"/>
    <w:basedOn w:val="1"/>
    <w:qFormat/>
    <w:uiPriority w:val="0"/>
    <w:pPr>
      <w:ind w:firstLine="841"/>
    </w:pPr>
    <w:rPr>
      <w:rFonts w:eastAsia="华文新魏"/>
      <w:b/>
      <w:bCs/>
      <w:sz w:val="84"/>
    </w:rPr>
  </w:style>
  <w:style w:type="paragraph" w:styleId="41">
    <w:name w:val="table of figures"/>
    <w:basedOn w:val="1"/>
    <w:next w:val="1"/>
    <w:unhideWhenUsed/>
    <w:qFormat/>
    <w:uiPriority w:val="99"/>
  </w:style>
  <w:style w:type="paragraph" w:styleId="42">
    <w:name w:val="toc 2"/>
    <w:basedOn w:val="1"/>
    <w:next w:val="1"/>
    <w:qFormat/>
    <w:uiPriority w:val="39"/>
    <w:pPr>
      <w:ind w:left="420"/>
    </w:pPr>
  </w:style>
  <w:style w:type="paragraph" w:styleId="43">
    <w:name w:val="toc 9"/>
    <w:basedOn w:val="1"/>
    <w:next w:val="1"/>
    <w:qFormat/>
    <w:uiPriority w:val="0"/>
    <w:pPr>
      <w:ind w:left="3360"/>
    </w:pPr>
  </w:style>
  <w:style w:type="paragraph" w:styleId="44">
    <w:name w:val="HTML Preformatted"/>
    <w:basedOn w:val="1"/>
    <w:link w:val="21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45">
    <w:name w:val="Normal (Web)"/>
    <w:basedOn w:val="1"/>
    <w:qFormat/>
    <w:uiPriority w:val="0"/>
    <w:pPr>
      <w:widowControl/>
      <w:spacing w:before="100" w:beforeAutospacing="1" w:after="100" w:afterAutospacing="1"/>
      <w:jc w:val="left"/>
    </w:pPr>
    <w:rPr>
      <w:rFonts w:ascii="Arial Unicode MS" w:hAnsi="Arial Unicode MS" w:eastAsia="Arial Unicode MS"/>
      <w:color w:val="000000"/>
      <w:sz w:val="24"/>
      <w:szCs w:val="24"/>
    </w:rPr>
  </w:style>
  <w:style w:type="paragraph" w:styleId="46">
    <w:name w:val="Title"/>
    <w:basedOn w:val="1"/>
    <w:qFormat/>
    <w:uiPriority w:val="0"/>
    <w:pPr>
      <w:jc w:val="center"/>
    </w:pPr>
    <w:rPr>
      <w:sz w:val="30"/>
      <w:szCs w:val="24"/>
    </w:rPr>
  </w:style>
  <w:style w:type="paragraph" w:styleId="47">
    <w:name w:val="annotation subject"/>
    <w:basedOn w:val="17"/>
    <w:next w:val="17"/>
    <w:link w:val="217"/>
    <w:qFormat/>
    <w:uiPriority w:val="0"/>
    <w:rPr>
      <w:b/>
      <w:bCs/>
    </w:rPr>
  </w:style>
  <w:style w:type="paragraph" w:styleId="48">
    <w:name w:val="Body Text First Indent"/>
    <w:basedOn w:val="18"/>
    <w:qFormat/>
    <w:uiPriority w:val="0"/>
    <w:pPr>
      <w:ind w:firstLine="420"/>
    </w:pPr>
  </w:style>
  <w:style w:type="table" w:styleId="50">
    <w:name w:val="Table Grid"/>
    <w:basedOn w:val="49"/>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basedOn w:val="51"/>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qFormat/>
    <w:uiPriority w:val="20"/>
    <w:rPr>
      <w:i/>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basedOn w:val="51"/>
    <w:unhideWhenUsed/>
    <w:qFormat/>
    <w:uiPriority w:val="99"/>
    <w:rPr>
      <w:vertAlign w:val="superscript"/>
    </w:rPr>
  </w:style>
  <w:style w:type="paragraph" w:customStyle="1" w:styleId="60">
    <w:name w:val="一级条标题"/>
    <w:next w:val="61"/>
    <w:qFormat/>
    <w:uiPriority w:val="0"/>
    <w:pPr>
      <w:tabs>
        <w:tab w:val="left" w:pos="810"/>
        <w:tab w:val="left" w:pos="907"/>
        <w:tab w:val="left" w:pos="1265"/>
      </w:tabs>
      <w:ind w:left="907" w:hanging="907"/>
      <w:jc w:val="both"/>
      <w:outlineLvl w:val="2"/>
    </w:pPr>
    <w:rPr>
      <w:rFonts w:ascii="黑体" w:hAnsi="宋体" w:eastAsia="黑体" w:cs="Times New Roman"/>
      <w:lang w:val="en-US" w:eastAsia="zh-CN" w:bidi="ar-SA"/>
    </w:rPr>
  </w:style>
  <w:style w:type="paragraph" w:customStyle="1" w:styleId="61">
    <w:name w:val="段"/>
    <w:next w:val="1"/>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62">
    <w:name w:val="Heading 1 Char"/>
    <w:basedOn w:val="51"/>
    <w:qFormat/>
    <w:uiPriority w:val="9"/>
    <w:rPr>
      <w:rFonts w:ascii="Arial" w:hAnsi="Arial" w:eastAsia="Arial" w:cs="Arial"/>
      <w:sz w:val="40"/>
      <w:szCs w:val="40"/>
    </w:rPr>
  </w:style>
  <w:style w:type="character" w:customStyle="1" w:styleId="63">
    <w:name w:val="Heading 2 Char"/>
    <w:basedOn w:val="51"/>
    <w:qFormat/>
    <w:uiPriority w:val="9"/>
    <w:rPr>
      <w:rFonts w:ascii="Arial" w:hAnsi="Arial" w:eastAsia="Arial" w:cs="Arial"/>
      <w:sz w:val="34"/>
    </w:rPr>
  </w:style>
  <w:style w:type="character" w:customStyle="1" w:styleId="64">
    <w:name w:val="Heading 3 Char"/>
    <w:basedOn w:val="51"/>
    <w:qFormat/>
    <w:uiPriority w:val="9"/>
    <w:rPr>
      <w:rFonts w:ascii="Arial" w:hAnsi="Arial" w:eastAsia="Arial" w:cs="Arial"/>
      <w:sz w:val="30"/>
      <w:szCs w:val="30"/>
    </w:rPr>
  </w:style>
  <w:style w:type="character" w:customStyle="1" w:styleId="65">
    <w:name w:val="Heading 4 Char"/>
    <w:basedOn w:val="51"/>
    <w:qFormat/>
    <w:uiPriority w:val="9"/>
    <w:rPr>
      <w:rFonts w:ascii="Arial" w:hAnsi="Arial" w:eastAsia="Arial" w:cs="Arial"/>
      <w:b/>
      <w:bCs/>
      <w:sz w:val="26"/>
      <w:szCs w:val="26"/>
    </w:rPr>
  </w:style>
  <w:style w:type="character" w:customStyle="1" w:styleId="66">
    <w:name w:val="标题 5 字符"/>
    <w:basedOn w:val="51"/>
    <w:link w:val="6"/>
    <w:qFormat/>
    <w:uiPriority w:val="9"/>
    <w:rPr>
      <w:rFonts w:ascii="Arial" w:hAnsi="Arial" w:eastAsia="Arial" w:cs="Arial"/>
      <w:b/>
      <w:bCs/>
      <w:sz w:val="24"/>
      <w:szCs w:val="24"/>
    </w:rPr>
  </w:style>
  <w:style w:type="character" w:customStyle="1" w:styleId="67">
    <w:name w:val="标题 6 字符"/>
    <w:basedOn w:val="51"/>
    <w:link w:val="7"/>
    <w:qFormat/>
    <w:uiPriority w:val="9"/>
    <w:rPr>
      <w:rFonts w:ascii="Arial" w:hAnsi="Arial" w:eastAsia="Arial" w:cs="Arial"/>
      <w:b/>
      <w:bCs/>
      <w:sz w:val="22"/>
      <w:szCs w:val="22"/>
    </w:rPr>
  </w:style>
  <w:style w:type="character" w:customStyle="1" w:styleId="68">
    <w:name w:val="标题 7 字符"/>
    <w:basedOn w:val="51"/>
    <w:link w:val="8"/>
    <w:qFormat/>
    <w:uiPriority w:val="9"/>
    <w:rPr>
      <w:rFonts w:ascii="Arial" w:hAnsi="Arial" w:eastAsia="Arial" w:cs="Arial"/>
      <w:b/>
      <w:bCs/>
      <w:i/>
      <w:iCs/>
      <w:sz w:val="22"/>
      <w:szCs w:val="22"/>
    </w:rPr>
  </w:style>
  <w:style w:type="character" w:customStyle="1" w:styleId="69">
    <w:name w:val="标题 8 字符"/>
    <w:basedOn w:val="51"/>
    <w:link w:val="9"/>
    <w:qFormat/>
    <w:uiPriority w:val="9"/>
    <w:rPr>
      <w:rFonts w:ascii="Arial" w:hAnsi="Arial" w:eastAsia="Arial" w:cs="Arial"/>
      <w:i/>
      <w:iCs/>
      <w:sz w:val="22"/>
      <w:szCs w:val="22"/>
    </w:rPr>
  </w:style>
  <w:style w:type="character" w:customStyle="1" w:styleId="70">
    <w:name w:val="标题 9 字符"/>
    <w:basedOn w:val="51"/>
    <w:link w:val="10"/>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basedOn w:val="51"/>
    <w:qFormat/>
    <w:uiPriority w:val="10"/>
    <w:rPr>
      <w:sz w:val="48"/>
      <w:szCs w:val="48"/>
    </w:rPr>
  </w:style>
  <w:style w:type="character" w:customStyle="1" w:styleId="73">
    <w:name w:val="副标题 字符"/>
    <w:basedOn w:val="51"/>
    <w:link w:val="37"/>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Header Char"/>
    <w:basedOn w:val="51"/>
    <w:qFormat/>
    <w:uiPriority w:val="99"/>
  </w:style>
  <w:style w:type="character" w:customStyle="1" w:styleId="79">
    <w:name w:val="Footer Char"/>
    <w:basedOn w:val="51"/>
    <w:qFormat/>
    <w:uiPriority w:val="99"/>
  </w:style>
  <w:style w:type="character" w:customStyle="1" w:styleId="80">
    <w:name w:val="Caption Char"/>
    <w:qFormat/>
    <w:uiPriority w:val="99"/>
  </w:style>
  <w:style w:type="table" w:customStyle="1" w:styleId="81">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23">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4">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5">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26">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7">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8">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29">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0">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1">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2">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3">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4">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5">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36">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2">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3">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4">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5">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6">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7">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8">
    <w:name w:val="清单表 7 彩色1"/>
    <w:basedOn w:val="49"/>
    <w:qFormat/>
    <w:uiPriority w:val="99"/>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79">
    <w:name w:val="List Table 7 Colorful - Accent 1"/>
    <w:basedOn w:val="49"/>
    <w:qFormat/>
    <w:uiPriority w:val="99"/>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0">
    <w:name w:val="List Table 7 Colorful - Accent 2"/>
    <w:basedOn w:val="49"/>
    <w:qFormat/>
    <w:uiPriority w:val="99"/>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1">
    <w:name w:val="List Table 7 Colorful - Accent 3"/>
    <w:basedOn w:val="49"/>
    <w:qFormat/>
    <w:uiPriority w:val="99"/>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2">
    <w:name w:val="List Table 7 Colorful - Accent 4"/>
    <w:basedOn w:val="49"/>
    <w:qFormat/>
    <w:uiPriority w:val="99"/>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3">
    <w:name w:val="List Table 7 Colorful - Accent 5"/>
    <w:basedOn w:val="49"/>
    <w:qFormat/>
    <w:uiPriority w:val="99"/>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4">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5">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38"/>
    <w:qFormat/>
    <w:uiPriority w:val="99"/>
    <w:rPr>
      <w:sz w:val="18"/>
    </w:rPr>
  </w:style>
  <w:style w:type="character" w:customStyle="1" w:styleId="207">
    <w:name w:val="尾注文本 字符"/>
    <w:link w:val="30"/>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styleId="209">
    <w:name w:val="List Paragraph"/>
    <w:basedOn w:val="1"/>
    <w:qFormat/>
    <w:uiPriority w:val="99"/>
    <w:pPr>
      <w:spacing w:line="300" w:lineRule="auto"/>
      <w:ind w:firstLine="420"/>
      <w:jc w:val="left"/>
    </w:pPr>
    <w:rPr>
      <w:szCs w:val="22"/>
    </w:rPr>
  </w:style>
  <w:style w:type="paragraph" w:customStyle="1" w:styleId="210">
    <w:name w:val="首行缩进"/>
    <w:basedOn w:val="1"/>
    <w:qFormat/>
    <w:uiPriority w:val="0"/>
    <w:pPr>
      <w:spacing w:line="360" w:lineRule="auto"/>
      <w:ind w:firstLine="420"/>
    </w:pPr>
  </w:style>
  <w:style w:type="character" w:customStyle="1" w:styleId="211">
    <w:name w:val="纯文本 字符1"/>
    <w:link w:val="26"/>
    <w:qFormat/>
    <w:uiPriority w:val="0"/>
    <w:rPr>
      <w:rFonts w:ascii="宋体" w:hAnsi="Courier New" w:eastAsia="宋体"/>
      <w:sz w:val="21"/>
      <w:lang w:val="en-US" w:eastAsia="zh-CN" w:bidi="ar-SA"/>
    </w:rPr>
  </w:style>
  <w:style w:type="character" w:customStyle="1" w:styleId="212">
    <w:name w:val="文档结构图 字符"/>
    <w:link w:val="16"/>
    <w:qFormat/>
    <w:uiPriority w:val="0"/>
    <w:rPr>
      <w:rFonts w:ascii="宋体"/>
      <w:sz w:val="18"/>
      <w:szCs w:val="18"/>
    </w:rPr>
  </w:style>
  <w:style w:type="character" w:customStyle="1" w:styleId="213">
    <w:name w:val="批注文字 字符"/>
    <w:link w:val="17"/>
    <w:qFormat/>
    <w:uiPriority w:val="0"/>
    <w:rPr>
      <w:sz w:val="21"/>
    </w:rPr>
  </w:style>
  <w:style w:type="character" w:customStyle="1" w:styleId="214">
    <w:name w:val="正文文本 字符1"/>
    <w:link w:val="18"/>
    <w:qFormat/>
    <w:uiPriority w:val="0"/>
    <w:rPr>
      <w:rFonts w:ascii="宋体" w:eastAsia="宋体"/>
      <w:sz w:val="28"/>
      <w:lang w:val="en-US" w:eastAsia="zh-CN" w:bidi="ar-SA"/>
    </w:rPr>
  </w:style>
  <w:style w:type="character" w:customStyle="1" w:styleId="215">
    <w:name w:val="页脚 字符"/>
    <w:link w:val="32"/>
    <w:qFormat/>
    <w:uiPriority w:val="99"/>
    <w:rPr>
      <w:sz w:val="18"/>
    </w:rPr>
  </w:style>
  <w:style w:type="character" w:customStyle="1" w:styleId="216">
    <w:name w:val="HTML 预设格式 字符"/>
    <w:link w:val="44"/>
    <w:qFormat/>
    <w:uiPriority w:val="99"/>
    <w:rPr>
      <w:rFonts w:ascii="黑体" w:hAnsi="Courier New" w:eastAsia="黑体" w:cs="Courier New"/>
    </w:rPr>
  </w:style>
  <w:style w:type="character" w:customStyle="1" w:styleId="217">
    <w:name w:val="批注主题 字符"/>
    <w:link w:val="47"/>
    <w:qFormat/>
    <w:uiPriority w:val="0"/>
    <w:rPr>
      <w:b/>
      <w:bCs/>
      <w:sz w:val="21"/>
    </w:rPr>
  </w:style>
  <w:style w:type="character" w:customStyle="1" w:styleId="218">
    <w:name w:val="style21"/>
    <w:qFormat/>
    <w:uiPriority w:val="0"/>
    <w:rPr>
      <w:sz w:val="18"/>
      <w:szCs w:val="18"/>
    </w:rPr>
  </w:style>
  <w:style w:type="character" w:customStyle="1" w:styleId="219">
    <w:name w:val="No Spacing Char"/>
    <w:link w:val="220"/>
    <w:qFormat/>
    <w:uiPriority w:val="1"/>
    <w:rPr>
      <w:rFonts w:eastAsia="华文仿宋"/>
      <w:sz w:val="24"/>
      <w:szCs w:val="21"/>
      <w:lang w:val="en-US" w:eastAsia="zh-CN" w:bidi="ar-SA"/>
    </w:rPr>
  </w:style>
  <w:style w:type="paragraph" w:customStyle="1" w:styleId="220">
    <w:name w:val="无间隔1"/>
    <w:link w:val="219"/>
    <w:qFormat/>
    <w:uiPriority w:val="1"/>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221">
    <w:name w:val="列出段落 字符"/>
    <w:link w:val="222"/>
    <w:qFormat/>
    <w:uiPriority w:val="0"/>
    <w:rPr>
      <w:rFonts w:ascii="Calibri" w:hAnsi="Calibri"/>
      <w:sz w:val="21"/>
      <w:szCs w:val="22"/>
    </w:rPr>
  </w:style>
  <w:style w:type="paragraph" w:customStyle="1" w:styleId="222">
    <w:name w:val="列出段落12"/>
    <w:basedOn w:val="1"/>
    <w:link w:val="221"/>
    <w:qFormat/>
    <w:uiPriority w:val="0"/>
    <w:pPr>
      <w:ind w:firstLine="420"/>
    </w:pPr>
    <w:rPr>
      <w:rFonts w:ascii="Calibri" w:hAnsi="Calibri"/>
      <w:szCs w:val="22"/>
    </w:rPr>
  </w:style>
  <w:style w:type="character" w:customStyle="1" w:styleId="223">
    <w:name w:val="font81"/>
    <w:qFormat/>
    <w:uiPriority w:val="0"/>
    <w:rPr>
      <w:rFonts w:hint="default" w:ascii="Arial" w:hAnsi="Arial" w:cs="Arial"/>
      <w:color w:val="000000"/>
      <w:sz w:val="21"/>
      <w:szCs w:val="21"/>
      <w:u w:val="none"/>
    </w:rPr>
  </w:style>
  <w:style w:type="character" w:customStyle="1" w:styleId="224">
    <w:name w:val="font71"/>
    <w:qFormat/>
    <w:uiPriority w:val="0"/>
    <w:rPr>
      <w:rFonts w:hint="eastAsia" w:ascii="宋体" w:hAnsi="宋体" w:eastAsia="宋体" w:cs="宋体"/>
      <w:color w:val="000000"/>
      <w:sz w:val="21"/>
      <w:szCs w:val="21"/>
      <w:u w:val="none"/>
    </w:rPr>
  </w:style>
  <w:style w:type="character" w:customStyle="1" w:styleId="225">
    <w:name w:val="font51"/>
    <w:qFormat/>
    <w:uiPriority w:val="0"/>
    <w:rPr>
      <w:rFonts w:hint="eastAsia" w:ascii="宋体" w:hAnsi="宋体" w:eastAsia="宋体" w:cs="宋体"/>
      <w:b/>
      <w:color w:val="000000"/>
      <w:sz w:val="21"/>
      <w:szCs w:val="21"/>
      <w:u w:val="none"/>
    </w:rPr>
  </w:style>
  <w:style w:type="character" w:customStyle="1" w:styleId="226">
    <w:name w:val="正文文本 字符"/>
    <w:qFormat/>
    <w:uiPriority w:val="0"/>
    <w:rPr>
      <w:rFonts w:ascii="宋体" w:eastAsia="宋体"/>
      <w:sz w:val="28"/>
      <w:lang w:val="en-US" w:eastAsia="zh-CN" w:bidi="ar-SA"/>
    </w:rPr>
  </w:style>
  <w:style w:type="character" w:customStyle="1" w:styleId="227">
    <w:name w:val="font21"/>
    <w:qFormat/>
    <w:uiPriority w:val="0"/>
    <w:rPr>
      <w:rFonts w:hint="eastAsia" w:ascii="宋体" w:hAnsi="宋体" w:eastAsia="宋体" w:cs="宋体"/>
      <w:color w:val="000000"/>
      <w:sz w:val="20"/>
      <w:szCs w:val="20"/>
      <w:u w:val="none"/>
    </w:rPr>
  </w:style>
  <w:style w:type="character" w:customStyle="1" w:styleId="228">
    <w:name w:val="纯文本 字符"/>
    <w:qFormat/>
    <w:uiPriority w:val="0"/>
    <w:rPr>
      <w:rFonts w:ascii="宋体" w:hAnsi="Courier New" w:eastAsia="宋体"/>
      <w:sz w:val="21"/>
      <w:lang w:val="en-US" w:eastAsia="zh-CN" w:bidi="ar-SA"/>
    </w:rPr>
  </w:style>
  <w:style w:type="character" w:customStyle="1" w:styleId="229">
    <w:name w:val="标准文本 Char"/>
    <w:link w:val="230"/>
    <w:qFormat/>
    <w:uiPriority w:val="0"/>
    <w:rPr>
      <w:rFonts w:ascii="宋体" w:hAnsi="宋体" w:eastAsia="宋体" w:cs="宋体"/>
      <w:sz w:val="21"/>
      <w:szCs w:val="21"/>
      <w:lang w:val="en-US" w:eastAsia="zh-CN" w:bidi="ar-SA"/>
    </w:rPr>
  </w:style>
  <w:style w:type="paragraph" w:customStyle="1" w:styleId="230">
    <w:name w:val="标准文本"/>
    <w:basedOn w:val="1"/>
    <w:link w:val="229"/>
    <w:qFormat/>
    <w:uiPriority w:val="0"/>
    <w:pPr>
      <w:spacing w:line="300" w:lineRule="auto"/>
      <w:ind w:firstLine="420"/>
    </w:pPr>
    <w:rPr>
      <w:rFonts w:ascii="宋体" w:hAnsi="宋体" w:cs="宋体"/>
      <w:szCs w:val="21"/>
    </w:rPr>
  </w:style>
  <w:style w:type="character" w:customStyle="1" w:styleId="231">
    <w:name w:val="c lh15"/>
    <w:qFormat/>
    <w:uiPriority w:val="0"/>
  </w:style>
  <w:style w:type="character" w:customStyle="1" w:styleId="232">
    <w:name w:val="font61"/>
    <w:qFormat/>
    <w:uiPriority w:val="0"/>
    <w:rPr>
      <w:rFonts w:ascii="Arial" w:hAnsi="Arial" w:cs="Arial"/>
      <w:b/>
      <w:color w:val="000000"/>
      <w:sz w:val="21"/>
      <w:szCs w:val="21"/>
      <w:u w:val="none"/>
    </w:rPr>
  </w:style>
  <w:style w:type="character" w:customStyle="1" w:styleId="233">
    <w:name w:val="font31"/>
    <w:qFormat/>
    <w:uiPriority w:val="0"/>
    <w:rPr>
      <w:rFonts w:hint="eastAsia" w:ascii="宋体" w:hAnsi="宋体" w:eastAsia="宋体" w:cs="宋体"/>
      <w:color w:val="000000"/>
      <w:sz w:val="20"/>
      <w:szCs w:val="20"/>
      <w:u w:val="none"/>
    </w:rPr>
  </w:style>
  <w:style w:type="paragraph" w:customStyle="1" w:styleId="234">
    <w:name w:val="列出段落1"/>
    <w:basedOn w:val="1"/>
    <w:qFormat/>
    <w:uiPriority w:val="34"/>
    <w:pPr>
      <w:ind w:firstLine="420"/>
    </w:pPr>
    <w:rPr>
      <w:rFonts w:ascii="Calibri" w:hAnsi="Calibri"/>
      <w:szCs w:val="22"/>
    </w:rPr>
  </w:style>
  <w:style w:type="paragraph" w:customStyle="1" w:styleId="235">
    <w:name w:val="Char Char Char"/>
    <w:basedOn w:val="1"/>
    <w:qFormat/>
    <w:uiPriority w:val="0"/>
    <w:pPr>
      <w:widowControl/>
      <w:spacing w:line="400" w:lineRule="exact"/>
      <w:jc w:val="center"/>
    </w:pPr>
    <w:rPr>
      <w:szCs w:val="24"/>
    </w:rPr>
  </w:style>
  <w:style w:type="paragraph" w:customStyle="1" w:styleId="236">
    <w:name w:val="Char Char"/>
    <w:basedOn w:val="1"/>
    <w:qFormat/>
    <w:uiPriority w:val="0"/>
    <w:pPr>
      <w:numPr>
        <w:ilvl w:val="0"/>
        <w:numId w:val="2"/>
      </w:numPr>
    </w:pPr>
    <w:rPr>
      <w:sz w:val="24"/>
      <w:szCs w:val="24"/>
    </w:rPr>
  </w:style>
  <w:style w:type="paragraph" w:customStyle="1" w:styleId="237">
    <w:name w:val="自定正文"/>
    <w:basedOn w:val="1"/>
    <w:qFormat/>
    <w:uiPriority w:val="0"/>
    <w:pPr>
      <w:spacing w:line="360" w:lineRule="auto"/>
      <w:jc w:val="left"/>
    </w:pPr>
  </w:style>
  <w:style w:type="paragraph" w:customStyle="1" w:styleId="238">
    <w:name w:val="Char Char Char Char Char Char Char"/>
    <w:basedOn w:val="1"/>
    <w:semiHidden/>
    <w:qFormat/>
    <w:uiPriority w:val="0"/>
    <w:rPr>
      <w:rFonts w:ascii="Tahoma" w:hAnsi="Tahoma" w:cs="仿宋_GB2312"/>
      <w:sz w:val="24"/>
      <w:szCs w:val="28"/>
    </w:rPr>
  </w:style>
  <w:style w:type="paragraph" w:customStyle="1" w:styleId="239">
    <w:name w:val="样式 首行缩进:  2 字符"/>
    <w:basedOn w:val="1"/>
    <w:qFormat/>
    <w:uiPriority w:val="0"/>
    <w:pPr>
      <w:spacing w:line="400" w:lineRule="exact"/>
      <w:ind w:firstLine="200"/>
    </w:pPr>
    <w:rPr>
      <w:rFonts w:cs="宋体"/>
      <w:sz w:val="24"/>
      <w:szCs w:val="24"/>
    </w:rPr>
  </w:style>
  <w:style w:type="paragraph" w:customStyle="1" w:styleId="240">
    <w:name w:val="Char Char Char Char Char Char Char1"/>
    <w:basedOn w:val="1"/>
    <w:qFormat/>
    <w:uiPriority w:val="0"/>
    <w:pPr>
      <w:numPr>
        <w:ilvl w:val="2"/>
        <w:numId w:val="3"/>
      </w:numPr>
      <w:tabs>
        <w:tab w:val="left" w:pos="432"/>
      </w:tabs>
      <w:ind w:left="432" w:hanging="432"/>
      <w:jc w:val="center"/>
    </w:pPr>
    <w:rPr>
      <w:rFonts w:ascii="仿宋_GB2312" w:hAnsi="Tahoma" w:eastAsia="仿宋_GB2312"/>
      <w:sz w:val="24"/>
      <w:szCs w:val="24"/>
    </w:rPr>
  </w:style>
  <w:style w:type="paragraph" w:customStyle="1" w:styleId="241">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42">
    <w:name w:val="1.正文"/>
    <w:basedOn w:val="1"/>
    <w:next w:val="1"/>
    <w:qFormat/>
    <w:uiPriority w:val="0"/>
    <w:pPr>
      <w:widowControl/>
      <w:spacing w:line="360" w:lineRule="auto"/>
    </w:pPr>
    <w:rPr>
      <w:rFonts w:ascii="Tahoma" w:hAnsi="Tahoma" w:cs="Tahoma"/>
      <w:color w:val="000000"/>
      <w:sz w:val="18"/>
      <w:szCs w:val="18"/>
    </w:rPr>
  </w:style>
  <w:style w:type="paragraph" w:customStyle="1" w:styleId="243">
    <w:name w:val="自定标题1"/>
    <w:basedOn w:val="3"/>
    <w:qFormat/>
    <w:uiPriority w:val="0"/>
  </w:style>
  <w:style w:type="paragraph" w:customStyle="1" w:styleId="24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45">
    <w:name w:val="列出段落11"/>
    <w:basedOn w:val="1"/>
    <w:qFormat/>
    <w:uiPriority w:val="34"/>
    <w:pPr>
      <w:ind w:firstLine="420"/>
    </w:pPr>
    <w:rPr>
      <w:rFonts w:ascii="Calibri" w:hAnsi="Calibri"/>
      <w:szCs w:val="22"/>
    </w:rPr>
  </w:style>
  <w:style w:type="paragraph" w:customStyle="1" w:styleId="246">
    <w:name w:val="列出段落2"/>
    <w:basedOn w:val="1"/>
    <w:qFormat/>
    <w:uiPriority w:val="34"/>
    <w:pPr>
      <w:ind w:firstLine="420"/>
    </w:pPr>
    <w:rPr>
      <w:rFonts w:ascii="宋体"/>
      <w:sz w:val="24"/>
    </w:rPr>
  </w:style>
  <w:style w:type="paragraph" w:customStyle="1" w:styleId="247">
    <w:name w:val="_Style 1"/>
    <w:basedOn w:val="1"/>
    <w:qFormat/>
    <w:uiPriority w:val="0"/>
    <w:pPr>
      <w:ind w:firstLine="200"/>
    </w:pPr>
  </w:style>
  <w:style w:type="paragraph" w:customStyle="1" w:styleId="248">
    <w:name w:val="NormalIndent"/>
    <w:basedOn w:val="1"/>
    <w:qFormat/>
    <w:uiPriority w:val="0"/>
    <w:pPr>
      <w:ind w:firstLine="420"/>
    </w:pPr>
  </w:style>
  <w:style w:type="paragraph" w:customStyle="1" w:styleId="249">
    <w:name w:val="简单回函地址"/>
    <w:basedOn w:val="1"/>
    <w:qFormat/>
    <w:uiPriority w:val="0"/>
    <w:rPr>
      <w:szCs w:val="24"/>
    </w:rPr>
  </w:style>
  <w:style w:type="table" w:customStyle="1" w:styleId="250">
    <w:name w:val="网格型1"/>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51">
    <w:name w:val="普通正文"/>
    <w:basedOn w:val="1"/>
    <w:qFormat/>
    <w:uiPriority w:val="0"/>
    <w:pPr>
      <w:spacing w:before="120" w:after="120" w:line="360" w:lineRule="auto"/>
      <w:ind w:firstLine="480"/>
      <w:jc w:val="left"/>
    </w:pPr>
    <w:rPr>
      <w:rFonts w:ascii="Arial" w:hAnsi="Arial"/>
      <w:sz w:val="24"/>
    </w:rPr>
  </w:style>
  <w:style w:type="paragraph" w:customStyle="1" w:styleId="252">
    <w:name w:val="招标"/>
    <w:basedOn w:val="1"/>
    <w:qFormat/>
    <w:uiPriority w:val="0"/>
    <w:pPr>
      <w:spacing w:line="400" w:lineRule="exact"/>
      <w:ind w:firstLine="420"/>
      <w:jc w:val="left"/>
    </w:pPr>
    <w:rPr>
      <w:rFonts w:ascii="宋体" w:hAnsi="宋体"/>
    </w:rPr>
  </w:style>
  <w:style w:type="character" w:customStyle="1" w:styleId="253">
    <w:name w:val="NormalCharacter"/>
    <w:semiHidden/>
    <w:qFormat/>
    <w:uiPriority w:val="0"/>
    <w:rPr>
      <w:sz w:val="21"/>
      <w:lang w:val="en-US" w:eastAsia="zh-CN" w:bidi="ar-SA"/>
    </w:rPr>
  </w:style>
  <w:style w:type="paragraph" w:customStyle="1" w:styleId="254">
    <w:name w:val="Table Paragraph"/>
    <w:basedOn w:val="1"/>
    <w:qFormat/>
    <w:uiPriority w:val="1"/>
    <w:pPr>
      <w:spacing w:before="35"/>
      <w:ind w:left="107"/>
    </w:pPr>
  </w:style>
  <w:style w:type="paragraph" w:customStyle="1" w:styleId="255">
    <w:name w:val="_Style 2"/>
    <w:qFormat/>
    <w:uiPriority w:val="99"/>
    <w:pPr>
      <w:widowControl w:val="0"/>
      <w:spacing w:line="351" w:lineRule="atLeast"/>
      <w:ind w:firstLine="623"/>
      <w:jc w:val="both"/>
    </w:pPr>
    <w:rPr>
      <w:rFonts w:ascii="Times New Roman" w:hAnsi="Times New Roman" w:eastAsia="仿宋_GB2312" w:cs="Times New Roman"/>
      <w:color w:val="000000"/>
      <w:sz w:val="31"/>
      <w:lang w:val="en-US" w:eastAsia="zh-CN" w:bidi="ar-SA"/>
    </w:rPr>
  </w:style>
  <w:style w:type="paragraph" w:customStyle="1" w:styleId="256">
    <w:name w:val="修订1"/>
    <w:hidden/>
    <w:unhideWhenUsed/>
    <w:qFormat/>
    <w:uiPriority w:val="99"/>
    <w:rPr>
      <w:rFonts w:ascii="Times New Roman" w:hAnsi="Times New Roman" w:eastAsia="宋体" w:cs="Times New Roman"/>
      <w:sz w:val="21"/>
      <w:lang w:val="en-US" w:eastAsia="zh-CN" w:bidi="ar-SA"/>
    </w:rPr>
  </w:style>
  <w:style w:type="paragraph" w:customStyle="1" w:styleId="257">
    <w:name w:val="Table Text"/>
    <w:basedOn w:val="1"/>
    <w:semiHidden/>
    <w:qFormat/>
    <w:uiPriority w:val="0"/>
    <w:rPr>
      <w:rFonts w:ascii="宋体" w:hAnsi="宋体" w:cs="宋体"/>
      <w:sz w:val="20"/>
      <w:lang w:eastAsia="en-US"/>
    </w:rPr>
  </w:style>
  <w:style w:type="paragraph" w:customStyle="1" w:styleId="258">
    <w:name w:val="正文首行缩进1"/>
    <w:basedOn w:val="259"/>
    <w:qFormat/>
    <w:uiPriority w:val="0"/>
    <w:pPr>
      <w:spacing w:line="360" w:lineRule="auto"/>
      <w:ind w:firstLine="420"/>
    </w:pPr>
    <w:rPr>
      <w:rFonts w:ascii="Times New Roman"/>
      <w:szCs w:val="21"/>
    </w:rPr>
  </w:style>
  <w:style w:type="paragraph" w:customStyle="1" w:styleId="259">
    <w:name w:val="正文文本1"/>
    <w:basedOn w:val="1"/>
    <w:next w:val="1"/>
    <w:qFormat/>
    <w:uiPriority w:val="0"/>
    <w:rPr>
      <w:rFonts w:ascii="宋体"/>
      <w:sz w:val="28"/>
    </w:rPr>
  </w:style>
  <w:style w:type="paragraph" w:customStyle="1" w:styleId="260">
    <w:name w:val="正文缩进11"/>
    <w:basedOn w:val="1"/>
    <w:qFormat/>
    <w:uiPriority w:val="0"/>
    <w:pPr>
      <w:ind w:firstLine="420"/>
    </w:pPr>
    <w:rPr>
      <w:b/>
      <w:sz w:val="24"/>
    </w:rPr>
  </w:style>
  <w:style w:type="paragraph" w:customStyle="1" w:styleId="261">
    <w:name w:val="_Style 36"/>
    <w:basedOn w:val="1"/>
    <w:next w:val="1"/>
    <w:qFormat/>
    <w:uiPriority w:val="39"/>
    <w:pPr>
      <w:ind w:left="3360" w:leftChars="16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7"/>
    <customShpInfo spid="_x0000_s1036"/>
    <customShpInfo spid="_x0000_s1035"/>
    <customShpInfo spid="_x0000_s1032"/>
    <customShpInfo spid="_x0000_s1034"/>
    <customShpInfo spid="_x0000_s1033"/>
    <customShpInfo spid="_x0000_s1029"/>
    <customShpInfo spid="_x0000_s1031"/>
    <customShpInfo spid="_x0000_s1030"/>
    <customShpInfo spid="_x0000_s1028"/>
    <customShpInfo spid="_x0000_s1027"/>
    <customShpInfo spid="_x0000_s1025"/>
    <customShpInfo spid="_x0000_s1026"/>
    <customShpInfo spid="_x0000_s2050"/>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33035</Words>
  <Characters>34358</Characters>
  <Lines>2454</Lines>
  <Paragraphs>2496</Paragraphs>
  <TotalTime>274</TotalTime>
  <ScaleCrop>false</ScaleCrop>
  <LinksUpToDate>false</LinksUpToDate>
  <CharactersWithSpaces>64897</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2026-06-30T06:22:00Z</dcterms:created>
  <dc:creator>Administrator</dc:creator>
  <cp:lastModifiedBy>41361</cp:lastModifiedBy>
  <dcterms:modified xsi:type="dcterms:W3CDTF">2026-09-08T07:00:18Z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D61BF1BEFC1440418834CA68BFDDA9A6_13</vt:lpwstr>
  </property>
  <property fmtid="{D5CDD505-2E9C-101B-9397-08002B2CF9AE}" pid="4" name="KSOTemplateDocerSaveRecord">
    <vt:lpwstr>eyJoZGlkIjoiNmI5NGJjNWZlMjkyODE5NzU1Nzg2YjEwNDdjNTgzYjQiLCJ1c2VySWQiOiI0NjYxNTMxMjAifQ==</vt:lpwstr>
  </property>
</Properties>
</file>