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tabs>
          <w:tab w:val="left" w:pos="2730" w:leader="none"/>
          <w:tab w:val="left" w:pos="3990"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ascii="Microsoft New Tai Lue" w:hAnsi="Microsoft New Tai Lue" w:cs="Microsoft New Tai Lue"/>
          <w:b/>
          <w:color w:val="auto"/>
          <w:sz w:val="56"/>
          <w:szCs w:val="56"/>
          <w:highlight w:val="none"/>
        </w:rPr>
      </w:pPr>
      <w:r>
        <w:rPr>
          <w:rFonts w:hint="eastAsia" w:ascii="Microsoft New Tai Lue" w:hAnsi="Microsoft New Tai Lue" w:cs="Microsoft New Tai Lue"/>
          <w:b/>
          <w:color w:val="auto"/>
          <w:sz w:val="56"/>
          <w:szCs w:val="56"/>
          <w:highlight w:val="none"/>
        </w:rPr>
        <w:t xml:space="preserve">省农业农村厅沅江路、南湖路办公区食堂外包采购项目</w:t>
      </w:r>
      <w:r/>
    </w:p>
    <w:p>
      <w:pPr>
        <w:pStyle w:val="100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1006"/>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1006"/>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竞争性磋商</w:t>
      </w:r>
      <w:r>
        <w:rPr>
          <w:rFonts w:ascii="Microsoft New Tai Lue" w:hAnsi="Microsoft New Tai Lue" w:cs="Microsoft New Tai Lue"/>
          <w:b/>
          <w:color w:val="auto"/>
          <w:sz w:val="84"/>
          <w:szCs w:val="84"/>
          <w:highlight w:val="none"/>
        </w:rPr>
        <w:t xml:space="preserve">文件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JSZC-320000-JITC-C2026-0293</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1606"/>
        <w:jc w:val="left"/>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rPr>
        <w:t xml:space="preserve">江苏省农业农村厅机关服务中心</w:t>
      </w:r>
      <w:r/>
    </w:p>
    <w:p>
      <w:pPr>
        <w:ind w:firstLine="1606"/>
        <w:jc w:val="left"/>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10"/>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零二六 </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 八 </w:t>
      </w:r>
      <w:r>
        <w:rPr>
          <w:rFonts w:ascii="Microsoft New Tai Lue" w:hAnsi="Microsoft New Tai Lue" w:cs="Microsoft New Tai Lue"/>
          <w:b/>
          <w:color w:val="auto"/>
          <w:sz w:val="32"/>
          <w:highlight w:val="none"/>
        </w:rPr>
        <w:t xml:space="preserve">月</w:t>
      </w:r>
      <w:r/>
    </w:p>
    <w:p>
      <w:pPr>
        <w:jc w:val="center"/>
        <w:spacing w:line="500" w:lineRule="exact"/>
        <w:rPr>
          <w:rFonts w:ascii="Microsoft New Tai Lue" w:hAnsi="Microsoft New Tai Lue" w:cs="Microsoft New Tai Lue"/>
          <w:b/>
          <w:color w:val="auto"/>
          <w:sz w:val="44"/>
          <w:szCs w:val="44"/>
          <w:highlight w:val="none"/>
        </w:rPr>
      </w:pPr>
      <w:r/>
      <w:bookmarkStart w:id="0" w:name="_Toc80264696"/>
      <w:r/>
      <w:bookmarkStart w:id="1" w:name="_Toc531620161"/>
      <w:r>
        <w:rPr>
          <w:rFonts w:ascii="Microsoft New Tai Lue" w:hAnsi="Microsoft New Tai Lue" w:cs="Microsoft New Tai Lue"/>
          <w:b/>
          <w:color w:val="auto"/>
          <w:sz w:val="44"/>
          <w:szCs w:val="44"/>
          <w:highlight w:val="none"/>
        </w:rPr>
        <w:t xml:space="preserve">目   录</w:t>
      </w:r>
      <w:r/>
    </w:p>
    <w:p>
      <w:pPr>
        <w:pStyle w:val="812"/>
        <w:jc w:val="left"/>
        <w:spacing w:line="480" w:lineRule="auto"/>
        <w:tabs>
          <w:tab w:val="right" w:pos="8730" w:leader="dot"/>
        </w:tabs>
        <w:rPr>
          <w:b/>
          <w:bCs/>
          <w:color w:val="auto"/>
          <w:sz w:val="30"/>
          <w:szCs w:val="30"/>
          <w:highlight w:val="none"/>
        </w:rPr>
      </w:pPr>
      <w:r>
        <w:rPr>
          <w:rFonts w:ascii="宋体" w:hAnsi="宋体"/>
          <w:b/>
          <w:color w:val="auto"/>
          <w:highlight w:val="none"/>
        </w:rPr>
        <w:fldChar w:fldCharType="begin"/>
      </w:r>
      <w:r>
        <w:rPr>
          <w:rFonts w:ascii="宋体" w:hAnsi="宋体"/>
          <w:b/>
          <w:color w:val="auto"/>
          <w:highlight w:val="none"/>
        </w:rPr>
        <w:instrText xml:space="preserve"> TOC \o "1-3" \h \z \u </w:instrText>
      </w:r>
      <w:r>
        <w:rPr>
          <w:rFonts w:ascii="宋体" w:hAnsi="宋体"/>
          <w:b/>
          <w:color w:val="auto"/>
          <w:highlight w:val="none"/>
        </w:rPr>
        <w:fldChar w:fldCharType="separate"/>
      </w:r>
      <w:r>
        <w:rPr>
          <w:color w:val="auto"/>
          <w:highlight w:val="none"/>
        </w:rPr>
        <w:fldChar w:fldCharType="begin"/>
      </w:r>
      <w:r>
        <w:rPr>
          <w:color w:val="auto"/>
          <w:highlight w:val="none"/>
        </w:rPr>
        <w:instrText xml:space="preserve"> HYPERLINK \l "_Toc30635" </w:instrText>
      </w:r>
      <w:r>
        <w:rPr>
          <w:color w:val="auto"/>
          <w:highlight w:val="none"/>
        </w:rPr>
        <w:fldChar w:fldCharType="separate"/>
      </w:r>
      <w:r>
        <w:rPr>
          <w:rFonts w:ascii="Microsoft New Tai Lue" w:hAnsi="Microsoft New Tai Lue" w:cs="Microsoft New Tai Lue"/>
          <w:b/>
          <w:bCs/>
          <w:color w:val="auto"/>
          <w:sz w:val="30"/>
          <w:szCs w:val="30"/>
          <w:highlight w:val="none"/>
        </w:rPr>
        <w:t xml:space="preserve">第一章 </w:t>
      </w:r>
      <w:r>
        <w:rPr>
          <w:rFonts w:hint="eastAsia" w:ascii="Microsoft New Tai Lue" w:hAnsi="Microsoft New Tai Lue" w:cs="Microsoft New Tai Lue"/>
          <w:b/>
          <w:bCs/>
          <w:color w:val="auto"/>
          <w:sz w:val="30"/>
          <w:szCs w:val="30"/>
          <w:highlight w:val="none"/>
        </w:rPr>
        <w:t xml:space="preserve">竞争性磋商公告</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_Toc30635 \h </w:instrText>
      </w:r>
      <w:r>
        <w:rPr>
          <w:b/>
          <w:bCs/>
          <w:color w:val="auto"/>
          <w:sz w:val="30"/>
          <w:szCs w:val="30"/>
          <w:highlight w:val="none"/>
        </w:rPr>
        <w:fldChar w:fldCharType="separate"/>
      </w:r>
      <w:r>
        <w:rPr>
          <w:b/>
          <w:bCs/>
          <w:color w:val="auto"/>
          <w:sz w:val="30"/>
          <w:szCs w:val="30"/>
          <w:highlight w:val="none"/>
        </w:rPr>
        <w:t xml:space="preserve">2</w:t>
      </w:r>
      <w:r>
        <w:rPr>
          <w:b/>
          <w:bCs/>
          <w:color w:val="auto"/>
          <w:sz w:val="30"/>
          <w:szCs w:val="30"/>
          <w:highlight w:val="none"/>
        </w:rPr>
        <w:fldChar w:fldCharType="end"/>
      </w:r>
      <w:r>
        <w:rPr>
          <w:b/>
          <w:bCs/>
          <w:color w:val="auto"/>
          <w:sz w:val="30"/>
          <w:szCs w:val="30"/>
          <w:highlight w:val="none"/>
        </w:rPr>
        <w:fldChar w:fldCharType="end"/>
      </w:r>
      <w:r/>
    </w:p>
    <w:p>
      <w:pPr>
        <w:pStyle w:val="812"/>
        <w:jc w:val="left"/>
        <w:spacing w:line="480" w:lineRule="auto"/>
        <w:tabs>
          <w:tab w:val="right" w:pos="8730" w:leader="dot"/>
        </w:tabs>
        <w:rPr>
          <w:b/>
          <w:bCs/>
          <w:color w:val="auto"/>
          <w:sz w:val="30"/>
          <w:szCs w:val="30"/>
          <w:highlight w:val="none"/>
        </w:rPr>
      </w:pPr>
      <w:r>
        <w:rPr>
          <w:color w:val="auto"/>
          <w:highlight w:val="none"/>
        </w:rPr>
        <w:fldChar w:fldCharType="begin"/>
      </w:r>
      <w:r>
        <w:rPr>
          <w:color w:val="auto"/>
          <w:highlight w:val="none"/>
        </w:rPr>
        <w:instrText xml:space="preserve"> HYPERLINK \l "_Toc26529" </w:instrText>
      </w:r>
      <w:r>
        <w:rPr>
          <w:color w:val="auto"/>
          <w:highlight w:val="none"/>
        </w:rPr>
        <w:fldChar w:fldCharType="separate"/>
      </w:r>
      <w:r>
        <w:rPr>
          <w:rFonts w:ascii="Microsoft New Tai Lue" w:hAnsi="Microsoft New Tai Lue" w:cs="Microsoft New Tai Lue"/>
          <w:b/>
          <w:bCs/>
          <w:color w:val="auto"/>
          <w:sz w:val="30"/>
          <w:szCs w:val="30"/>
          <w:highlight w:val="none"/>
        </w:rPr>
        <w:t xml:space="preserve">第二章 供应商须知</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_Toc26529 \h </w:instrText>
      </w:r>
      <w:r>
        <w:rPr>
          <w:b/>
          <w:bCs/>
          <w:color w:val="auto"/>
          <w:sz w:val="30"/>
          <w:szCs w:val="30"/>
          <w:highlight w:val="none"/>
        </w:rPr>
        <w:fldChar w:fldCharType="separate"/>
      </w:r>
      <w:r>
        <w:rPr>
          <w:b/>
          <w:bCs/>
          <w:color w:val="auto"/>
          <w:sz w:val="30"/>
          <w:szCs w:val="30"/>
          <w:highlight w:val="none"/>
        </w:rPr>
        <w:t xml:space="preserve">6</w:t>
      </w:r>
      <w:r>
        <w:rPr>
          <w:b/>
          <w:bCs/>
          <w:color w:val="auto"/>
          <w:sz w:val="30"/>
          <w:szCs w:val="30"/>
          <w:highlight w:val="none"/>
        </w:rPr>
        <w:fldChar w:fldCharType="end"/>
      </w:r>
      <w:r>
        <w:rPr>
          <w:b/>
          <w:bCs/>
          <w:color w:val="auto"/>
          <w:sz w:val="30"/>
          <w:szCs w:val="30"/>
          <w:highlight w:val="none"/>
        </w:rPr>
        <w:fldChar w:fldCharType="end"/>
      </w:r>
      <w:r/>
    </w:p>
    <w:p>
      <w:pPr>
        <w:pStyle w:val="812"/>
        <w:jc w:val="left"/>
        <w:spacing w:line="480" w:lineRule="auto"/>
        <w:tabs>
          <w:tab w:val="right" w:pos="8730" w:leader="dot"/>
        </w:tabs>
        <w:rPr>
          <w:b/>
          <w:bCs/>
          <w:color w:val="auto"/>
          <w:sz w:val="30"/>
          <w:szCs w:val="30"/>
          <w:highlight w:val="none"/>
        </w:rPr>
      </w:pPr>
      <w:r>
        <w:rPr>
          <w:color w:val="auto"/>
          <w:highlight w:val="none"/>
        </w:rPr>
        <w:fldChar w:fldCharType="begin"/>
      </w:r>
      <w:r>
        <w:rPr>
          <w:color w:val="auto"/>
          <w:highlight w:val="none"/>
        </w:rPr>
        <w:instrText xml:space="preserve"> HYPERLINK \l "_Toc18850" </w:instrText>
      </w:r>
      <w:r>
        <w:rPr>
          <w:color w:val="auto"/>
          <w:highlight w:val="none"/>
        </w:rPr>
        <w:fldChar w:fldCharType="separate"/>
      </w:r>
      <w:r>
        <w:rPr>
          <w:rFonts w:ascii="Microsoft New Tai Lue" w:hAnsi="Microsoft New Tai Lue" w:cs="Microsoft New Tai Lue"/>
          <w:b/>
          <w:bCs/>
          <w:color w:val="auto"/>
          <w:sz w:val="30"/>
          <w:szCs w:val="30"/>
          <w:highlight w:val="none"/>
        </w:rPr>
        <w:t xml:space="preserve">第</w:t>
      </w:r>
      <w:r>
        <w:rPr>
          <w:rFonts w:hint="eastAsia" w:ascii="Microsoft New Tai Lue" w:hAnsi="Microsoft New Tai Lue" w:cs="Microsoft New Tai Lue"/>
          <w:b/>
          <w:bCs/>
          <w:color w:val="auto"/>
          <w:sz w:val="30"/>
          <w:szCs w:val="30"/>
          <w:highlight w:val="none"/>
        </w:rPr>
        <w:t xml:space="preserve">三</w:t>
      </w:r>
      <w:r>
        <w:rPr>
          <w:rFonts w:ascii="Microsoft New Tai Lue" w:hAnsi="Microsoft New Tai Lue" w:cs="Microsoft New Tai Lue"/>
          <w:b/>
          <w:bCs/>
          <w:color w:val="auto"/>
          <w:sz w:val="30"/>
          <w:szCs w:val="30"/>
          <w:highlight w:val="none"/>
        </w:rPr>
        <w:t xml:space="preserve">章 评审方法与评审标准</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_Toc18850 \h </w:instrText>
      </w:r>
      <w:r>
        <w:rPr>
          <w:b/>
          <w:bCs/>
          <w:color w:val="auto"/>
          <w:sz w:val="30"/>
          <w:szCs w:val="30"/>
          <w:highlight w:val="none"/>
        </w:rPr>
        <w:fldChar w:fldCharType="separate"/>
      </w:r>
      <w:r>
        <w:rPr>
          <w:b/>
          <w:bCs/>
          <w:color w:val="auto"/>
          <w:sz w:val="30"/>
          <w:szCs w:val="30"/>
          <w:highlight w:val="none"/>
        </w:rPr>
        <w:t xml:space="preserve">23</w:t>
      </w:r>
      <w:r>
        <w:rPr>
          <w:b/>
          <w:bCs/>
          <w:color w:val="auto"/>
          <w:sz w:val="30"/>
          <w:szCs w:val="30"/>
          <w:highlight w:val="none"/>
        </w:rPr>
        <w:fldChar w:fldCharType="end"/>
      </w:r>
      <w:r>
        <w:rPr>
          <w:b/>
          <w:bCs/>
          <w:color w:val="auto"/>
          <w:sz w:val="30"/>
          <w:szCs w:val="30"/>
          <w:highlight w:val="none"/>
        </w:rPr>
        <w:fldChar w:fldCharType="end"/>
      </w:r>
      <w:r/>
    </w:p>
    <w:p>
      <w:pPr>
        <w:pStyle w:val="812"/>
        <w:jc w:val="left"/>
        <w:spacing w:line="480" w:lineRule="auto"/>
        <w:tabs>
          <w:tab w:val="right" w:pos="8730" w:leader="dot"/>
        </w:tabs>
        <w:rPr>
          <w:b/>
          <w:bCs/>
          <w:color w:val="auto"/>
          <w:sz w:val="30"/>
          <w:szCs w:val="30"/>
          <w:highlight w:val="none"/>
        </w:rPr>
      </w:pPr>
      <w:r>
        <w:rPr>
          <w:color w:val="auto"/>
          <w:highlight w:val="none"/>
        </w:rPr>
        <w:fldChar w:fldCharType="begin"/>
      </w:r>
      <w:r>
        <w:rPr>
          <w:color w:val="auto"/>
          <w:highlight w:val="none"/>
        </w:rPr>
        <w:instrText xml:space="preserve"> HYPERLINK \l "_Toc28240" </w:instrText>
      </w:r>
      <w:r>
        <w:rPr>
          <w:color w:val="auto"/>
          <w:highlight w:val="none"/>
        </w:rPr>
        <w:fldChar w:fldCharType="separate"/>
      </w:r>
      <w:r>
        <w:rPr>
          <w:rFonts w:hint="eastAsia"/>
          <w:b/>
          <w:bCs/>
          <w:color w:val="auto"/>
          <w:sz w:val="30"/>
          <w:szCs w:val="30"/>
          <w:highlight w:val="none"/>
        </w:rPr>
        <w:t xml:space="preserve">第四章 采购需求</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_Toc28240 \h </w:instrText>
      </w:r>
      <w:r>
        <w:rPr>
          <w:b/>
          <w:bCs/>
          <w:color w:val="auto"/>
          <w:sz w:val="30"/>
          <w:szCs w:val="30"/>
          <w:highlight w:val="none"/>
        </w:rPr>
        <w:fldChar w:fldCharType="separate"/>
      </w:r>
      <w:r>
        <w:rPr>
          <w:b/>
          <w:bCs/>
          <w:color w:val="auto"/>
          <w:sz w:val="30"/>
          <w:szCs w:val="30"/>
          <w:highlight w:val="none"/>
        </w:rPr>
        <w:t xml:space="preserve">29</w:t>
      </w:r>
      <w:r>
        <w:rPr>
          <w:b/>
          <w:bCs/>
          <w:color w:val="auto"/>
          <w:sz w:val="30"/>
          <w:szCs w:val="30"/>
          <w:highlight w:val="none"/>
        </w:rPr>
        <w:fldChar w:fldCharType="end"/>
      </w:r>
      <w:r>
        <w:rPr>
          <w:b/>
          <w:bCs/>
          <w:color w:val="auto"/>
          <w:sz w:val="30"/>
          <w:szCs w:val="30"/>
          <w:highlight w:val="none"/>
        </w:rPr>
        <w:fldChar w:fldCharType="end"/>
      </w:r>
      <w:r/>
    </w:p>
    <w:p>
      <w:pPr>
        <w:pStyle w:val="812"/>
        <w:jc w:val="left"/>
        <w:spacing w:line="480" w:lineRule="auto"/>
        <w:tabs>
          <w:tab w:val="right" w:pos="8730" w:leader="dot"/>
        </w:tabs>
        <w:rPr>
          <w:b/>
          <w:bCs/>
          <w:color w:val="auto"/>
          <w:sz w:val="30"/>
          <w:szCs w:val="30"/>
          <w:highlight w:val="none"/>
        </w:rPr>
      </w:pPr>
      <w:r>
        <w:rPr>
          <w:color w:val="auto"/>
          <w:highlight w:val="none"/>
        </w:rPr>
        <w:fldChar w:fldCharType="begin"/>
      </w:r>
      <w:r>
        <w:rPr>
          <w:color w:val="auto"/>
          <w:highlight w:val="none"/>
        </w:rPr>
        <w:instrText xml:space="preserve"> HYPERLINK \l "_Toc3304" </w:instrText>
      </w:r>
      <w:r>
        <w:rPr>
          <w:color w:val="auto"/>
          <w:highlight w:val="none"/>
        </w:rPr>
        <w:fldChar w:fldCharType="separate"/>
      </w:r>
      <w:r>
        <w:rPr>
          <w:rFonts w:ascii="Microsoft New Tai Lue" w:hAnsi="Microsoft New Tai Lue" w:cs="Microsoft New Tai Lue"/>
          <w:b/>
          <w:bCs/>
          <w:color w:val="auto"/>
          <w:sz w:val="30"/>
          <w:szCs w:val="30"/>
          <w:highlight w:val="none"/>
        </w:rPr>
        <w:t xml:space="preserve">第</w:t>
      </w:r>
      <w:r>
        <w:rPr>
          <w:rFonts w:hint="eastAsia" w:ascii="Microsoft New Tai Lue" w:hAnsi="Microsoft New Tai Lue" w:cs="Microsoft New Tai Lue"/>
          <w:b/>
          <w:bCs/>
          <w:color w:val="auto"/>
          <w:sz w:val="30"/>
          <w:szCs w:val="30"/>
          <w:highlight w:val="none"/>
        </w:rPr>
        <w:t xml:space="preserve">五</w:t>
      </w:r>
      <w:r>
        <w:rPr>
          <w:rFonts w:ascii="Microsoft New Tai Lue" w:hAnsi="Microsoft New Tai Lue" w:cs="Microsoft New Tai Lue"/>
          <w:b/>
          <w:bCs/>
          <w:color w:val="auto"/>
          <w:sz w:val="30"/>
          <w:szCs w:val="30"/>
          <w:highlight w:val="none"/>
        </w:rPr>
        <w:t xml:space="preserve">章 </w:t>
      </w:r>
      <w:r>
        <w:rPr>
          <w:rFonts w:hint="eastAsia" w:ascii="宋体" w:hAnsi="宋体" w:cs="宋体"/>
          <w:b/>
          <w:bCs/>
          <w:color w:val="auto"/>
          <w:sz w:val="30"/>
          <w:szCs w:val="30"/>
          <w:highlight w:val="none"/>
        </w:rPr>
        <w:t xml:space="preserve">政府采购合同条款及格式</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_Toc3304 \h </w:instrText>
      </w:r>
      <w:r>
        <w:rPr>
          <w:b/>
          <w:bCs/>
          <w:color w:val="auto"/>
          <w:sz w:val="30"/>
          <w:szCs w:val="30"/>
          <w:highlight w:val="none"/>
        </w:rPr>
        <w:fldChar w:fldCharType="separate"/>
      </w:r>
      <w:r>
        <w:rPr>
          <w:b/>
          <w:bCs/>
          <w:color w:val="auto"/>
          <w:sz w:val="30"/>
          <w:szCs w:val="30"/>
          <w:highlight w:val="none"/>
        </w:rPr>
        <w:t xml:space="preserve">33</w:t>
      </w:r>
      <w:r>
        <w:rPr>
          <w:b/>
          <w:bCs/>
          <w:color w:val="auto"/>
          <w:sz w:val="30"/>
          <w:szCs w:val="30"/>
          <w:highlight w:val="none"/>
        </w:rPr>
        <w:fldChar w:fldCharType="end"/>
      </w:r>
      <w:r>
        <w:rPr>
          <w:b/>
          <w:bCs/>
          <w:color w:val="auto"/>
          <w:sz w:val="30"/>
          <w:szCs w:val="30"/>
          <w:highlight w:val="none"/>
        </w:rPr>
        <w:fldChar w:fldCharType="end"/>
      </w:r>
      <w:r/>
    </w:p>
    <w:p>
      <w:pPr>
        <w:pStyle w:val="812"/>
        <w:jc w:val="left"/>
        <w:spacing w:line="480" w:lineRule="auto"/>
        <w:tabs>
          <w:tab w:val="right" w:pos="8730" w:leader="dot"/>
        </w:tabs>
        <w:rPr>
          <w:color w:val="auto"/>
          <w:highlight w:val="none"/>
        </w:rPr>
      </w:pPr>
      <w:r>
        <w:rPr>
          <w:color w:val="auto"/>
          <w:highlight w:val="none"/>
        </w:rPr>
        <w:fldChar w:fldCharType="begin"/>
      </w:r>
      <w:r>
        <w:rPr>
          <w:color w:val="auto"/>
          <w:highlight w:val="none"/>
        </w:rPr>
        <w:instrText xml:space="preserve"> HYPERLINK \l "_Toc7207" </w:instrText>
      </w:r>
      <w:r>
        <w:rPr>
          <w:color w:val="auto"/>
          <w:highlight w:val="none"/>
        </w:rPr>
        <w:fldChar w:fldCharType="separate"/>
      </w:r>
      <w:r>
        <w:rPr>
          <w:rFonts w:ascii="Microsoft New Tai Lue" w:hAnsi="Microsoft New Tai Lue" w:cs="Microsoft New Tai Lue"/>
          <w:b/>
          <w:bCs/>
          <w:color w:val="auto"/>
          <w:sz w:val="30"/>
          <w:szCs w:val="30"/>
          <w:highlight w:val="none"/>
        </w:rPr>
        <w:t xml:space="preserve">第六章 </w:t>
      </w:r>
      <w:r>
        <w:rPr>
          <w:rFonts w:hint="eastAsia" w:ascii="Microsoft New Tai Lue" w:hAnsi="Microsoft New Tai Lue" w:cs="Microsoft New Tai Lue"/>
          <w:b/>
          <w:bCs/>
          <w:color w:val="auto"/>
          <w:sz w:val="30"/>
          <w:szCs w:val="30"/>
          <w:highlight w:val="none"/>
        </w:rPr>
        <w:t xml:space="preserve">响应文件格式</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_Toc7207 \h </w:instrText>
      </w:r>
      <w:r>
        <w:rPr>
          <w:b/>
          <w:bCs/>
          <w:color w:val="auto"/>
          <w:sz w:val="30"/>
          <w:szCs w:val="30"/>
          <w:highlight w:val="none"/>
        </w:rPr>
        <w:fldChar w:fldCharType="separate"/>
      </w:r>
      <w:r>
        <w:rPr>
          <w:b/>
          <w:bCs/>
          <w:color w:val="auto"/>
          <w:sz w:val="30"/>
          <w:szCs w:val="30"/>
          <w:highlight w:val="none"/>
        </w:rPr>
        <w:t xml:space="preserve">38</w:t>
      </w:r>
      <w:r>
        <w:rPr>
          <w:b/>
          <w:bCs/>
          <w:color w:val="auto"/>
          <w:sz w:val="30"/>
          <w:szCs w:val="30"/>
          <w:highlight w:val="none"/>
        </w:rPr>
        <w:fldChar w:fldCharType="end"/>
      </w:r>
      <w:r>
        <w:rPr>
          <w:b/>
          <w:bCs/>
          <w:color w:val="auto"/>
          <w:sz w:val="30"/>
          <w:szCs w:val="30"/>
          <w:highlight w:val="none"/>
        </w:rPr>
        <w:fldChar w:fldCharType="end"/>
      </w:r>
      <w:r/>
    </w:p>
    <w:p>
      <w:pPr>
        <w:pStyle w:val="1017"/>
        <w:tabs>
          <w:tab w:val="right" w:pos="8834" w:leader="dot"/>
        </w:tabs>
        <w:rPr>
          <w:rFonts w:ascii="Microsoft New Tai Lue" w:hAnsi="Microsoft New Tai Lue" w:cs="Microsoft New Tai Lue"/>
          <w:color w:val="auto"/>
          <w:highlight w:val="none"/>
        </w:rPr>
      </w:pPr>
      <w:r>
        <w:rPr>
          <w:rFonts w:ascii="宋体" w:hAnsi="宋体" w:eastAsia="宋体"/>
          <w:b/>
          <w:color w:val="auto"/>
          <w:highlight w:val="none"/>
        </w:rPr>
        <w:fldChar w:fldCharType="end"/>
      </w:r>
      <w:bookmarkEnd w:id="0"/>
      <w:r/>
      <w:bookmarkEnd w:id="1"/>
      <w:r/>
      <w:r/>
    </w:p>
    <w:p>
      <w:pPr>
        <w:pStyle w:val="1025"/>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br w:type="page" w:clear="all"/>
      </w:r>
      <w:bookmarkStart w:id="5" w:name="_Toc30635"/>
      <w:r>
        <w:rPr>
          <w:rFonts w:hint="eastAsia" w:ascii="Microsoft New Tai Lue" w:hAnsi="Microsoft New Tai Lue" w:cs="Microsoft New Tai Lue"/>
          <w:color w:val="auto"/>
          <w:highlight w:val="none"/>
        </w:rPr>
        <w:t xml:space="preserve">竞争性磋商公告</w:t>
      </w:r>
      <w:bookmarkEnd w:id="2"/>
      <w:r/>
      <w:bookmarkEnd w:id="5"/>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auto"/>
          <w:szCs w:val="21"/>
          <w:highlight w:val="none"/>
          <w:u w:val="single"/>
        </w:rPr>
        <w:t xml:space="preserve">省农业农村厅沅江路、南湖路办公区食堂外包采购项目</w:t>
      </w:r>
      <w:r>
        <w:rPr>
          <w:rFonts w:hint="eastAsia" w:ascii="Microsoft New Tai Lue" w:hAnsi="Microsoft New Tai Lue" w:cs="Microsoft New Tai Lue"/>
          <w:bCs/>
          <w:color w:val="auto"/>
          <w:szCs w:val="21"/>
          <w:highlight w:val="none"/>
        </w:rPr>
        <w:t xml:space="preserve">采购</w:t>
      </w:r>
      <w:r>
        <w:rPr>
          <w:rFonts w:ascii="Microsoft New Tai Lue" w:hAnsi="Microsoft New Tai Lue" w:cs="Microsoft New Tai Lue"/>
          <w:bCs/>
          <w:color w:val="auto"/>
          <w:szCs w:val="21"/>
          <w:highlight w:val="none"/>
        </w:rPr>
        <w:t xml:space="preserve">项目的潜在</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应在</w:t>
      </w:r>
      <w:r>
        <w:rPr>
          <w:rFonts w:ascii="Microsoft New Tai Lue" w:hAnsi="Microsoft New Tai Lue" w:cs="Microsoft New Tai Lue"/>
          <w:bCs/>
          <w:color w:val="auto"/>
          <w:szCs w:val="21"/>
          <w:highlight w:val="none"/>
          <w:u w:val="single"/>
        </w:rPr>
        <w:t xml:space="preserve"> </w:t>
      </w:r>
      <w:r>
        <w:rPr>
          <w:rFonts w:hint="eastAsia" w:ascii="宋体" w:hAnsi="宋体" w:cs="宋体"/>
          <w:bCs/>
          <w:color w:val="auto"/>
          <w:szCs w:val="21"/>
          <w:highlight w:val="none"/>
          <w:u w:val="single"/>
          <w:lang w:bidi="ar"/>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w:t>
      </w:r>
      <w:r>
        <w:rPr>
          <w:rFonts w:hint="eastAsia" w:ascii="Microsoft New Tai Lue" w:hAnsi="Microsoft New Tai Lue" w:cs="Microsoft New Tai Lue"/>
          <w:bCs/>
          <w:color w:val="auto"/>
          <w:szCs w:val="21"/>
          <w:highlight w:val="none"/>
        </w:rPr>
        <w:t xml:space="preserve">磋商文件</w:t>
      </w:r>
      <w:r>
        <w:rPr>
          <w:rFonts w:ascii="Microsoft New Tai Lue" w:hAnsi="Microsoft New Tai Lue" w:cs="Microsoft New Tai Lue"/>
          <w:bCs/>
          <w:color w:val="auto"/>
          <w:szCs w:val="21"/>
          <w:highlight w:val="none"/>
        </w:rPr>
        <w:t xml:space="preserve">，并于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9</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13</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30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前提交响应</w:t>
      </w:r>
      <w:r>
        <w:rPr>
          <w:rFonts w:ascii="Microsoft New Tai Lue" w:hAnsi="Microsoft New Tai Lue" w:cs="Microsoft New Tai Lue"/>
          <w:bCs/>
          <w:color w:val="auto"/>
          <w:szCs w:val="21"/>
          <w:highlight w:val="none"/>
        </w:rPr>
        <w:t xml:space="preserve">文件。</w:t>
      </w:r>
      <w:r/>
    </w:p>
    <w:p>
      <w:pPr>
        <w:spacing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6"/>
      <w:r/>
      <w:bookmarkEnd w:id="7"/>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JSZC-320000-JITC-C2026-0293</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1.2</w:t>
      </w: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rPr>
        <w:t xml:space="preserve">省农业农村厅沅江路、南湖路办公区食堂外包采购项目</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采购方式：竞争性磋商</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4预算金额：</w:t>
      </w:r>
      <w:r>
        <w:rPr>
          <w:rFonts w:hint="eastAsia" w:ascii="宋体" w:hAnsi="宋体" w:cs="宋体"/>
          <w:b/>
          <w:color w:val="auto"/>
          <w:szCs w:val="21"/>
          <w:highlight w:val="none"/>
        </w:rPr>
        <w:t xml:space="preserve">320</w:t>
      </w:r>
      <w:r>
        <w:rPr>
          <w:rFonts w:hint="eastAsia" w:ascii="Microsoft New Tai Lue" w:hAnsi="Microsoft New Tai Lue" w:cs="Microsoft New Tai Lue"/>
          <w:bCs/>
          <w:color w:val="auto"/>
          <w:szCs w:val="21"/>
          <w:highlight w:val="none"/>
        </w:rPr>
        <w:t xml:space="preserve">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1.5最高限价：</w:t>
      </w:r>
      <w:r>
        <w:rPr>
          <w:rFonts w:hint="eastAsia" w:ascii="宋体" w:hAnsi="宋体" w:cs="宋体"/>
          <w:b/>
          <w:color w:val="auto"/>
          <w:szCs w:val="21"/>
          <w:highlight w:val="none"/>
        </w:rPr>
        <w:t xml:space="preserve">本项目最高限价为320万元，320万元为2年总预算。其中沅江路最高限价为140万元，南湖路为180万元。供应商响应报价不得超过上述金额，否则将作无效标处理。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6采购需求</w:t>
      </w:r>
      <w:r>
        <w:rPr>
          <w:rFonts w:hint="eastAsia" w:ascii="Microsoft New Tai Lue" w:hAnsi="Microsoft New Tai Lue" w:cs="Microsoft New Tai Lue"/>
          <w:bCs/>
          <w:color w:val="auto"/>
          <w:szCs w:val="21"/>
          <w:highlight w:val="none"/>
        </w:rPr>
        <w:t xml:space="preserve">：</w:t>
      </w:r>
      <w:r>
        <w:rPr>
          <w:rFonts w:hint="eastAsia" w:ascii="宋体" w:hAnsi="宋体" w:cs="宋体"/>
          <w:bCs/>
          <w:color w:val="auto"/>
          <w:szCs w:val="21"/>
          <w:highlight w:val="none"/>
        </w:rPr>
        <w:t xml:space="preserve">江苏省农业农村厅机关服务中心就厅沅江路、南湖路办公区食堂外包服务进行采购，方式为竞争性磋商，服务期限两年，预算金额约320万元。其中:沅江路办公区食堂:就餐人数约220人次/日(早餐约50人次，午餐约120人次、晚餐约50人次)，预算约140万；南湖路办公区食堂:就餐人数约270人次/日(早餐约70人次，午餐约150人次、晚餐约50人次)，预算约180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1.7标段划分：本项目共划分1个标段。</w:t>
      </w:r>
      <w:r/>
    </w:p>
    <w:p>
      <w:pPr>
        <w:ind w:firstLine="420"/>
        <w:spacing w:line="360" w:lineRule="auto"/>
        <w:rPr>
          <w:rFonts w:hint="eastAsia" w:ascii="宋体" w:hAnsi="宋体" w:cs="宋体"/>
          <w:b/>
          <w:color w:val="auto"/>
          <w:szCs w:val="21"/>
          <w:highlight w:val="none"/>
          <w:lang w:val="zh-CN"/>
        </w:rPr>
      </w:pPr>
      <w:r>
        <w:rPr>
          <w:rFonts w:hint="eastAsia" w:ascii="宋体" w:hAnsi="宋体" w:cs="宋体"/>
          <w:bCs/>
          <w:color w:val="auto"/>
          <w:szCs w:val="21"/>
          <w:highlight w:val="none"/>
        </w:rPr>
        <w:t xml:space="preserve">1.8合同履行期限：两年。自2026年10月8日至2028年10月7日止。</w:t>
      </w:r>
      <w:r>
        <w:rPr>
          <w:rFonts w:hint="eastAsia"/>
          <w:color w:val="auto"/>
          <w:highlight w:val="none"/>
        </w:rPr>
        <w:t xml:space="preserve">合同一年一签。一年合同期满后，委托方有权根据供应商的履约情况以及政府采购相关决定是否与成交供应商签订后续服务合同或另行采购。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1.9本项目是否接受联合体投标：不接受</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1.10本项目是否接受进口产品：不接受</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hint="eastAsia" w:ascii="宋体" w:hAnsi="宋体" w:cs="宋体"/>
          <w:bCs/>
          <w:color w:val="auto"/>
          <w:szCs w:val="21"/>
          <w:highlight w:val="none"/>
        </w:rPr>
      </w:pPr>
      <w:r/>
      <w:bookmarkStart w:id="12" w:name="_Toc96347853"/>
      <w:r/>
      <w:bookmarkStart w:id="13" w:name="_Toc93909067"/>
      <w:r/>
      <w:bookmarkStart w:id="14" w:name="_Toc80792690"/>
      <w:r/>
      <w:bookmarkStart w:id="15" w:name="_Toc80264699"/>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2026年01月以来）至少一个月的会计报表，或者提供2025年度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2.1.4有依法缴纳税收和社会保障资金的良好记录（提供参加本次政府采购活动前半年内（2026年01月以来）至少一个月缴纳税收和社会保险的凭证，依法享受免缴、缓缴的，提供证明材料）；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2.1.6法律、行政法规规定的其他条件。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jc w:val="left"/>
        <w:spacing w:line="360" w:lineRule="auto"/>
        <w:rPr>
          <w:rFonts w:hint="eastAsia" w:hAnsi="宋体" w:cs="宋体"/>
          <w:b/>
          <w:bCs/>
          <w:color w:val="auto"/>
          <w:szCs w:val="21"/>
          <w:highlight w:val="none"/>
        </w:rPr>
      </w:pPr>
      <w:r>
        <w:rPr>
          <w:rFonts w:hint="eastAsia" w:ascii="宋体" w:hAnsi="宋体" w:cs="宋体"/>
          <w:bCs/>
          <w:color w:val="auto"/>
          <w:szCs w:val="21"/>
          <w:highlight w:val="none"/>
        </w:rPr>
        <w:t xml:space="preserve">2.2.1 中小企业政策：</w:t>
      </w:r>
      <w:r>
        <w:rPr>
          <w:rFonts w:hint="eastAsia" w:hAnsi="宋体" w:cs="宋体"/>
          <w:b/>
          <w:bCs/>
          <w:color w:val="auto"/>
          <w:szCs w:val="21"/>
          <w:highlight w:val="none"/>
        </w:rPr>
        <w:t xml:space="preserve">本项目不面向中小企业预留采购份额。</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2.2.2其它落实政府采购政策的资格要求：无</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color w:val="auto"/>
          <w:szCs w:val="21"/>
          <w:highlight w:val="non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p>
    <w:p>
      <w:pPr>
        <w:ind w:firstLine="420"/>
        <w:spacing w:line="360" w:lineRule="auto"/>
        <w:rPr>
          <w:color w:val="auto"/>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1</w:t>
      </w:r>
      <w:r>
        <w:rPr>
          <w:rFonts w:hint="eastAsia"/>
          <w:color w:val="auto"/>
          <w:highlight w:val="none"/>
        </w:rPr>
        <w:t xml:space="preserve">本项目特定资格条件：</w:t>
      </w:r>
      <w:r/>
    </w:p>
    <w:p>
      <w:pPr>
        <w:ind w:firstLine="420"/>
        <w:spacing w:line="360" w:lineRule="auto"/>
        <w:rPr>
          <w:color w:val="auto"/>
          <w:highlight w:val="none"/>
        </w:rPr>
      </w:pPr>
      <w:r>
        <w:rPr>
          <w:rFonts w:hint="eastAsia"/>
          <w:b/>
          <w:bCs/>
          <w:color w:val="auto"/>
          <w:highlight w:val="none"/>
        </w:rPr>
        <w:t xml:space="preserve">供应商应具有有效的《食品经营许可证》。（提供复印件加盖公章）。</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2供应商存在下列情形的不得参加本次采购活动：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2.3.2.2除单一来源项目外，凡为采购项目提供整体设计、规范编制或者项目管理、监理、检测等服务的供应商不得再参加本项目的采购活动。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2.3.2.3通过“信用中国”网站（http://www.creditchina.gov.cn）、中国政府采购网（www.ccgp.gov.cn）查询供应商的信用记录，通过以上查询渠道，供应商被列入失信被执行人、重大税收违法失信主体名单、政府采购严重违法失信行为记录。</w:t>
      </w:r>
      <w:bookmarkEnd w:id="12"/>
      <w:r/>
      <w:bookmarkEnd w:id="13"/>
      <w:r/>
      <w:bookmarkEnd w:id="14"/>
      <w:r/>
      <w:bookmarkEnd w:id="15"/>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三、获取采购文件</w:t>
      </w:r>
      <w:r/>
    </w:p>
    <w:p>
      <w:pPr>
        <w:ind w:firstLine="420"/>
        <w:spacing w:line="360" w:lineRule="auto"/>
        <w:rPr>
          <w:rFonts w:ascii="Microsoft New Tai Lue" w:hAnsi="Microsoft New Tai Lue" w:cs="Microsoft New Tai Lue"/>
          <w:bCs/>
          <w:color w:val="auto"/>
          <w:szCs w:val="21"/>
          <w:highlight w:val="none"/>
        </w:rPr>
      </w:pPr>
      <w:r/>
      <w:bookmarkStart w:id="16" w:name="_Toc28359005"/>
      <w:r/>
      <w:bookmarkStart w:id="17" w:name="_Toc28359082"/>
      <w:r/>
      <w:bookmarkStart w:id="18" w:name="_Toc35393624"/>
      <w:r/>
      <w:bookmarkStart w:id="19" w:name="_Toc35393793"/>
      <w:r/>
      <w:bookmarkStart w:id="20" w:name="_Toc38985266"/>
      <w:r>
        <w:rPr>
          <w:rFonts w:hint="eastAsia" w:ascii="Microsoft New Tai Lue" w:hAnsi="Microsoft New Tai Lue" w:cs="Microsoft New Tai Lue"/>
          <w:bCs/>
          <w:color w:val="auto"/>
          <w:szCs w:val="21"/>
          <w:highlight w:val="none"/>
        </w:rPr>
        <w:t xml:space="preserve">时间：自采购公告发布之日起5个工作日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地点：江苏政府采购网</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方式：网站下载</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售价：0.00元</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四、</w:t>
      </w:r>
      <w:bookmarkEnd w:id="16"/>
      <w:r/>
      <w:bookmarkEnd w:id="17"/>
      <w:r>
        <w:rPr>
          <w:rFonts w:hint="eastAsia" w:ascii="Microsoft New Tai Lue" w:hAnsi="Microsoft New Tai Lue" w:cs="Microsoft New Tai Lue"/>
          <w:b/>
          <w:bCs/>
          <w:color w:val="auto"/>
          <w:szCs w:val="44"/>
          <w:highlight w:val="none"/>
        </w:rPr>
        <w:t xml:space="preserve">响应文件</w:t>
      </w:r>
      <w:bookmarkEnd w:id="18"/>
      <w:r/>
      <w:bookmarkEnd w:id="19"/>
      <w:r/>
      <w:bookmarkEnd w:id="20"/>
      <w:r>
        <w:rPr>
          <w:rFonts w:hint="eastAsia" w:ascii="Microsoft New Tai Lue" w:hAnsi="Microsoft New Tai Lue" w:cs="Microsoft New Tai Lue"/>
          <w:b/>
          <w:bCs/>
          <w:color w:val="auto"/>
          <w:szCs w:val="44"/>
          <w:highlight w:val="none"/>
        </w:rPr>
        <w:t xml:space="preserve">提交</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截</w:t>
      </w:r>
      <w:bookmarkStart w:id="21" w:name="OLE_LINK104"/>
      <w:r>
        <w:rPr>
          <w:rFonts w:hint="eastAsia" w:ascii="Microsoft New Tai Lue" w:hAnsi="Microsoft New Tai Lue" w:cs="Microsoft New Tai Lue"/>
          <w:bCs/>
          <w:color w:val="auto"/>
          <w:szCs w:val="21"/>
          <w:highlight w:val="none"/>
        </w:rPr>
        <w:t xml:space="preserve">止</w:t>
      </w:r>
      <w:bookmarkStart w:id="22" w:name="OLE_LINK105"/>
      <w:r>
        <w:rPr>
          <w:rFonts w:hint="eastAsia" w:ascii="Microsoft New Tai Lue" w:hAnsi="Microsoft New Tai Lue" w:cs="Microsoft New Tai Lue"/>
          <w:bCs/>
          <w:color w:val="auto"/>
          <w:szCs w:val="21"/>
          <w:highlight w:val="none"/>
        </w:rPr>
        <w:t xml:space="preserve">时间：2026年 </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cs="Microsoft New Tai Lue"/>
          <w:bCs/>
          <w:color w:val="auto"/>
          <w:szCs w:val="21"/>
          <w:highlight w:val="none"/>
        </w:rPr>
        <w:t xml:space="preserve"> 月 </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Cs/>
          <w:color w:val="auto"/>
          <w:szCs w:val="21"/>
          <w:highlight w:val="none"/>
        </w:rPr>
        <w:t xml:space="preserve"> 日  </w:t>
      </w:r>
      <w:r>
        <w:rPr>
          <w:rFonts w:hint="eastAsia" w:ascii="Microsoft New Tai Lue" w:hAnsi="Microsoft New Tai Lue" w:cs="Microsoft New Tai Lue"/>
          <w:bCs/>
          <w:color w:val="auto"/>
          <w:szCs w:val="21"/>
          <w:highlight w:val="none"/>
          <w:lang w:val="en-US" w:eastAsia="zh-CN"/>
        </w:rPr>
        <w:t xml:space="preserve">13</w:t>
      </w:r>
      <w:r>
        <w:rPr>
          <w:rFonts w:hint="eastAsia" w:ascii="Microsoft New Tai Lue" w:hAnsi="Microsoft New Tai Lue" w:cs="Microsoft New Tai Lue"/>
          <w:bCs/>
          <w:color w:val="auto"/>
          <w:szCs w:val="21"/>
          <w:highlight w:val="none"/>
        </w:rPr>
        <w:t xml:space="preserve">:30  （北京时间）</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w:t>
      </w:r>
      <w:bookmarkEnd w:id="21"/>
      <w:r/>
      <w:bookmarkEnd w:id="22"/>
      <w:r/>
      <w:bookmarkStart w:id="23" w:name="OLE_LINK86"/>
      <w:r>
        <w:rPr>
          <w:rFonts w:hint="eastAsia" w:ascii="Microsoft New Tai Lue" w:hAnsi="Microsoft New Tai Lue" w:cs="Microsoft New Tai Lue"/>
          <w:bCs/>
          <w:color w:val="auto"/>
          <w:szCs w:val="21"/>
          <w:highlight w:val="none"/>
        </w:rPr>
        <w:t xml:space="preserve">江苏省政府采购交易系统（以下简称“苏采云系统”）</w:t>
      </w:r>
      <w:bookmarkEnd w:id="23"/>
      <w:r/>
      <w:r/>
    </w:p>
    <w:p>
      <w:pPr>
        <w:spacing w:line="360" w:lineRule="auto"/>
        <w:rPr>
          <w:rFonts w:ascii="Microsoft New Tai Lue" w:hAnsi="Microsoft New Tai Lue" w:cs="Microsoft New Tai Lue"/>
          <w:b/>
          <w:bCs/>
          <w:color w:val="auto"/>
          <w:szCs w:val="44"/>
          <w:highlight w:val="none"/>
        </w:rPr>
      </w:pPr>
      <w:r/>
      <w:bookmarkStart w:id="24" w:name="_Toc28359084"/>
      <w:r/>
      <w:bookmarkStart w:id="25" w:name="_Toc38985267"/>
      <w:r/>
      <w:bookmarkStart w:id="26" w:name="_Toc28359007"/>
      <w:r/>
      <w:bookmarkStart w:id="27" w:name="_Toc35393625"/>
      <w:r/>
      <w:bookmarkStart w:id="28" w:name="_Toc35393794"/>
      <w:r>
        <w:rPr>
          <w:rFonts w:hint="eastAsia" w:ascii="Microsoft New Tai Lue" w:hAnsi="Microsoft New Tai Lue" w:cs="Microsoft New Tai Lue"/>
          <w:b/>
          <w:bCs/>
          <w:color w:val="auto"/>
          <w:szCs w:val="44"/>
          <w:highlight w:val="none"/>
        </w:rPr>
        <w:t xml:space="preserve">五、</w:t>
      </w:r>
      <w:bookmarkEnd w:id="24"/>
      <w:r/>
      <w:bookmarkEnd w:id="25"/>
      <w:r/>
      <w:bookmarkEnd w:id="26"/>
      <w:r/>
      <w:bookmarkEnd w:id="27"/>
      <w:r/>
      <w:bookmarkEnd w:id="28"/>
      <w:r>
        <w:rPr>
          <w:rFonts w:hint="eastAsia" w:ascii="Microsoft New Tai Lue" w:hAnsi="Microsoft New Tai Lue" w:cs="Microsoft New Tai Lue"/>
          <w:b/>
          <w:bCs/>
          <w:color w:val="auto"/>
          <w:szCs w:val="44"/>
          <w:highlight w:val="none"/>
        </w:rPr>
        <w:t xml:space="preserve">开启</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时间：2026年 </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cs="Microsoft New Tai Lue"/>
          <w:bCs/>
          <w:color w:val="auto"/>
          <w:szCs w:val="21"/>
          <w:highlight w:val="none"/>
        </w:rPr>
        <w:t xml:space="preserve"> 月 </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Cs/>
          <w:color w:val="auto"/>
          <w:szCs w:val="21"/>
          <w:highlight w:val="none"/>
        </w:rPr>
        <w:t xml:space="preserve"> 日  </w:t>
      </w:r>
      <w:r>
        <w:rPr>
          <w:rFonts w:hint="eastAsia" w:ascii="Microsoft New Tai Lue" w:hAnsi="Microsoft New Tai Lue" w:cs="Microsoft New Tai Lue"/>
          <w:bCs/>
          <w:color w:val="auto"/>
          <w:szCs w:val="21"/>
          <w:highlight w:val="none"/>
          <w:lang w:val="en-US" w:eastAsia="zh-CN"/>
        </w:rPr>
        <w:t xml:space="preserve">13</w:t>
      </w:r>
      <w:r>
        <w:rPr>
          <w:rFonts w:hint="eastAsia" w:ascii="Microsoft New Tai Lue" w:hAnsi="Microsoft New Tai Lue" w:cs="Microsoft New Tai Lue"/>
          <w:bCs/>
          <w:color w:val="auto"/>
          <w:szCs w:val="21"/>
          <w:highlight w:val="none"/>
        </w:rPr>
        <w:t xml:space="preserve">:30  （北京时间）</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地点：苏采云系统网上开标大厅</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六、公告期限</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自本公告发布之日起3个工作日。</w:t>
      </w:r>
      <w:r/>
    </w:p>
    <w:p>
      <w:pPr>
        <w:spacing w:line="360" w:lineRule="auto"/>
        <w:rPr>
          <w:rFonts w:ascii="Microsoft New Tai Lue" w:hAnsi="Microsoft New Tai Lue" w:cs="Microsoft New Tai Lue"/>
          <w:b/>
          <w:bCs/>
          <w:color w:val="auto"/>
          <w:szCs w:val="44"/>
          <w:highlight w:val="none"/>
        </w:rPr>
      </w:pPr>
      <w:r/>
      <w:bookmarkStart w:id="29" w:name="_Toc96347856"/>
      <w:r/>
      <w:bookmarkStart w:id="30" w:name="_Toc93909070"/>
      <w:r>
        <w:rPr>
          <w:rFonts w:hint="eastAsia" w:ascii="Microsoft New Tai Lue" w:hAnsi="Microsoft New Tai Lue" w:cs="Microsoft New Tai Lue"/>
          <w:b/>
          <w:bCs/>
          <w:color w:val="auto"/>
          <w:szCs w:val="44"/>
          <w:highlight w:val="none"/>
        </w:rPr>
        <w:t xml:space="preserve">七</w:t>
      </w:r>
      <w:r>
        <w:rPr>
          <w:rFonts w:ascii="Microsoft New Tai Lue" w:hAnsi="Microsoft New Tai Lue" w:cs="Microsoft New Tai Lue"/>
          <w:b/>
          <w:bCs/>
          <w:color w:val="auto"/>
          <w:szCs w:val="44"/>
          <w:highlight w:val="none"/>
        </w:rPr>
        <w:t xml:space="preserve">、其他补充事宜</w:t>
      </w:r>
      <w:bookmarkEnd w:id="29"/>
      <w:r/>
      <w:bookmarkEnd w:id="30"/>
      <w:r/>
      <w:r/>
    </w:p>
    <w:p>
      <w:pPr>
        <w:ind w:firstLine="420"/>
        <w:spacing w:line="360" w:lineRule="auto"/>
        <w:rPr>
          <w:rFonts w:ascii="Microsoft New Tai Lue" w:hAnsi="Microsoft New Tai Lue" w:cs="Microsoft New Tai Lue"/>
          <w:color w:val="auto"/>
          <w:szCs w:val="21"/>
          <w:highlight w:val="none"/>
        </w:rPr>
      </w:pPr>
      <w:r/>
      <w:bookmarkStart w:id="31" w:name="_Toc80792694"/>
      <w:r/>
      <w:bookmarkStart w:id="32" w:name="_Toc80264702"/>
      <w:r/>
      <w:bookmarkStart w:id="33" w:name="_Toc93909071"/>
      <w:r/>
      <w:bookmarkStart w:id="34" w:name="_Toc96347857"/>
      <w:r>
        <w:rPr>
          <w:rFonts w:hint="eastAsia" w:ascii="Microsoft New Tai Lue" w:hAnsi="Microsoft New Tai Lue" w:cs="Microsoft New Tai Lue"/>
          <w:color w:val="auto"/>
          <w:szCs w:val="21"/>
          <w:highlight w:val="none"/>
        </w:rPr>
        <w:t xml:space="preserve">1.政府采购支持政策:</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(2)《关于政府采购支持监狱企业发展有关问题的通知》</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(3)《关于促进残疾人就业政府采购政策的通知》</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(4)《关于调整优化节能产品、环境标志产品政府采购执行机制的通知》</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(5)《关于做好政府采购支持企业发展有关事项的通知》</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2.潜在供应商访问政府采购管理交易系统(苏采云)的网络地址和方法:</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响应文件-导出加密的响应文件(后缀名为zip)--通过“苏采云”系统上传响应文件。</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(3)“CA数字证书”的办理材料以及供应商操作手册详见:http://jsxcmm. com/help/gys. html.</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(4)潜在供应商访问“苏采云”系统的网络地址和方法:“苏采云”系统的网址:http://jszfcg.jsczt.cn/jszc/login.</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 “苏采云”南京地区客服热线025-83633744、025-83633743。</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cs="宋体"/>
          <w:bCs/>
          <w:color w:val="auto"/>
          <w:szCs w:val="21"/>
          <w:highlight w:val="none"/>
        </w:rPr>
      </w:pP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.有关本次采购的事项若存在变动或修改，敬请及时关注“江苏政府采购网”发布的信息。</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八</w:t>
      </w:r>
      <w:r>
        <w:rPr>
          <w:rFonts w:ascii="Microsoft New Tai Lue" w:hAnsi="Microsoft New Tai Lue" w:cs="Microsoft New Tai Lue"/>
          <w:b/>
          <w:bCs/>
          <w:color w:val="auto"/>
          <w:szCs w:val="44"/>
          <w:highlight w:val="none"/>
        </w:rPr>
        <w:t xml:space="preserve">、</w:t>
      </w:r>
      <w:bookmarkEnd w:id="31"/>
      <w:r/>
      <w:bookmarkEnd w:id="32"/>
      <w:r>
        <w:rPr>
          <w:rFonts w:hint="eastAsia" w:ascii="Microsoft New Tai Lue" w:hAnsi="Microsoft New Tai Lue" w:cs="Microsoft New Tai Lue"/>
          <w:b/>
          <w:bCs/>
          <w:color w:val="auto"/>
          <w:szCs w:val="44"/>
          <w:highlight w:val="none"/>
        </w:rPr>
        <w:t xml:space="preserve">凡</w:t>
      </w:r>
      <w:r>
        <w:rPr>
          <w:rFonts w:ascii="Microsoft New Tai Lue" w:hAnsi="Microsoft New Tai Lue" w:cs="Microsoft New Tai Lue"/>
          <w:b/>
          <w:bCs/>
          <w:color w:val="auto"/>
          <w:szCs w:val="44"/>
          <w:highlight w:val="none"/>
        </w:rPr>
        <w:t xml:space="preserve">对本次</w:t>
      </w:r>
      <w:r>
        <w:rPr>
          <w:rFonts w:hint="eastAsia" w:ascii="Microsoft New Tai Lue" w:hAnsi="Microsoft New Tai Lue" w:cs="Microsoft New Tai Lue"/>
          <w:b/>
          <w:bCs/>
          <w:color w:val="auto"/>
          <w:szCs w:val="44"/>
          <w:highlight w:val="none"/>
        </w:rPr>
        <w:t xml:space="preserve">采购</w:t>
      </w:r>
      <w:r>
        <w:rPr>
          <w:rFonts w:ascii="Microsoft New Tai Lue" w:hAnsi="Microsoft New Tai Lue" w:cs="Microsoft New Tai Lue"/>
          <w:b/>
          <w:bCs/>
          <w:color w:val="auto"/>
          <w:szCs w:val="44"/>
          <w:highlight w:val="none"/>
        </w:rPr>
        <w:t xml:space="preserve">提出询问，请按以下方式联系。</w:t>
      </w:r>
      <w:bookmarkEnd w:id="33"/>
      <w:r/>
      <w:bookmarkEnd w:id="34"/>
      <w:r/>
      <w:r/>
    </w:p>
    <w:p>
      <w:pPr>
        <w:ind w:firstLine="525"/>
        <w:spacing w:line="360" w:lineRule="auto"/>
        <w:rPr>
          <w:rFonts w:ascii="Microsoft New Tai Lue" w:hAnsi="Microsoft New Tai Lue" w:cs="Microsoft New Tai Lue"/>
          <w:color w:val="auto"/>
          <w:szCs w:val="21"/>
          <w:highlight w:val="none"/>
        </w:rPr>
      </w:pPr>
      <w:r/>
      <w:bookmarkStart w:id="35" w:name="_Toc71561877"/>
      <w:r/>
      <w:bookmarkStart w:id="36" w:name="_Toc80264704"/>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147474393"/>
          <w:placeholder>
            <w:docPart w:val="{86367886-e435-4c8f-886e-5495cd2bea0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rPr>
            <w:t xml:space="preserve">江苏省农业农村厅机关服务中心</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宋体" w:hAnsi="宋体" w:cs="宋体"/>
          <w:bCs/>
          <w:color w:val="auto"/>
          <w:szCs w:val="21"/>
          <w:highlight w:val="none"/>
        </w:rPr>
        <w:t xml:space="preserve"> 南京市鼓楼区月光广场8号农林大厦</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宋体" w:hAnsi="宋体" w:cs="宋体"/>
          <w:bCs/>
          <w:color w:val="auto"/>
          <w:szCs w:val="21"/>
          <w:highlight w:val="none"/>
        </w:rPr>
        <w:t xml:space="preserve"> 单正龙</w:t>
      </w:r>
      <w:r/>
    </w:p>
    <w:p>
      <w:pPr>
        <w:ind w:firstLine="525"/>
        <w:spacing w:line="360" w:lineRule="auto"/>
        <w:rPr>
          <w:rFonts w:hint="eastAsia" w:ascii="宋体" w:hAnsi="宋体" w:cs="宋体"/>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rPr>
        <w:t xml:space="preserve"> 025-86263831</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4748029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7889"/>
              <w:placeholder>
                <w:docPart w:val="{c3a9e8cb-abf8-4757-aad4-f42a04c4ac35}"/>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rPr>
                <w:t xml:space="preserve">史平华、马继烨、黄锡芳</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147476428"/>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67015"/>
              <w:placeholder>
                <w:docPart w:val="{dac2f5bf-6093-4bfd-bc09-7fc716ec565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rPr>
                <w:t xml:space="preserve">15951799162</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14746623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2305"/>
              <w:placeholder>
                <w:docPart w:val="{b150dcec-09d6-4fe6-a4d7-d30d4d19f71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rPr>
                <w:t xml:space="preserve">史平华</w:t>
              </w:r>
            </w:sdtContent>
          </w:sdt>
        </w:sdtContent>
      </w:sdt>
      <w:r/>
      <w:r/>
    </w:p>
    <w:p>
      <w:pPr>
        <w:ind w:firstLine="525"/>
        <w:spacing w:line="360" w:lineRule="auto"/>
        <w:rPr>
          <w:rFonts w:hint="eastAsia" w:ascii="宋体" w:hAnsi="宋体" w:cs="宋体"/>
          <w:color w:val="auto"/>
          <w:szCs w:val="21"/>
          <w:highlight w:val="none"/>
          <w:lang w:bidi="ar"/>
        </w:rPr>
      </w:pPr>
      <w:r>
        <w:rPr>
          <w:rFonts w:ascii="Microsoft New Tai Lue" w:hAnsi="Microsoft New Tai Lue" w:cs="Microsoft New Tai Lue"/>
          <w:color w:val="auto"/>
          <w:szCs w:val="21"/>
          <w:highlight w:val="none"/>
        </w:rPr>
        <w:t xml:space="preserve">电话：</w:t>
      </w:r>
      <w:sdt>
        <w:sdtPr>
          <w15:appearance w15:val="boundingBox"/>
          <w:id w:val="147459991"/>
          <w:placeholder>
            <w:docPart w:val="{a4a6d6d9-0431-4075-b44d-23ff0b07a082}"/>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rPr>
            <w:t xml:space="preserve">15951799162</w:t>
          </w:r>
        </w:sdtContent>
      </w:sdt>
      <w:r/>
      <w:r/>
    </w:p>
    <w:p>
      <w:pPr>
        <w:pStyle w:val="828"/>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pStyle w:val="1025"/>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5"/>
      <w:r/>
      <w:bookmarkStart w:id="37" w:name="_Toc26529"/>
      <w:r/>
      <w:bookmarkStart w:id="38" w:name="_Toc107246212"/>
      <w:r>
        <w:rPr>
          <w:rFonts w:ascii="Microsoft New Tai Lue" w:hAnsi="Microsoft New Tai Lue" w:cs="Microsoft New Tai Lue"/>
          <w:color w:val="auto"/>
          <w:highlight w:val="none"/>
        </w:rPr>
        <w:t xml:space="preserve">供应商须知</w:t>
      </w:r>
      <w:bookmarkEnd w:id="36"/>
      <w:r/>
      <w:bookmarkEnd w:id="37"/>
      <w:r/>
      <w:bookmarkEnd w:id="38"/>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98"/>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49"/>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1049"/>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1049"/>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1049"/>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1046"/>
              <w:spacing w:before="160" w:line="276" w:lineRule="auto"/>
              <w:rPr>
                <w:rFonts w:hint="eastAsia" w:cs="Microsoft New Tai Lue"/>
                <w:color w:val="auto"/>
                <w:sz w:val="21"/>
                <w:szCs w:val="21"/>
                <w:highlight w:val="none"/>
                <w:lang w:val="en-US" w:bidi="ar-SA"/>
              </w:rPr>
            </w:pPr>
            <w:r>
              <w:rPr>
                <w:rFonts w:hint="eastAsia"/>
                <w:color w:val="auto"/>
                <w:sz w:val="21"/>
                <w:szCs w:val="21"/>
                <w:highlight w:val="none"/>
                <w:lang w:val="en-US" w:bidi="ar-SA"/>
              </w:rPr>
              <w:t xml:space="preserve">名称：</w:t>
            </w:r>
            <w:r>
              <w:rPr>
                <w:rFonts w:hint="eastAsia" w:cs="Microsoft New Tai Lue"/>
                <w:color w:val="auto"/>
                <w:sz w:val="21"/>
                <w:szCs w:val="21"/>
                <w:highlight w:val="none"/>
                <w:lang w:val="en-US" w:bidi="ar-SA"/>
              </w:rPr>
              <w:t xml:space="preserve">江苏省农业农村厅机关服务中心</w:t>
            </w:r>
            <w:r/>
          </w:p>
          <w:p>
            <w:pPr>
              <w:pStyle w:val="1046"/>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地址：</w:t>
            </w:r>
            <w:r>
              <w:rPr>
                <w:rFonts w:hint="eastAsia"/>
                <w:bCs/>
                <w:color w:val="auto"/>
                <w:szCs w:val="21"/>
                <w:highlight w:val="none"/>
              </w:rPr>
              <w:t xml:space="preserve">南京市鼓楼区月光广场8号农林大厦</w:t>
            </w:r>
            <w:r/>
          </w:p>
          <w:p>
            <w:pPr>
              <w:pStyle w:val="1046"/>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联系人：</w:t>
            </w:r>
            <w:r>
              <w:rPr>
                <w:rFonts w:hint="eastAsia"/>
                <w:color w:val="auto"/>
                <w:highlight w:val="none"/>
                <w:lang w:val="en-US"/>
              </w:rPr>
              <w:t xml:space="preserve">单正龙</w:t>
            </w:r>
            <w:r/>
          </w:p>
          <w:p>
            <w:pPr>
              <w:pStyle w:val="1046"/>
              <w:spacing w:before="160" w:line="276" w:lineRule="auto"/>
              <w:rPr>
                <w:rFonts w:hint="eastAsia"/>
                <w:color w:val="auto"/>
                <w:sz w:val="21"/>
                <w:szCs w:val="21"/>
                <w:highlight w:val="none"/>
                <w:lang w:val="en-US"/>
              </w:rPr>
            </w:pPr>
            <w:r>
              <w:rPr>
                <w:rFonts w:hint="eastAsia"/>
                <w:color w:val="auto"/>
                <w:sz w:val="21"/>
                <w:szCs w:val="21"/>
                <w:highlight w:val="none"/>
                <w:lang w:val="en-US" w:bidi="ar-SA"/>
              </w:rPr>
              <w:t xml:space="preserve">电话：</w:t>
            </w:r>
            <w:r>
              <w:rPr>
                <w:rFonts w:hint="eastAsia"/>
                <w:color w:val="auto"/>
                <w:szCs w:val="21"/>
                <w:highlight w:val="none"/>
                <w:lang w:val="en-US"/>
              </w:rPr>
              <w:t xml:space="preserve"> 025-86263831</w:t>
            </w:r>
            <w:r/>
          </w:p>
        </w:tc>
      </w:tr>
      <w:tr>
        <w:trPr>
          <w:jc w:val="center"/>
        </w:trPr>
        <w:tc>
          <w:tcPr>
            <w:tcW w:w="675"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pStyle w:val="1046"/>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lang w:val="en-US"/>
              </w:rPr>
              <w:t xml:space="preserve">江苏省招标中心有限公司</w:t>
            </w:r>
            <w:r/>
          </w:p>
          <w:p>
            <w:pPr>
              <w:pStyle w:val="1046"/>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color w:val="auto"/>
                <w:sz w:val="21"/>
                <w:szCs w:val="21"/>
                <w:highlight w:val="none"/>
                <w:lang w:val="en-US"/>
              </w:rPr>
              <w:t xml:space="preserve">南京市雨花台区宁双路19号C栋3楼 305室</w:t>
            </w:r>
            <w:r/>
          </w:p>
          <w:p>
            <w:pPr>
              <w:pStyle w:val="1046"/>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联系人：史平华</w:t>
            </w:r>
            <w:r/>
          </w:p>
          <w:p>
            <w:pPr>
              <w:pStyle w:val="1046"/>
              <w:spacing w:before="160" w:line="276" w:lineRule="auto"/>
              <w:rPr>
                <w:rFonts w:hint="eastAsia"/>
                <w:color w:val="auto"/>
                <w:sz w:val="21"/>
                <w:szCs w:val="21"/>
                <w:highlight w:val="none"/>
                <w:lang w:val="en-US"/>
              </w:rPr>
            </w:pPr>
            <w:r>
              <w:rPr>
                <w:rFonts w:hint="eastAsia"/>
                <w:color w:val="auto"/>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4</w:t>
            </w:r>
            <w:r/>
          </w:p>
        </w:tc>
        <w:tc>
          <w:tcPr>
            <w:tcW w:w="2835" w:type="dxa"/>
            <w:vAlign w:val="center"/>
            <w:textDirection w:val="lrTb"/>
            <w:noWrap w:val="false"/>
          </w:tcPr>
          <w:p>
            <w:pPr>
              <w:pStyle w:val="1049"/>
              <w:jc w:val="left"/>
              <w:rPr>
                <w:rFonts w:hint="eastAsia"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Pr>
        <w:tc>
          <w:tcPr>
            <w:tcW w:w="675" w:type="dxa"/>
            <w:vAlign w:val="center"/>
            <w:textDirection w:val="lrTb"/>
            <w:noWrap w:val="false"/>
          </w:tcPr>
          <w:p>
            <w:pPr>
              <w:pStyle w:val="1019"/>
              <w:ind w:left="-103"/>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850" w:type="dxa"/>
            <w:vAlign w:val="center"/>
            <w:textDirection w:val="lrTb"/>
            <w:noWrap w:val="false"/>
          </w:tcPr>
          <w:p>
            <w:pPr>
              <w:pStyle w:val="1019"/>
              <w:ind w:left="-103"/>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w:t>
            </w:r>
            <w:r/>
          </w:p>
        </w:tc>
        <w:tc>
          <w:tcPr>
            <w:tcW w:w="2835" w:type="dxa"/>
            <w:vAlign w:val="center"/>
            <w:textDirection w:val="lrTb"/>
            <w:noWrap w:val="false"/>
          </w:tcPr>
          <w:p>
            <w:pPr>
              <w:pStyle w:val="1019"/>
              <w:ind w:left="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现场踏勘</w:t>
            </w:r>
            <w:r/>
          </w:p>
        </w:tc>
        <w:tc>
          <w:tcPr>
            <w:tcW w:w="4982" w:type="dxa"/>
            <w:vAlign w:val="center"/>
            <w:textDirection w:val="lrTb"/>
            <w:noWrap w:val="false"/>
          </w:tcPr>
          <w:p>
            <w:pPr>
              <w:pStyle w:val="829"/>
              <w:spacing w:after="0" w:line="360" w:lineRule="auto"/>
              <w:rPr>
                <w:rFonts w:hint="eastAsia" w:ascii="宋体" w:hAnsi="宋体" w:cs="宋体"/>
                <w:bCs/>
                <w:color w:val="auto"/>
                <w:szCs w:val="21"/>
                <w:highlight w:val="none"/>
              </w:rPr>
            </w:pPr>
            <w:r>
              <w:rPr>
                <w:rFonts w:hint="eastAsia"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hint="eastAsia" w:ascii="宋体" w:hAnsi="宋体" w:cs="宋体"/>
                <w:bCs/>
                <w:color w:val="auto"/>
                <w:szCs w:val="21"/>
                <w:highlight w:val="none"/>
              </w:rPr>
              <w:t xml:space="preserve">采购人不集中组织勘察现场，各潜在供应商可自行踏勘现场。</w:t>
            </w:r>
            <w:r/>
          </w:p>
          <w:p>
            <w:pPr>
              <w:jc w:val="left"/>
              <w:spacing w:before="156" w:line="276" w:lineRule="auto"/>
              <w:rPr>
                <w:rFonts w:hint="eastAsia" w:ascii="宋体" w:hAnsi="宋体" w:cs="宋体"/>
                <w:bCs/>
                <w:color w:val="auto"/>
                <w:szCs w:val="21"/>
                <w:highlight w:val="none"/>
              </w:rPr>
            </w:pPr>
            <w:r>
              <w:rPr>
                <w:rFonts w:hint="eastAsia" w:cs="宋体"/>
                <w:color w:val="auto"/>
                <w:szCs w:val="21"/>
                <w:highlight w:val="none"/>
              </w:rPr>
              <w:t xml:space="preserve">各潜在供应商应认真踏勘现场，成交后不得以不了解现场为由而提出索赔。</w:t>
            </w:r>
            <w:r>
              <w:rPr>
                <w:rFonts w:hint="eastAsia" w:ascii="宋体" w:hAnsi="宋体" w:cs="宋体"/>
                <w:color w:val="auto"/>
                <w:szCs w:val="21"/>
                <w:highlight w:val="none"/>
              </w:rPr>
              <w:t xml:space="preserve">勘察现场所发生的费用由供应商自行承担。</w:t>
            </w:r>
            <w:r/>
          </w:p>
        </w:tc>
      </w:tr>
      <w:tr>
        <w:trPr>
          <w:jc w:val="center"/>
        </w:trPr>
        <w:tc>
          <w:tcPr>
            <w:tcW w:w="675"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磋商前答疑会</w:t>
            </w:r>
            <w:r/>
          </w:p>
        </w:tc>
        <w:tc>
          <w:tcPr>
            <w:tcW w:w="4982" w:type="dxa"/>
            <w:vAlign w:val="center"/>
            <w:textDirection w:val="lrTb"/>
            <w:noWrap w:val="false"/>
          </w:tcPr>
          <w:p>
            <w:pPr>
              <w:pStyle w:val="1046"/>
              <w:spacing w:before="160"/>
              <w:rPr>
                <w:rFonts w:hint="eastAsia"/>
                <w:bCs/>
                <w:color w:val="auto"/>
                <w:szCs w:val="21"/>
                <w:highlight w:val="none"/>
              </w:rPr>
            </w:pPr>
            <w:r>
              <w:rPr>
                <w:rFonts w:hint="eastAsia"/>
                <w:b/>
                <w:color w:val="auto"/>
                <w:sz w:val="24"/>
                <w:highlight w:val="none"/>
              </w:rPr>
              <w:t xml:space="preserve">■</w:t>
            </w:r>
            <w:r>
              <w:rPr>
                <w:rFonts w:hint="eastAsia"/>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联合体磋商</w:t>
            </w:r>
            <w:r/>
          </w:p>
        </w:tc>
        <w:tc>
          <w:tcPr>
            <w:tcW w:w="4982" w:type="dxa"/>
            <w:vAlign w:val="center"/>
            <w:textDirection w:val="lrTb"/>
            <w:noWrap w:val="false"/>
          </w:tcPr>
          <w:p>
            <w:pPr>
              <w:spacing w:before="156" w:line="276" w:lineRule="auto"/>
              <w:rPr>
                <w:rFonts w:hint="eastAsia"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不接受</w:t>
            </w:r>
            <w:r/>
          </w:p>
        </w:tc>
      </w:tr>
      <w:tr>
        <w:trPr>
          <w:jc w:val="center"/>
        </w:trPr>
        <w:tc>
          <w:tcPr>
            <w:tcW w:w="675"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before="156" w:line="276"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before="156" w:line="276" w:lineRule="auto"/>
              <w:rPr>
                <w:rFonts w:hint="eastAsia"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不允许</w:t>
            </w:r>
            <w:r/>
          </w:p>
        </w:tc>
      </w:tr>
      <w:tr>
        <w:trPr>
          <w:jc w:val="center"/>
        </w:trPr>
        <w:tc>
          <w:tcPr>
            <w:tcW w:w="675"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before="156"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样品提交：</w:t>
            </w:r>
            <w:r/>
          </w:p>
          <w:p>
            <w:pPr>
              <w:spacing w:before="156" w:line="276" w:lineRule="auto"/>
              <w:rPr>
                <w:rFonts w:hint="eastAsia"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不需要</w:t>
            </w:r>
            <w:r/>
          </w:p>
        </w:tc>
      </w:tr>
      <w:tr>
        <w:trPr>
          <w:jc w:val="center"/>
          <w:trHeight w:val="734"/>
        </w:trPr>
        <w:tc>
          <w:tcPr>
            <w:tcW w:w="675"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1049"/>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pStyle w:val="1049"/>
              <w:jc w:val="left"/>
              <w:rPr>
                <w:rFonts w:hint="eastAsia"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14.2</w:t>
            </w:r>
            <w:r/>
          </w:p>
        </w:tc>
        <w:tc>
          <w:tcPr>
            <w:tcW w:w="2835" w:type="dxa"/>
            <w:vAlign w:val="center"/>
            <w:textDirection w:val="lrTb"/>
            <w:noWrap w:val="false"/>
          </w:tcPr>
          <w:p>
            <w:pPr>
              <w:pStyle w:val="1049"/>
              <w:jc w:val="left"/>
              <w:rPr>
                <w:rFonts w:hint="eastAsia"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15.1</w:t>
            </w:r>
            <w:r/>
          </w:p>
        </w:tc>
        <w:tc>
          <w:tcPr>
            <w:tcW w:w="2835"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20.5</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报价</w:t>
            </w:r>
            <w:r/>
          </w:p>
        </w:tc>
        <w:tc>
          <w:tcPr>
            <w:tcW w:w="4982" w:type="dxa"/>
            <w:vAlign w:val="center"/>
            <w:textDirection w:val="lrTb"/>
            <w:noWrap w:val="false"/>
          </w:tcPr>
          <w:p>
            <w:pPr>
              <w:pStyle w:val="1049"/>
              <w:spacing w:line="360" w:lineRule="auto"/>
              <w:rPr>
                <w:rFonts w:hint="eastAsia" w:hAnsi="宋体" w:cs="宋体"/>
                <w:bCs/>
                <w:color w:val="auto"/>
                <w:sz w:val="21"/>
                <w:highlight w:val="none"/>
              </w:rPr>
            </w:pPr>
            <w:r>
              <w:rPr>
                <w:rFonts w:hint="eastAsia" w:hAnsi="宋体" w:cs="宋体"/>
                <w:bCs/>
                <w:color w:val="auto"/>
                <w:sz w:val="21"/>
                <w:highlight w:val="none"/>
              </w:rPr>
              <w:t xml:space="preserve">报价的其他要求：</w:t>
            </w:r>
            <w:r/>
          </w:p>
          <w:p>
            <w:pPr>
              <w:pStyle w:val="1049"/>
              <w:spacing w:line="360" w:lineRule="auto"/>
              <w:rPr>
                <w:rFonts w:hint="eastAsia" w:hAnsi="宋体" w:cs="宋体"/>
                <w:bCs/>
                <w:color w:val="auto"/>
                <w:sz w:val="21"/>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响应有效期</w:t>
            </w:r>
            <w:r/>
          </w:p>
        </w:tc>
        <w:tc>
          <w:tcPr>
            <w:tcW w:w="4982" w:type="dxa"/>
            <w:vAlign w:val="center"/>
            <w:textDirection w:val="lrTb"/>
            <w:noWrap w:val="false"/>
          </w:tcPr>
          <w:p>
            <w:pPr>
              <w:pStyle w:val="1049"/>
              <w:spacing w:line="360" w:lineRule="auto"/>
              <w:rPr>
                <w:rFonts w:hint="eastAsia" w:hAnsi="宋体" w:cs="宋体"/>
                <w:bCs/>
                <w:color w:val="auto"/>
                <w:sz w:val="21"/>
                <w:highlight w:val="none"/>
              </w:rPr>
            </w:pPr>
            <w:r>
              <w:rPr>
                <w:rFonts w:hint="eastAsia" w:hAnsi="宋体" w:cs="宋体"/>
                <w:bCs/>
                <w:color w:val="auto"/>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22.1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磋商保证金</w:t>
            </w:r>
            <w:r/>
          </w:p>
        </w:tc>
        <w:tc>
          <w:tcPr>
            <w:tcW w:w="4982" w:type="dxa"/>
            <w:vAlign w:val="center"/>
            <w:textDirection w:val="lrTb"/>
            <w:noWrap w:val="false"/>
          </w:tcPr>
          <w:p>
            <w:pPr>
              <w:spacing w:before="156" w:line="360" w:lineRule="auto"/>
              <w:rPr>
                <w:rFonts w:hint="eastAsia" w:ascii="宋体" w:hAnsi="宋体" w:cs="Segoe UI Symbol"/>
                <w:bCs/>
                <w:color w:val="auto"/>
                <w:szCs w:val="21"/>
                <w:highlight w:val="none"/>
              </w:rPr>
            </w:pPr>
            <w:r>
              <w:rPr>
                <w:rFonts w:hint="eastAsia" w:ascii="宋体" w:hAnsi="宋体" w:cs="宋体"/>
                <w:b/>
                <w:color w:val="auto"/>
                <w:sz w:val="24"/>
                <w:highlight w:val="none"/>
              </w:rPr>
              <w:t xml:space="preserve">■</w:t>
            </w: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25.1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提交响应文件的截止时间、地点</w:t>
            </w:r>
            <w:r/>
          </w:p>
        </w:tc>
        <w:tc>
          <w:tcPr>
            <w:tcW w:w="4982"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27.3</w:t>
            </w:r>
            <w:r/>
          </w:p>
        </w:tc>
        <w:tc>
          <w:tcPr>
            <w:tcW w:w="2835" w:type="dxa"/>
            <w:vAlign w:val="center"/>
            <w:textDirection w:val="lrTb"/>
            <w:noWrap w:val="false"/>
          </w:tcPr>
          <w:p>
            <w:pPr>
              <w:pStyle w:val="1049"/>
              <w:jc w:val="left"/>
              <w:rPr>
                <w:rFonts w:hint="eastAsia"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1049"/>
              <w:spacing w:line="360" w:lineRule="auto"/>
              <w:rPr>
                <w:rFonts w:hint="eastAsia" w:hAnsi="宋体" w:cs="宋体"/>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查询相关主体信用记录。本次查询的信用记录打印的网页版将留存在评审报告中。</w:t>
            </w:r>
            <w:r>
              <w:rPr>
                <w:rFonts w:hAnsi="宋体" w:cs="Microsoft New Tai Lue"/>
                <w:bCs/>
                <w:color w:val="auto"/>
                <w:sz w:val="21"/>
                <w:highlight w:val="none"/>
              </w:rPr>
              <w:t xml:space="preserve">截止时点：</w:t>
            </w:r>
            <w:r>
              <w:rPr>
                <w:rFonts w:hint="eastAsia" w:hAnsi="宋体" w:cs="Microsoft New Tai Lue"/>
                <w:bCs/>
                <w:color w:val="auto"/>
                <w:sz w:val="21"/>
                <w:highlight w:val="none"/>
              </w:rPr>
              <w:t xml:space="preserve">响应</w:t>
            </w:r>
            <w:r>
              <w:rPr>
                <w:rFonts w:hAnsi="宋体" w:cs="Microsoft New Tai Lue"/>
                <w:bCs/>
                <w:color w:val="auto"/>
                <w:sz w:val="21"/>
                <w:highlight w:val="none"/>
              </w:rPr>
              <w:t xml:space="preserve">截止时间以后、资格审查阶段采购人或采购代理机构的实际查询时间</w:t>
            </w:r>
            <w:r>
              <w:rPr>
                <w:rFonts w:hint="eastAsia" w:hAnsi="宋体" w:cs="宋体"/>
                <w:bCs/>
                <w:color w:val="auto"/>
                <w:sz w:val="21"/>
                <w:highlight w:val="none"/>
              </w:rPr>
              <w:t xml:space="preserve">。</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29.1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磋商小组</w:t>
            </w:r>
            <w:r/>
          </w:p>
        </w:tc>
        <w:tc>
          <w:tcPr>
            <w:tcW w:w="4982" w:type="dxa"/>
            <w:vAlign w:val="center"/>
            <w:textDirection w:val="lrTb"/>
            <w:noWrap w:val="false"/>
          </w:tcPr>
          <w:p>
            <w:pPr>
              <w:pStyle w:val="1049"/>
              <w:spacing w:line="360" w:lineRule="auto"/>
              <w:rPr>
                <w:rFonts w:hint="eastAsia" w:hAnsi="宋体" w:cs="宋体"/>
                <w:bCs/>
                <w:color w:val="auto"/>
                <w:sz w:val="21"/>
                <w:highlight w:val="none"/>
              </w:rPr>
            </w:pPr>
            <w:r>
              <w:rPr>
                <w:rFonts w:hint="eastAsia" w:hAnsi="宋体" w:cs="宋体"/>
                <w:bCs/>
                <w:color w:val="auto"/>
                <w:sz w:val="21"/>
                <w:highlight w:val="none"/>
              </w:rPr>
              <w:t xml:space="preserve">3人及以上单数。</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39.3</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pStyle w:val="1049"/>
              <w:spacing w:line="360" w:lineRule="auto"/>
              <w:rPr>
                <w:rFonts w:hint="eastAsia" w:hAnsi="宋体" w:cs="宋体"/>
                <w:bCs/>
                <w:color w:val="auto"/>
                <w:sz w:val="21"/>
                <w:highlight w:val="none"/>
              </w:rPr>
            </w:pPr>
            <w:r>
              <w:rPr>
                <w:rFonts w:hint="eastAsia" w:hAnsi="宋体" w:cs="宋体"/>
                <w:color w:val="auto"/>
                <w:sz w:val="21"/>
                <w:highlight w:val="none"/>
              </w:rPr>
              <w:t xml:space="preserve">江苏政府采购网</w:t>
            </w:r>
            <w:r/>
          </w:p>
        </w:tc>
      </w:tr>
      <w:tr>
        <w:trPr>
          <w:jc w:val="center"/>
          <w:trHeight w:val="922"/>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42.1</w:t>
            </w:r>
            <w:r/>
          </w:p>
        </w:tc>
        <w:tc>
          <w:tcPr>
            <w:tcW w:w="2835" w:type="dxa"/>
            <w:vAlign w:val="center"/>
            <w:textDirection w:val="lrTb"/>
            <w:noWrap w:val="false"/>
          </w:tcPr>
          <w:p>
            <w:pPr>
              <w:pStyle w:val="1049"/>
              <w:jc w:val="left"/>
              <w:rPr>
                <w:rFonts w:hint="eastAsia" w:hAnsi="宋体" w:cs="宋体"/>
                <w:bCs/>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1049"/>
              <w:spacing w:line="360" w:lineRule="auto"/>
              <w:rPr>
                <w:rFonts w:hint="eastAsia" w:hAnsi="宋体" w:cs="宋体"/>
                <w:b/>
                <w:color w:val="auto"/>
                <w:sz w:val="24"/>
                <w:highlight w:val="none"/>
              </w:rPr>
            </w:pPr>
            <w:r>
              <w:rPr>
                <w:rFonts w:hint="eastAsia" w:hAnsi="宋体" w:cs="宋体"/>
                <w:b/>
                <w:color w:val="auto"/>
                <w:sz w:val="21"/>
                <w:highlight w:val="none"/>
              </w:rPr>
              <w:t xml:space="preserve">要求提供</w:t>
            </w:r>
            <w:r>
              <w:rPr>
                <w:rFonts w:hint="eastAsia" w:hAnsi="宋体" w:cs="宋体"/>
                <w:b/>
                <w:color w:val="auto"/>
                <w:sz w:val="21"/>
                <w:highlight w:val="none"/>
              </w:rPr>
              <w:br/>
            </w:r>
            <w:r>
              <w:rPr>
                <w:rFonts w:hint="eastAsia" w:hAnsi="宋体" w:cs="宋体"/>
                <w:b/>
                <w:color w:val="auto"/>
                <w:sz w:val="21"/>
                <w:highlight w:val="none"/>
              </w:rPr>
              <w:t xml:space="preserve">合同签订前，</w:t>
            </w:r>
            <w:r>
              <w:rPr>
                <w:rFonts w:hint="eastAsia" w:hAnsi="宋体" w:cs="宋体"/>
                <w:color w:val="auto"/>
                <w:sz w:val="21"/>
                <w:szCs w:val="21"/>
                <w:highlight w:val="none"/>
              </w:rPr>
              <w:t xml:space="preserve">成交供应商</w:t>
            </w:r>
            <w:r>
              <w:rPr>
                <w:rFonts w:hAnsi="宋体" w:cs="宋体"/>
                <w:color w:val="auto"/>
                <w:sz w:val="21"/>
                <w:szCs w:val="21"/>
                <w:highlight w:val="none"/>
              </w:rPr>
              <w:t xml:space="preserve">须缴纳履约保证金，履约保证金金额为</w:t>
            </w:r>
            <w:r>
              <w:rPr>
                <w:rStyle w:val="823"/>
                <w:rFonts w:hint="eastAsia" w:hAnsi="宋体" w:cs="宋体"/>
                <w:color w:val="auto"/>
                <w:sz w:val="21"/>
                <w:szCs w:val="21"/>
                <w:highlight w:val="none"/>
              </w:rPr>
              <w:t xml:space="preserve">单年合同</w:t>
            </w:r>
            <w:r>
              <w:rPr>
                <w:rStyle w:val="823"/>
                <w:rFonts w:hAnsi="宋体" w:cs="宋体"/>
                <w:color w:val="auto"/>
                <w:sz w:val="21"/>
                <w:szCs w:val="21"/>
                <w:highlight w:val="none"/>
              </w:rPr>
              <w:t xml:space="preserve">金额的 10%</w:t>
            </w:r>
            <w:r>
              <w:rPr>
                <w:rFonts w:hAnsi="宋体" w:cs="宋体"/>
                <w:color w:val="auto"/>
                <w:sz w:val="21"/>
                <w:szCs w:val="21"/>
                <w:highlight w:val="none"/>
              </w:rPr>
              <w:t xml:space="preserve">。履约保证金可采用转账、银行保函等</w:t>
            </w:r>
            <w:r>
              <w:rPr>
                <w:rFonts w:hint="eastAsia" w:hAnsi="宋体" w:cs="宋体"/>
                <w:color w:val="auto"/>
                <w:sz w:val="21"/>
                <w:szCs w:val="21"/>
                <w:highlight w:val="none"/>
              </w:rPr>
              <w:t xml:space="preserve">委托方</w:t>
            </w:r>
            <w:r>
              <w:rPr>
                <w:rFonts w:hAnsi="宋体" w:cs="宋体"/>
                <w:color w:val="auto"/>
                <w:sz w:val="21"/>
                <w:szCs w:val="21"/>
                <w:highlight w:val="none"/>
              </w:rPr>
              <w:t xml:space="preserve">认可的形式提交。履约保证金不计孳息，待本合同全部义务履行完毕，无息退还履约保证金。</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43.1</w:t>
            </w:r>
            <w:r/>
          </w:p>
        </w:tc>
        <w:tc>
          <w:tcPr>
            <w:tcW w:w="2835" w:type="dxa"/>
            <w:vAlign w:val="center"/>
            <w:textDirection w:val="lrTb"/>
            <w:noWrap w:val="false"/>
          </w:tcPr>
          <w:p>
            <w:pPr>
              <w:ind w:left="-533" w:firstLine="533"/>
              <w:jc w:val="left"/>
              <w:spacing w:before="156"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供应商对磋商文件的</w:t>
            </w:r>
            <w:r/>
          </w:p>
          <w:p>
            <w:pPr>
              <w:pStyle w:val="1049"/>
              <w:jc w:val="left"/>
              <w:rPr>
                <w:rFonts w:hint="eastAsia" w:hAnsi="宋体" w:cs="宋体"/>
                <w:color w:val="auto"/>
                <w:sz w:val="21"/>
                <w:highlight w:val="none"/>
              </w:rPr>
            </w:pPr>
            <w:r>
              <w:rPr>
                <w:rFonts w:hint="eastAsia" w:hAnsi="宋体" w:cs="宋体"/>
                <w:color w:val="auto"/>
                <w:sz w:val="21"/>
                <w:highlight w:val="none"/>
              </w:rPr>
              <w:t xml:space="preserve">询问</w:t>
            </w:r>
            <w:r/>
          </w:p>
        </w:tc>
        <w:tc>
          <w:tcPr>
            <w:tcW w:w="4982" w:type="dxa"/>
            <w:vAlign w:val="center"/>
            <w:textDirection w:val="lrTb"/>
            <w:noWrap w:val="false"/>
          </w:tcPr>
          <w:p>
            <w:pPr>
              <w:spacing w:before="156" w:line="276" w:lineRule="auto"/>
              <w:rPr>
                <w:rFonts w:hint="eastAsia" w:ascii="宋体" w:hAnsi="宋体" w:cs="宋体"/>
                <w:color w:val="auto"/>
                <w:szCs w:val="21"/>
                <w:highlight w:val="none"/>
              </w:rPr>
            </w:pPr>
            <w:r>
              <w:rPr>
                <w:rFonts w:hint="eastAsia" w:ascii="宋体" w:hAnsi="宋体" w:cs="宋体"/>
                <w:bCs/>
                <w:color w:val="auto"/>
                <w:highlight w:val="none"/>
              </w:rPr>
              <w:t xml:space="preserve">以书面形式（盖章扫描件及word格式文件发至</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邮箱296963515@qq.com）通知采购人或采购代理机构。</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44.1</w:t>
            </w:r>
            <w:r/>
          </w:p>
        </w:tc>
        <w:tc>
          <w:tcPr>
            <w:tcW w:w="2835" w:type="dxa"/>
            <w:vAlign w:val="center"/>
            <w:textDirection w:val="lrTb"/>
            <w:noWrap w:val="false"/>
          </w:tcPr>
          <w:p>
            <w:pPr>
              <w:ind w:left="-533" w:firstLine="533"/>
              <w:jc w:val="left"/>
              <w:spacing w:before="156"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供应商对磋商文件提出的</w:t>
            </w:r>
            <w:r/>
          </w:p>
          <w:p>
            <w:pPr>
              <w:pStyle w:val="1049"/>
              <w:jc w:val="left"/>
              <w:rPr>
                <w:rFonts w:hint="eastAsia" w:hAnsi="宋体" w:cs="宋体"/>
                <w:color w:val="auto"/>
                <w:sz w:val="21"/>
                <w:highlight w:val="none"/>
              </w:rPr>
            </w:pPr>
            <w:r>
              <w:rPr>
                <w:rFonts w:hint="eastAsia" w:hAnsi="宋体" w:cs="宋体"/>
                <w:color w:val="auto"/>
                <w:highlight w:val="none"/>
              </w:rPr>
              <w:t xml:space="preserve">质疑</w:t>
            </w:r>
            <w:r/>
          </w:p>
        </w:tc>
        <w:tc>
          <w:tcPr>
            <w:tcW w:w="4982" w:type="dxa"/>
            <w:vAlign w:val="center"/>
            <w:textDirection w:val="lrTb"/>
            <w:noWrap w:val="false"/>
          </w:tcPr>
          <w:p>
            <w:pPr>
              <w:pStyle w:val="1049"/>
              <w:spacing w:line="360" w:lineRule="auto"/>
              <w:rPr>
                <w:rFonts w:hint="eastAsia" w:hAnsi="宋体" w:cs="宋体"/>
                <w:bCs/>
                <w:color w:val="auto"/>
                <w:sz w:val="21"/>
                <w:highlight w:val="none"/>
              </w:rPr>
            </w:pPr>
            <w:r>
              <w:rPr>
                <w:rFonts w:hint="eastAsia" w:hAnsi="宋体" w:cs="宋体"/>
                <w:bCs/>
                <w:color w:val="auto"/>
                <w:sz w:val="21"/>
                <w:highlight w:val="none"/>
              </w:rPr>
              <w:t xml:space="preserve">以书面形式通知采购人或采购代理机构。如采用邮件形式（盖章扫描件及word格式文件发至296963515@qq.com邮箱）通知，采购人或采购代理机构将以邮件形式进行答复。</w:t>
            </w:r>
            <w:r/>
          </w:p>
        </w:tc>
      </w:tr>
      <w:tr>
        <w:trPr>
          <w:jc w:val="center"/>
          <w:trHeight w:val="656"/>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45.1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采购代理服务费</w:t>
            </w:r>
            <w:r/>
          </w:p>
        </w:tc>
        <w:tc>
          <w:tcPr>
            <w:tcW w:w="4982" w:type="dxa"/>
            <w:vAlign w:val="center"/>
            <w:textDirection w:val="lrTb"/>
            <w:noWrap w:val="false"/>
          </w:tcPr>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1.支付主体</w:t>
            </w:r>
            <w:r/>
          </w:p>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本项目预算已包含代理服务费。根据采购人与采购代理机构的委托代理协议，代理服务费由中标（成交）供应商支付。供应商报价应当包含代理服务费，该费用不单独计列，由供应商综合考虑并计入投标（响应）总价。</w:t>
            </w:r>
            <w:r/>
          </w:p>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2.收费标准和依据</w:t>
            </w:r>
            <w:r/>
          </w:p>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本项目代理服务费以一年的成交金额为基数，按苏政采协【2024】20号文的80%计取。</w:t>
            </w:r>
            <w:r/>
          </w:p>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3.收取方式</w:t>
            </w:r>
            <w:r/>
          </w:p>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中标（成交）供应商在领取中标（成交）通知书前，一次性向采购代理机构支付。采购代理机构在收到代理服务费后向中标（成交）供应商开具等额的代理服务费发票。</w:t>
            </w:r>
            <w:r/>
          </w:p>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请汇款至以下账户：</w:t>
            </w:r>
            <w:r/>
          </w:p>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户名：江苏省招标中心有限公司；</w:t>
            </w:r>
            <w:r/>
          </w:p>
          <w:p>
            <w:pPr>
              <w:pStyle w:val="1006"/>
              <w:spacing w:line="360" w:lineRule="auto"/>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开户银行：中信银行南京江苏路支行；</w:t>
            </w:r>
            <w:r/>
          </w:p>
          <w:p>
            <w:pPr>
              <w:pStyle w:val="1006"/>
              <w:spacing w:line="360" w:lineRule="auto"/>
              <w:rPr>
                <w:rFonts w:hint="eastAsia" w:hAnsi="宋体" w:cs="宋体"/>
                <w:bCs/>
                <w:color w:val="auto"/>
                <w:highlight w:val="none"/>
              </w:rPr>
            </w:pPr>
            <w:r>
              <w:rPr>
                <w:rFonts w:hint="eastAsia" w:ascii="Times New Roman" w:hAnsi="Times New Roman" w:cs="Microsoft New Tai Lue"/>
                <w:bCs/>
                <w:color w:val="auto"/>
                <w:highlight w:val="none"/>
              </w:rPr>
              <w:t xml:space="preserve">账号：7321810182600023404</w:t>
            </w:r>
            <w:r/>
          </w:p>
        </w:tc>
      </w:tr>
      <w:tr>
        <w:trPr>
          <w:jc w:val="center"/>
          <w:trHeight w:val="654"/>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ind w:left="-533" w:firstLine="533"/>
              <w:jc w:val="left"/>
              <w:spacing w:before="156" w:line="276" w:lineRule="auto"/>
              <w:rPr>
                <w:rFonts w:hint="eastAsia" w:ascii="宋体" w:hAnsi="宋体" w:cs="宋体"/>
                <w:color w:val="auto"/>
                <w:szCs w:val="21"/>
                <w:highlight w:val="none"/>
              </w:rPr>
            </w:pPr>
            <w:r>
              <w:rPr>
                <w:rFonts w:hint="eastAsia" w:ascii="宋体" w:hAnsi="宋体" w:cs="宋体"/>
                <w:color w:val="auto"/>
                <w:highlight w:val="none"/>
              </w:rPr>
              <w:t xml:space="preserve">其他规定</w:t>
            </w:r>
            <w:r/>
          </w:p>
        </w:tc>
        <w:tc>
          <w:tcPr>
            <w:tcW w:w="4982" w:type="dxa"/>
            <w:vAlign w:val="center"/>
            <w:textDirection w:val="lrTb"/>
            <w:noWrap w:val="false"/>
          </w:tcPr>
          <w:p>
            <w:pPr>
              <w:pStyle w:val="1006"/>
              <w:spacing w:line="360" w:lineRule="auto"/>
              <w:rPr>
                <w:rFonts w:hint="eastAsia" w:hAnsi="宋体" w:cs="宋体"/>
                <w:color w:val="auto"/>
                <w:highlight w:val="none"/>
              </w:rPr>
            </w:pPr>
            <w:r>
              <w:rPr>
                <w:rFonts w:hint="eastAsia" w:hAnsi="宋体" w:cs="宋体"/>
                <w:color w:val="auto"/>
                <w:highlight w:val="none"/>
              </w:rPr>
              <w:t xml:space="preserve">采购项目属性：服务类</w:t>
            </w:r>
            <w:r/>
          </w:p>
        </w:tc>
      </w:tr>
      <w:tr>
        <w:trPr>
          <w:jc w:val="center"/>
          <w:trHeight w:val="875"/>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1006"/>
              <w:spacing w:line="360" w:lineRule="auto"/>
              <w:rPr>
                <w:rFonts w:hint="eastAsia" w:hAnsi="宋体" w:cs="宋体"/>
                <w:bCs/>
                <w:color w:val="auto"/>
                <w:highlight w:val="none"/>
              </w:rPr>
            </w:pPr>
            <w:r>
              <w:rPr>
                <w:rFonts w:hint="eastAsia" w:hAnsi="宋体" w:cs="宋体"/>
                <w:color w:val="auto"/>
                <w:highlight w:val="none"/>
              </w:rPr>
              <w:t xml:space="preserve">标的对应的中小企业划分标准所属行业：餐饮业</w:t>
            </w:r>
            <w:r/>
          </w:p>
        </w:tc>
      </w:tr>
      <w:tr>
        <w:trPr>
          <w:jc w:val="center"/>
          <w:trHeight w:val="1963"/>
        </w:trPr>
        <w:tc>
          <w:tcPr>
            <w:tcW w:w="675"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1049"/>
              <w:jc w:val="center"/>
              <w:rPr>
                <w:rFonts w:hint="eastAsia"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49"/>
              <w:jc w:val="left"/>
              <w:spacing w:line="360" w:lineRule="auto"/>
              <w:rPr>
                <w:rFonts w:hint="eastAsia"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1006"/>
              <w:spacing w:line="360" w:lineRule="auto"/>
              <w:rPr>
                <w:rFonts w:hint="eastAsia" w:hAnsi="宋体" w:cs="宋体"/>
                <w:color w:val="auto"/>
                <w:highlight w:val="none"/>
              </w:rPr>
            </w:pPr>
            <w:r>
              <w:rPr>
                <w:rFonts w:hint="eastAsia" w:hAnsi="宋体" w:cs="宋体"/>
                <w:bCs/>
                <w:color w:val="auto"/>
                <w:highlight w:val="none"/>
              </w:rPr>
              <w:t xml:space="preserve">其他规定：</w:t>
            </w:r>
            <w:r>
              <w:rPr>
                <w:rFonts w:hint="eastAsia"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25"/>
        <w:rPr>
          <w:rFonts w:hint="eastAsia" w:ascii="宋体" w:hAnsi="宋体" w:cs="宋体"/>
          <w:color w:val="auto"/>
          <w:highlight w:val="none"/>
        </w:rPr>
      </w:pPr>
      <w:r/>
      <w:bookmarkStart w:id="39" w:name="_Toc103848526"/>
      <w:r/>
      <w:bookmarkStart w:id="40" w:name="_Toc104560837"/>
      <w:r/>
      <w:bookmarkStart w:id="41" w:name="_Toc107246213"/>
      <w:r/>
      <w:bookmarkStart w:id="42" w:name="_Toc100905199"/>
      <w:r>
        <w:rPr>
          <w:rFonts w:ascii="Microsoft New Tai Lue" w:hAnsi="Microsoft New Tai Lue" w:cs="Microsoft New Tai Lue"/>
          <w:color w:val="auto"/>
          <w:highlight w:val="none"/>
        </w:rPr>
        <w:br w:type="page" w:clear="all"/>
      </w:r>
      <w:bookmarkStart w:id="43" w:name="_Toc657"/>
      <w:r>
        <w:rPr>
          <w:rFonts w:hint="eastAsia" w:ascii="宋体" w:hAnsi="宋体" w:cs="宋体"/>
          <w:color w:val="auto"/>
          <w:highlight w:val="none"/>
        </w:rPr>
        <w:t xml:space="preserve">供应商须知</w:t>
      </w:r>
      <w:bookmarkEnd w:id="43"/>
      <w:r/>
      <w:r/>
    </w:p>
    <w:p>
      <w:pPr>
        <w:pStyle w:val="977"/>
        <w:ind w:left="0" w:right="210"/>
        <w:spacing w:line="360" w:lineRule="auto"/>
        <w:rPr>
          <w:rFonts w:hint="eastAsia" w:ascii="宋体" w:hAnsi="宋体" w:cs="宋体"/>
          <w:color w:val="auto"/>
          <w:highlight w:val="none"/>
        </w:rPr>
      </w:pPr>
      <w:r/>
      <w:bookmarkStart w:id="44" w:name="_Toc295"/>
      <w:r>
        <w:rPr>
          <w:rFonts w:hint="eastAsia" w:ascii="宋体" w:hAnsi="宋体" w:cs="宋体"/>
          <w:color w:val="auto"/>
          <w:highlight w:val="none"/>
        </w:rPr>
        <w:t xml:space="preserve">一．总则</w:t>
      </w:r>
      <w:bookmarkEnd w:id="44"/>
      <w:r/>
      <w:r/>
    </w:p>
    <w:p>
      <w:pPr>
        <w:pStyle w:val="977"/>
        <w:ind w:left="0" w:right="210"/>
        <w:spacing w:line="360" w:lineRule="auto"/>
        <w:rPr>
          <w:rFonts w:hint="eastAsia" w:ascii="宋体" w:hAnsi="宋体" w:cs="宋体"/>
          <w:color w:val="auto"/>
          <w:highlight w:val="none"/>
        </w:rPr>
      </w:pPr>
      <w:r/>
      <w:bookmarkStart w:id="45" w:name="_Toc26789"/>
      <w:r>
        <w:rPr>
          <w:rFonts w:hint="eastAsia" w:ascii="宋体" w:hAnsi="宋体" w:cs="宋体"/>
          <w:color w:val="auto"/>
          <w:highlight w:val="none"/>
        </w:rPr>
        <w:t xml:space="preserve">1.采购方式</w:t>
      </w:r>
      <w:bookmarkEnd w:id="45"/>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本次采购采取竞争性磋商采购方式，本磋商文件仅适用于竞争性磋商公告中所述项目。</w:t>
      </w:r>
      <w:r/>
    </w:p>
    <w:p>
      <w:pPr>
        <w:pStyle w:val="977"/>
        <w:ind w:left="0" w:right="210"/>
        <w:spacing w:line="360" w:lineRule="auto"/>
        <w:rPr>
          <w:rFonts w:hint="eastAsia" w:ascii="宋体" w:hAnsi="宋体" w:cs="宋体"/>
          <w:color w:val="auto"/>
          <w:highlight w:val="none"/>
        </w:rPr>
      </w:pPr>
      <w:r/>
      <w:bookmarkStart w:id="46" w:name="_Toc21532"/>
      <w:r>
        <w:rPr>
          <w:rFonts w:hint="eastAsia" w:ascii="宋体" w:hAnsi="宋体" w:cs="宋体"/>
          <w:color w:val="auto"/>
          <w:highlight w:val="none"/>
        </w:rPr>
        <w:t xml:space="preserve">2.定义</w:t>
      </w:r>
      <w:bookmarkEnd w:id="46"/>
      <w:r/>
      <w:r/>
    </w:p>
    <w:p>
      <w:pPr>
        <w:ind w:firstLine="420"/>
        <w:spacing w:before="156"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成交供应商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“评审专家”</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77"/>
        <w:ind w:left="0" w:right="210"/>
        <w:spacing w:line="360" w:lineRule="auto"/>
        <w:rPr>
          <w:rFonts w:hint="eastAsia" w:ascii="宋体" w:hAnsi="宋体" w:cs="宋体"/>
          <w:color w:val="auto"/>
          <w:highlight w:val="none"/>
        </w:rPr>
      </w:pPr>
      <w:r/>
      <w:bookmarkStart w:id="47" w:name="_Toc2256"/>
      <w:r>
        <w:rPr>
          <w:rFonts w:hint="eastAsia" w:ascii="宋体" w:hAnsi="宋体" w:cs="宋体"/>
          <w:color w:val="auto"/>
          <w:highlight w:val="none"/>
        </w:rPr>
        <w:t xml:space="preserve">3.适用法律</w:t>
      </w:r>
      <w:bookmarkEnd w:id="47"/>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77"/>
        <w:ind w:left="0" w:right="210"/>
        <w:spacing w:line="360" w:lineRule="auto"/>
        <w:rPr>
          <w:rFonts w:hint="eastAsia" w:ascii="宋体" w:hAnsi="宋体" w:cs="宋体"/>
          <w:color w:val="auto"/>
          <w:highlight w:val="none"/>
        </w:rPr>
      </w:pPr>
      <w:r/>
      <w:bookmarkStart w:id="48" w:name="_Toc11931"/>
      <w:r>
        <w:rPr>
          <w:rFonts w:hint="eastAsia" w:ascii="宋体" w:hAnsi="宋体" w:cs="宋体"/>
          <w:color w:val="auto"/>
          <w:highlight w:val="none"/>
        </w:rPr>
        <w:t xml:space="preserve">4.政府采购政策（包括但不限于下列具体政策要求）</w:t>
      </w:r>
      <w:bookmarkEnd w:id="48"/>
      <w:r/>
      <w:r/>
    </w:p>
    <w:p>
      <w:pPr>
        <w:ind w:firstLine="422"/>
        <w:spacing w:before="156"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w:t>
      </w:r>
      <w:r>
        <w:rPr>
          <w:rFonts w:hint="eastAsia" w:ascii="宋体" w:hAnsi="宋体" w:cs="宋体"/>
          <w:color w:val="auto"/>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4.1.4小微企业价格评审优惠的政策调整：见第五章《评审方法与评审标准》（如涉及）。</w:t>
      </w:r>
      <w:r/>
    </w:p>
    <w:p>
      <w:pPr>
        <w:ind w:firstLine="422"/>
        <w:spacing w:before="156"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w:t>
      </w:r>
      <w:r>
        <w:rPr>
          <w:rFonts w:hint="eastAsia" w:ascii="宋体" w:hAnsi="宋体" w:cs="宋体"/>
          <w:b/>
          <w:color w:val="auto"/>
          <w:szCs w:val="21"/>
          <w:highlight w:val="none"/>
        </w:rPr>
        <w:t xml:space="preserve">优先采购的具体规定见第五章《评审方法与评审标准》（如涉及）。</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4.3未按上述要求提供相关材料的，不享受相关政策。</w:t>
      </w:r>
      <w:r/>
    </w:p>
    <w:p>
      <w:pPr>
        <w:pStyle w:val="977"/>
        <w:ind w:left="0" w:right="210"/>
        <w:spacing w:line="360" w:lineRule="auto"/>
        <w:rPr>
          <w:rFonts w:hint="eastAsia" w:ascii="宋体" w:hAnsi="宋体" w:cs="宋体"/>
          <w:color w:val="auto"/>
          <w:highlight w:val="none"/>
        </w:rPr>
      </w:pPr>
      <w:r/>
      <w:bookmarkStart w:id="49" w:name="_Toc13814"/>
      <w:r>
        <w:rPr>
          <w:rFonts w:hint="eastAsia" w:ascii="宋体" w:hAnsi="宋体" w:cs="宋体"/>
          <w:color w:val="auto"/>
          <w:highlight w:val="none"/>
        </w:rPr>
        <w:t xml:space="preserve">5.相关费用</w:t>
      </w:r>
      <w:bookmarkEnd w:id="49"/>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5.1参加磋商活动的供应商应自行承担所有与参加磋商有关的费用。</w:t>
      </w:r>
      <w:r/>
    </w:p>
    <w:p>
      <w:pPr>
        <w:pStyle w:val="977"/>
        <w:ind w:left="0" w:right="210"/>
        <w:spacing w:line="360" w:lineRule="auto"/>
        <w:rPr>
          <w:rFonts w:hint="eastAsia" w:ascii="宋体" w:hAnsi="宋体" w:cs="宋体"/>
          <w:color w:val="auto"/>
          <w:highlight w:val="none"/>
        </w:rPr>
      </w:pPr>
      <w:r/>
      <w:bookmarkStart w:id="50" w:name="_Toc10334"/>
      <w:r>
        <w:rPr>
          <w:rFonts w:hint="eastAsia" w:ascii="宋体" w:hAnsi="宋体" w:cs="宋体"/>
          <w:color w:val="auto"/>
          <w:highlight w:val="none"/>
        </w:rPr>
        <w:t xml:space="preserve">6.保密</w:t>
      </w:r>
      <w:bookmarkEnd w:id="50"/>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77"/>
        <w:ind w:left="0" w:right="210"/>
        <w:spacing w:line="360" w:lineRule="auto"/>
        <w:rPr>
          <w:rFonts w:hint="eastAsia" w:ascii="宋体" w:hAnsi="宋体" w:cs="宋体"/>
          <w:color w:val="auto"/>
          <w:highlight w:val="none"/>
        </w:rPr>
      </w:pPr>
      <w:r/>
      <w:bookmarkStart w:id="51" w:name="_Toc8106"/>
      <w:r>
        <w:rPr>
          <w:rFonts w:hint="eastAsia" w:ascii="宋体" w:hAnsi="宋体" w:cs="宋体"/>
          <w:color w:val="auto"/>
          <w:highlight w:val="none"/>
        </w:rPr>
        <w:t xml:space="preserve">7.语言文字、计量单位</w:t>
      </w:r>
      <w:bookmarkEnd w:id="51"/>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7.2所有文件中的计量单位，除磋商文件有特殊要求外，应采用国家法定计量单位。</w:t>
      </w:r>
      <w:r/>
    </w:p>
    <w:p>
      <w:pPr>
        <w:pStyle w:val="977"/>
        <w:ind w:left="0" w:right="210"/>
        <w:spacing w:line="360" w:lineRule="auto"/>
        <w:rPr>
          <w:rFonts w:hint="eastAsia" w:ascii="宋体" w:hAnsi="宋体" w:cs="宋体"/>
          <w:color w:val="auto"/>
          <w:highlight w:val="none"/>
        </w:rPr>
      </w:pPr>
      <w:r/>
      <w:bookmarkStart w:id="52" w:name="_Toc22123"/>
      <w:r>
        <w:rPr>
          <w:rFonts w:hint="eastAsia" w:ascii="宋体" w:hAnsi="宋体" w:cs="宋体"/>
          <w:color w:val="auto"/>
          <w:highlight w:val="none"/>
        </w:rPr>
        <w:t xml:space="preserve">8.现场考察</w:t>
      </w:r>
      <w:bookmarkEnd w:id="52"/>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8.3除非有特殊要求，磋商文件不提供项目所在地的自然环境、气候条件、公用设施等情况，供应商被视为熟悉上述与履行合同有关的一切情况。</w:t>
      </w:r>
      <w:r/>
    </w:p>
    <w:p>
      <w:pPr>
        <w:pStyle w:val="977"/>
        <w:ind w:left="0" w:right="210"/>
        <w:spacing w:line="360" w:lineRule="auto"/>
        <w:rPr>
          <w:rFonts w:hint="eastAsia" w:ascii="宋体" w:hAnsi="宋体" w:cs="宋体"/>
          <w:color w:val="auto"/>
          <w:highlight w:val="none"/>
        </w:rPr>
      </w:pPr>
      <w:r/>
      <w:bookmarkStart w:id="53" w:name="_Toc941"/>
      <w:r>
        <w:rPr>
          <w:rFonts w:hint="eastAsia" w:ascii="宋体" w:hAnsi="宋体" w:cs="宋体"/>
          <w:color w:val="auto"/>
          <w:highlight w:val="none"/>
        </w:rPr>
        <w:t xml:space="preserve">9.磋商前答疑会</w:t>
      </w:r>
      <w:bookmarkEnd w:id="53"/>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规定召开磋商前答疑会的，采购方按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规定的时间和地点召开磋商前答疑会，澄清供应商提出的询问。</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77"/>
        <w:ind w:left="0" w:right="210"/>
        <w:spacing w:line="360" w:lineRule="auto"/>
        <w:rPr>
          <w:rFonts w:hint="eastAsia" w:ascii="宋体" w:hAnsi="宋体" w:cs="宋体"/>
          <w:color w:val="auto"/>
          <w:highlight w:val="none"/>
        </w:rPr>
      </w:pPr>
      <w:r/>
      <w:bookmarkStart w:id="54" w:name="_Toc20739"/>
      <w:r>
        <w:rPr>
          <w:rFonts w:hint="eastAsia" w:ascii="宋体" w:hAnsi="宋体" w:cs="宋体"/>
          <w:color w:val="auto"/>
          <w:szCs w:val="21"/>
          <w:highlight w:val="none"/>
        </w:rPr>
        <w:t xml:space="preserve">10.联合体响应</w:t>
      </w:r>
      <w:bookmarkEnd w:id="54"/>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（4）以联合体形式参加政府采购活动的，联合体各方不得再单独参加或者与其他供应商另外组成联合体参加同一合同项下的政府采购活动。</w:t>
      </w:r>
      <w:r/>
    </w:p>
    <w:p>
      <w:pPr>
        <w:pStyle w:val="977"/>
        <w:ind w:left="0" w:right="210"/>
        <w:spacing w:line="360" w:lineRule="auto"/>
        <w:rPr>
          <w:rFonts w:hint="eastAsia" w:ascii="宋体" w:hAnsi="宋体" w:cs="宋体"/>
          <w:color w:val="auto"/>
          <w:highlight w:val="none"/>
        </w:rPr>
      </w:pPr>
      <w:r/>
      <w:bookmarkStart w:id="55" w:name="_Toc19615"/>
      <w:r>
        <w:rPr>
          <w:rFonts w:hint="eastAsia" w:ascii="宋体" w:hAnsi="宋体" w:cs="宋体"/>
          <w:color w:val="auto"/>
          <w:highlight w:val="none"/>
        </w:rPr>
        <w:t xml:space="preserve">11.分包</w:t>
      </w:r>
      <w:bookmarkEnd w:id="55"/>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77"/>
        <w:ind w:left="0" w:right="210"/>
        <w:spacing w:line="360" w:lineRule="auto"/>
        <w:rPr>
          <w:rFonts w:hint="eastAsia" w:ascii="宋体" w:hAnsi="宋体" w:cs="宋体"/>
          <w:color w:val="auto"/>
          <w:highlight w:val="none"/>
        </w:rPr>
      </w:pPr>
      <w:r/>
      <w:bookmarkStart w:id="56" w:name="_Toc17958"/>
      <w:r>
        <w:rPr>
          <w:rFonts w:hint="eastAsia" w:ascii="宋体" w:hAnsi="宋体" w:cs="宋体"/>
          <w:color w:val="auto"/>
          <w:highlight w:val="none"/>
        </w:rPr>
        <w:t xml:space="preserve">12.样品</w:t>
      </w:r>
      <w:bookmarkEnd w:id="56"/>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12.2样品的评审方法以及评审标准等内容见第五章《评审方法与评审标准》。</w:t>
      </w:r>
      <w:r/>
    </w:p>
    <w:p>
      <w:pPr>
        <w:pStyle w:val="977"/>
        <w:ind w:left="0" w:right="210"/>
        <w:spacing w:line="360" w:lineRule="auto"/>
        <w:rPr>
          <w:rFonts w:hint="eastAsia" w:ascii="宋体" w:hAnsi="宋体" w:cs="宋体"/>
          <w:color w:val="auto"/>
          <w:highlight w:val="none"/>
        </w:rPr>
      </w:pPr>
      <w:r/>
      <w:bookmarkStart w:id="57" w:name="_Toc3821"/>
      <w:r>
        <w:rPr>
          <w:rFonts w:hint="eastAsia" w:ascii="宋体" w:hAnsi="宋体" w:cs="宋体"/>
          <w:color w:val="auto"/>
          <w:highlight w:val="none"/>
        </w:rPr>
        <w:t xml:space="preserve">13.采购进口产品</w:t>
      </w:r>
      <w:bookmarkEnd w:id="57"/>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77"/>
        <w:ind w:left="0" w:right="210"/>
        <w:spacing w:line="360" w:lineRule="auto"/>
        <w:rPr>
          <w:rFonts w:hint="eastAsia" w:ascii="宋体" w:hAnsi="宋体" w:cs="宋体"/>
          <w:color w:val="auto"/>
          <w:highlight w:val="none"/>
        </w:rPr>
      </w:pPr>
      <w:r/>
      <w:bookmarkStart w:id="58" w:name="_Toc25906"/>
      <w:r>
        <w:rPr>
          <w:rFonts w:hint="eastAsia" w:ascii="宋体" w:hAnsi="宋体" w:cs="宋体"/>
          <w:color w:val="auto"/>
          <w:highlight w:val="none"/>
        </w:rPr>
        <w:t xml:space="preserve">14.采购项目预算及最高限价</w:t>
      </w:r>
      <w:bookmarkEnd w:id="58"/>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77"/>
        <w:ind w:left="0" w:right="210"/>
        <w:spacing w:line="360" w:lineRule="auto"/>
        <w:rPr>
          <w:rFonts w:hint="eastAsia" w:ascii="宋体" w:hAnsi="宋体" w:cs="宋体"/>
          <w:color w:val="auto"/>
          <w:highlight w:val="none"/>
        </w:rPr>
      </w:pPr>
      <w:r/>
      <w:bookmarkStart w:id="59" w:name="_Toc7813"/>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59"/>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77"/>
        <w:ind w:left="0" w:right="210"/>
        <w:spacing w:line="360" w:lineRule="auto"/>
        <w:rPr>
          <w:rFonts w:hint="eastAsia" w:ascii="宋体" w:hAnsi="宋体" w:cs="宋体"/>
          <w:color w:val="auto"/>
          <w:highlight w:val="none"/>
        </w:rPr>
      </w:pPr>
      <w:r/>
      <w:bookmarkStart w:id="60" w:name="_Toc5211"/>
      <w:r>
        <w:rPr>
          <w:rFonts w:hint="eastAsia" w:ascii="宋体" w:hAnsi="宋体" w:cs="宋体"/>
          <w:color w:val="auto"/>
          <w:highlight w:val="none"/>
        </w:rPr>
        <w:t xml:space="preserve">二．磋商文件</w:t>
      </w:r>
      <w:bookmarkEnd w:id="60"/>
      <w:r/>
      <w:r/>
    </w:p>
    <w:p>
      <w:pPr>
        <w:pStyle w:val="977"/>
        <w:ind w:left="0" w:right="210"/>
        <w:spacing w:line="360" w:lineRule="auto"/>
        <w:rPr>
          <w:rFonts w:hint="eastAsia" w:ascii="宋体" w:hAnsi="宋体" w:cs="宋体"/>
          <w:color w:val="auto"/>
          <w:highlight w:val="none"/>
        </w:rPr>
      </w:pPr>
      <w:r/>
      <w:bookmarkStart w:id="61" w:name="_Toc2776"/>
      <w:r>
        <w:rPr>
          <w:rFonts w:hint="eastAsia" w:ascii="宋体" w:hAnsi="宋体" w:cs="宋体"/>
          <w:color w:val="auto"/>
          <w:highlight w:val="none"/>
        </w:rPr>
        <w:t xml:space="preserve">16.磋商文件的构成</w:t>
      </w:r>
      <w:bookmarkEnd w:id="61"/>
      <w:r/>
      <w:r/>
    </w:p>
    <w:p>
      <w:pPr>
        <w:pStyle w:val="1049"/>
        <w:ind w:firstLine="420"/>
        <w:rPr>
          <w:rFonts w:hint="eastAsia" w:hAnsi="宋体" w:cs="宋体"/>
          <w:bCs/>
          <w:color w:val="auto"/>
          <w:sz w:val="21"/>
          <w:highlight w:val="none"/>
        </w:rPr>
      </w:pPr>
      <w:r>
        <w:rPr>
          <w:rFonts w:hint="eastAsia" w:hAnsi="宋体" w:cs="宋体"/>
          <w:bCs/>
          <w:color w:val="auto"/>
          <w:sz w:val="21"/>
          <w:highlight w:val="none"/>
        </w:rPr>
        <w:t xml:space="preserve">16.1磋商文件各章节的内容如下：</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第一章：竞争性磋商公告</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第三章：评审方法与评审标准</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第五章：政府采购合同条款及格式</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第六章：响应文件格式</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对磋商文件所作的澄清、修改，构成磋商文件的组成部分。</w:t>
      </w:r>
      <w:r/>
    </w:p>
    <w:p>
      <w:pPr>
        <w:ind w:firstLine="422"/>
        <w:spacing w:before="156"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★磋商文件成交注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16.4本项目磋商文件如包括多个分包，则除非特别说明，磋商文件所列各项要求均为各分包通用要求。</w:t>
      </w:r>
      <w:r/>
    </w:p>
    <w:p>
      <w:pPr>
        <w:pStyle w:val="977"/>
        <w:ind w:left="0" w:right="210"/>
        <w:spacing w:line="360" w:lineRule="auto"/>
        <w:rPr>
          <w:rFonts w:hint="eastAsia" w:ascii="宋体" w:hAnsi="宋体" w:cs="宋体"/>
          <w:color w:val="auto"/>
          <w:highlight w:val="none"/>
        </w:rPr>
      </w:pPr>
      <w:r/>
      <w:bookmarkStart w:id="62" w:name="_Toc10006"/>
      <w:r>
        <w:rPr>
          <w:rFonts w:hint="eastAsia" w:ascii="宋体" w:hAnsi="宋体" w:cs="宋体"/>
          <w:color w:val="auto"/>
          <w:highlight w:val="none"/>
        </w:rPr>
        <w:t xml:space="preserve">17.磋商文件的澄清或者修改</w:t>
      </w:r>
      <w:bookmarkEnd w:id="62"/>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77"/>
        <w:ind w:left="0" w:right="210"/>
        <w:spacing w:line="360" w:lineRule="auto"/>
        <w:rPr>
          <w:rFonts w:hint="eastAsia" w:ascii="宋体" w:hAnsi="宋体" w:cs="宋体"/>
          <w:color w:val="auto"/>
          <w:highlight w:val="none"/>
        </w:rPr>
      </w:pPr>
      <w:r/>
      <w:bookmarkStart w:id="63" w:name="_Toc31787"/>
      <w:r>
        <w:rPr>
          <w:rFonts w:hint="eastAsia" w:ascii="宋体" w:hAnsi="宋体" w:cs="宋体"/>
          <w:color w:val="auto"/>
          <w:highlight w:val="none"/>
        </w:rPr>
        <w:t xml:space="preserve">三．响应文件</w:t>
      </w:r>
      <w:bookmarkEnd w:id="63"/>
      <w:r/>
      <w:r/>
    </w:p>
    <w:p>
      <w:pPr>
        <w:pStyle w:val="977"/>
        <w:ind w:left="0" w:right="210"/>
        <w:spacing w:line="360" w:lineRule="auto"/>
        <w:rPr>
          <w:rFonts w:hint="eastAsia" w:ascii="宋体" w:hAnsi="宋体" w:cs="宋体"/>
          <w:color w:val="auto"/>
          <w:highlight w:val="none"/>
        </w:rPr>
      </w:pPr>
      <w:r/>
      <w:bookmarkStart w:id="64" w:name="_Toc17582"/>
      <w:r>
        <w:rPr>
          <w:rFonts w:hint="eastAsia" w:ascii="宋体" w:hAnsi="宋体" w:cs="宋体"/>
          <w:color w:val="auto"/>
          <w:highlight w:val="none"/>
        </w:rPr>
        <w:t xml:space="preserve">18.响应文件的组成</w:t>
      </w:r>
      <w:bookmarkEnd w:id="64"/>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18.1响应文件由价格及商务部分、技术部分以及其他部分组成，格式见磋商文件第六章《响应文件格式》。</w:t>
      </w:r>
      <w:r/>
    </w:p>
    <w:p>
      <w:pPr>
        <w:ind w:firstLine="422"/>
        <w:spacing w:before="156"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响应文件部分，包括但不限于下列文件：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（4-1）初始报价一览表，格式见附件。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（4-2）分项报价表，格式见附件。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具备资格的证明文件：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bookmarkStart w:id="219" w:name="_GoBack"/>
      <w:r/>
      <w:bookmarkEnd w:id="219"/>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（6-7）无不良信用记录承诺函</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（6-8）磋商文件要求的其它实质性资格资信证明文件。</w:t>
      </w:r>
      <w:r/>
    </w:p>
    <w:p>
      <w:pPr>
        <w:ind w:firstLine="315"/>
        <w:jc w:val="left"/>
        <w:spacing w:line="360" w:lineRule="auto"/>
        <w:rPr>
          <w:color w:val="auto"/>
          <w:highlight w:val="none"/>
        </w:rPr>
      </w:pPr>
      <w:r>
        <w:rPr>
          <w:rFonts w:hint="eastAsia" w:ascii="宋体" w:hAnsi="宋体" w:cs="宋体"/>
          <w:color w:val="auto"/>
          <w:szCs w:val="21"/>
          <w:highlight w:val="none"/>
        </w:rPr>
        <w:t xml:space="preserve">（7）技术条款偏离表，格式见附件。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采购需求中★号项证明材料（如需）</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（10）服务承诺（如需）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）拟投入人员一览表。</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）业绩一览表</w:t>
      </w:r>
      <w:r/>
    </w:p>
    <w:p>
      <w:pPr>
        <w:ind w:firstLine="422"/>
        <w:spacing w:before="156"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18.3响应文件的其他部分</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18.3.1响应文件的其他部分由供应商根据编制响应文件需要提供的其他相关文件组成。</w:t>
      </w:r>
      <w:r/>
    </w:p>
    <w:p>
      <w:pPr>
        <w:pStyle w:val="977"/>
        <w:ind w:left="0" w:right="210"/>
        <w:spacing w:line="360" w:lineRule="auto"/>
        <w:rPr>
          <w:rFonts w:hint="eastAsia" w:ascii="宋体" w:hAnsi="宋体" w:cs="宋体"/>
          <w:color w:val="auto"/>
          <w:szCs w:val="21"/>
          <w:highlight w:val="none"/>
        </w:rPr>
      </w:pPr>
      <w:r/>
      <w:bookmarkStart w:id="65" w:name="_Toc1106"/>
      <w:r>
        <w:rPr>
          <w:rFonts w:hint="eastAsia" w:ascii="宋体" w:hAnsi="宋体" w:cs="宋体"/>
          <w:color w:val="auto"/>
          <w:highlight w:val="none"/>
        </w:rPr>
        <w:t xml:space="preserve">19.响应文件编制的原则</w:t>
      </w:r>
      <w:bookmarkEnd w:id="65"/>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供应商必须保证响应文件所提供的全部资料真实可靠。</w:t>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响应文件须对磋商文件中的内容做出实质性和完整的响应。</w:t>
      </w:r>
      <w:r/>
    </w:p>
    <w:p>
      <w:pPr>
        <w:pStyle w:val="977"/>
        <w:ind w:left="0" w:right="210"/>
        <w:spacing w:line="360" w:lineRule="auto"/>
        <w:rPr>
          <w:rFonts w:hint="eastAsia" w:ascii="宋体" w:hAnsi="宋体" w:cs="宋体"/>
          <w:color w:val="auto"/>
          <w:szCs w:val="21"/>
          <w:highlight w:val="none"/>
        </w:rPr>
      </w:pPr>
      <w:r/>
      <w:bookmarkStart w:id="66" w:name="_Toc26770"/>
      <w:r>
        <w:rPr>
          <w:rFonts w:hint="eastAsia" w:ascii="宋体" w:hAnsi="宋体" w:cs="宋体"/>
          <w:color w:val="auto"/>
          <w:highlight w:val="none"/>
        </w:rPr>
        <w:t xml:space="preserve">20.报价</w:t>
      </w:r>
      <w:bookmarkEnd w:id="66"/>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20.1除非采购文件另有规定，</w:t>
      </w:r>
      <w:r>
        <w:rPr>
          <w:rFonts w:hint="eastAsia" w:ascii="宋体" w:hAnsi="宋体" w:cs="宋体"/>
          <w:color w:val="auto"/>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auto"/>
          <w:szCs w:val="21"/>
          <w:highlight w:val="none"/>
        </w:rPr>
        <w:t xml:space="preserve">。</w:t>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color w:val="auto"/>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77"/>
        <w:ind w:left="0" w:right="210"/>
        <w:spacing w:line="360" w:lineRule="auto"/>
        <w:rPr>
          <w:rFonts w:hint="eastAsia" w:ascii="宋体" w:hAnsi="宋体" w:cs="宋体"/>
          <w:color w:val="auto"/>
          <w:highlight w:val="none"/>
        </w:rPr>
      </w:pPr>
      <w:r/>
      <w:bookmarkStart w:id="67" w:name="_Toc17981"/>
      <w:r>
        <w:rPr>
          <w:rFonts w:hint="eastAsia" w:ascii="宋体" w:hAnsi="宋体" w:cs="宋体"/>
          <w:color w:val="auto"/>
          <w:highlight w:val="none"/>
        </w:rPr>
        <w:t xml:space="preserve">21.响应有效期</w:t>
      </w:r>
      <w:bookmarkEnd w:id="67"/>
      <w:r/>
      <w:r/>
    </w:p>
    <w:p>
      <w:pPr>
        <w:ind w:firstLine="422"/>
        <w:spacing w:before="156"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21.1响应有效期见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规定的响应截止之日起计算。</w:t>
      </w:r>
      <w:r>
        <w:rPr>
          <w:rFonts w:hint="eastAsia" w:ascii="宋体" w:hAnsi="宋体" w:cs="宋体"/>
          <w:b/>
          <w:bCs/>
          <w:color w:val="auto"/>
          <w:szCs w:val="21"/>
          <w:highlight w:val="none"/>
        </w:rPr>
        <w:t xml:space="preserve">响应有效期不足的，在评审时将其视为无效响应。</w:t>
      </w:r>
      <w:r/>
    </w:p>
    <w:p>
      <w:pPr>
        <w:pStyle w:val="977"/>
        <w:ind w:left="0" w:right="210"/>
        <w:spacing w:line="360" w:lineRule="auto"/>
        <w:rPr>
          <w:rFonts w:hint="eastAsia" w:ascii="宋体" w:hAnsi="宋体" w:cs="宋体"/>
          <w:color w:val="auto"/>
          <w:highlight w:val="none"/>
        </w:rPr>
      </w:pPr>
      <w:r/>
      <w:bookmarkStart w:id="68" w:name="_Toc29226"/>
      <w:r>
        <w:rPr>
          <w:rFonts w:hint="eastAsia" w:ascii="宋体" w:hAnsi="宋体" w:cs="宋体"/>
          <w:color w:val="auto"/>
          <w:highlight w:val="none"/>
        </w:rPr>
        <w:t xml:space="preserve">22.磋商保证金</w:t>
      </w:r>
      <w:bookmarkEnd w:id="68"/>
      <w:r/>
      <w:r/>
    </w:p>
    <w:p>
      <w:pPr>
        <w:ind w:firstLine="420"/>
        <w:spacing w:before="156"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22.1本项目无需交纳磋商保证金。</w:t>
      </w:r>
      <w:r/>
    </w:p>
    <w:p>
      <w:pPr>
        <w:pStyle w:val="977"/>
        <w:ind w:left="0" w:right="210"/>
        <w:spacing w:line="360" w:lineRule="auto"/>
        <w:rPr>
          <w:rFonts w:hint="eastAsia" w:ascii="宋体" w:hAnsi="宋体" w:cs="宋体"/>
          <w:color w:val="auto"/>
          <w:highlight w:val="none"/>
        </w:rPr>
      </w:pPr>
      <w:r/>
      <w:bookmarkStart w:id="69" w:name="_Toc13063"/>
      <w:r>
        <w:rPr>
          <w:rFonts w:hint="eastAsia" w:ascii="宋体" w:hAnsi="宋体" w:cs="宋体"/>
          <w:color w:val="auto"/>
          <w:highlight w:val="none"/>
        </w:rPr>
        <w:t xml:space="preserve">23.响应文件的制作和签署</w:t>
      </w:r>
      <w:bookmarkEnd w:id="69"/>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23.1供应商</w:t>
      </w:r>
      <w:r>
        <w:rPr>
          <w:rFonts w:hint="eastAsia" w:ascii="宋体" w:hAnsi="宋体" w:cs="宋体"/>
          <w:color w:val="auto"/>
          <w:szCs w:val="21"/>
          <w:highlight w:val="none"/>
          <w:lang w:val="zh-CN"/>
        </w:rPr>
        <w:t xml:space="preserve">应当按照《操作手册》规定，在</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公告规定的投标截止时间前制作并上传电子响应文件。</w:t>
      </w:r>
      <w:bookmarkStart w:id="70" w:name="_Toc513029226"/>
      <w:r/>
      <w:bookmarkEnd w:id="70"/>
      <w:r/>
      <w:bookmarkStart w:id="71" w:name="_Toc20823298"/>
      <w:r/>
      <w:bookmarkEnd w:id="71"/>
      <w:r/>
      <w:bookmarkStart w:id="72" w:name="_Toc16938542"/>
      <w:r/>
      <w:bookmarkEnd w:id="72"/>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23</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应充分考虑网络环境、网络带宽等因素</w:t>
      </w:r>
      <w:r>
        <w:rPr>
          <w:rFonts w:hint="eastAsia" w:ascii="宋体" w:hAnsi="宋体" w:cs="宋体"/>
          <w:color w:val="auto"/>
          <w:szCs w:val="21"/>
          <w:highlight w:val="none"/>
        </w:rPr>
        <w:t xml:space="preserve">可能对投标产生的影响</w:t>
      </w:r>
      <w:r>
        <w:rPr>
          <w:rFonts w:hint="eastAsia" w:ascii="宋体" w:hAnsi="宋体" w:cs="宋体"/>
          <w:color w:val="auto"/>
          <w:szCs w:val="21"/>
          <w:highlight w:val="none"/>
          <w:lang w:val="zh-CN"/>
        </w:rPr>
        <w:t xml:space="preserve">，如因</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自身原因造成的电子响应文件上传不成功的，按无效投标处理。</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代理机构（采购人）</w:t>
      </w:r>
      <w:r>
        <w:rPr>
          <w:rFonts w:hint="eastAsia" w:ascii="宋体" w:hAnsi="宋体" w:cs="宋体"/>
          <w:color w:val="auto"/>
          <w:szCs w:val="21"/>
          <w:highlight w:val="none"/>
          <w:lang w:val="zh-CN"/>
        </w:rPr>
        <w:t xml:space="preserve">可以按照规定，通过修改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文件酌情延长投标截止时间，在此情况下，</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的所有权利和义务均以延长后新的截止时间为准</w:t>
      </w:r>
      <w:r>
        <w:rPr>
          <w:rFonts w:hint="eastAsia" w:ascii="宋体" w:hAnsi="宋体" w:cs="宋体"/>
          <w:color w:val="auto"/>
          <w:szCs w:val="21"/>
          <w:highlight w:val="none"/>
        </w:rPr>
        <w:t xml:space="preserve">。</w:t>
      </w:r>
      <w:r/>
    </w:p>
    <w:p>
      <w:pPr>
        <w:pStyle w:val="977"/>
        <w:ind w:left="0" w:right="210"/>
        <w:spacing w:line="360" w:lineRule="auto"/>
        <w:rPr>
          <w:rFonts w:hint="eastAsia" w:ascii="宋体" w:hAnsi="宋体" w:cs="宋体"/>
          <w:color w:val="auto"/>
          <w:highlight w:val="none"/>
        </w:rPr>
      </w:pPr>
      <w:r/>
      <w:bookmarkStart w:id="73" w:name="_Toc10288"/>
      <w:r>
        <w:rPr>
          <w:rFonts w:hint="eastAsia" w:ascii="宋体" w:hAnsi="宋体" w:cs="宋体"/>
          <w:color w:val="auto"/>
          <w:highlight w:val="none"/>
        </w:rPr>
        <w:t xml:space="preserve">四．响应文件的提交</w:t>
      </w:r>
      <w:bookmarkEnd w:id="73"/>
      <w:r/>
      <w:r/>
    </w:p>
    <w:p>
      <w:pPr>
        <w:pStyle w:val="977"/>
        <w:ind w:left="0" w:right="210"/>
        <w:spacing w:line="360" w:lineRule="auto"/>
        <w:rPr>
          <w:rFonts w:hint="eastAsia" w:ascii="宋体" w:hAnsi="宋体" w:cs="宋体"/>
          <w:color w:val="auto"/>
          <w:highlight w:val="none"/>
        </w:rPr>
      </w:pPr>
      <w:r/>
      <w:bookmarkStart w:id="74" w:name="_Toc20583"/>
      <w:r>
        <w:rPr>
          <w:rFonts w:hint="eastAsia" w:ascii="宋体" w:hAnsi="宋体" w:cs="宋体"/>
          <w:color w:val="auto"/>
          <w:highlight w:val="none"/>
        </w:rPr>
        <w:t xml:space="preserve">24.响应文件的递交</w:t>
      </w:r>
      <w:bookmarkEnd w:id="74"/>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24</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投标截止时间后上传的任何响应文件将被拒绝。</w:t>
      </w:r>
      <w:r/>
    </w:p>
    <w:p>
      <w:pPr>
        <w:pStyle w:val="977"/>
        <w:ind w:left="0" w:right="210"/>
        <w:spacing w:line="360" w:lineRule="auto"/>
        <w:rPr>
          <w:rFonts w:hint="eastAsia" w:ascii="宋体" w:hAnsi="宋体" w:cs="宋体"/>
          <w:color w:val="auto"/>
          <w:highlight w:val="none"/>
        </w:rPr>
      </w:pPr>
      <w:r/>
      <w:bookmarkStart w:id="75" w:name="_Toc16938544"/>
      <w:r/>
      <w:bookmarkStart w:id="76" w:name="_Toc513029228"/>
      <w:r/>
      <w:bookmarkStart w:id="77" w:name="_Toc29657"/>
      <w:r/>
      <w:bookmarkStart w:id="78" w:name="_Toc20823300"/>
      <w:r>
        <w:rPr>
          <w:rFonts w:hint="eastAsia" w:ascii="宋体" w:hAnsi="宋体" w:cs="宋体"/>
          <w:color w:val="auto"/>
          <w:highlight w:val="none"/>
        </w:rPr>
        <w:t xml:space="preserve">25.响应文件的撤回和修改</w:t>
      </w:r>
      <w:bookmarkEnd w:id="75"/>
      <w:r/>
      <w:bookmarkEnd w:id="76"/>
      <w:r/>
      <w:bookmarkEnd w:id="77"/>
      <w:r/>
      <w:bookmarkEnd w:id="78"/>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zh-CN"/>
        </w:rPr>
        <w:t xml:space="preserve">.1 响应文件的撤回</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zh-CN"/>
        </w:rPr>
        <w:t xml:space="preserve">.1.1</w:t>
      </w:r>
      <w:r>
        <w:rPr>
          <w:rFonts w:hint="eastAsia" w:ascii="宋体" w:hAnsi="宋体" w:cs="宋体"/>
          <w:color w:val="auto"/>
          <w:szCs w:val="21"/>
          <w:highlight w:val="none"/>
        </w:rPr>
        <w:t xml:space="preserve"> 供应商</w:t>
      </w:r>
      <w:r>
        <w:rPr>
          <w:rFonts w:hint="eastAsia" w:ascii="宋体" w:hAnsi="宋体" w:cs="宋体"/>
          <w:color w:val="auto"/>
          <w:szCs w:val="21"/>
          <w:highlight w:val="none"/>
          <w:lang w:val="zh-CN"/>
        </w:rPr>
        <w:t xml:space="preserve">可在投标截止时间前撤回其电子响应文件，具体操作方法见《操作手册》。</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 供应商</w:t>
      </w:r>
      <w:r>
        <w:rPr>
          <w:rFonts w:hint="eastAsia" w:ascii="宋体" w:hAnsi="宋体" w:cs="宋体"/>
          <w:color w:val="auto"/>
          <w:szCs w:val="21"/>
          <w:highlight w:val="none"/>
          <w:lang w:val="zh-CN"/>
        </w:rPr>
        <w:t xml:space="preserve">撤回电子响应文件，则认为其不再参与本项目投标活动。</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zh-CN"/>
        </w:rPr>
        <w:t xml:space="preserve">.2 响应文件的修改</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zh-CN"/>
        </w:rPr>
        <w:t xml:space="preserve">.2.1</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投标人可在投标截止时间前对其电子响应文件进行修改，具体操作方法见《操作手册》。</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zh-CN"/>
        </w:rPr>
        <w:t xml:space="preserve">.2.2</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投标截止时间之后，投标人不得对其电子响应文件作任何修改。</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zh-CN"/>
        </w:rPr>
        <w:t xml:space="preserve">.3 在投标截止时间至招标文件中规定的投标有效期满之间的这段时间内，投标人不得撤回其投标。</w:t>
      </w:r>
      <w:bookmarkStart w:id="79" w:name="_Toc16938545"/>
      <w:r/>
      <w:bookmarkStart w:id="80" w:name="_Toc20823301"/>
      <w:r/>
      <w:bookmarkStart w:id="81" w:name="_Toc120614218"/>
      <w:r/>
      <w:bookmarkStart w:id="82" w:name="_Toc513029229"/>
      <w:r/>
      <w:r/>
    </w:p>
    <w:p>
      <w:pPr>
        <w:pStyle w:val="977"/>
        <w:ind w:left="0" w:right="210"/>
        <w:spacing w:line="360" w:lineRule="auto"/>
        <w:rPr>
          <w:rFonts w:hint="eastAsia" w:ascii="宋体" w:hAnsi="宋体" w:cs="宋体"/>
          <w:color w:val="auto"/>
          <w:highlight w:val="none"/>
        </w:rPr>
      </w:pPr>
      <w:r/>
      <w:bookmarkStart w:id="83" w:name="_Toc23471"/>
      <w:r>
        <w:rPr>
          <w:rFonts w:hint="eastAsia" w:ascii="宋体" w:hAnsi="宋体" w:cs="宋体"/>
          <w:color w:val="auto"/>
          <w:highlight w:val="none"/>
        </w:rPr>
        <w:t xml:space="preserve">五、</w:t>
      </w:r>
      <w:bookmarkEnd w:id="79"/>
      <w:r/>
      <w:bookmarkEnd w:id="80"/>
      <w:r/>
      <w:bookmarkEnd w:id="81"/>
      <w:r/>
      <w:bookmarkEnd w:id="82"/>
      <w:r>
        <w:rPr>
          <w:rFonts w:hint="eastAsia" w:ascii="宋体" w:hAnsi="宋体" w:cs="宋体"/>
          <w:color w:val="auto"/>
          <w:highlight w:val="none"/>
        </w:rPr>
        <w:t xml:space="preserve">响应文件的解密与评审</w:t>
      </w:r>
      <w:bookmarkEnd w:id="83"/>
      <w:r/>
      <w:r/>
    </w:p>
    <w:p>
      <w:pPr>
        <w:pStyle w:val="977"/>
        <w:ind w:left="0" w:right="210"/>
        <w:spacing w:line="360" w:lineRule="auto"/>
        <w:rPr>
          <w:rFonts w:hint="eastAsia" w:ascii="宋体" w:hAnsi="宋体" w:cs="宋体"/>
          <w:color w:val="auto"/>
          <w:highlight w:val="none"/>
        </w:rPr>
      </w:pPr>
      <w:r/>
      <w:bookmarkStart w:id="84" w:name="_Toc31323"/>
      <w:r>
        <w:rPr>
          <w:rFonts w:hint="eastAsia" w:ascii="宋体" w:hAnsi="宋体" w:cs="宋体"/>
          <w:color w:val="auto"/>
          <w:highlight w:val="none"/>
        </w:rPr>
        <w:t xml:space="preserve">26.响应文件解密</w:t>
      </w:r>
      <w:bookmarkEnd w:id="84"/>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 供应商应当按照《操作手册》规定，在苏采云系统规定的时间内对响应文件进行解密。</w:t>
      </w:r>
      <w:r/>
    </w:p>
    <w:p>
      <w:pPr>
        <w:pStyle w:val="977"/>
        <w:ind w:left="0" w:right="210"/>
        <w:spacing w:line="360" w:lineRule="auto"/>
        <w:rPr>
          <w:rFonts w:hint="eastAsia" w:ascii="宋体" w:hAnsi="宋体" w:cs="宋体"/>
          <w:color w:val="auto"/>
          <w:highlight w:val="none"/>
        </w:rPr>
      </w:pPr>
      <w:r/>
      <w:bookmarkStart w:id="85" w:name="_Toc30141"/>
      <w:r>
        <w:rPr>
          <w:rFonts w:hint="eastAsia" w:ascii="宋体" w:hAnsi="宋体" w:cs="宋体"/>
          <w:color w:val="auto"/>
          <w:highlight w:val="none"/>
        </w:rPr>
        <w:t xml:space="preserve">27.磋商</w:t>
      </w:r>
      <w:bookmarkEnd w:id="85"/>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 依法组建的磋商小组对响应文件进行评审。</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 磋商小组由采购人代表和有关技术、经济或法律等方面的专家组成，且人员构成符合政府采购有关规定。</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 磋商小组独立工作，负责评审所有响应文件并推荐成交候选人，或根据采购人授权直接确定成交供应商。</w:t>
      </w:r>
      <w:r/>
    </w:p>
    <w:p>
      <w:pPr>
        <w:pStyle w:val="977"/>
        <w:ind w:left="0" w:right="210"/>
        <w:spacing w:line="360" w:lineRule="auto"/>
        <w:rPr>
          <w:rFonts w:hint="eastAsia" w:ascii="宋体" w:hAnsi="宋体" w:cs="宋体"/>
          <w:color w:val="auto"/>
          <w:highlight w:val="none"/>
        </w:rPr>
      </w:pPr>
      <w:r/>
      <w:bookmarkStart w:id="86" w:name="_Toc12178"/>
      <w:r>
        <w:rPr>
          <w:rFonts w:hint="eastAsia" w:ascii="宋体" w:hAnsi="宋体" w:cs="宋体"/>
          <w:color w:val="auto"/>
          <w:highlight w:val="none"/>
        </w:rPr>
        <w:t xml:space="preserve">28.评审过程的保密与公正</w:t>
      </w:r>
      <w:bookmarkEnd w:id="86"/>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磋商小组、采购人和代理机构工作人员、相关监督人员等与评审工作有关的人员，对评审情况以及在评审过程中获悉的国家秘密、商业秘密负有保密责任。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 供应商不得以任何方式影响评审过程，否则其响应文件将被作为无效响应文件。</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 代理机构（采购人）和磋商小组不向未成交的供应商解释未成交原因，也不公布评审过程中的相关细节。</w:t>
      </w:r>
      <w:r/>
    </w:p>
    <w:p>
      <w:pPr>
        <w:pStyle w:val="977"/>
        <w:ind w:left="0" w:right="210"/>
        <w:spacing w:line="360" w:lineRule="auto"/>
        <w:rPr>
          <w:rFonts w:hint="eastAsia" w:ascii="宋体" w:hAnsi="宋体" w:cs="宋体"/>
          <w:color w:val="auto"/>
          <w:highlight w:val="none"/>
        </w:rPr>
      </w:pPr>
      <w:r/>
      <w:bookmarkStart w:id="87" w:name="_Toc10129"/>
      <w:r>
        <w:rPr>
          <w:rFonts w:hint="eastAsia" w:ascii="宋体" w:hAnsi="宋体" w:cs="宋体"/>
          <w:color w:val="auto"/>
          <w:highlight w:val="none"/>
        </w:rPr>
        <w:t xml:space="preserve">29.评审过程中的澄清</w:t>
      </w:r>
      <w:bookmarkEnd w:id="87"/>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磋商小组并非对每个供应商都做澄清要求。</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 需要供应商进行澄清、说明和补正的，磋商小组将通过苏采云系统向供应商发出</w:t>
      </w:r>
      <w:r>
        <w:rPr>
          <w:rFonts w:hint="eastAsia" w:ascii="宋体" w:hAnsi="宋体" w:cs="宋体"/>
          <w:color w:val="auto"/>
          <w:szCs w:val="21"/>
          <w:highlight w:val="none"/>
          <w:lang w:val="zh-CN"/>
        </w:rPr>
        <w:t xml:space="preserve">《澄清要求函》</w:t>
      </w:r>
      <w:r>
        <w:rPr>
          <w:rFonts w:hint="eastAsia" w:ascii="宋体" w:hAnsi="宋体" w:cs="宋体"/>
          <w:color w:val="auto"/>
          <w:szCs w:val="21"/>
          <w:highlight w:val="none"/>
        </w:rPr>
        <w:t xml:space="preserve">，接到</w:t>
      </w:r>
      <w:r>
        <w:rPr>
          <w:rFonts w:hint="eastAsia" w:ascii="宋体" w:hAnsi="宋体" w:cs="宋体"/>
          <w:color w:val="auto"/>
          <w:szCs w:val="21"/>
          <w:highlight w:val="none"/>
          <w:lang w:val="zh-CN"/>
        </w:rPr>
        <w:t xml:space="preserve">《澄清要求函》</w:t>
      </w:r>
      <w:r>
        <w:rPr>
          <w:rFonts w:hint="eastAsia" w:ascii="宋体" w:hAnsi="宋体" w:cs="宋体"/>
          <w:color w:val="auto"/>
          <w:szCs w:val="21"/>
          <w:highlight w:val="none"/>
        </w:rPr>
        <w:t xml:space="preserve">的供应商应当按照要求在苏采云系统中提交</w:t>
      </w:r>
      <w:r>
        <w:rPr>
          <w:rFonts w:hint="eastAsia" w:ascii="宋体" w:hAnsi="宋体" w:cs="宋体"/>
          <w:color w:val="auto"/>
          <w:szCs w:val="21"/>
          <w:highlight w:val="none"/>
          <w:lang w:val="zh-CN"/>
        </w:rPr>
        <w:t xml:space="preserve">《澄清响应函》</w:t>
      </w:r>
      <w:r>
        <w:rPr>
          <w:rFonts w:hint="eastAsia" w:ascii="宋体" w:hAnsi="宋体" w:cs="宋体"/>
          <w:color w:val="auto"/>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29.3 接到磋商小组澄清、说明和补正要求的供应商如未按规定做出澄清、说明和补正，其风险由供应商自行承担。</w:t>
      </w:r>
      <w:r/>
    </w:p>
    <w:p>
      <w:pPr>
        <w:pStyle w:val="977"/>
        <w:ind w:left="0" w:right="210"/>
        <w:spacing w:line="360" w:lineRule="auto"/>
        <w:rPr>
          <w:rFonts w:hint="eastAsia" w:ascii="宋体" w:hAnsi="宋体" w:cs="宋体"/>
          <w:color w:val="auto"/>
          <w:highlight w:val="none"/>
        </w:rPr>
      </w:pPr>
      <w:r/>
      <w:bookmarkStart w:id="88" w:name="_Toc4815"/>
      <w:r>
        <w:rPr>
          <w:rFonts w:hint="eastAsia" w:ascii="宋体" w:hAnsi="宋体" w:cs="宋体"/>
          <w:color w:val="auto"/>
          <w:highlight w:val="none"/>
        </w:rPr>
        <w:t xml:space="preserve">30.响应文件的审查</w:t>
      </w:r>
      <w:bookmarkEnd w:id="88"/>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 响应文件审查分为资格审查和符合性审查。</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接受联合体的项目，联合体成员存在不良信用记录的，视同联合体存在不良</w:t>
      </w:r>
      <w:r>
        <w:rPr>
          <w:rFonts w:hint="eastAsia" w:ascii="宋体" w:hAnsi="宋体" w:cs="宋体"/>
          <w:color w:val="auto"/>
          <w:szCs w:val="21"/>
          <w:highlight w:val="none"/>
        </w:rPr>
        <w:t xml:space="preserve">信</w:t>
      </w:r>
      <w:r>
        <w:rPr>
          <w:rFonts w:hint="eastAsia" w:ascii="宋体" w:hAnsi="宋体" w:cs="宋体"/>
          <w:color w:val="auto"/>
          <w:szCs w:val="21"/>
          <w:highlight w:val="none"/>
          <w:lang w:val="zh-CN"/>
        </w:rPr>
        <w:t xml:space="preserve">用记录。</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30.2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cs="宋体"/>
          <w:color w:val="auto"/>
          <w:szCs w:val="21"/>
          <w:highlight w:val="none"/>
        </w:rPr>
        <w:t xml:space="preserve">由</w:t>
      </w:r>
      <w:r>
        <w:rPr>
          <w:rFonts w:hint="eastAsia" w:ascii="宋体" w:hAnsi="宋体" w:cs="宋体"/>
          <w:color w:val="auto"/>
          <w:szCs w:val="21"/>
          <w:highlight w:val="none"/>
          <w:lang w:val="zh-CN"/>
        </w:rPr>
        <w:t xml:space="preserve">磋商小组</w:t>
      </w:r>
      <w:r>
        <w:rPr>
          <w:rFonts w:hint="eastAsia" w:ascii="宋体" w:hAnsi="宋体" w:cs="宋体"/>
          <w:color w:val="auto"/>
          <w:szCs w:val="21"/>
          <w:highlight w:val="none"/>
        </w:rPr>
        <w:t xml:space="preserve">按照</w:t>
      </w:r>
      <w:r>
        <w:rPr>
          <w:rFonts w:hint="eastAsia" w:ascii="宋体" w:hAnsi="宋体" w:cs="宋体"/>
          <w:color w:val="auto"/>
          <w:szCs w:val="21"/>
          <w:highlight w:val="none"/>
          <w:lang w:val="zh-CN"/>
        </w:rPr>
        <w:t xml:space="preserve">少数服从多数的原则作出结论。</w:t>
      </w:r>
      <w:r>
        <w:rPr>
          <w:rFonts w:hint="eastAsia" w:ascii="宋体" w:hAnsi="宋体" w:cs="宋体"/>
          <w:color w:val="auto"/>
          <w:szCs w:val="21"/>
          <w:highlight w:val="none"/>
        </w:rPr>
        <w:t xml:space="preserve">磋商小组认</w:t>
      </w:r>
      <w:r>
        <w:rPr>
          <w:rFonts w:hint="eastAsia" w:ascii="宋体" w:hAnsi="宋体" w:cs="宋体"/>
          <w:color w:val="auto"/>
          <w:szCs w:val="21"/>
          <w:highlight w:val="none"/>
          <w:lang w:val="zh-CN"/>
        </w:rPr>
        <w:t xml:space="preserve">定响应文件的响应性只根据响应文件本身的内容，而不寻求外部的证据。</w:t>
      </w:r>
      <w:r/>
    </w:p>
    <w:p>
      <w:pPr>
        <w:ind w:firstLine="422"/>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30.3 </w:t>
      </w:r>
      <w:r>
        <w:rPr>
          <w:rFonts w:hint="eastAsia" w:ascii="宋体" w:hAnsi="宋体" w:cs="宋体"/>
          <w:b/>
          <w:bCs/>
          <w:color w:val="auto"/>
          <w:szCs w:val="21"/>
          <w:highlight w:val="none"/>
        </w:rPr>
        <w:t xml:space="preserve">响应文件有下列情况之一的，在符合性检查时按照无效响应处理：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（1）供应商在“苏采云”系统规定的时间内未成功解密电子响应文件的；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（2）供应商未按照采购文件要求上传电子响应文件的；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（3）★项要求提供的证明材料缺失或无效的；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（4）响应文件中未响应采购项目需求中规定要求的实质性要求的；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（5）不同供应商的响应文件由同一单位或者个人编制；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（6）不同供应商委托同一单位或者个人办理投标事宜；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（7）不同供应商的响应文件载明的项目管理成员或者联系人员为同一人；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（8）不同供应商的响应文件异常一致或者响应报价呈规律性差异；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（9）不同供应商的响应文件相互混装；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（10）不同供应商的磋商保证金从同一单位或者个人的账户转出；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（11）报价超过采购文件中规定的项目预算或者最高限价的；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ascii="宋体" w:hAnsi="宋体" w:cs="宋体"/>
          <w:bCs/>
          <w:color w:val="auto"/>
          <w:szCs w:val="21"/>
          <w:highlight w:val="none"/>
        </w:rPr>
        <w:t xml:space="preserve">响应</w:t>
      </w:r>
      <w:r>
        <w:rPr>
          <w:rFonts w:hint="eastAsia" w:ascii="宋体" w:hAnsi="宋体" w:cs="宋体"/>
          <w:bCs/>
          <w:color w:val="auto"/>
          <w:szCs w:val="21"/>
          <w:highlight w:val="none"/>
        </w:rPr>
        <w:t xml:space="preserve">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（13）不同供应商的法定代表人或委托代理人有夫妻、直系血亲关系的；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（14）不同供应商的负责人为同一人或者存在控股、管理关系的；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（15）未按照采购文件规定要求签署、盖章的；</w:t>
      </w:r>
      <w:r/>
    </w:p>
    <w:p>
      <w:pPr>
        <w:ind w:firstLine="420"/>
        <w:spacing w:before="156"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（16）法律、法规和采购文件规定的其他无效情形。</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 未实质性响应磋商文件的响应文件按无效响应处理。</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 供应商在项目评审全过程中应保持通讯畅通，</w:t>
      </w:r>
      <w:r>
        <w:rPr>
          <w:rFonts w:hint="eastAsia" w:ascii="宋体" w:hAnsi="宋体" w:cs="宋体"/>
          <w:color w:val="auto"/>
          <w:szCs w:val="21"/>
          <w:highlight w:val="none"/>
          <w:lang w:val="zh-CN"/>
        </w:rPr>
        <w:t xml:space="preserve">及时登录苏采云系统查阅、答复相关信息，并安排专人与</w:t>
      </w:r>
      <w:r>
        <w:rPr>
          <w:rFonts w:hint="eastAsia" w:ascii="宋体" w:hAnsi="宋体" w:cs="宋体"/>
          <w:color w:val="auto"/>
          <w:szCs w:val="21"/>
          <w:highlight w:val="none"/>
        </w:rPr>
        <w:t xml:space="preserve">代理机构（采购人）</w:t>
      </w:r>
      <w:r>
        <w:rPr>
          <w:rFonts w:hint="eastAsia" w:ascii="宋体" w:hAnsi="宋体" w:cs="宋体"/>
          <w:color w:val="auto"/>
          <w:szCs w:val="21"/>
          <w:highlight w:val="none"/>
          <w:lang w:val="zh-CN"/>
        </w:rPr>
        <w:t xml:space="preserve">及磋商小组联系。</w:t>
      </w:r>
      <w:r/>
    </w:p>
    <w:p>
      <w:pPr>
        <w:pStyle w:val="977"/>
        <w:ind w:left="0" w:right="210"/>
        <w:spacing w:line="360" w:lineRule="auto"/>
        <w:rPr>
          <w:rFonts w:hint="eastAsia" w:ascii="宋体" w:hAnsi="宋体" w:cs="宋体"/>
          <w:color w:val="auto"/>
          <w:highlight w:val="none"/>
        </w:rPr>
      </w:pPr>
      <w:r/>
      <w:bookmarkStart w:id="89" w:name="_Toc19547"/>
      <w:r>
        <w:rPr>
          <w:rFonts w:hint="eastAsia" w:ascii="宋体" w:hAnsi="宋体" w:cs="宋体"/>
          <w:color w:val="auto"/>
          <w:highlight w:val="none"/>
        </w:rPr>
        <w:t xml:space="preserve">31.磋商程序及评审方法与评审标准</w:t>
      </w:r>
      <w:bookmarkEnd w:id="89"/>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 磋商程序</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评审方法与评审标准</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31.2.1 评审方法。见磋商文件第五章。</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31.2.2 评审标准。见磋商文件第五章。</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 采购活动终止</w:t>
      </w:r>
      <w:r/>
    </w:p>
    <w:p>
      <w:pPr>
        <w:ind w:firstLine="422"/>
        <w:rPr>
          <w:rFonts w:hint="eastAsia" w:ascii="宋体" w:hAnsi="宋体"/>
          <w:b/>
          <w:bCs/>
          <w:color w:val="auto"/>
          <w:sz w:val="24"/>
          <w:highlight w:val="none"/>
        </w:rPr>
      </w:pPr>
      <w:r>
        <w:rPr>
          <w:rFonts w:hint="eastAsia" w:ascii="宋体" w:hAnsi="宋体"/>
          <w:b/>
          <w:bCs/>
          <w:color w:val="auto"/>
          <w:sz w:val="24"/>
          <w:highlight w:val="none"/>
        </w:rPr>
        <w:t xml:space="preserve">出现下列情形之一的，本次采购活动终止：</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31.3.1 因情况变化，不再符合竞争性磋商采购方式适用情形。</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31.3.2 出现影响采购公正的违法、违规行为。</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31.3.3 在苏采云系统规定时间内成功解密电子响应文件的供应商不足三家。</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31.3.4 磋商过程中符合要求的供应商或者提交最后报价且未超过采购预算或最高限价的供应商不足三家。</w:t>
      </w:r>
      <w:r/>
    </w:p>
    <w:p>
      <w:pPr>
        <w:ind w:firstLine="420"/>
        <w:spacing w:before="156" w:line="360" w:lineRule="auto"/>
        <w:rPr>
          <w:rFonts w:hint="eastAsia" w:ascii="宋体" w:hAnsi="宋体"/>
          <w:color w:val="auto"/>
          <w:sz w:val="24"/>
          <w:highlight w:val="none"/>
          <w:lang w:val="zh-CN"/>
        </w:rPr>
      </w:pPr>
      <w:r>
        <w:rPr>
          <w:rFonts w:hint="eastAsia" w:ascii="宋体" w:hAnsi="宋体" w:cs="宋体"/>
          <w:color w:val="auto"/>
          <w:szCs w:val="21"/>
          <w:highlight w:val="none"/>
        </w:rPr>
        <w:t xml:space="preserve">31</w:t>
      </w:r>
      <w:r>
        <w:rPr>
          <w:rFonts w:hint="eastAsia" w:ascii="宋体" w:hAnsi="宋体" w:cs="宋体"/>
          <w:color w:val="auto"/>
          <w:szCs w:val="21"/>
          <w:highlight w:val="none"/>
          <w:lang w:val="zh-CN"/>
        </w:rPr>
        <w:t xml:space="preserve">.3.5法律法规规定的其他应当终止情形。</w:t>
      </w:r>
      <w:r/>
    </w:p>
    <w:p>
      <w:pPr>
        <w:pStyle w:val="977"/>
        <w:ind w:left="0" w:right="210"/>
        <w:spacing w:line="360" w:lineRule="auto"/>
        <w:rPr>
          <w:rFonts w:hint="eastAsia" w:ascii="宋体" w:hAnsi="宋体" w:cs="宋体"/>
          <w:color w:val="auto"/>
          <w:highlight w:val="none"/>
        </w:rPr>
      </w:pPr>
      <w:r/>
      <w:bookmarkStart w:id="90" w:name="_Toc3859"/>
      <w:r>
        <w:rPr>
          <w:rFonts w:hint="eastAsia" w:ascii="宋体" w:hAnsi="宋体" w:cs="宋体"/>
          <w:color w:val="auto"/>
          <w:highlight w:val="none"/>
        </w:rPr>
        <w:t xml:space="preserve">六．确定成交</w:t>
      </w:r>
      <w:bookmarkEnd w:id="90"/>
      <w:r/>
      <w:r/>
    </w:p>
    <w:p>
      <w:pPr>
        <w:pStyle w:val="977"/>
        <w:ind w:left="0" w:right="210"/>
        <w:spacing w:line="360" w:lineRule="auto"/>
        <w:rPr>
          <w:rFonts w:hint="eastAsia" w:ascii="宋体" w:hAnsi="宋体" w:cs="宋体"/>
          <w:color w:val="auto"/>
          <w:highlight w:val="none"/>
        </w:rPr>
      </w:pPr>
      <w:r/>
      <w:bookmarkStart w:id="91" w:name="_Toc5445"/>
      <w:r>
        <w:rPr>
          <w:rFonts w:hint="eastAsia" w:ascii="宋体" w:hAnsi="宋体" w:cs="宋体"/>
          <w:color w:val="auto"/>
          <w:highlight w:val="none"/>
        </w:rPr>
        <w:t xml:space="preserve">32.确定成交单位</w:t>
      </w:r>
      <w:bookmarkEnd w:id="91"/>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成交候选供应商的确定原则和数量见磋商文件第五章。</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 </w:t>
      </w:r>
      <w:r>
        <w:rPr>
          <w:rFonts w:hint="eastAsia" w:ascii="宋体" w:hAnsi="宋体" w:cs="宋体"/>
          <w:color w:val="auto"/>
          <w:szCs w:val="21"/>
          <w:highlight w:val="none"/>
          <w:lang w:val="zh-CN"/>
        </w:rPr>
        <w:t xml:space="preserve">按以下第（</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）种方式确定</w:t>
      </w:r>
      <w:r>
        <w:rPr>
          <w:rFonts w:hint="eastAsia" w:ascii="宋体" w:hAnsi="宋体" w:cs="宋体"/>
          <w:color w:val="auto"/>
          <w:szCs w:val="21"/>
          <w:highlight w:val="none"/>
        </w:rPr>
        <w:t xml:space="preserve">成交供应商</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磋商小组</w:t>
      </w:r>
      <w:r>
        <w:rPr>
          <w:rFonts w:hint="eastAsia" w:ascii="宋体" w:hAnsi="宋体" w:cs="宋体"/>
          <w:color w:val="auto"/>
          <w:szCs w:val="21"/>
          <w:highlight w:val="none"/>
          <w:lang w:val="zh-CN"/>
        </w:rPr>
        <w:t xml:space="preserve">直接确定排名第一的</w:t>
      </w:r>
      <w:r>
        <w:rPr>
          <w:rFonts w:hint="eastAsia" w:ascii="宋体" w:hAnsi="宋体" w:cs="宋体"/>
          <w:color w:val="auto"/>
          <w:szCs w:val="21"/>
          <w:highlight w:val="none"/>
        </w:rPr>
        <w:t xml:space="preserve">成交候选供应商</w:t>
      </w:r>
      <w:r>
        <w:rPr>
          <w:rFonts w:hint="eastAsia" w:ascii="宋体" w:hAnsi="宋体" w:cs="宋体"/>
          <w:color w:val="auto"/>
          <w:szCs w:val="21"/>
          <w:highlight w:val="none"/>
          <w:lang w:val="zh-CN"/>
        </w:rPr>
        <w:t xml:space="preserve">为</w:t>
      </w:r>
      <w:r>
        <w:rPr>
          <w:rFonts w:hint="eastAsia" w:ascii="宋体" w:hAnsi="宋体" w:cs="宋体"/>
          <w:color w:val="auto"/>
          <w:szCs w:val="21"/>
          <w:highlight w:val="none"/>
        </w:rPr>
        <w:t xml:space="preserve">成交供应商</w:t>
      </w:r>
      <w:r>
        <w:rPr>
          <w:rFonts w:hint="eastAsia" w:ascii="宋体" w:hAnsi="宋体" w:cs="宋体"/>
          <w:color w:val="auto"/>
          <w:szCs w:val="21"/>
          <w:highlight w:val="none"/>
          <w:lang w:val="zh-CN"/>
        </w:rPr>
        <w:t xml:space="preserve">；</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（2）采购人在</w:t>
      </w:r>
      <w:r>
        <w:rPr>
          <w:rFonts w:hint="eastAsia" w:ascii="宋体" w:hAnsi="宋体" w:cs="宋体"/>
          <w:color w:val="auto"/>
          <w:szCs w:val="21"/>
          <w:highlight w:val="none"/>
        </w:rPr>
        <w:t xml:space="preserve">磋商小组</w:t>
      </w:r>
      <w:r>
        <w:rPr>
          <w:rFonts w:hint="eastAsia" w:ascii="宋体" w:hAnsi="宋体" w:cs="宋体"/>
          <w:color w:val="auto"/>
          <w:szCs w:val="21"/>
          <w:highlight w:val="none"/>
          <w:lang w:val="zh-CN"/>
        </w:rPr>
        <w:t xml:space="preserve">推荐的</w:t>
      </w:r>
      <w:r>
        <w:rPr>
          <w:rFonts w:hint="eastAsia" w:ascii="宋体" w:hAnsi="宋体" w:cs="宋体"/>
          <w:color w:val="auto"/>
          <w:szCs w:val="21"/>
          <w:highlight w:val="none"/>
        </w:rPr>
        <w:t xml:space="preserve">成交候选供应商</w:t>
      </w:r>
      <w:r>
        <w:rPr>
          <w:rFonts w:hint="eastAsia" w:ascii="宋体" w:hAnsi="宋体" w:cs="宋体"/>
          <w:color w:val="auto"/>
          <w:szCs w:val="21"/>
          <w:highlight w:val="none"/>
          <w:lang w:val="zh-CN"/>
        </w:rPr>
        <w:t xml:space="preserve">中按顺序确定</w:t>
      </w:r>
      <w:r>
        <w:rPr>
          <w:rFonts w:hint="eastAsia" w:ascii="宋体" w:hAnsi="宋体" w:cs="宋体"/>
          <w:color w:val="auto"/>
          <w:szCs w:val="21"/>
          <w:highlight w:val="none"/>
        </w:rPr>
        <w:t xml:space="preserve">成交供应商，由采购人代表现场确认</w:t>
      </w:r>
      <w:r>
        <w:rPr>
          <w:rFonts w:hint="eastAsia" w:ascii="宋体" w:hAnsi="宋体" w:cs="宋体"/>
          <w:color w:val="auto"/>
          <w:szCs w:val="21"/>
          <w:highlight w:val="none"/>
          <w:lang w:val="zh-CN"/>
        </w:rPr>
        <w:t xml:space="preserve">。</w:t>
      </w:r>
      <w:r/>
    </w:p>
    <w:p>
      <w:pPr>
        <w:ind w:firstLine="420"/>
        <w:spacing w:before="156"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按第二种方式确定</w:t>
      </w:r>
      <w:r>
        <w:rPr>
          <w:rFonts w:hint="eastAsia" w:ascii="宋体" w:hAnsi="宋体" w:cs="宋体"/>
          <w:color w:val="auto"/>
          <w:szCs w:val="21"/>
          <w:highlight w:val="none"/>
        </w:rPr>
        <w:t xml:space="preserve">成交供应商</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cs="宋体"/>
          <w:color w:val="auto"/>
          <w:szCs w:val="21"/>
          <w:highlight w:val="none"/>
        </w:rPr>
        <w:t xml:space="preserve">成交候选供应商</w:t>
      </w:r>
      <w:r>
        <w:rPr>
          <w:rFonts w:hint="eastAsia" w:ascii="宋体" w:hAnsi="宋体" w:cs="宋体"/>
          <w:color w:val="auto"/>
          <w:szCs w:val="21"/>
          <w:highlight w:val="none"/>
          <w:lang w:val="zh-CN"/>
        </w:rPr>
        <w:t xml:space="preserve">中按顺序确定</w:t>
      </w:r>
      <w:r>
        <w:rPr>
          <w:rFonts w:hint="eastAsia" w:ascii="宋体" w:hAnsi="宋体" w:cs="宋体"/>
          <w:color w:val="auto"/>
          <w:szCs w:val="21"/>
          <w:highlight w:val="none"/>
        </w:rPr>
        <w:t xml:space="preserve">成交供应商</w:t>
      </w:r>
      <w:r>
        <w:rPr>
          <w:rFonts w:hint="eastAsia" w:ascii="宋体" w:hAnsi="宋体" w:cs="宋体"/>
          <w:color w:val="auto"/>
          <w:szCs w:val="21"/>
          <w:highlight w:val="none"/>
          <w:lang w:val="zh-CN"/>
        </w:rPr>
        <w:t xml:space="preserve">。</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 代理机构（采购人）将在“江苏政府采购网”发布成交结果公告，公告期限为1个工作日。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32.4 </w:t>
      </w:r>
      <w:r>
        <w:rPr>
          <w:rFonts w:hint="eastAsia" w:ascii="宋体" w:hAnsi="宋体"/>
          <w:b/>
          <w:bCs/>
          <w:color w:val="auto"/>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32.4.1 提供虚假材料谋取成交。</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32.4.2 向评审专家、采购人或代理机构工作人员行贿或者提供其他不正当利益。</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32.4.3 与其他供应商、评审专家、采购人或代理机构工作人员恶意串通。</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32.4.4 不满足本磋商文件规定的实质性要求，但在评审过程中未被磋商小组发现。</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32.4.5 采取不正当手段诋毁、排挤其他供应商。</w:t>
      </w:r>
      <w:r/>
    </w:p>
    <w:p>
      <w:pPr>
        <w:pStyle w:val="977"/>
        <w:ind w:left="0" w:right="210"/>
        <w:spacing w:line="360" w:lineRule="auto"/>
        <w:rPr>
          <w:rFonts w:hint="eastAsia" w:ascii="宋体" w:hAnsi="宋体" w:cs="宋体"/>
          <w:color w:val="auto"/>
          <w:highlight w:val="none"/>
        </w:rPr>
      </w:pPr>
      <w:r/>
      <w:bookmarkStart w:id="92" w:name="_Toc589"/>
      <w:r>
        <w:rPr>
          <w:rFonts w:hint="eastAsia" w:ascii="宋体" w:hAnsi="宋体" w:cs="宋体"/>
          <w:color w:val="auto"/>
          <w:highlight w:val="none"/>
        </w:rPr>
        <w:t xml:space="preserve">33.成交通知书</w:t>
      </w:r>
      <w:bookmarkEnd w:id="92"/>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成交结果确定后，代理机构（采购人）将向成交供应商发出《成交通知书》。成交供应商可在成交结果公告届满之日起三十日内，登录苏采云系统下载。    </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 《成交通知书》是合同的一个组成部分，对采购人和成交供应商均具有法律效力。《成交通知书》发出后，采购人改变成交结果的，或者成交供应商放弃成交项目的，应当依法承担法律责任。</w:t>
      </w:r>
      <w:r/>
    </w:p>
    <w:p>
      <w:pPr>
        <w:pStyle w:val="977"/>
        <w:ind w:left="0" w:right="210"/>
        <w:spacing w:line="360" w:lineRule="auto"/>
        <w:rPr>
          <w:rFonts w:hint="eastAsia" w:ascii="宋体" w:hAnsi="宋体" w:cs="宋体"/>
          <w:color w:val="auto"/>
          <w:highlight w:val="none"/>
        </w:rPr>
      </w:pPr>
      <w:r/>
      <w:bookmarkStart w:id="93" w:name="_Toc15432"/>
      <w:r>
        <w:rPr>
          <w:rFonts w:hint="eastAsia" w:ascii="宋体" w:hAnsi="宋体" w:cs="宋体"/>
          <w:color w:val="auto"/>
          <w:highlight w:val="none"/>
        </w:rPr>
        <w:t xml:space="preserve">41.签订合同</w:t>
      </w:r>
      <w:bookmarkEnd w:id="9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77"/>
        <w:ind w:left="0" w:right="210"/>
        <w:spacing w:line="360" w:lineRule="auto"/>
        <w:rPr>
          <w:rFonts w:hint="eastAsia" w:ascii="宋体" w:hAnsi="宋体" w:cs="宋体"/>
          <w:color w:val="auto"/>
          <w:szCs w:val="21"/>
          <w:highlight w:val="none"/>
        </w:rPr>
      </w:pPr>
      <w:r/>
      <w:bookmarkStart w:id="94" w:name="_Toc19280"/>
      <w:r>
        <w:rPr>
          <w:rFonts w:hint="eastAsia" w:ascii="宋体" w:hAnsi="宋体" w:cs="宋体"/>
          <w:color w:val="auto"/>
          <w:szCs w:val="21"/>
          <w:highlight w:val="none"/>
        </w:rPr>
        <w:t xml:space="preserve">42.履约保证金</w:t>
      </w:r>
      <w:bookmarkEnd w:id="9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规定交纳履约保证金的，成交供应商在签订采购合同前，向委托方提交履约保证金。联合体成交的，履约保证金以联合体各方或联合体中牵头人的名义提交。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42.3成交供应商没有按照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的规定提交履约保证金的，视为放弃成交，其磋商保证金不予退还。</w:t>
      </w:r>
      <w:r/>
    </w:p>
    <w:p>
      <w:pPr>
        <w:pStyle w:val="977"/>
        <w:ind w:left="0" w:right="210"/>
        <w:spacing w:line="360" w:lineRule="auto"/>
        <w:rPr>
          <w:rFonts w:hint="eastAsia" w:ascii="宋体" w:hAnsi="宋体" w:cs="宋体"/>
          <w:color w:val="auto"/>
          <w:highlight w:val="none"/>
        </w:rPr>
      </w:pPr>
      <w:r/>
      <w:bookmarkStart w:id="95" w:name="_Toc26303"/>
      <w:r>
        <w:rPr>
          <w:rFonts w:hint="eastAsia" w:ascii="宋体" w:hAnsi="宋体" w:cs="宋体"/>
          <w:color w:val="auto"/>
          <w:highlight w:val="none"/>
        </w:rPr>
        <w:t xml:space="preserve">七．询问与质疑</w:t>
      </w:r>
      <w:bookmarkEnd w:id="95"/>
      <w:r/>
      <w:r/>
    </w:p>
    <w:p>
      <w:pPr>
        <w:pStyle w:val="977"/>
        <w:ind w:left="0" w:right="210"/>
        <w:spacing w:line="360" w:lineRule="auto"/>
        <w:rPr>
          <w:rFonts w:hint="eastAsia" w:ascii="宋体" w:hAnsi="宋体" w:cs="宋体"/>
          <w:color w:val="auto"/>
          <w:szCs w:val="21"/>
          <w:highlight w:val="none"/>
        </w:rPr>
      </w:pPr>
      <w:r/>
      <w:bookmarkStart w:id="96" w:name="_Toc31891"/>
      <w:r>
        <w:rPr>
          <w:rFonts w:hint="eastAsia" w:ascii="宋体" w:hAnsi="宋体" w:cs="宋体"/>
          <w:color w:val="auto"/>
          <w:szCs w:val="21"/>
          <w:highlight w:val="none"/>
        </w:rPr>
        <w:t xml:space="preserve">43.询问</w:t>
      </w:r>
      <w:bookmarkEnd w:id="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43.2采购方对供应商依法提出的询问，在3个工作日内作出答复，但答复的内容不得涉及商业秘密。</w:t>
      </w:r>
      <w:r/>
    </w:p>
    <w:p>
      <w:pPr>
        <w:pStyle w:val="977"/>
        <w:ind w:left="0" w:right="210"/>
        <w:spacing w:line="360" w:lineRule="auto"/>
        <w:rPr>
          <w:rFonts w:hint="eastAsia" w:ascii="宋体" w:hAnsi="宋体" w:cs="宋体"/>
          <w:color w:val="auto"/>
          <w:szCs w:val="21"/>
          <w:highlight w:val="none"/>
        </w:rPr>
      </w:pPr>
      <w:r/>
      <w:bookmarkStart w:id="97" w:name="_Toc32161"/>
      <w:r>
        <w:rPr>
          <w:rFonts w:hint="eastAsia" w:ascii="宋体" w:hAnsi="宋体" w:cs="宋体"/>
          <w:color w:val="auto"/>
          <w:szCs w:val="21"/>
          <w:highlight w:val="none"/>
        </w:rPr>
        <w:t xml:space="preserve">44.质疑</w:t>
      </w:r>
      <w:bookmarkEnd w:id="9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44.2以联合体形式参加响应的，应当由组成联合体的所有供应商共同提出。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44.3质疑函应使用财政部制定的范本。</w:t>
      </w:r>
      <w:r/>
    </w:p>
    <w:p>
      <w:pPr>
        <w:pStyle w:val="977"/>
        <w:ind w:left="0" w:right="210"/>
        <w:spacing w:line="360" w:lineRule="auto"/>
        <w:rPr>
          <w:rFonts w:hint="eastAsia" w:ascii="宋体" w:hAnsi="宋体" w:cs="宋体"/>
          <w:color w:val="auto"/>
          <w:highlight w:val="none"/>
        </w:rPr>
      </w:pPr>
      <w:r/>
      <w:bookmarkStart w:id="98" w:name="_Toc522"/>
      <w:r>
        <w:rPr>
          <w:rFonts w:hint="eastAsia" w:ascii="宋体" w:hAnsi="宋体" w:cs="宋体"/>
          <w:color w:val="auto"/>
          <w:highlight w:val="none"/>
        </w:rPr>
        <w:t xml:space="preserve">八．其他</w:t>
      </w:r>
      <w:bookmarkEnd w:id="98"/>
      <w:r/>
      <w:r/>
    </w:p>
    <w:p>
      <w:pPr>
        <w:pStyle w:val="977"/>
        <w:ind w:left="0" w:right="210"/>
        <w:spacing w:line="360" w:lineRule="auto"/>
        <w:rPr>
          <w:rFonts w:hint="eastAsia" w:ascii="宋体" w:hAnsi="宋体" w:cs="宋体"/>
          <w:color w:val="auto"/>
          <w:szCs w:val="21"/>
          <w:highlight w:val="none"/>
        </w:rPr>
      </w:pPr>
      <w:r/>
      <w:bookmarkStart w:id="99" w:name="_Toc12425"/>
      <w:r>
        <w:rPr>
          <w:rFonts w:hint="eastAsia" w:ascii="宋体" w:hAnsi="宋体" w:cs="宋体"/>
          <w:color w:val="auto"/>
          <w:szCs w:val="21"/>
          <w:highlight w:val="none"/>
        </w:rPr>
        <w:t xml:space="preserve">45.采购代理服务费</w:t>
      </w:r>
      <w:bookmarkEnd w:id="9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45.1成交供应商是否交纳采购代理服务费及相关要求见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77"/>
        <w:ind w:left="0" w:right="210"/>
        <w:spacing w:line="360" w:lineRule="auto"/>
        <w:rPr>
          <w:rFonts w:hint="eastAsia" w:ascii="宋体" w:hAnsi="宋体" w:cs="宋体"/>
          <w:color w:val="auto"/>
          <w:szCs w:val="21"/>
          <w:highlight w:val="none"/>
        </w:rPr>
      </w:pPr>
      <w:r/>
      <w:bookmarkStart w:id="100" w:name="_Toc14987"/>
      <w:r>
        <w:rPr>
          <w:rFonts w:hint="eastAsia" w:ascii="宋体" w:hAnsi="宋体" w:cs="宋体"/>
          <w:color w:val="auto"/>
          <w:szCs w:val="21"/>
          <w:highlight w:val="none"/>
        </w:rPr>
        <w:t xml:space="preserve">46.其他规定</w:t>
      </w:r>
      <w:bookmarkEnd w:id="1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46.1响应文件的其他规定见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977"/>
        <w:ind w:left="0" w:right="210"/>
        <w:spacing w:line="360" w:lineRule="auto"/>
        <w:rPr>
          <w:rFonts w:hint="eastAsia" w:ascii="宋体" w:hAnsi="宋体" w:cs="宋体"/>
          <w:color w:val="auto"/>
          <w:szCs w:val="21"/>
          <w:highlight w:val="none"/>
        </w:rPr>
      </w:pPr>
      <w:r/>
      <w:bookmarkStart w:id="101" w:name="_Toc16883"/>
      <w:r>
        <w:rPr>
          <w:rFonts w:hint="eastAsia" w:ascii="宋体" w:hAnsi="宋体" w:cs="宋体"/>
          <w:color w:val="auto"/>
          <w:szCs w:val="21"/>
          <w:highlight w:val="none"/>
        </w:rPr>
        <w:t xml:space="preserve">47.文件解释权</w:t>
      </w:r>
      <w:bookmarkEnd w:id="101"/>
      <w:r/>
      <w:r/>
    </w:p>
    <w:p>
      <w:pPr>
        <w:ind w:firstLine="420"/>
        <w:jc w:val="left"/>
        <w:spacing w:line="36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47.1本磋商文件的由采购人（或采购代理机构）负责解释。</w:t>
      </w:r>
      <w:bookmarkEnd w:id="39"/>
      <w:r/>
      <w:bookmarkEnd w:id="40"/>
      <w:r/>
      <w:bookmarkEnd w:id="41"/>
      <w:r/>
      <w:bookmarkEnd w:id="42"/>
      <w:r/>
      <w:bookmarkStart w:id="102" w:name="_Toc80264714"/>
      <w:r/>
      <w:bookmarkEnd w:id="102"/>
      <w:r/>
      <w:r/>
    </w:p>
    <w:p>
      <w:pPr>
        <w:pStyle w:val="1025"/>
        <w:rPr>
          <w:rStyle w:val="1034"/>
          <w:rFonts w:ascii="Microsoft New Tai Lue" w:hAnsi="Microsoft New Tai Lue" w:cs="Microsoft New Tai Lue"/>
          <w:color w:val="auto"/>
          <w:highlight w:val="none"/>
        </w:rPr>
      </w:pPr>
      <w:r/>
      <w:bookmarkStart w:id="103" w:name="_Toc107246272"/>
      <w:r/>
      <w:bookmarkStart w:id="104" w:name="_Toc91836563"/>
      <w:r>
        <w:rPr>
          <w:rFonts w:ascii="Microsoft New Tai Lue" w:hAnsi="Microsoft New Tai Lue" w:cs="Microsoft New Tai Lue"/>
          <w:color w:val="auto"/>
          <w:highlight w:val="none"/>
        </w:rPr>
        <w:br w:type="page" w:clear="all"/>
      </w:r>
      <w:bookmarkStart w:id="105" w:name="_Toc18850"/>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rPr>
        <w:t xml:space="preserve">三</w:t>
      </w:r>
      <w:r>
        <w:rPr>
          <w:rFonts w:ascii="Microsoft New Tai Lue" w:hAnsi="Microsoft New Tai Lue" w:cs="Microsoft New Tai Lue"/>
          <w:color w:val="auto"/>
          <w:highlight w:val="none"/>
        </w:rPr>
        <w:t xml:space="preserve">章 评审方法与评审标准</w:t>
      </w:r>
      <w:bookmarkEnd w:id="103"/>
      <w:r/>
      <w:bookmarkEnd w:id="105"/>
      <w:r/>
      <w:r/>
    </w:p>
    <w:p>
      <w:pPr>
        <w:ind w:firstLine="460"/>
        <w:rPr>
          <w:rFonts w:hint="eastAsia" w:ascii="宋体" w:hAnsi="宋体" w:cs="仿宋"/>
          <w:color w:val="auto"/>
          <w:spacing w:val="-5"/>
          <w:highlight w:val="none"/>
        </w:rPr>
      </w:pPr>
      <w:r>
        <w:rPr>
          <w:rFonts w:hint="eastAsia" w:ascii="宋体" w:hAnsi="宋体" w:cs="仿宋"/>
          <w:color w:val="auto"/>
          <w:spacing w:val="-5"/>
          <w:highlight w:val="none"/>
        </w:rPr>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磋商小组将对确定为实质性响应磋商文件要求的各采购包响应文件进行评价和比较，评审采用综合评分法</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bidi="ar"/>
        </w:rPr>
        <w:t xml:space="preserve">磋商小组根据综合评分情况，按照评审得分由高到低顺序推荐3名以上成交候选供应商，并编写评审报告。评审得分相同的，按照最后报价由低到高的顺序推荐。评审得分且最后报价相同的，按照技术指标优劣顺序推荐。</w:t>
      </w:r>
      <w:r/>
    </w:p>
    <w:p>
      <w:pPr>
        <w:ind w:firstLine="420"/>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本项目为竞争性磋商采购，磋商供应商将需要进行两轮报价。第一轮报价随响应文件递交。第二轮报价在磋商小组完成响应文件评审、并就相关问题同各磋商供应商磋商结束后，供应商进行报价（</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60"/>
        <w:rPr>
          <w:rFonts w:hint="eastAsia" w:ascii="宋体" w:hAnsi="宋体" w:cs="仿宋"/>
          <w:color w:val="auto"/>
          <w:spacing w:val="-5"/>
          <w:highlight w:val="none"/>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供应商如未在规定时间内递交第二轮报价（最终报价）或递交无效报价，将视为自行退出磋商。</w:t>
      </w:r>
      <w:r/>
    </w:p>
    <w:p>
      <w:pPr>
        <w:rPr>
          <w:rFonts w:hint="eastAsia" w:ascii="宋体" w:hAnsi="宋体" w:cs="仿宋"/>
          <w:color w:val="auto"/>
          <w:spacing w:val="-5"/>
          <w:highlight w:val="none"/>
        </w:rPr>
      </w:pPr>
      <w:r>
        <w:rPr>
          <w:rFonts w:hint="eastAsia" w:ascii="宋体" w:hAnsi="宋体" w:cs="仿宋"/>
          <w:color w:val="auto"/>
          <w:spacing w:val="-5"/>
          <w:highlight w:val="none"/>
        </w:rPr>
      </w:r>
      <w:r/>
    </w:p>
    <w:tbl>
      <w:tblPr>
        <w:tblStyle w:val="798"/>
        <w:tblpPr w:horzAnchor="page" w:tblpX="1444" w:vertAnchor="text" w:tblpY="309" w:leftFromText="180" w:topFromText="0" w:rightFromText="180" w:bottomFromText="0"/>
        <w:tblW w:w="9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5"/>
        <w:gridCol w:w="1188"/>
        <w:gridCol w:w="7045"/>
        <w:gridCol w:w="934"/>
      </w:tblGrid>
      <w:tr>
        <w:trPr>
          <w:trHeight w:val="389"/>
        </w:trPr>
        <w:tc>
          <w:tcPr>
            <w:tcW w:w="635" w:type="dxa"/>
            <w:textDirection w:val="lrTb"/>
            <w:noWrap w:val="false"/>
          </w:tcPr>
          <w:p>
            <w:pPr>
              <w:pStyle w:val="1062"/>
              <w:ind w:left="129"/>
              <w:spacing w:before="87" w:line="222" w:lineRule="auto"/>
              <w:rPr>
                <w:color w:val="auto"/>
                <w:highlight w:val="none"/>
              </w:rPr>
            </w:pPr>
            <w:r>
              <w:rPr>
                <w:color w:val="auto"/>
                <w:spacing w:val="-2"/>
                <w:highlight w:val="none"/>
              </w:rPr>
              <w:t xml:space="preserve">序号</w:t>
            </w:r>
            <w:r/>
          </w:p>
        </w:tc>
        <w:tc>
          <w:tcPr>
            <w:tcW w:w="1188" w:type="dxa"/>
            <w:textDirection w:val="lrTb"/>
            <w:noWrap w:val="false"/>
          </w:tcPr>
          <w:p>
            <w:pPr>
              <w:pStyle w:val="1062"/>
              <w:ind w:left="180"/>
              <w:spacing w:before="87" w:line="221" w:lineRule="auto"/>
              <w:rPr>
                <w:color w:val="auto"/>
                <w:highlight w:val="none"/>
              </w:rPr>
            </w:pPr>
            <w:r>
              <w:rPr>
                <w:color w:val="auto"/>
                <w:spacing w:val="-1"/>
                <w:highlight w:val="none"/>
              </w:rPr>
              <w:t xml:space="preserve">评分因素</w:t>
            </w:r>
            <w:r/>
          </w:p>
        </w:tc>
        <w:tc>
          <w:tcPr>
            <w:tcW w:w="7045" w:type="dxa"/>
            <w:textDirection w:val="lrTb"/>
            <w:noWrap w:val="false"/>
          </w:tcPr>
          <w:p>
            <w:pPr>
              <w:pStyle w:val="1062"/>
              <w:ind w:left="2979"/>
              <w:spacing w:before="87" w:line="221" w:lineRule="auto"/>
              <w:rPr>
                <w:color w:val="auto"/>
                <w:highlight w:val="none"/>
              </w:rPr>
            </w:pPr>
            <w:r>
              <w:rPr>
                <w:color w:val="auto"/>
                <w:spacing w:val="-1"/>
                <w:highlight w:val="none"/>
              </w:rPr>
              <w:t xml:space="preserve">评审标准</w:t>
            </w:r>
            <w:r/>
          </w:p>
        </w:tc>
        <w:tc>
          <w:tcPr>
            <w:tcW w:w="934" w:type="dxa"/>
            <w:textDirection w:val="lrTb"/>
            <w:noWrap w:val="false"/>
          </w:tcPr>
          <w:p>
            <w:pPr>
              <w:pStyle w:val="1062"/>
              <w:ind w:left="238"/>
              <w:spacing w:before="87" w:line="221" w:lineRule="auto"/>
              <w:rPr>
                <w:color w:val="auto"/>
                <w:highlight w:val="none"/>
              </w:rPr>
            </w:pPr>
            <w:r>
              <w:rPr>
                <w:color w:val="auto"/>
                <w:spacing w:val="-3"/>
                <w:highlight w:val="none"/>
              </w:rPr>
              <w:t xml:space="preserve">分值</w:t>
            </w:r>
            <w:r/>
          </w:p>
        </w:tc>
      </w:tr>
      <w:tr>
        <w:trPr>
          <w:trHeight w:val="1134"/>
        </w:trPr>
        <w:tc>
          <w:tcPr>
            <w:tcW w:w="635" w:type="dxa"/>
            <w:vAlign w:val="center"/>
            <w:textDirection w:val="lrTb"/>
            <w:noWrap w:val="false"/>
          </w:tcPr>
          <w:p>
            <w:pPr>
              <w:pStyle w:val="1062"/>
              <w:jc w:val="center"/>
              <w:rPr>
                <w:color w:val="auto"/>
                <w:highlight w:val="none"/>
              </w:rPr>
            </w:pPr>
            <w:r>
              <w:rPr>
                <w:rFonts w:hint="eastAsia"/>
                <w:color w:val="auto"/>
                <w:highlight w:val="none"/>
              </w:rPr>
              <w:t xml:space="preserve">1</w:t>
            </w:r>
            <w:r/>
          </w:p>
        </w:tc>
        <w:tc>
          <w:tcPr>
            <w:tcW w:w="1188" w:type="dxa"/>
            <w:vAlign w:val="center"/>
            <w:textDirection w:val="lrTb"/>
            <w:noWrap w:val="false"/>
          </w:tcPr>
          <w:p>
            <w:pPr>
              <w:pStyle w:val="1062"/>
              <w:jc w:val="center"/>
              <w:rPr>
                <w:rFonts w:eastAsia="宋体"/>
                <w:color w:val="auto"/>
                <w:spacing w:val="-2"/>
                <w:highlight w:val="none"/>
                <w:lang w:eastAsia="zh-CN"/>
              </w:rPr>
            </w:pPr>
            <w:r>
              <w:rPr>
                <w:rFonts w:hint="eastAsia"/>
                <w:color w:val="auto"/>
                <w:spacing w:val="-2"/>
                <w:highlight w:val="none"/>
              </w:rPr>
              <w:t xml:space="preserve">价格</w:t>
            </w:r>
            <w:r/>
          </w:p>
        </w:tc>
        <w:tc>
          <w:tcPr>
            <w:tcW w:w="7045" w:type="dxa"/>
            <w:textDirection w:val="lrTb"/>
            <w:noWrap w:val="false"/>
          </w:tcPr>
          <w:p>
            <w:pPr>
              <w:ind w:firstLine="420"/>
              <w:jc w:val="left"/>
              <w:spacing w:line="360" w:lineRule="auto"/>
              <w:rPr>
                <w:color w:val="auto"/>
                <w:highlight w:val="none"/>
              </w:rPr>
            </w:pPr>
            <w:r>
              <w:rPr>
                <w:rFonts w:ascii="宋体" w:hAnsi="宋体" w:eastAsia="宋体" w:cs="宋体"/>
                <w:color w:val="auto"/>
                <w:sz w:val="21"/>
                <w:szCs w:val="21"/>
                <w:highlight w:val="none"/>
              </w:rPr>
              <w:t xml:space="preserve">价格分采用低价优先法计算，</w:t>
            </w:r>
            <w:r>
              <w:rPr>
                <w:rFonts w:ascii="宋体" w:hAnsi="宋体" w:cs="宋体"/>
                <w:color w:val="auto"/>
                <w:sz w:val="21"/>
                <w:szCs w:val="21"/>
                <w:highlight w:val="none"/>
              </w:rPr>
              <w:t xml:space="preserve">即满足磋商文件要 求且最后报价最低的供应商的价格为磋商基准价，其价格分为满分。其他 供应商的价格分统一按照下列公式计算： 磋商报价得分=（磋商基准价/最后磋商报价）×1</w:t>
            </w:r>
            <w:r>
              <w:rPr>
                <w:rFonts w:hint="eastAsia" w:ascii="宋体" w:hAnsi="宋体" w:cs="宋体"/>
                <w:color w:val="auto"/>
                <w:sz w:val="21"/>
                <w:szCs w:val="21"/>
                <w:highlight w:val="none"/>
              </w:rPr>
              <w:t xml:space="preserve">0，</w:t>
            </w:r>
            <w:r>
              <w:rPr>
                <w:rFonts w:ascii="仿宋" w:hAnsi="仿宋" w:eastAsia="仿宋" w:cs="仿宋"/>
                <w:color w:val="auto"/>
                <w:sz w:val="21"/>
                <w:szCs w:val="21"/>
                <w:highlight w:val="none"/>
              </w:rPr>
              <w:t xml:space="preserve">分值保留小数点后2位。</w:t>
            </w:r>
            <w:r/>
          </w:p>
        </w:tc>
        <w:tc>
          <w:tcPr>
            <w:tcW w:w="934" w:type="dxa"/>
            <w:vAlign w:val="center"/>
            <w:textDirection w:val="lrTb"/>
            <w:noWrap w:val="false"/>
          </w:tcPr>
          <w:p>
            <w:pPr>
              <w:pStyle w:val="1062"/>
              <w:ind w:left="127" w:right="112"/>
              <w:jc w:val="center"/>
              <w:spacing w:before="18" w:line="231" w:lineRule="auto"/>
              <w:rPr>
                <w:color w:val="auto"/>
                <w:highlight w:val="none"/>
              </w:rPr>
            </w:pPr>
            <w:r>
              <w:rPr>
                <w:rFonts w:hint="eastAsia" w:ascii="宋体" w:hAnsi="宋体" w:eastAsia="宋体" w:cs="宋体"/>
                <w:color w:val="auto"/>
                <w:highlight w:val="none"/>
                <w:lang w:eastAsia="zh-CN"/>
              </w:rPr>
              <w:t xml:space="preserve">10</w:t>
            </w:r>
            <w:r/>
          </w:p>
        </w:tc>
      </w:tr>
      <w:tr>
        <w:trPr>
          <w:trHeight w:val="90"/>
        </w:trPr>
        <w:tc>
          <w:tcPr>
            <w:tcW w:w="635" w:type="dxa"/>
            <w:vAlign w:val="center"/>
            <w:textDirection w:val="lrTb"/>
            <w:noWrap w:val="false"/>
          </w:tcPr>
          <w:p>
            <w:pPr>
              <w:pStyle w:val="1062"/>
              <w:jc w:val="center"/>
              <w:rPr>
                <w:rFonts w:hint="eastAsia" w:ascii="宋体" w:hAnsi="宋体" w:eastAsia="宋体" w:cs="宋体"/>
                <w:color w:val="auto"/>
                <w:highlight w:val="none"/>
                <w:lang w:eastAsia="zh-CN"/>
              </w:rPr>
            </w:pPr>
            <w:r>
              <w:rPr>
                <w:rFonts w:hint="eastAsia"/>
                <w:color w:val="auto"/>
                <w:highlight w:val="none"/>
                <w:lang w:eastAsia="zh-CN"/>
              </w:rPr>
              <w:t xml:space="preserve">2</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团队人员配置、人员分工</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根据团队人员配置、人员分工是否合理进行评审。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①团队人员配置完善、人员分工合理、科学、操作性强的得5分；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②团队人员配置较完善、人员分工较合理、操作性较强的得 3 分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③团队人员配置基本完善、人员分工基本合理，操作性较一般的得1分；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④未提供相关方案不得分。</w:t>
            </w:r>
            <w:r/>
          </w:p>
        </w:tc>
        <w:tc>
          <w:tcPr>
            <w:tcW w:w="934" w:type="dxa"/>
            <w:vAlign w:val="center"/>
            <w:textDirection w:val="lrTb"/>
            <w:noWrap w:val="false"/>
          </w:tcPr>
          <w:p>
            <w:pPr>
              <w:pStyle w:val="1062"/>
              <w:ind w:left="127" w:right="112"/>
              <w:jc w:val="center"/>
              <w:spacing w:before="18" w:line="231" w:lineRule="auto"/>
              <w:rPr>
                <w:color w:val="auto"/>
                <w:highlight w:val="none"/>
                <w:lang w:eastAsia="zh-CN"/>
              </w:rPr>
            </w:pPr>
            <w:r>
              <w:rPr>
                <w:rFonts w:hint="eastAsia"/>
                <w:color w:val="auto"/>
                <w:highlight w:val="none"/>
                <w:lang w:eastAsia="zh-CN"/>
              </w:rPr>
              <w:t xml:space="preserve">5</w:t>
            </w:r>
            <w:r/>
          </w:p>
        </w:tc>
      </w:tr>
      <w:tr>
        <w:trPr>
          <w:trHeight w:val="2495"/>
        </w:trPr>
        <w:tc>
          <w:tcPr>
            <w:tcW w:w="6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人员管理</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对员工的岗位责任、培训、考核制度等是否规范、合理等管理方案行进行评审。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①实施方案合理、切实可行的得5分；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②实施方案较合理、切实可行的得3分；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③实施方案基本合理、基本可行的得1分；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④未提供相关方案不得分。</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r>
      <w:tr>
        <w:trPr>
          <w:trHeight w:val="292"/>
        </w:trPr>
        <w:tc>
          <w:tcPr>
            <w:tcW w:w="6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应急预案</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根据突发性事件的应急预案及应对措施进行评审。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①应急预案完善、应对措施合理可行的得5分；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②应急预案较完善、应对措施较合理可行的得3分；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③应急预案基本满足项目需求、应对措施基本可行的得1分；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④没有应急预案、应对措施不可行或不提供相关方案不得分。</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r>
      <w:tr>
        <w:trPr>
          <w:trHeight w:val="499"/>
        </w:trPr>
        <w:tc>
          <w:tcPr>
            <w:tcW w:w="6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供餐服务方案</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根据供应商提供的供餐服务，包括但不限于总体监控方案、操作管理流程控制方案、菜肴营养搭配及菜品品种(早、中、晚餐主食品种、副食小菜品种、风味小吃、羹汤品种配备方案)进行综合打分。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①供餐服务方案科学合理，针对性强的得12分；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②供餐服务方案较科学合理，针对性较强的得9分；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③供餐服务方案较基本学合理，针对性一般的得6分；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④供餐服务方案不合理，无针对性的得3分；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⑤未提供相关方案不得分。</w:t>
            </w:r>
            <w:r/>
          </w:p>
        </w:tc>
        <w:tc>
          <w:tcPr>
            <w:tcW w:w="934" w:type="dxa"/>
            <w:vAlign w:val="center"/>
            <w:textDirection w:val="lrTb"/>
            <w:noWrap w:val="false"/>
          </w:tcPr>
          <w:p>
            <w:pPr>
              <w:pStyle w:val="1081"/>
              <w:rPr>
                <w:rFonts w:hint="eastAsia" w:ascii="宋体" w:hAnsi="宋体" w:cs="宋体"/>
                <w:color w:val="auto"/>
                <w:highlight w:val="none"/>
              </w:rPr>
            </w:pPr>
            <w:r>
              <w:rPr>
                <w:rFonts w:hint="eastAsia" w:ascii="宋体" w:hAnsi="宋体" w:cs="宋体"/>
                <w:color w:val="auto"/>
                <w:highlight w:val="none"/>
              </w:rPr>
              <w:t xml:space="preserve">12</w:t>
            </w:r>
            <w:r/>
          </w:p>
        </w:tc>
      </w:tr>
      <w:tr>
        <w:trPr>
          <w:trHeight w:val="499"/>
        </w:trPr>
        <w:tc>
          <w:tcPr>
            <w:tcW w:w="6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6</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食品安全及卫生管理制度</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根据供应商提供的食品安全管理制度、厨房与就餐区域卫生管理措施进行评审。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①管理制度全面、针对性强、可行性强的得10分；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②管理制度较全面、针对性较强、可行性较高的得8分；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③管理制度基本全面、针对性一般、可行性一般的得6分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④管理制度不全面，无针对性的得4分；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⑤未提供相关方案不得分。</w:t>
            </w:r>
            <w:r/>
          </w:p>
        </w:tc>
        <w:tc>
          <w:tcPr>
            <w:tcW w:w="934" w:type="dxa"/>
            <w:vAlign w:val="center"/>
            <w:textDirection w:val="lrTb"/>
            <w:noWrap w:val="false"/>
          </w:tcPr>
          <w:p>
            <w:pPr>
              <w:pStyle w:val="1081"/>
              <w:rPr>
                <w:rFonts w:hint="eastAsia" w:ascii="宋体" w:hAnsi="宋体" w:cs="宋体"/>
                <w:color w:val="auto"/>
                <w:highlight w:val="none"/>
              </w:rPr>
            </w:pPr>
            <w:r>
              <w:rPr>
                <w:rFonts w:hint="eastAsia" w:ascii="宋体" w:hAnsi="宋体" w:cs="宋体"/>
                <w:color w:val="auto"/>
                <w:highlight w:val="none"/>
              </w:rPr>
              <w:t xml:space="preserve">10</w:t>
            </w:r>
            <w:r/>
          </w:p>
        </w:tc>
      </w:tr>
      <w:tr>
        <w:trPr>
          <w:trHeight w:val="499"/>
        </w:trPr>
        <w:tc>
          <w:tcPr>
            <w:tcW w:w="6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7</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成本控制方案</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根据供应商提供的成本控制方案进行比较后综合评审。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①成本控制方案内容完整、科学合理、可操作性强的得10分；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②成本控制方案内容较完整、较为科学合理、可操作性较强的得8分；</w:t>
            </w:r>
            <w:r/>
          </w:p>
          <w:p>
            <w:pPr>
              <w:ind w:firstLine="420"/>
              <w:jc w:val="left"/>
              <w:spacing w:line="360" w:lineRule="auto"/>
              <w:rPr>
                <w:color w:val="auto"/>
                <w:highlight w:val="none"/>
              </w:rPr>
            </w:pPr>
            <w:r>
              <w:rPr>
                <w:rFonts w:hint="eastAsia" w:ascii="宋体" w:hAnsi="宋体" w:cs="宋体"/>
                <w:color w:val="auto"/>
                <w:szCs w:val="21"/>
                <w:highlight w:val="none"/>
              </w:rPr>
              <w:t xml:space="preserve">③成本控制方案内容基本完整、基本合理、可操作性一般的得6分；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④成本控制方案内容不完整、不合理、可操作性不强的得4分；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⑤不提供不得分。</w:t>
            </w:r>
            <w:r/>
          </w:p>
        </w:tc>
        <w:tc>
          <w:tcPr>
            <w:tcW w:w="934" w:type="dxa"/>
            <w:vAlign w:val="center"/>
            <w:textDirection w:val="lrTb"/>
            <w:noWrap w:val="false"/>
          </w:tcPr>
          <w:p>
            <w:pPr>
              <w:pStyle w:val="1081"/>
              <w:rPr>
                <w:color w:val="auto"/>
                <w:highlight w:val="none"/>
              </w:rPr>
            </w:pPr>
            <w:r>
              <w:rPr>
                <w:rFonts w:hint="eastAsia" w:ascii="宋体" w:hAnsi="宋体" w:cs="宋体"/>
                <w:color w:val="auto"/>
                <w:highlight w:val="none"/>
              </w:rPr>
              <w:t xml:space="preserve">10</w:t>
            </w:r>
            <w:r/>
          </w:p>
        </w:tc>
      </w:tr>
      <w:tr>
        <w:trPr>
          <w:trHeight w:val="499"/>
        </w:trPr>
        <w:tc>
          <w:tcPr>
            <w:tcW w:w="6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8</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项目管理无缝衔接的移交实施方案</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投标人应提前做好与本项目现有服务人员无缝衔接的移交实施方案，确保服务做到平稳度过交接期。针对实施方案完整性、可行性，实际操作性等进行评审。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①实施方案完整性、可行性，实际操作性强的得5分；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②实施方案完整性、可行性，实际操作性较强的得3分；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③实施方案较为完整性、可行性，实际操作性一般的得1分：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④未提供的不得分。</w:t>
            </w:r>
            <w:r/>
          </w:p>
        </w:tc>
        <w:tc>
          <w:tcPr>
            <w:tcW w:w="934" w:type="dxa"/>
            <w:vAlign w:val="center"/>
            <w:textDirection w:val="lrTb"/>
            <w:noWrap w:val="false"/>
          </w:tcPr>
          <w:p>
            <w:pPr>
              <w:pStyle w:val="1081"/>
              <w:rPr>
                <w:color w:val="auto"/>
                <w:highlight w:val="none"/>
              </w:rPr>
            </w:pPr>
            <w:r>
              <w:rPr>
                <w:rFonts w:hint="eastAsia" w:ascii="宋体" w:hAnsi="宋体" w:cs="宋体"/>
                <w:color w:val="auto"/>
                <w:szCs w:val="21"/>
                <w:highlight w:val="none"/>
              </w:rPr>
              <w:t xml:space="preserve">5</w:t>
            </w:r>
            <w:r/>
          </w:p>
        </w:tc>
      </w:tr>
      <w:tr>
        <w:trPr>
          <w:trHeight w:val="233"/>
        </w:trPr>
        <w:tc>
          <w:tcPr>
            <w:tcW w:w="6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9</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餐饮文化建设</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根据投标人提供的文化活动方案(包含且不限于相关主题美食活动、传统节日餐饮活动组织、传统节假日的节日福利、重大活动餐饮服务提升等方案)进行综合评分：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①方案内容详细全面、科学合理，针对性、可操作性强的得</w:t>
            </w:r>
            <w:r>
              <w:rPr>
                <w:rFonts w:hint="eastAsia" w:ascii="宋体" w:hAnsi="宋体" w:cs="宋体"/>
                <w:color w:val="auto"/>
                <w:highlight w:val="none"/>
              </w:rPr>
              <w:t xml:space="preserve">4</w:t>
            </w:r>
            <w:r>
              <w:rPr>
                <w:rFonts w:hint="eastAsia" w:ascii="宋体" w:hAnsi="宋体" w:cs="宋体"/>
                <w:color w:val="auto"/>
                <w:szCs w:val="21"/>
                <w:highlight w:val="none"/>
              </w:rPr>
              <w:t xml:space="preserve">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②方案内容较为详细全面、科学合理的得3分；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③方案内容基本满足招标人要求的1分；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④没有的本项不得分。</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r>
      <w:tr>
        <w:trPr>
          <w:trHeight w:val="1123"/>
        </w:trPr>
        <w:tc>
          <w:tcPr>
            <w:tcW w:w="635" w:type="dxa"/>
            <w:vAlign w:val="center"/>
            <w:textDirection w:val="lrTb"/>
            <w:noWrap w:val="false"/>
          </w:tcPr>
          <w:p>
            <w:pPr>
              <w:pStyle w:val="1062"/>
              <w:jc w:val="center"/>
              <w:rPr>
                <w:color w:val="auto"/>
                <w:highlight w:val="none"/>
                <w:lang w:eastAsia="zh-CN"/>
              </w:rPr>
            </w:pPr>
            <w:r>
              <w:rPr>
                <w:rFonts w:hint="eastAsia" w:ascii="宋体" w:hAnsi="宋体" w:eastAsia="宋体" w:cs="宋体"/>
                <w:color w:val="auto"/>
                <w:highlight w:val="none"/>
                <w:lang w:eastAsia="zh-CN"/>
              </w:rPr>
              <w:t xml:space="preserve">10</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抗风险能力</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供应商提供承诺函：承诺中标后为本项目购买“餐饮业经营者责任保险”的得2分（格式自拟）。</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r>
      <w:tr>
        <w:trPr>
          <w:trHeight w:val="1123"/>
        </w:trPr>
        <w:tc>
          <w:tcPr>
            <w:tcW w:w="6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11</w:t>
            </w:r>
            <w:r/>
          </w:p>
        </w:tc>
        <w:tc>
          <w:tcPr>
            <w:tcW w:w="1188" w:type="dxa"/>
            <w:vAlign w:val="center"/>
            <w:textDirection w:val="lrTb"/>
            <w:noWrap w:val="false"/>
          </w:tcPr>
          <w:p>
            <w:pPr>
              <w:jc w:val="center"/>
              <w:spacing w:line="360" w:lineRule="auto"/>
              <w:rPr>
                <w:rFonts w:ascii="Arial" w:hAnsi="Arial" w:eastAsia="Arial" w:cs="Arial"/>
                <w:b/>
                <w:bCs/>
                <w:color w:val="auto"/>
                <w:sz w:val="26"/>
                <w:szCs w:val="26"/>
                <w:highlight w:val="none"/>
              </w:rPr>
            </w:pPr>
            <w:r>
              <w:rPr>
                <w:rFonts w:hint="eastAsia" w:ascii="宋体" w:hAnsi="宋体" w:cs="宋体"/>
                <w:color w:val="auto"/>
                <w:szCs w:val="21"/>
                <w:highlight w:val="none"/>
              </w:rPr>
              <w:t xml:space="preserve">实时应急保障能力</w:t>
            </w:r>
            <w:r/>
          </w:p>
        </w:tc>
        <w:tc>
          <w:tcPr>
            <w:tcW w:w="7045" w:type="dxa"/>
            <w:vAlign w:val="center"/>
            <w:textDirection w:val="lrTb"/>
            <w:noWrap w:val="false"/>
          </w:tcPr>
          <w:p>
            <w:pPr>
              <w:pStyle w:val="791"/>
              <w:ind w:firstLine="422"/>
              <w:rPr>
                <w:color w:val="auto"/>
                <w:highlight w:val="none"/>
              </w:rPr>
            </w:pPr>
            <w:r>
              <w:rPr>
                <w:rFonts w:hint="eastAsia" w:ascii="宋体" w:hAnsi="宋体" w:eastAsia="宋体" w:cs="宋体"/>
                <w:color w:val="auto"/>
                <w:sz w:val="21"/>
                <w:szCs w:val="21"/>
                <w:highlight w:val="none"/>
              </w:rPr>
              <w:t xml:space="preserve">供应商能在委托方停电、停气、停水等应急情况下，迅速展开保供的得2分，（提供相关证明材料或承诺书格式自拟）</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r>
      <w:tr>
        <w:trPr>
          <w:trHeight w:val="3033"/>
        </w:trPr>
        <w:tc>
          <w:tcPr>
            <w:tcW w:w="635" w:type="dxa"/>
            <w:vAlign w:val="center"/>
            <w:textDirection w:val="lrTb"/>
            <w:noWrap w:val="false"/>
          </w:tcPr>
          <w:p>
            <w:pPr>
              <w:pStyle w:val="1062"/>
              <w:jc w:val="center"/>
              <w:rPr>
                <w:color w:val="auto"/>
                <w:highlight w:val="none"/>
                <w:lang w:eastAsia="zh-CN"/>
              </w:rPr>
            </w:pPr>
            <w:r>
              <w:rPr>
                <w:rFonts w:hint="eastAsia"/>
                <w:color w:val="auto"/>
                <w:highlight w:val="none"/>
                <w:lang w:eastAsia="zh-CN"/>
              </w:rPr>
              <w:t xml:space="preserve">12</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（1）自2023年01月01日以来(以合同签订日期为准),承接过同类餐饮服务管理项目的，每提供一份合同得2分，最高得10分。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(提供项目管理合同复印件加盖投标单位公章，要求合同能够反映出具体相关内容，否则视为未提供，原件备查。)</w:t>
            </w:r>
            <w:r/>
          </w:p>
          <w:p>
            <w:pPr>
              <w:pStyle w:val="79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同一项目不重复计分，同一委托人的不同年度，不同地点的委托合同，不重复计分。</w:t>
            </w:r>
            <w:r/>
          </w:p>
          <w:p>
            <w:pPr>
              <w:ind w:firstLine="420"/>
              <w:jc w:val="left"/>
              <w:rPr>
                <w:color w:val="auto"/>
                <w:highlight w:val="none"/>
              </w:rPr>
            </w:pPr>
            <w:r>
              <w:rPr>
                <w:rFonts w:hint="eastAsia" w:ascii="宋体" w:hAnsi="宋体" w:cs="宋体"/>
                <w:color w:val="auto"/>
                <w:szCs w:val="21"/>
                <w:highlight w:val="none"/>
              </w:rPr>
              <w:t xml:space="preserve">（2）供应商所提供上述有效同类业绩中，具备项目业主单位出具的就餐满意率 90% 及以上或年度考核优秀或服务评优等同类正向评价材料的，每提供 1 份有效证明材料得 2 分，本项最高得 6 分。</w:t>
            </w:r>
            <w:r/>
          </w:p>
          <w:p>
            <w:pPr>
              <w:rPr>
                <w:color w:val="auto"/>
                <w:highlight w:val="none"/>
                <w:lang w:eastAsia="en-US"/>
              </w:rPr>
            </w:pPr>
            <w:r>
              <w:rPr>
                <w:rFonts w:hint="eastAsia"/>
                <w:color w:val="auto"/>
                <w:highlight w:val="none"/>
              </w:rPr>
              <w:t xml:space="preserve">（提供业主单位正式出具加盖单位公章的满意度评价或表扬信或考核评定等有效佐证材料复印件，成交后原件备查；非正式书面说明、口头评价、自行出具材料不予计分。）</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16</w:t>
            </w:r>
            <w:r/>
          </w:p>
        </w:tc>
      </w:tr>
      <w:tr>
        <w:trPr>
          <w:trHeight w:val="3033"/>
        </w:trPr>
        <w:tc>
          <w:tcPr>
            <w:tcW w:w="635" w:type="dxa"/>
            <w:vAlign w:val="center"/>
            <w:textDirection w:val="lrTb"/>
            <w:noWrap w:val="false"/>
          </w:tcPr>
          <w:p>
            <w:pPr>
              <w:pStyle w:val="1062"/>
              <w:jc w:val="center"/>
              <w:rPr>
                <w:color w:val="auto"/>
                <w:highlight w:val="none"/>
                <w:lang w:eastAsia="zh-CN"/>
              </w:rPr>
            </w:pPr>
            <w:r>
              <w:rPr>
                <w:rFonts w:hint="eastAsia"/>
                <w:color w:val="auto"/>
                <w:highlight w:val="none"/>
                <w:lang w:eastAsia="zh-CN"/>
              </w:rPr>
              <w:t xml:space="preserve">13</w:t>
            </w:r>
            <w:r/>
          </w:p>
        </w:tc>
        <w:tc>
          <w:tcPr>
            <w:tcW w:w="11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项目经理</w:t>
            </w:r>
            <w:r/>
          </w:p>
        </w:tc>
        <w:tc>
          <w:tcPr>
            <w:tcW w:w="7045" w:type="dxa"/>
            <w:vAlign w:val="center"/>
            <w:textDirection w:val="lrTb"/>
            <w:noWrap w:val="false"/>
          </w:tcPr>
          <w:p>
            <w:pPr>
              <w:numPr>
                <w:ilvl w:val="0"/>
                <w:numId w:val="3"/>
              </w:num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供应商拟投入服务沅江路办公区的项目负责经理具有3年(含3年)以上类似项目管理经验得3分。</w:t>
            </w:r>
            <w:r/>
          </w:p>
          <w:p>
            <w:pPr>
              <w:ind w:firstLine="420"/>
              <w:jc w:val="left"/>
              <w:spacing w:line="360" w:lineRule="auto"/>
              <w:rPr>
                <w:color w:val="auto"/>
                <w:highlight w:val="none"/>
              </w:rPr>
            </w:pPr>
            <w:r>
              <w:rPr>
                <w:rFonts w:hint="eastAsia" w:ascii="宋体" w:hAnsi="宋体" w:cs="宋体"/>
                <w:color w:val="auto"/>
                <w:szCs w:val="21"/>
                <w:highlight w:val="none"/>
              </w:rPr>
              <w:t xml:space="preserve">（2）供应商拟投入服务南湖路办公区的项目负责经理具有3年(含3年)以上类似项目管理经验得3分。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(提供工作经验年限证明材料或其它有效实质性证明材料复印件加盖供应商章及</w:t>
            </w:r>
            <w:r>
              <w:rPr>
                <w:rFonts w:hint="eastAsia" w:ascii="宋体" w:hAnsi="宋体" w:cs="宋体"/>
                <w:b w:val="0"/>
                <w:bCs w:val="0"/>
                <w:color w:val="auto"/>
                <w:sz w:val="21"/>
                <w:szCs w:val="21"/>
                <w:highlight w:val="none"/>
                <w:lang w:bidi="ar"/>
              </w:rPr>
              <w:t xml:space="preserve">供应商为其缴纳近半年(2026年01月（含 ））以来任意1个月的社保证明,加盖供应商章，否则不得分</w:t>
            </w:r>
            <w:r>
              <w:rPr>
                <w:rFonts w:hint="eastAsia" w:ascii="宋体" w:hAnsi="宋体" w:cs="宋体"/>
                <w:color w:val="auto"/>
                <w:szCs w:val="21"/>
                <w:highlight w:val="none"/>
              </w:rPr>
              <w:t xml:space="preserve">，同一人不重复计分。)</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6</w:t>
            </w:r>
            <w:r/>
          </w:p>
        </w:tc>
      </w:tr>
      <w:tr>
        <w:trPr>
          <w:trHeight w:val="3033"/>
        </w:trPr>
        <w:tc>
          <w:tcPr>
            <w:tcW w:w="635" w:type="dxa"/>
            <w:vAlign w:val="center"/>
            <w:vMerge w:val="restart"/>
            <w:textDirection w:val="lrTb"/>
            <w:noWrap w:val="false"/>
          </w:tcPr>
          <w:p>
            <w:pPr>
              <w:pStyle w:val="1062"/>
              <w:jc w:val="center"/>
              <w:rPr>
                <w:color w:val="auto"/>
                <w:highlight w:val="none"/>
                <w:lang w:eastAsia="zh-CN"/>
              </w:rPr>
            </w:pPr>
            <w:r>
              <w:rPr>
                <w:rFonts w:hint="eastAsia"/>
                <w:color w:val="auto"/>
                <w:highlight w:val="none"/>
                <w:lang w:eastAsia="zh-CN"/>
              </w:rPr>
              <w:t xml:space="preserve">14</w:t>
            </w:r>
            <w:r/>
          </w:p>
        </w:tc>
        <w:tc>
          <w:tcPr>
            <w:tcW w:w="1188"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厨师长</w:t>
            </w:r>
            <w:r/>
          </w:p>
        </w:tc>
        <w:tc>
          <w:tcPr>
            <w:tcW w:w="7045" w:type="dxa"/>
            <w:vAlign w:val="center"/>
            <w:textDirection w:val="lrTb"/>
            <w:noWrap w:val="false"/>
          </w:tcPr>
          <w:p>
            <w:pPr>
              <w:numPr>
                <w:ilvl w:val="0"/>
                <w:numId w:val="4"/>
              </w:numPr>
              <w:ind w:firstLine="420"/>
              <w:jc w:val="left"/>
              <w:spacing w:line="360" w:lineRule="auto"/>
              <w:rPr>
                <w:color w:val="auto"/>
                <w:highlight w:val="none"/>
              </w:rPr>
            </w:pPr>
            <w:r>
              <w:rPr>
                <w:rFonts w:hint="eastAsia" w:ascii="宋体" w:hAnsi="宋体" w:cs="宋体"/>
                <w:color w:val="auto"/>
                <w:szCs w:val="21"/>
                <w:highlight w:val="none"/>
              </w:rPr>
              <w:t xml:space="preserve">供应商拟投入服务沅江路办公区的厨师长具有3年(含3年)以上类厨房管理经验得2分。</w:t>
            </w:r>
            <w:r/>
          </w:p>
          <w:p>
            <w:pPr>
              <w:ind w:firstLine="420"/>
              <w:jc w:val="left"/>
              <w:spacing w:line="360" w:lineRule="auto"/>
              <w:rPr>
                <w:color w:val="auto"/>
                <w:highlight w:val="none"/>
              </w:rPr>
            </w:pPr>
            <w:r>
              <w:rPr>
                <w:rFonts w:hint="eastAsia" w:ascii="宋体" w:hAnsi="宋体" w:cs="宋体"/>
                <w:color w:val="auto"/>
                <w:szCs w:val="21"/>
                <w:highlight w:val="none"/>
              </w:rPr>
              <w:t xml:space="preserve">（2）供应商拟投入服务南湖路办公区的厨师长具有3年(含3年)以上类厨房管理经验得2分。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(提供工作经验年限证明材料或其它有效实质性证明材料复印件加盖供应商章及</w:t>
            </w:r>
            <w:r>
              <w:rPr>
                <w:rFonts w:hint="eastAsia" w:ascii="宋体" w:hAnsi="宋体" w:cs="宋体"/>
                <w:b w:val="0"/>
                <w:bCs w:val="0"/>
                <w:color w:val="auto"/>
                <w:sz w:val="21"/>
                <w:szCs w:val="21"/>
                <w:highlight w:val="none"/>
                <w:lang w:bidi="ar"/>
              </w:rPr>
              <w:t xml:space="preserve">供应商为其缴纳近半年(2026年01月（含 ））以来任意1个月的社保证明,加盖供应商章，否则不得分</w:t>
            </w:r>
            <w:r>
              <w:rPr>
                <w:rFonts w:hint="eastAsia" w:ascii="宋体" w:hAnsi="宋体" w:cs="宋体"/>
                <w:color w:val="auto"/>
                <w:szCs w:val="21"/>
                <w:highlight w:val="none"/>
              </w:rPr>
              <w:t xml:space="preserve">，同一人不重复计分。)</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r>
      <w:tr>
        <w:trPr>
          <w:trHeight w:val="3033"/>
        </w:trPr>
        <w:tc>
          <w:tcPr>
            <w:tcW w:w="635" w:type="dxa"/>
            <w:vAlign w:val="center"/>
            <w:vMerge w:val="continue"/>
            <w:textDirection w:val="lrTb"/>
            <w:noWrap w:val="false"/>
          </w:tcPr>
          <w:p>
            <w:pPr>
              <w:pStyle w:val="1062"/>
              <w:jc w:val="center"/>
              <w:rPr>
                <w:color w:val="auto"/>
                <w:highlight w:val="none"/>
                <w:lang w:eastAsia="zh-CN"/>
              </w:rPr>
            </w:pPr>
            <w:r>
              <w:rPr>
                <w:color w:val="auto"/>
                <w:highlight w:val="none"/>
                <w:lang w:eastAsia="zh-CN"/>
              </w:rPr>
            </w:r>
            <w:r/>
          </w:p>
        </w:tc>
        <w:tc>
          <w:tcPr>
            <w:tcW w:w="1188"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045" w:type="dxa"/>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（1）供应商拟投入服务沅江路办公区的厨师长具有中式烹饪师二级（技师）及以上证书的，得2分。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（2）供应商拟投入服务南湖路办公区的厨师长具有中式烹饪师二级（技师）及以上证书的，得2分。</w:t>
            </w:r>
            <w:r/>
          </w:p>
          <w:p>
            <w:pPr>
              <w:pStyle w:val="791"/>
              <w:rPr>
                <w:color w:val="auto"/>
                <w:highlight w:val="none"/>
              </w:rPr>
            </w:pPr>
            <w:r>
              <w:rPr>
                <w:rFonts w:hint="eastAsia" w:ascii="宋体" w:hAnsi="宋体" w:eastAsia="宋体" w:cs="宋体"/>
                <w:color w:val="auto"/>
                <w:sz w:val="21"/>
                <w:szCs w:val="21"/>
                <w:highlight w:val="none"/>
              </w:rPr>
              <w:t xml:space="preserve">(提供有效的证书复印件加盖供应商章</w:t>
            </w:r>
            <w:r>
              <w:rPr>
                <w:rFonts w:hint="eastAsia" w:ascii="宋体" w:hAnsi="宋体" w:cs="宋体"/>
                <w:color w:val="auto"/>
                <w:sz w:val="21"/>
                <w:szCs w:val="21"/>
                <w:highlight w:val="none"/>
              </w:rPr>
              <w:t xml:space="preserve">，及</w:t>
            </w:r>
            <w:r>
              <w:rPr>
                <w:rFonts w:hint="eastAsia" w:ascii="宋体" w:hAnsi="宋体" w:cs="宋体"/>
                <w:color w:val="auto"/>
                <w:sz w:val="18"/>
                <w:szCs w:val="18"/>
                <w:highlight w:val="none"/>
                <w:lang w:bidi="ar"/>
              </w:rPr>
              <w:t xml:space="preserve">供应商</w:t>
            </w:r>
            <w:r>
              <w:rPr>
                <w:rFonts w:hint="eastAsia" w:ascii="宋体" w:hAnsi="宋体" w:eastAsia="宋体" w:cs="宋体"/>
                <w:color w:val="auto"/>
                <w:sz w:val="18"/>
                <w:szCs w:val="18"/>
                <w:highlight w:val="none"/>
                <w:lang w:bidi="ar"/>
              </w:rPr>
              <w:t xml:space="preserve">为其缴纳近半年(2026年01月（含 ））以来任意1个月的社保证明,加盖</w:t>
            </w:r>
            <w:r>
              <w:rPr>
                <w:rFonts w:hint="eastAsia" w:ascii="宋体" w:hAnsi="宋体" w:cs="宋体"/>
                <w:color w:val="auto"/>
                <w:sz w:val="18"/>
                <w:szCs w:val="18"/>
                <w:highlight w:val="none"/>
                <w:lang w:bidi="ar"/>
              </w:rPr>
              <w:t xml:space="preserve">供应商</w:t>
            </w:r>
            <w:r>
              <w:rPr>
                <w:rFonts w:hint="eastAsia" w:ascii="宋体" w:hAnsi="宋体" w:eastAsia="宋体" w:cs="宋体"/>
                <w:color w:val="auto"/>
                <w:sz w:val="18"/>
                <w:szCs w:val="18"/>
                <w:highlight w:val="none"/>
                <w:lang w:bidi="ar"/>
              </w:rPr>
              <w:t xml:space="preserve">章，否则不得分</w:t>
            </w:r>
            <w:r>
              <w:rPr>
                <w:rFonts w:hint="eastAsia" w:ascii="宋体" w:hAnsi="宋体" w:cs="宋体"/>
                <w:color w:val="auto"/>
                <w:sz w:val="21"/>
                <w:szCs w:val="21"/>
                <w:highlight w:val="none"/>
              </w:rPr>
              <w:t xml:space="preserve">，同一人不重复计分。</w:t>
            </w:r>
            <w:r>
              <w:rPr>
                <w:rFonts w:hint="eastAsia" w:ascii="宋体" w:hAnsi="宋体" w:eastAsia="宋体" w:cs="宋体"/>
                <w:color w:val="auto"/>
                <w:sz w:val="21"/>
                <w:szCs w:val="21"/>
                <w:highlight w:val="none"/>
              </w:rPr>
              <w:t xml:space="preserve">)</w:t>
            </w:r>
            <w:r/>
          </w:p>
        </w:tc>
        <w:tc>
          <w:tcPr>
            <w:tcW w:w="9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r>
    </w:tbl>
    <w:p>
      <w:pPr>
        <w:rPr>
          <w:color w:val="auto"/>
          <w:highlight w:val="none"/>
        </w:rPr>
      </w:pPr>
      <w:r>
        <w:rPr>
          <w:color w:val="auto"/>
          <w:highlight w:val="none"/>
        </w:rPr>
      </w:r>
      <w:r/>
    </w:p>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说明：</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8、若供应商同时属于小型或微型企业、监狱企业、残疾人福利性单位中的两种及以上，将不重复享受小微企业价格扣减的优惠政策。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w:t>
      </w:r>
      <w:r/>
    </w:p>
    <w:p>
      <w:pPr>
        <w:ind w:firstLine="420"/>
        <w:spacing w:line="360" w:lineRule="auto"/>
        <w:tabs>
          <w:tab w:val="left" w:pos="820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10、关于无线局域网认证产品政府采购清单中的产品，优先采购的具体规定（如涉及）</w:t>
      </w:r>
      <w:r>
        <w:rPr>
          <w:rFonts w:hint="eastAsia" w:ascii="宋体" w:hAnsi="宋体" w:cs="宋体"/>
          <w:color w:val="auto"/>
          <w:szCs w:val="21"/>
          <w:highlight w:val="none"/>
          <w:u w:val="single"/>
        </w:rPr>
        <w:t xml:space="preserve">  /  。</w:t>
      </w:r>
      <w:bookmarkEnd w:id="104"/>
      <w:r/>
      <w:r/>
    </w:p>
    <w:p>
      <w:pPr>
        <w:rPr>
          <w:b/>
          <w:bCs/>
          <w:color w:val="auto"/>
          <w:sz w:val="30"/>
          <w:szCs w:val="30"/>
          <w:highlight w:val="none"/>
        </w:rPr>
      </w:pPr>
      <w:r/>
      <w:bookmarkStart w:id="106" w:name="_Toc8308"/>
      <w:r/>
      <w:bookmarkStart w:id="107" w:name="_Toc107246271"/>
      <w:r/>
      <w:bookmarkStart w:id="108" w:name="_Toc91836564"/>
      <w:r>
        <w:rPr>
          <w:rFonts w:hint="eastAsia"/>
          <w:b/>
          <w:bCs/>
          <w:color w:val="auto"/>
          <w:sz w:val="30"/>
          <w:szCs w:val="30"/>
          <w:highlight w:val="none"/>
        </w:rPr>
        <w:br w:type="page" w:clear="all"/>
      </w:r>
      <w:r/>
    </w:p>
    <w:p>
      <w:pPr>
        <w:ind w:left="100" w:right="100"/>
        <w:jc w:val="center"/>
        <w:keepLines/>
        <w:keepNext/>
        <w:spacing w:before="120" w:after="120"/>
        <w:rPr>
          <w:b/>
          <w:bCs/>
          <w:color w:val="auto"/>
          <w:sz w:val="30"/>
          <w:szCs w:val="30"/>
          <w:highlight w:val="none"/>
          <w:lang w:val="zh-CN"/>
        </w:rPr>
        <w:outlineLvl w:val="0"/>
      </w:pPr>
      <w:r/>
      <w:bookmarkStart w:id="109" w:name="_Toc28240"/>
      <w:r>
        <w:rPr>
          <w:rFonts w:hint="eastAsia"/>
          <w:b/>
          <w:bCs/>
          <w:color w:val="auto"/>
          <w:sz w:val="30"/>
          <w:szCs w:val="30"/>
          <w:highlight w:val="none"/>
        </w:rPr>
        <w:t xml:space="preserve">第四章 采购需求</w:t>
      </w:r>
      <w:bookmarkEnd w:id="106"/>
      <w:r/>
      <w:bookmarkEnd w:id="109"/>
      <w:r/>
      <w:r/>
    </w:p>
    <w:p>
      <w:pPr>
        <w:ind w:firstLine="422"/>
        <w:jc w:val="left"/>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一、项目名称：</w:t>
      </w:r>
      <w:r>
        <w:rPr>
          <w:rFonts w:hint="eastAsia" w:ascii="宋体" w:hAnsi="宋体" w:cs="宋体"/>
          <w:bCs/>
          <w:color w:val="auto"/>
          <w:szCs w:val="21"/>
          <w:highlight w:val="none"/>
        </w:rPr>
        <w:t xml:space="preserve">省农业农村厅沅江路、南湖路办公区食堂外包采购项目。</w:t>
      </w:r>
      <w:r/>
    </w:p>
    <w:p>
      <w:pPr>
        <w:ind w:firstLine="422"/>
        <w:jc w:val="left"/>
        <w:spacing w:line="360" w:lineRule="auto"/>
        <w:rPr>
          <w:color w:val="auto"/>
          <w:highlight w:val="none"/>
        </w:rPr>
      </w:pPr>
      <w:r>
        <w:rPr>
          <w:rFonts w:hint="eastAsia" w:ascii="宋体" w:hAnsi="宋体" w:cs="宋体"/>
          <w:b/>
          <w:color w:val="auto"/>
          <w:szCs w:val="21"/>
          <w:highlight w:val="none"/>
        </w:rPr>
        <w:t xml:space="preserve">二、项目概况：</w:t>
      </w:r>
      <w:r>
        <w:rPr>
          <w:rFonts w:hint="eastAsia" w:ascii="宋体" w:hAnsi="宋体" w:cs="宋体"/>
          <w:bCs/>
          <w:color w:val="auto"/>
          <w:szCs w:val="21"/>
          <w:highlight w:val="none"/>
          <w:lang w:val="zh-CN"/>
        </w:rPr>
        <w:t xml:space="preserve">本项目</w:t>
      </w:r>
      <w:r>
        <w:rPr>
          <w:rFonts w:hint="eastAsia" w:ascii="宋体" w:hAnsi="宋体" w:cs="宋体"/>
          <w:bCs/>
          <w:color w:val="auto"/>
          <w:szCs w:val="21"/>
          <w:highlight w:val="none"/>
        </w:rPr>
        <w:t xml:space="preserve">拟通过竞争性磋商的采购方式</w:t>
      </w:r>
      <w:r>
        <w:rPr>
          <w:rFonts w:hint="eastAsia" w:ascii="宋体" w:hAnsi="宋体" w:cs="宋体"/>
          <w:bCs/>
          <w:color w:val="auto"/>
          <w:szCs w:val="21"/>
          <w:highlight w:val="none"/>
          <w:lang w:val="zh-CN"/>
        </w:rPr>
        <w:t xml:space="preserve">，选</w:t>
      </w:r>
      <w:r>
        <w:rPr>
          <w:rFonts w:hint="eastAsia" w:ascii="宋体" w:hAnsi="宋体" w:cs="宋体"/>
          <w:bCs/>
          <w:color w:val="auto"/>
          <w:szCs w:val="21"/>
          <w:highlight w:val="none"/>
        </w:rPr>
        <w:t xml:space="preserve">定1</w:t>
      </w:r>
      <w:r>
        <w:rPr>
          <w:rFonts w:hint="eastAsia" w:ascii="宋体" w:hAnsi="宋体" w:cs="宋体"/>
          <w:bCs/>
          <w:color w:val="auto"/>
          <w:szCs w:val="21"/>
          <w:highlight w:val="none"/>
          <w:lang w:val="zh-CN"/>
        </w:rPr>
        <w:t xml:space="preserve">家</w:t>
      </w:r>
      <w:r>
        <w:rPr>
          <w:rFonts w:hint="eastAsia" w:ascii="宋体" w:hAnsi="宋体" w:cs="宋体"/>
          <w:bCs/>
          <w:color w:val="auto"/>
          <w:szCs w:val="21"/>
          <w:highlight w:val="none"/>
        </w:rPr>
        <w:t xml:space="preserve">供应商，为厅沅江路、南湖路办公区食堂餐饮管理提供服务。</w:t>
      </w:r>
      <w:r/>
    </w:p>
    <w:p>
      <w:pPr>
        <w:ind w:firstLine="420"/>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三、服务对象及服务内容</w:t>
      </w:r>
      <w:r/>
    </w:p>
    <w:p>
      <w:pPr>
        <w:ind w:firstLine="420"/>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（一）沅江路办公区</w:t>
      </w:r>
      <w:r/>
    </w:p>
    <w:p>
      <w:pPr>
        <w:ind w:firstLine="420"/>
        <w:jc w:val="left"/>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1.</w:t>
      </w:r>
      <w:r>
        <w:rPr>
          <w:rFonts w:hint="eastAsia" w:ascii="宋体" w:hAnsi="宋体" w:cs="宋体"/>
          <w:bCs/>
          <w:color w:val="auto"/>
          <w:szCs w:val="21"/>
          <w:highlight w:val="none"/>
        </w:rPr>
        <w:t xml:space="preserve">省农业农村厅位于南京市鼓楼区沅江路62号辰龙雅苑2栋的沅江路办公区现有厅属事业单位7家，总职工就餐人数约220人次/日(早餐约50人次，午餐约120人次，晚餐约50人次）。本次沅江路办公区将由江苏省动物卫生监督所代表沅江路办公区7家单位与成交供应商签订合同。</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2.供餐要求：</w:t>
      </w:r>
      <w:r/>
    </w:p>
    <w:p>
      <w:pPr>
        <w:ind w:firstLine="422"/>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2.1供餐标准：</w:t>
      </w:r>
      <w:r/>
    </w:p>
    <w:p>
      <w:pPr>
        <w:ind w:firstLine="422"/>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食堂餐饮服务采购：早餐品种不少于9个；午餐品种不少于9个；晚餐品种不少于7个；风味小吃或特色品种不少于2个；根据需要每天推出不同品种的卤菜，点心，特色小炒外卖。</w:t>
      </w:r>
      <w:r/>
    </w:p>
    <w:p>
      <w:pPr>
        <w:ind w:firstLine="422"/>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2.2服务地点：省农业农村厅沅江路办公区食堂。</w:t>
      </w:r>
      <w:r/>
    </w:p>
    <w:p>
      <w:pPr>
        <w:ind w:firstLine="422"/>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3.</w:t>
      </w:r>
      <w:r>
        <w:rPr>
          <w:rFonts w:hint="eastAsia" w:ascii="宋体" w:hAnsi="宋体" w:cs="宋体"/>
          <w:b/>
          <w:color w:val="auto"/>
          <w:szCs w:val="21"/>
          <w:highlight w:val="none"/>
        </w:rPr>
        <w:t xml:space="preserve">人员要求：</w:t>
      </w:r>
      <w:r/>
    </w:p>
    <w:p>
      <w:pPr>
        <w:ind w:firstLine="422"/>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3.1厨房各岗位人员身体健康，责任心强，并持有效期内健康证上岗。</w:t>
      </w:r>
      <w:r/>
    </w:p>
    <w:p>
      <w:pPr>
        <w:ind w:left="424"/>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3.2服务人员建立档案，有据可查。</w:t>
      </w:r>
      <w:r/>
    </w:p>
    <w:p>
      <w:pPr>
        <w:ind w:firstLine="422"/>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3.3为满足沅江路办公区服务要求，配置服务团队人员编制不少于7个，明细如下表：</w:t>
      </w:r>
      <w:r>
        <w:rPr>
          <w:rFonts w:ascii="宋体" w:hAnsi="宋体" w:cs="宋体"/>
          <w:bCs/>
          <w:color w:val="auto"/>
          <w:szCs w:val="21"/>
          <w:highlight w:val="none"/>
        </w:rPr>
        <w:t xml:space="preserve"> </w:t>
      </w:r>
      <w:r/>
    </w:p>
    <w:tbl>
      <w:tblPr>
        <w:tblStyle w:val="798"/>
        <w:tblW w:w="5400" w:type="dxa"/>
        <w:jc w:val="center"/>
        <w:tblLayout w:type="fixed"/>
        <w:tblCellMar>
          <w:left w:w="108" w:type="dxa"/>
          <w:top w:w="0" w:type="dxa"/>
          <w:right w:w="108" w:type="dxa"/>
          <w:bottom w:w="0" w:type="dxa"/>
        </w:tblCellMar>
        <w:tblLook w:val="04A0" w:firstRow="1" w:lastRow="0" w:firstColumn="1" w:lastColumn="0" w:noHBand="0" w:noVBand="1"/>
      </w:tblPr>
      <w:tblGrid>
        <w:gridCol w:w="767"/>
        <w:gridCol w:w="2620"/>
        <w:gridCol w:w="860"/>
        <w:gridCol w:w="1153"/>
      </w:tblGrid>
      <w:tr>
        <w:trPr>
          <w:jc w:val="center"/>
          <w:trHeight w:val="720"/>
        </w:trPr>
        <w:tc>
          <w:tcPr>
            <w:tcBorders>
              <w:top w:val="single" w:color="auto" w:sz="4" w:space="0"/>
              <w:left w:val="single" w:color="auto" w:sz="4" w:space="0"/>
              <w:bottom w:val="none" w:color="000000" w:sz="4" w:space="0"/>
              <w:right w:val="single" w:color="auto" w:sz="4" w:space="0"/>
            </w:tcBorders>
            <w:tcW w:w="767"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62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年龄</w:t>
            </w:r>
            <w:r/>
          </w:p>
        </w:tc>
      </w:tr>
      <w:tr>
        <w:trPr>
          <w:jc w:val="center"/>
          <w:trHeight w:val="36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项目经理</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≤50岁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厨师长</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大锅菜厨师</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面点师</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服务员</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≤50岁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厨务</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b/>
                <w:bCs/>
                <w:color w:val="auto"/>
                <w:szCs w:val="21"/>
                <w:highlight w:val="none"/>
              </w:rPr>
            </w:pPr>
            <w:r>
              <w:rPr>
                <w:b/>
                <w:bCs/>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b/>
                <w:bCs/>
                <w:color w:val="auto"/>
                <w:szCs w:val="21"/>
                <w:highlight w:val="none"/>
              </w:rPr>
            </w:pPr>
            <w:r>
              <w:rPr>
                <w:b/>
                <w:bCs/>
                <w:color w:val="auto"/>
                <w:szCs w:val="21"/>
                <w:highlight w:val="none"/>
              </w:rPr>
            </w:r>
            <w:r/>
          </w:p>
        </w:tc>
      </w:tr>
    </w:tbl>
    <w:p>
      <w:pPr>
        <w:rPr>
          <w:color w:val="auto"/>
          <w:highlight w:val="none"/>
        </w:rPr>
      </w:pPr>
      <w:r>
        <w:rPr>
          <w:color w:val="auto"/>
          <w:highlight w:val="none"/>
        </w:rPr>
      </w:r>
      <w:r/>
    </w:p>
    <w:p>
      <w:pPr>
        <w:ind w:firstLine="422"/>
        <w:jc w:val="left"/>
        <w:spacing w:line="360" w:lineRule="auto"/>
        <w:rPr>
          <w:color w:val="auto"/>
          <w:highlight w:val="none"/>
        </w:rPr>
      </w:pPr>
      <w:r>
        <w:rPr>
          <w:rFonts w:hint="eastAsia" w:ascii="宋体" w:hAnsi="宋体" w:cs="宋体"/>
          <w:b/>
          <w:color w:val="auto"/>
          <w:szCs w:val="21"/>
          <w:highlight w:val="none"/>
        </w:rPr>
        <w:t xml:space="preserve">（二）南湖路办公区</w:t>
      </w:r>
      <w:r/>
    </w:p>
    <w:p>
      <w:pPr>
        <w:ind w:firstLine="420"/>
        <w:jc w:val="left"/>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1.</w:t>
      </w:r>
      <w:r>
        <w:rPr>
          <w:rFonts w:hint="eastAsia" w:ascii="宋体" w:hAnsi="宋体" w:cs="宋体"/>
          <w:bCs/>
          <w:color w:val="auto"/>
          <w:szCs w:val="21"/>
          <w:highlight w:val="none"/>
        </w:rPr>
        <w:t xml:space="preserve">省农业农村厅位于南京市建邺区南湖路97号的南湖路办公区现有厅属事业单位13家，总职工就餐人数约270人次/日(早餐约70人次，午餐约150人次，晚餐约50人次）。本次南湖路办公区将由</w:t>
      </w:r>
      <w:r>
        <w:rPr>
          <w:rFonts w:ascii="Helvetica" w:hAnsi="Helvetica" w:eastAsia="Helvetica" w:cs="Helvetica"/>
          <w:color w:val="auto"/>
          <w:szCs w:val="21"/>
          <w:highlight w:val="none"/>
          <w:shd w:val="clear" w:color="auto" w:fill="ffffff"/>
        </w:rPr>
        <w:t xml:space="preserve">江苏省农业机械试验鉴定站</w:t>
      </w:r>
      <w:r>
        <w:rPr>
          <w:rFonts w:hint="eastAsia" w:ascii="宋体" w:hAnsi="宋体" w:cs="宋体"/>
          <w:bCs/>
          <w:color w:val="auto"/>
          <w:szCs w:val="21"/>
          <w:highlight w:val="none"/>
        </w:rPr>
        <w:t xml:space="preserve">代表南湖路办公区13家单位与成交供应商签订合同。</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2.供餐要求：</w:t>
      </w:r>
      <w:r/>
    </w:p>
    <w:p>
      <w:pPr>
        <w:ind w:firstLine="422"/>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2.1供餐标准：</w:t>
      </w:r>
      <w:r/>
    </w:p>
    <w:p>
      <w:pPr>
        <w:ind w:firstLine="422"/>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食堂餐饮服务采购：早餐品种不少于9个；午餐品种不少于9个；晚餐品种不少于7个；风味小吃或特色品种不少于2个；根据需要每天推出不同品种的卤菜，点心，特色小炒外卖。</w:t>
      </w:r>
      <w:r/>
    </w:p>
    <w:p>
      <w:pPr>
        <w:ind w:firstLine="422"/>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2.2服务地点：省农业农村厅南湖路办公区食堂。</w:t>
      </w:r>
      <w:r/>
    </w:p>
    <w:p>
      <w:pPr>
        <w:ind w:firstLine="422"/>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3.</w:t>
      </w:r>
      <w:r>
        <w:rPr>
          <w:rFonts w:hint="eastAsia" w:ascii="宋体" w:hAnsi="宋体" w:cs="宋体"/>
          <w:b/>
          <w:color w:val="auto"/>
          <w:szCs w:val="21"/>
          <w:highlight w:val="none"/>
        </w:rPr>
        <w:t xml:space="preserve">人员要求：</w:t>
      </w:r>
      <w:r/>
    </w:p>
    <w:p>
      <w:pPr>
        <w:ind w:firstLine="422"/>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3.1厨房各岗位人员身体健康，责任心强，并持有效期内健康证上岗。</w:t>
      </w:r>
      <w:r/>
    </w:p>
    <w:p>
      <w:pPr>
        <w:ind w:left="424"/>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3.2服务人员建立档案，有据可查。</w:t>
      </w:r>
      <w:r/>
    </w:p>
    <w:p>
      <w:pPr>
        <w:ind w:firstLine="422"/>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3.3为满足南湖路办公区服务要求，配置服务团队人员编制不少于9个，明细如下表：</w:t>
      </w:r>
      <w:r>
        <w:rPr>
          <w:rFonts w:ascii="宋体" w:hAnsi="宋体" w:cs="宋体"/>
          <w:bCs/>
          <w:color w:val="auto"/>
          <w:szCs w:val="21"/>
          <w:highlight w:val="none"/>
        </w:rPr>
        <w:t xml:space="preserve"> </w:t>
      </w:r>
      <w:r/>
    </w:p>
    <w:tbl>
      <w:tblPr>
        <w:tblStyle w:val="798"/>
        <w:tblW w:w="5400" w:type="dxa"/>
        <w:jc w:val="center"/>
        <w:tblLayout w:type="fixed"/>
        <w:tblCellMar>
          <w:left w:w="108" w:type="dxa"/>
          <w:top w:w="0" w:type="dxa"/>
          <w:right w:w="108" w:type="dxa"/>
          <w:bottom w:w="0" w:type="dxa"/>
        </w:tblCellMar>
        <w:tblLook w:val="04A0" w:firstRow="1" w:lastRow="0" w:firstColumn="1" w:lastColumn="0" w:noHBand="0" w:noVBand="1"/>
      </w:tblPr>
      <w:tblGrid>
        <w:gridCol w:w="767"/>
        <w:gridCol w:w="2620"/>
        <w:gridCol w:w="860"/>
        <w:gridCol w:w="1153"/>
      </w:tblGrid>
      <w:tr>
        <w:trPr>
          <w:jc w:val="center"/>
          <w:trHeight w:val="720"/>
        </w:trPr>
        <w:tc>
          <w:tcPr>
            <w:tcBorders>
              <w:top w:val="single" w:color="auto" w:sz="4" w:space="0"/>
              <w:left w:val="single" w:color="auto" w:sz="4" w:space="0"/>
              <w:bottom w:val="none" w:color="000000" w:sz="4" w:space="0"/>
              <w:right w:val="single" w:color="auto" w:sz="4" w:space="0"/>
            </w:tcBorders>
            <w:tcW w:w="767"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62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年龄</w:t>
            </w:r>
            <w:r/>
          </w:p>
        </w:tc>
      </w:tr>
      <w:tr>
        <w:trPr>
          <w:jc w:val="center"/>
          <w:trHeight w:val="36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项目经理</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≤50岁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厨师长</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大锅菜厨师</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面点师</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切配</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服务员</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≤50岁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厨务</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color w:val="auto"/>
                <w:szCs w:val="21"/>
                <w:highlight w:val="none"/>
              </w:rPr>
            </w:pPr>
            <w:r>
              <w:rPr>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≤55岁</w:t>
            </w:r>
            <w:r/>
          </w:p>
        </w:tc>
      </w:tr>
      <w:tr>
        <w:trPr>
          <w:jc w:val="center"/>
          <w:trHeight w:val="36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color w:val="auto"/>
                <w:szCs w:val="21"/>
                <w:highlight w:val="none"/>
              </w:rPr>
            </w:pPr>
            <w:r>
              <w:rPr>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620"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val="false"/>
          </w:tcPr>
          <w:p>
            <w:pPr>
              <w:jc w:val="center"/>
              <w:widowControl/>
              <w:rPr>
                <w:b/>
                <w:bCs/>
                <w:color w:val="auto"/>
                <w:szCs w:val="21"/>
                <w:highlight w:val="none"/>
              </w:rPr>
            </w:pPr>
            <w:r>
              <w:rPr>
                <w:rFonts w:hint="eastAsia"/>
                <w:b/>
                <w:bCs/>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153" w:type="dxa"/>
            <w:vAlign w:val="center"/>
            <w:textDirection w:val="lrTb"/>
            <w:noWrap w:val="false"/>
          </w:tcPr>
          <w:p>
            <w:pPr>
              <w:jc w:val="center"/>
              <w:widowControl/>
              <w:rPr>
                <w:b/>
                <w:bCs/>
                <w:color w:val="auto"/>
                <w:szCs w:val="21"/>
                <w:highlight w:val="none"/>
              </w:rPr>
            </w:pPr>
            <w:r>
              <w:rPr>
                <w:b/>
                <w:bCs/>
                <w:color w:val="auto"/>
                <w:szCs w:val="21"/>
                <w:highlight w:val="none"/>
              </w:rPr>
            </w:r>
            <w:r/>
          </w:p>
        </w:tc>
      </w:tr>
    </w:tbl>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四、采购要求</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（一）总体要求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厅沅江路、南湖路办公区食堂外包采购项目采用托管方式经营。即：餐厅的服务、运行管理由成交供应商负责，项目负责人由成交供应商委派，管理、服务团队的组建由成交供应商负责，其管理骨干和员工人数及工资、福利待遇等由成交供应商根据项目需求内容明确，员工的人事、劳资、社保等所有关系隶属成交供应商负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餐厅物资采购、财务管理由委托方负责，成交供应商负责餐厅日常管理（包含但不仅限于人员岗位工作安排、厨具餐具等固定资产使</w:t>
      </w:r>
      <w:r>
        <w:rPr>
          <w:rFonts w:hint="eastAsia" w:ascii="宋体" w:hAnsi="宋体" w:cs="宋体"/>
          <w:color w:val="auto"/>
          <w:szCs w:val="21"/>
          <w:highlight w:val="none"/>
        </w:rPr>
        <w:t xml:space="preserve">用和保管等）、餐饮（包含但不仅限于食材验收、加工、烹饪、分餐、卫生保洁等）一条龙服务。委托方库房由委托方负责管理，服务所需的各种物资材料、低值易耗品、一次性用品以及餐饮原材料的采购，由成交供应商编制计划、预算和采购清单，经委托方审核批准同意后，全部由委托方集中采购提供。如有特殊情况，需书面申请报委托方审批同意后方可自行采购，但必须符合国家产品质量认证标准，长期供货商需提供相关资质及有效索证，以备检查。出库后的物资以及厨具、餐具等由成交供应商负责存放、管理，如出现非正常的人为损坏或损耗，成交供应商将负责赔偿。</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成交供应商应加强成本核算，根据委托方要求做好成本调控。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委托方为成交供应商实际在岗员工提供免费工作餐。</w:t>
      </w:r>
      <w:r/>
    </w:p>
    <w:p>
      <w:pPr>
        <w:ind w:firstLine="420"/>
        <w:jc w:val="left"/>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委托方负责对成交供应商的工作实施检查和管理。如成交供应商派出的管理、服务人员无法胜任岗位工作，委托方可要求成交供应商更换人员。成交供应商必须严格执行南京市政府用工工资标准的有关规定，并承担其雇员的劳动报酬、福利待遇、按劳动法交纳社会保险、劳动保护、工伤抚恤等用人费用，维护和保障员工的合法权益，承担未正确执行劳动用工规定所产生的法律责任，</w:t>
      </w:r>
      <w:r>
        <w:rPr>
          <w:rFonts w:hint="eastAsia" w:ascii="宋体" w:hAnsi="宋体" w:cs="宋体"/>
          <w:b/>
          <w:color w:val="auto"/>
          <w:szCs w:val="21"/>
          <w:highlight w:val="none"/>
        </w:rPr>
        <w:t xml:space="preserve">在合同履行期间，如遇南京市最低工资及社保基数上调或公积金缴纳提出明确规定的，可对合同价款进行调整，且调整金额不超过中标金额的10%，合同金额调整方式按照国家及南京市对最低工资标准及社保基数的标准执行。</w:t>
      </w:r>
      <w:r>
        <w:rPr>
          <w:rFonts w:hint="eastAsia" w:ascii="宋体" w:hAnsi="宋体" w:cs="宋体"/>
          <w:color w:val="auto"/>
          <w:szCs w:val="21"/>
          <w:highlight w:val="none"/>
        </w:rPr>
        <w:t xml:space="preserve">成交供应商在响应文件中明确的管理人员及厨师、所有员工必须到岗到位。若需调整人员须征得委托方同意，项目经理、厨师长不能按时到位，委托方有权终止服务合同。</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zh-CN"/>
        </w:rPr>
        <w:t xml:space="preserve">）基本要求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1、承接项目时，对所有场所、设施、设备进行认真查验，对物资进行详细清点，验收手续齐全；管理过程中，正确使用设施设备，建立定期巡查制度，做好维护保养工作；规范使用餐厨具等设备。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响应文件中提供完善的管理方案，包括：食品安全管理方案、卫生管理方案、制度管理方案，突发事件应急方案等。营业时间要遵守委托方有关规定，做好安全、节能工作，指定专职安全人员，保障疏散通道畅通、对员工进行基本的安全培训（每位员工要懂本岗位火灾危险性、懂防火措施、懂逃生方法、懂扑救初期火灾，要做到会报警、会使用灭火器、会疏散人群）。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各区域场地卫生进行划片分工，责任到人。保洁区域目视干净无污渍、无垃圾、无灰尘、无烟蒂、无纸屑，瓷砖地面光亮洁净，玻璃门窗光亮透明，设施设备表面无灰尘及附着物；各种炊具、用具光亮洁净，排水沟见底，每周至少安排一次大扫除。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4、服务人员工作期间统一着装且保持工作服整洁干净，佩戴标志，行为规范，服务主动、热情。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5、应当建立应急保障机制，确保停电、停气、停水等特殊情况下提供正常饮食保障。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6、委托方建立场外独立监督机制，针对存在的问题随时进行沟通协调。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7、不得对餐厅进行任何形式的转让、转租和分租。若需要变更服务项目，需由委托方书面同意。经营范围仅限餐饮服务，不得擅自变更经营范围。</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8、严格执行《食品卫生法》、《食品安全法》、《产品质量法》、《餐饮业食品卫生管理办法》等相关文件。</w:t>
      </w:r>
      <w:r/>
    </w:p>
    <w:p>
      <w:pPr>
        <w:ind w:firstLine="420"/>
        <w:jc w:val="left"/>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9、成交供应商需制定食品安全生产应急预案，食品安全责任由成交供应商承担，如发生食品安全事故，成交供应商应承担经济赔偿责任以及相关法律责任，委托方有权依据事故严重情况对成交供应商进行不同程度的处罚（具体情形另行约定）。</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五、服务期限</w:t>
      </w:r>
      <w:r/>
    </w:p>
    <w:p>
      <w:pPr>
        <w:ind w:firstLine="420"/>
        <w:jc w:val="left"/>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本次招标服务期为两年。自2026年10月8日至2028年10月7日止。</w:t>
      </w:r>
      <w:r>
        <w:rPr>
          <w:rFonts w:hint="eastAsia"/>
          <w:color w:val="auto"/>
          <w:highlight w:val="none"/>
        </w:rPr>
        <w:t xml:space="preserve">合同一年一签。一年合同期满后，委托方有权根据供应商的履约情况以及政府采购相关决定是否与成交供应商签订后续服务合同或另行采购。</w:t>
      </w:r>
      <w:r/>
    </w:p>
    <w:p>
      <w:pPr>
        <w:ind w:firstLine="422"/>
        <w:jc w:val="left"/>
        <w:spacing w:line="360" w:lineRule="auto"/>
        <w:rPr>
          <w:rFonts w:hint="eastAsia" w:ascii="宋体" w:hAnsi="宋体" w:cs="方正仿宋_GBK"/>
          <w:color w:val="auto"/>
          <w:highlight w:val="none"/>
        </w:rPr>
      </w:pPr>
      <w:r>
        <w:rPr>
          <w:rFonts w:hint="eastAsia" w:ascii="宋体" w:hAnsi="宋体" w:cs="宋体"/>
          <w:b/>
          <w:color w:val="auto"/>
          <w:szCs w:val="21"/>
          <w:highlight w:val="none"/>
        </w:rPr>
        <w:t xml:space="preserve">六、付款方式</w:t>
      </w:r>
      <w:r/>
    </w:p>
    <w:p>
      <w:pPr>
        <w:ind w:firstLine="420"/>
        <w:spacing w:line="360" w:lineRule="auto"/>
        <w:rPr>
          <w:rStyle w:val="826"/>
          <w:rFonts w:hint="eastAsia" w:ascii="宋体" w:hAnsi="宋体" w:cs="方正仿宋_GBK"/>
          <w:color w:val="auto"/>
          <w:highlight w:val="none"/>
        </w:rPr>
      </w:pPr>
      <w:r>
        <w:rPr>
          <w:rFonts w:hint="eastAsia" w:ascii="宋体" w:hAnsi="宋体" w:cs="方正仿宋_GBK"/>
          <w:color w:val="auto"/>
          <w:szCs w:val="21"/>
          <w:highlight w:val="none"/>
        </w:rPr>
        <w:t xml:space="preserve">按下列程序付款。</w:t>
      </w:r>
      <w:r/>
    </w:p>
    <w:p>
      <w:pPr>
        <w:ind w:firstLine="420"/>
        <w:jc w:val="left"/>
        <w:spacing w:line="360" w:lineRule="auto"/>
        <w:widowControl/>
        <w:rPr>
          <w:color w:val="auto"/>
          <w:szCs w:val="21"/>
          <w:highlight w:val="none"/>
        </w:rPr>
      </w:pPr>
      <w:r>
        <w:rPr>
          <w:rStyle w:val="826"/>
          <w:rFonts w:hint="eastAsia" w:ascii="宋体" w:hAnsi="宋体" w:cs="方正仿宋_GBK"/>
          <w:color w:val="auto"/>
          <w:highlight w:val="none"/>
        </w:rPr>
        <w:t xml:space="preserve">（1）</w:t>
      </w:r>
      <w:r>
        <w:rPr>
          <w:color w:val="auto"/>
          <w:szCs w:val="21"/>
          <w:highlight w:val="none"/>
        </w:rPr>
        <w:t xml:space="preserve">合同生效</w:t>
      </w:r>
      <w:r>
        <w:rPr>
          <w:rFonts w:hint="eastAsia"/>
          <w:color w:val="auto"/>
          <w:szCs w:val="21"/>
          <w:highlight w:val="none"/>
        </w:rPr>
        <w:t xml:space="preserve">后</w:t>
      </w:r>
      <w:r>
        <w:rPr>
          <w:color w:val="auto"/>
          <w:szCs w:val="21"/>
          <w:highlight w:val="none"/>
        </w:rPr>
        <w:t xml:space="preserve">，</w:t>
      </w:r>
      <w:r>
        <w:rPr>
          <w:rFonts w:hint="eastAsia"/>
          <w:color w:val="auto"/>
          <w:szCs w:val="21"/>
          <w:highlight w:val="none"/>
        </w:rPr>
        <w:t xml:space="preserve">成交供应商</w:t>
      </w:r>
      <w:r>
        <w:rPr>
          <w:color w:val="auto"/>
          <w:szCs w:val="21"/>
          <w:highlight w:val="none"/>
        </w:rPr>
        <w:t xml:space="preserve">进场开展服务后 10 个工作日内，向</w:t>
      </w:r>
      <w:r>
        <w:rPr>
          <w:rFonts w:hint="eastAsia"/>
          <w:color w:val="auto"/>
          <w:szCs w:val="21"/>
          <w:highlight w:val="none"/>
        </w:rPr>
        <w:t xml:space="preserve">供应商</w:t>
      </w:r>
      <w:r>
        <w:rPr>
          <w:color w:val="auto"/>
          <w:szCs w:val="21"/>
          <w:highlight w:val="none"/>
        </w:rPr>
        <w:t xml:space="preserve">支付</w:t>
      </w:r>
      <w:r>
        <w:rPr>
          <w:rStyle w:val="823"/>
          <w:rFonts w:hint="eastAsia"/>
          <w:color w:val="auto"/>
          <w:szCs w:val="21"/>
          <w:highlight w:val="none"/>
        </w:rPr>
        <w:t xml:space="preserve">单年合同额</w:t>
      </w:r>
      <w:r>
        <w:rPr>
          <w:rStyle w:val="823"/>
          <w:color w:val="auto"/>
          <w:szCs w:val="21"/>
          <w:highlight w:val="none"/>
        </w:rPr>
        <w:t xml:space="preserve">的 10%作为预付款</w:t>
      </w:r>
      <w:r>
        <w:rPr>
          <w:color w:val="auto"/>
          <w:szCs w:val="21"/>
          <w:highlight w:val="none"/>
        </w:rPr>
        <w:t xml:space="preserve">，该预付款在后续服务费</w:t>
      </w:r>
      <w:r>
        <w:rPr>
          <w:rFonts w:hint="eastAsia"/>
          <w:color w:val="auto"/>
          <w:szCs w:val="21"/>
          <w:highlight w:val="none"/>
        </w:rPr>
        <w:t xml:space="preserve">支付</w:t>
      </w:r>
      <w:r>
        <w:rPr>
          <w:color w:val="auto"/>
          <w:szCs w:val="21"/>
          <w:highlight w:val="none"/>
        </w:rPr>
        <w:t xml:space="preserve">中予以抵扣。</w:t>
      </w:r>
      <w:r/>
    </w:p>
    <w:p>
      <w:pPr>
        <w:ind w:firstLine="420"/>
        <w:jc w:val="left"/>
        <w:spacing w:line="360" w:lineRule="auto"/>
        <w:widowControl/>
        <w:rPr>
          <w:color w:val="auto"/>
          <w:szCs w:val="21"/>
          <w:highlight w:val="none"/>
        </w:rPr>
      </w:pPr>
      <w:r>
        <w:rPr>
          <w:rFonts w:hint="eastAsia" w:ascii="Symbol" w:hAnsi="Symbol" w:cs="Symbol"/>
          <w:color w:val="auto"/>
          <w:szCs w:val="21"/>
          <w:highlight w:val="none"/>
        </w:rPr>
        <w:t xml:space="preserve">（2）</w:t>
      </w:r>
      <w:r>
        <w:rPr>
          <w:color w:val="auto"/>
          <w:szCs w:val="21"/>
          <w:highlight w:val="none"/>
        </w:rPr>
        <w:t xml:space="preserve">本项目服务费每 </w:t>
      </w:r>
      <w:r>
        <w:rPr>
          <w:rFonts w:hint="eastAsia"/>
          <w:color w:val="auto"/>
          <w:szCs w:val="21"/>
          <w:highlight w:val="none"/>
        </w:rPr>
        <w:t xml:space="preserve">3</w:t>
      </w:r>
      <w:r>
        <w:rPr>
          <w:color w:val="auto"/>
          <w:szCs w:val="21"/>
          <w:highlight w:val="none"/>
        </w:rPr>
        <w:t xml:space="preserve"> 个月为一个付款周期。每个服务周期结束，经</w:t>
      </w:r>
      <w:r>
        <w:rPr>
          <w:rFonts w:hint="eastAsia"/>
          <w:color w:val="auto"/>
          <w:szCs w:val="21"/>
          <w:highlight w:val="none"/>
        </w:rPr>
        <w:t xml:space="preserve">委托人</w:t>
      </w:r>
      <w:r>
        <w:rPr>
          <w:color w:val="auto"/>
          <w:szCs w:val="21"/>
          <w:highlight w:val="none"/>
        </w:rPr>
        <w:t xml:space="preserve">对该周期食堂服务考核</w:t>
      </w:r>
      <w:r>
        <w:rPr>
          <w:rFonts w:hint="eastAsia"/>
          <w:color w:val="auto"/>
          <w:szCs w:val="21"/>
          <w:highlight w:val="none"/>
        </w:rPr>
        <w:t xml:space="preserve">后</w:t>
      </w:r>
      <w:r>
        <w:rPr>
          <w:color w:val="auto"/>
          <w:szCs w:val="21"/>
          <w:highlight w:val="none"/>
        </w:rPr>
        <w:t xml:space="preserve">，支付该</w:t>
      </w:r>
      <w:r>
        <w:rPr>
          <w:rFonts w:hint="eastAsia"/>
          <w:color w:val="auto"/>
          <w:szCs w:val="21"/>
          <w:highlight w:val="none"/>
        </w:rPr>
        <w:t xml:space="preserve">期</w:t>
      </w:r>
      <w:r>
        <w:rPr>
          <w:color w:val="auto"/>
          <w:szCs w:val="21"/>
          <w:highlight w:val="none"/>
        </w:rPr>
        <w:t xml:space="preserve">对应的服务费用。</w:t>
      </w:r>
      <w:r/>
    </w:p>
    <w:p>
      <w:pPr>
        <w:ind w:firstLine="420"/>
        <w:jc w:val="left"/>
        <w:spacing w:line="360" w:lineRule="auto"/>
        <w:widowControl/>
        <w:rPr>
          <w:color w:val="auto"/>
          <w:szCs w:val="21"/>
          <w:highlight w:val="none"/>
        </w:rPr>
      </w:pPr>
      <w:r>
        <w:rPr>
          <w:rFonts w:hint="eastAsia" w:ascii="Symbol" w:hAnsi="Symbol" w:cs="Symbol"/>
          <w:color w:val="auto"/>
          <w:szCs w:val="21"/>
          <w:highlight w:val="none"/>
        </w:rPr>
        <w:t xml:space="preserve">（3）</w:t>
      </w:r>
      <w:r>
        <w:rPr>
          <w:color w:val="auto"/>
          <w:szCs w:val="21"/>
          <w:highlight w:val="none"/>
        </w:rPr>
        <w:t xml:space="preserve">每期付款前，</w:t>
      </w:r>
      <w:r>
        <w:rPr>
          <w:rFonts w:hint="eastAsia"/>
          <w:color w:val="auto"/>
          <w:szCs w:val="21"/>
          <w:highlight w:val="none"/>
        </w:rPr>
        <w:t xml:space="preserve">供应商</w:t>
      </w:r>
      <w:r>
        <w:rPr>
          <w:color w:val="auto"/>
          <w:szCs w:val="21"/>
          <w:highlight w:val="none"/>
        </w:rPr>
        <w:t xml:space="preserve">应</w:t>
      </w:r>
      <w:r>
        <w:rPr>
          <w:rFonts w:hint="eastAsia"/>
          <w:color w:val="auto"/>
          <w:szCs w:val="21"/>
          <w:highlight w:val="none"/>
        </w:rPr>
        <w:t xml:space="preserve">提供符合委托人</w:t>
      </w:r>
      <w:r>
        <w:rPr>
          <w:color w:val="auto"/>
          <w:szCs w:val="21"/>
          <w:highlight w:val="none"/>
        </w:rPr>
        <w:t xml:space="preserve">财务要求</w:t>
      </w:r>
      <w:r>
        <w:rPr>
          <w:rFonts w:hint="eastAsia"/>
          <w:color w:val="auto"/>
          <w:szCs w:val="21"/>
          <w:highlight w:val="none"/>
        </w:rPr>
        <w:t xml:space="preserve">的</w:t>
      </w:r>
      <w:r>
        <w:rPr>
          <w:color w:val="auto"/>
          <w:szCs w:val="21"/>
          <w:highlight w:val="none"/>
        </w:rPr>
        <w:t xml:space="preserve">发票；如</w:t>
      </w:r>
      <w:r>
        <w:rPr>
          <w:rFonts w:hint="eastAsia"/>
          <w:color w:val="auto"/>
          <w:szCs w:val="21"/>
          <w:highlight w:val="none"/>
        </w:rPr>
        <w:t xml:space="preserve">供应商</w:t>
      </w:r>
      <w:r>
        <w:rPr>
          <w:color w:val="auto"/>
          <w:szCs w:val="21"/>
          <w:highlight w:val="none"/>
        </w:rPr>
        <w:t xml:space="preserve">服务考核存在扣款、违约金情形，</w:t>
      </w:r>
      <w:r>
        <w:rPr>
          <w:rFonts w:hint="eastAsia"/>
          <w:color w:val="auto"/>
          <w:szCs w:val="21"/>
          <w:highlight w:val="none"/>
        </w:rPr>
        <w:t xml:space="preserve">委托人</w:t>
      </w:r>
      <w:r>
        <w:rPr>
          <w:color w:val="auto"/>
          <w:szCs w:val="21"/>
          <w:highlight w:val="none"/>
        </w:rPr>
        <w:t xml:space="preserve">有权直接在当期应付服务费中扣除相应金额后支付剩余款项。</w:t>
      </w:r>
      <w:r/>
    </w:p>
    <w:p>
      <w:pPr>
        <w:ind w:firstLine="420"/>
        <w:spacing w:line="360" w:lineRule="auto"/>
        <w:rPr>
          <w:color w:val="auto"/>
          <w:highlight w:val="none"/>
          <w:lang w:val="zh-CN" w:eastAsia="zh-TW"/>
        </w:rPr>
      </w:pPr>
      <w:r>
        <w:rPr>
          <w:rFonts w:hint="eastAsia" w:ascii="宋体" w:hAnsi="宋体" w:cs="方正仿宋_GBK"/>
          <w:color w:val="auto"/>
          <w:szCs w:val="21"/>
          <w:highlight w:val="none"/>
        </w:rPr>
        <w:t xml:space="preserve">委托人</w:t>
      </w:r>
      <w:r>
        <w:rPr>
          <w:rFonts w:ascii="宋体" w:hAnsi="宋体" w:cs="方正仿宋_GBK"/>
          <w:color w:val="auto"/>
          <w:szCs w:val="21"/>
          <w:highlight w:val="none"/>
        </w:rPr>
        <w:t xml:space="preserve">每</w:t>
      </w:r>
      <w:r>
        <w:rPr>
          <w:rFonts w:hint="eastAsia" w:ascii="宋体" w:hAnsi="宋体" w:cs="方正仿宋_GBK"/>
          <w:color w:val="auto"/>
          <w:szCs w:val="21"/>
          <w:highlight w:val="none"/>
        </w:rPr>
        <w:t xml:space="preserve">3个</w:t>
      </w:r>
      <w:r>
        <w:rPr>
          <w:rFonts w:ascii="宋体" w:hAnsi="宋体" w:cs="方正仿宋_GBK"/>
          <w:color w:val="auto"/>
          <w:szCs w:val="21"/>
          <w:highlight w:val="none"/>
        </w:rPr>
        <w:t xml:space="preserve">月对</w:t>
      </w:r>
      <w:r>
        <w:rPr>
          <w:rFonts w:hint="eastAsia" w:ascii="宋体" w:hAnsi="宋体" w:cs="方正仿宋_GBK"/>
          <w:color w:val="auto"/>
          <w:szCs w:val="21"/>
          <w:highlight w:val="none"/>
        </w:rPr>
        <w:t xml:space="preserve">成交供应商</w:t>
      </w:r>
      <w:r>
        <w:rPr>
          <w:rFonts w:ascii="宋体" w:hAnsi="宋体" w:cs="方正仿宋_GBK"/>
          <w:color w:val="auto"/>
          <w:szCs w:val="21"/>
          <w:highlight w:val="none"/>
        </w:rPr>
        <w:t xml:space="preserve">进行</w:t>
      </w:r>
      <w:r>
        <w:rPr>
          <w:rFonts w:hint="eastAsia" w:ascii="宋体" w:hAnsi="宋体" w:cs="方正仿宋_GBK"/>
          <w:color w:val="auto"/>
          <w:szCs w:val="21"/>
          <w:highlight w:val="none"/>
          <w:lang w:val="en-US" w:eastAsia="zh-CN"/>
        </w:rPr>
        <w:t xml:space="preserve">满意度测评</w:t>
      </w:r>
      <w:r>
        <w:rPr>
          <w:rFonts w:ascii="宋体" w:hAnsi="宋体" w:cs="方正仿宋_GBK"/>
          <w:color w:val="auto"/>
          <w:szCs w:val="21"/>
          <w:highlight w:val="none"/>
        </w:rPr>
        <w:t xml:space="preserve">，</w:t>
      </w:r>
      <w:r>
        <w:rPr>
          <w:rFonts w:hint="eastAsia" w:ascii="宋体" w:hAnsi="宋体" w:cs="方正仿宋_GBK"/>
          <w:color w:val="auto"/>
          <w:szCs w:val="21"/>
          <w:highlight w:val="none"/>
          <w:lang w:val="en-US" w:eastAsia="zh-CN"/>
        </w:rPr>
        <w:t xml:space="preserve">满意度</w:t>
      </w:r>
      <w:r>
        <w:rPr>
          <w:rFonts w:ascii="宋体" w:hAnsi="宋体" w:cs="方正仿宋_GBK"/>
          <w:color w:val="auto"/>
          <w:szCs w:val="21"/>
          <w:highlight w:val="none"/>
        </w:rPr>
        <w:t xml:space="preserve">低于</w:t>
      </w:r>
      <w:r>
        <w:rPr>
          <w:rFonts w:hint="eastAsia" w:ascii="宋体" w:hAnsi="宋体" w:cs="方正仿宋_GBK"/>
          <w:color w:val="auto"/>
          <w:szCs w:val="21"/>
          <w:highlight w:val="none"/>
        </w:rPr>
        <w:t xml:space="preserve">90</w:t>
      </w:r>
      <w:r>
        <w:rPr>
          <w:rFonts w:hint="eastAsia" w:ascii="宋体" w:hAnsi="宋体" w:cs="方正仿宋_GBK"/>
          <w:color w:val="auto"/>
          <w:szCs w:val="21"/>
          <w:highlight w:val="none"/>
          <w:lang w:val="en-US" w:eastAsia="zh-CN"/>
        </w:rPr>
        <w:t xml:space="preserve">%</w:t>
      </w:r>
      <w:r>
        <w:rPr>
          <w:rFonts w:ascii="宋体" w:hAnsi="宋体" w:cs="方正仿宋_GBK"/>
          <w:color w:val="auto"/>
          <w:szCs w:val="21"/>
          <w:highlight w:val="none"/>
        </w:rPr>
        <w:t xml:space="preserve">，扣减</w:t>
      </w:r>
      <w:r>
        <w:rPr>
          <w:rFonts w:hint="eastAsia" w:ascii="宋体" w:hAnsi="宋体" w:cs="方正仿宋_GBK"/>
          <w:color w:val="auto"/>
          <w:szCs w:val="21"/>
          <w:highlight w:val="none"/>
        </w:rPr>
        <w:t xml:space="preserve">3个月委托管理服务费的</w:t>
      </w:r>
      <w:r>
        <w:rPr>
          <w:rFonts w:ascii="宋体" w:hAnsi="宋体" w:cs="方正仿宋_GBK"/>
          <w:color w:val="auto"/>
          <w:szCs w:val="21"/>
          <w:highlight w:val="none"/>
        </w:rPr>
        <w:t xml:space="preserve">10%；低于8</w:t>
      </w:r>
      <w:r>
        <w:rPr>
          <w:rFonts w:hint="eastAsia" w:ascii="宋体" w:hAnsi="宋体" w:cs="方正仿宋_GBK"/>
          <w:color w:val="auto"/>
          <w:szCs w:val="21"/>
          <w:highlight w:val="none"/>
        </w:rPr>
        <w:t xml:space="preserve">5</w:t>
      </w:r>
      <w:r>
        <w:rPr>
          <w:rFonts w:hint="eastAsia" w:ascii="宋体" w:hAnsi="宋体" w:cs="方正仿宋_GBK"/>
          <w:color w:val="auto"/>
          <w:szCs w:val="21"/>
          <w:highlight w:val="none"/>
          <w:lang w:val="en-US" w:eastAsia="zh-CN"/>
        </w:rPr>
        <w:t xml:space="preserve">%</w:t>
      </w:r>
      <w:r>
        <w:rPr>
          <w:rFonts w:ascii="宋体" w:hAnsi="宋体" w:cs="方正仿宋_GBK"/>
          <w:color w:val="auto"/>
          <w:szCs w:val="21"/>
          <w:highlight w:val="none"/>
        </w:rPr>
        <w:t xml:space="preserve">，扣减</w:t>
      </w:r>
      <w:r>
        <w:rPr>
          <w:rFonts w:hint="eastAsia" w:ascii="宋体" w:hAnsi="宋体" w:cs="方正仿宋_GBK"/>
          <w:color w:val="auto"/>
          <w:szCs w:val="21"/>
          <w:highlight w:val="none"/>
        </w:rPr>
        <w:t xml:space="preserve">单年3个月委托管理服务费的</w:t>
      </w:r>
      <w:r>
        <w:rPr>
          <w:rFonts w:ascii="宋体" w:hAnsi="宋体" w:cs="方正仿宋_GBK"/>
          <w:color w:val="auto"/>
          <w:szCs w:val="21"/>
          <w:highlight w:val="none"/>
        </w:rPr>
        <w:t xml:space="preserve">20%；低于</w:t>
      </w:r>
      <w:r>
        <w:rPr>
          <w:rFonts w:hint="eastAsia" w:ascii="宋体" w:hAnsi="宋体" w:cs="方正仿宋_GBK"/>
          <w:color w:val="auto"/>
          <w:szCs w:val="21"/>
          <w:highlight w:val="none"/>
        </w:rPr>
        <w:t xml:space="preserve">80</w:t>
      </w:r>
      <w:r>
        <w:rPr>
          <w:rFonts w:hint="eastAsia" w:ascii="宋体" w:hAnsi="宋体" w:cs="方正仿宋_GBK"/>
          <w:color w:val="auto"/>
          <w:szCs w:val="21"/>
          <w:highlight w:val="none"/>
          <w:lang w:val="en-US" w:eastAsia="zh-CN"/>
        </w:rPr>
        <w:t xml:space="preserve">%</w:t>
      </w:r>
      <w:r>
        <w:rPr>
          <w:rFonts w:ascii="宋体" w:hAnsi="宋体" w:cs="方正仿宋_GBK"/>
          <w:color w:val="auto"/>
          <w:szCs w:val="21"/>
          <w:highlight w:val="none"/>
        </w:rPr>
        <w:t xml:space="preserve">，扣减</w:t>
      </w:r>
      <w:r>
        <w:rPr>
          <w:rFonts w:hint="eastAsia" w:ascii="宋体" w:hAnsi="宋体" w:cs="方正仿宋_GBK"/>
          <w:color w:val="auto"/>
          <w:szCs w:val="21"/>
          <w:highlight w:val="none"/>
        </w:rPr>
        <w:t xml:space="preserve">3个月委托管理服务费的</w:t>
      </w:r>
      <w:r>
        <w:rPr>
          <w:rFonts w:ascii="宋体" w:hAnsi="宋体" w:cs="方正仿宋_GBK"/>
          <w:color w:val="auto"/>
          <w:szCs w:val="21"/>
          <w:highlight w:val="none"/>
        </w:rPr>
        <w:t xml:space="preserve">30%；累计</w:t>
      </w:r>
      <w:r>
        <w:rPr>
          <w:rFonts w:hint="eastAsia" w:ascii="宋体" w:hAnsi="宋体" w:cs="方正仿宋_GBK"/>
          <w:color w:val="auto"/>
          <w:szCs w:val="21"/>
          <w:highlight w:val="none"/>
        </w:rPr>
        <w:t xml:space="preserve">6</w:t>
      </w:r>
      <w:r>
        <w:rPr>
          <w:rFonts w:ascii="宋体" w:hAnsi="宋体" w:cs="方正仿宋_GBK"/>
          <w:color w:val="auto"/>
          <w:szCs w:val="21"/>
          <w:highlight w:val="none"/>
        </w:rPr>
        <w:t xml:space="preserve">个月低于</w:t>
      </w:r>
      <w:r>
        <w:rPr>
          <w:rFonts w:hint="eastAsia" w:ascii="宋体" w:hAnsi="宋体" w:cs="方正仿宋_GBK"/>
          <w:color w:val="auto"/>
          <w:szCs w:val="21"/>
          <w:highlight w:val="none"/>
        </w:rPr>
        <w:t xml:space="preserve">80</w:t>
      </w:r>
      <w:r>
        <w:rPr>
          <w:rFonts w:hint="eastAsia" w:ascii="宋体" w:hAnsi="宋体" w:cs="方正仿宋_GBK"/>
          <w:color w:val="auto"/>
          <w:szCs w:val="21"/>
          <w:highlight w:val="none"/>
          <w:lang w:val="en-US" w:eastAsia="zh-CN"/>
        </w:rPr>
        <w:t xml:space="preserve">%</w:t>
      </w:r>
      <w:r>
        <w:rPr>
          <w:rFonts w:ascii="宋体" w:hAnsi="宋体" w:cs="方正仿宋_GBK"/>
          <w:color w:val="auto"/>
          <w:szCs w:val="21"/>
          <w:highlight w:val="none"/>
        </w:rPr>
        <w:t xml:space="preserve">，</w:t>
      </w:r>
      <w:r>
        <w:rPr>
          <w:rFonts w:hint="eastAsia" w:ascii="宋体" w:hAnsi="宋体" w:cs="方正仿宋_GBK"/>
          <w:color w:val="auto"/>
          <w:szCs w:val="21"/>
          <w:highlight w:val="none"/>
        </w:rPr>
        <w:t xml:space="preserve">委托人</w:t>
      </w:r>
      <w:r>
        <w:rPr>
          <w:rFonts w:ascii="宋体" w:hAnsi="宋体" w:cs="方正仿宋_GBK"/>
          <w:color w:val="auto"/>
          <w:szCs w:val="21"/>
          <w:highlight w:val="none"/>
        </w:rPr>
        <w:t xml:space="preserve">有权解除合同，</w:t>
      </w:r>
      <w:r>
        <w:rPr>
          <w:rFonts w:hint="eastAsia" w:ascii="宋体" w:hAnsi="宋体" w:cs="方正仿宋_GBK"/>
          <w:color w:val="auto"/>
          <w:szCs w:val="21"/>
          <w:highlight w:val="none"/>
        </w:rPr>
        <w:t xml:space="preserve">成交供应商</w:t>
      </w:r>
      <w:r>
        <w:rPr>
          <w:rFonts w:ascii="宋体" w:hAnsi="宋体" w:cs="方正仿宋_GBK"/>
          <w:color w:val="auto"/>
          <w:szCs w:val="21"/>
          <w:highlight w:val="none"/>
        </w:rPr>
        <w:t xml:space="preserve">无条件服从；但</w:t>
      </w:r>
      <w:r>
        <w:rPr>
          <w:rFonts w:hint="eastAsia" w:ascii="宋体" w:hAnsi="宋体" w:cs="方正仿宋_GBK"/>
          <w:color w:val="auto"/>
          <w:szCs w:val="21"/>
          <w:highlight w:val="none"/>
        </w:rPr>
        <w:t xml:space="preserve">成交供应商</w:t>
      </w:r>
      <w:r>
        <w:rPr>
          <w:rFonts w:ascii="宋体" w:hAnsi="宋体" w:cs="方正仿宋_GBK"/>
          <w:color w:val="auto"/>
          <w:szCs w:val="21"/>
          <w:highlight w:val="none"/>
        </w:rPr>
        <w:t xml:space="preserve">须继续履约，直至</w:t>
      </w:r>
      <w:r>
        <w:rPr>
          <w:rFonts w:hint="eastAsia" w:ascii="宋体" w:hAnsi="宋体" w:cs="方正仿宋_GBK"/>
          <w:color w:val="auto"/>
          <w:szCs w:val="21"/>
          <w:highlight w:val="none"/>
        </w:rPr>
        <w:t xml:space="preserve">委托方</w:t>
      </w:r>
      <w:r>
        <w:rPr>
          <w:rFonts w:ascii="宋体" w:hAnsi="宋体" w:cs="方正仿宋_GBK"/>
          <w:color w:val="auto"/>
          <w:szCs w:val="21"/>
          <w:highlight w:val="none"/>
        </w:rPr>
        <w:t xml:space="preserve">另行</w:t>
      </w:r>
      <w:r>
        <w:rPr>
          <w:rFonts w:hint="eastAsia" w:ascii="宋体" w:hAnsi="宋体" w:cs="方正仿宋_GBK"/>
          <w:color w:val="auto"/>
          <w:szCs w:val="21"/>
          <w:highlight w:val="none"/>
        </w:rPr>
        <w:t xml:space="preserve">采购</w:t>
      </w:r>
      <w:r>
        <w:rPr>
          <w:rFonts w:ascii="宋体" w:hAnsi="宋体" w:cs="方正仿宋_GBK"/>
          <w:color w:val="auto"/>
          <w:szCs w:val="21"/>
          <w:highlight w:val="none"/>
        </w:rPr>
        <w:t xml:space="preserve">的下一家</w:t>
      </w:r>
      <w:r>
        <w:rPr>
          <w:rFonts w:hint="eastAsia" w:ascii="宋体" w:hAnsi="宋体" w:cs="方正仿宋_GBK"/>
          <w:color w:val="auto"/>
          <w:szCs w:val="21"/>
          <w:highlight w:val="none"/>
        </w:rPr>
        <w:t xml:space="preserve">服务商</w:t>
      </w:r>
      <w:r>
        <w:rPr>
          <w:rFonts w:ascii="宋体" w:hAnsi="宋体" w:cs="方正仿宋_GBK"/>
          <w:color w:val="auto"/>
          <w:szCs w:val="21"/>
          <w:highlight w:val="none"/>
        </w:rPr>
        <w:t xml:space="preserve">入场为止</w:t>
      </w:r>
      <w:r>
        <w:rPr>
          <w:rStyle w:val="826"/>
          <w:rFonts w:hint="eastAsia" w:ascii="宋体" w:hAnsi="宋体" w:cs="方正仿宋_GBK"/>
          <w:color w:val="auto"/>
          <w:highlight w:val="none"/>
        </w:rPr>
        <w:t xml:space="preserve">，费用结算至服务实际结束时间。</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七、异常低价处理</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（一）采购评审中出现下列情形之一的，评审委员会应当启动异常低价投标（响应）审查程序：</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4.评审委员会基于专业判断，认为供应商报价过低，有可能影响产品质量或者不能诚信履约的其他情形。</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br w:type="page" w:clear="all"/>
      </w:r>
      <w:r/>
    </w:p>
    <w:p>
      <w:pPr>
        <w:jc w:val="left"/>
        <w:spacing w:line="560" w:lineRule="exact"/>
        <w:rPr>
          <w:rFonts w:hint="eastAsia" w:eastAsia="宋体"/>
          <w:b/>
          <w:bCs/>
          <w:color w:val="auto"/>
          <w:sz w:val="32"/>
          <w:szCs w:val="32"/>
          <w:highlight w:val="none"/>
          <w:lang w:val="en-US" w:eastAsia="zh-CN"/>
        </w:rPr>
      </w:pPr>
      <w:r>
        <w:rPr>
          <w:rFonts w:hint="eastAsia" w:eastAsia="宋体"/>
          <w:b/>
          <w:bCs/>
          <w:color w:val="auto"/>
          <w:sz w:val="32"/>
          <w:szCs w:val="32"/>
          <w:highlight w:val="none"/>
          <w:lang w:val="en-US" w:eastAsia="zh-CN"/>
        </w:rPr>
        <w:t xml:space="preserve">附件：</w:t>
      </w:r>
      <w:r/>
    </w:p>
    <w:p>
      <w:pPr>
        <w:jc w:val="center"/>
        <w:spacing w:line="560" w:lineRule="exact"/>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食堂服务管理现状测评表</w:t>
      </w:r>
      <w:r/>
    </w:p>
    <w:p>
      <w:pPr>
        <w:jc w:val="center"/>
        <w:spacing w:line="560" w:lineRule="exact"/>
        <w:rPr>
          <w:rFonts w:ascii="黑体" w:hAnsi="黑体" w:eastAsia="黑体" w:cs="黑体"/>
          <w:color w:val="auto"/>
          <w:sz w:val="32"/>
          <w:szCs w:val="32"/>
          <w:highlight w:val="none"/>
        </w:rPr>
      </w:pPr>
      <w:r>
        <w:rPr>
          <w:rFonts w:hint="eastAsia" w:ascii="仿宋" w:hAnsi="仿宋" w:eastAsia="仿宋" w:cs="仿宋"/>
          <w:color w:val="auto"/>
          <w:sz w:val="30"/>
          <w:szCs w:val="30"/>
          <w:highlight w:val="none"/>
        </w:rPr>
        <w:t xml:space="preserve">（请在圈内打</w:t>
      </w:r>
      <w:r>
        <w:rPr>
          <w:rFonts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rPr>
        <w:t xml:space="preserve">）</w:t>
      </w:r>
      <w:r/>
    </w:p>
    <w:p>
      <w:pPr>
        <w:ind w:firstLine="560"/>
        <w:spacing w:line="52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一、卫生状况</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非常满意О  满意О   基本满意О  不满意О 不了解О</w:t>
      </w:r>
      <w:r/>
    </w:p>
    <w:p>
      <w:pPr>
        <w:ind w:firstLine="560"/>
        <w:spacing w:line="52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二、服务态度</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非常满意О  满意О   基本满意О  不满意О 不了解О</w:t>
      </w:r>
      <w:r/>
    </w:p>
    <w:p>
      <w:pPr>
        <w:spacing w:line="52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三、餐饮质量及口味</w:t>
      </w:r>
      <w:r/>
    </w:p>
    <w:p>
      <w:pPr>
        <w:ind w:firstLine="560"/>
        <w:spacing w:line="520" w:lineRule="exact"/>
        <w:rPr>
          <w:rFonts w:ascii="仿宋" w:hAnsi="仿宋" w:eastAsia="仿宋" w:cs="仿宋"/>
          <w:color w:val="auto"/>
          <w:sz w:val="28"/>
          <w:szCs w:val="28"/>
          <w:highlight w:val="none"/>
        </w:rPr>
      </w:pPr>
      <w:r>
        <w:rPr>
          <w:rFonts w:hint="eastAsia" w:ascii="黑体" w:hAnsi="黑体" w:eastAsia="黑体" w:cs="黑体"/>
          <w:color w:val="auto"/>
          <w:sz w:val="28"/>
          <w:szCs w:val="28"/>
          <w:highlight w:val="none"/>
        </w:rPr>
        <w:t xml:space="preserve">早餐  </w:t>
      </w:r>
      <w:r>
        <w:rPr>
          <w:rFonts w:hint="eastAsia" w:ascii="仿宋" w:hAnsi="仿宋" w:eastAsia="仿宋" w:cs="仿宋"/>
          <w:color w:val="auto"/>
          <w:sz w:val="28"/>
          <w:szCs w:val="28"/>
          <w:highlight w:val="none"/>
        </w:rPr>
        <w:t xml:space="preserve">非常满意О 满意О  基本满意О 不满意О 不了解О</w:t>
      </w:r>
      <w:r/>
    </w:p>
    <w:p>
      <w:pPr>
        <w:ind w:firstLine="420"/>
        <w:spacing w:line="52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午餐  </w:t>
      </w:r>
      <w:r>
        <w:rPr>
          <w:rFonts w:hint="eastAsia" w:ascii="仿宋" w:hAnsi="仿宋" w:eastAsia="仿宋" w:cs="仿宋"/>
          <w:color w:val="auto"/>
          <w:sz w:val="28"/>
          <w:szCs w:val="28"/>
          <w:highlight w:val="none"/>
        </w:rPr>
        <w:t xml:space="preserve">非常满意О 满意О  基本满意О 不满意О 不了解О</w:t>
      </w:r>
      <w:r/>
    </w:p>
    <w:p>
      <w:pPr>
        <w:ind w:firstLine="560"/>
        <w:spacing w:line="52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晚餐  </w:t>
      </w:r>
      <w:r>
        <w:rPr>
          <w:rFonts w:hint="eastAsia" w:ascii="仿宋" w:hAnsi="仿宋" w:eastAsia="仿宋" w:cs="仿宋"/>
          <w:color w:val="auto"/>
          <w:sz w:val="28"/>
          <w:szCs w:val="28"/>
          <w:highlight w:val="none"/>
        </w:rPr>
        <w:t xml:space="preserve">非常满意О 满意О  基本满意О 不满意О 不了解О</w:t>
      </w:r>
      <w:r/>
    </w:p>
    <w:p>
      <w:pPr>
        <w:spacing w:line="520" w:lineRule="exact"/>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spacing w:line="52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四、有关建议及意见</w:t>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460" w:lineRule="exact"/>
        <w:rPr>
          <w:rFonts w:ascii="楷体" w:hAnsi="楷体" w:eastAsia="楷体" w:cs="楷体"/>
          <w:color w:val="auto"/>
          <w:sz w:val="24"/>
          <w:highlight w:val="none"/>
        </w:rPr>
      </w:pPr>
      <w:r>
        <w:rPr>
          <w:rFonts w:hint="eastAsia" w:ascii="楷体" w:hAnsi="楷体" w:eastAsia="楷体" w:cs="楷体"/>
          <w:color w:val="auto"/>
          <w:sz w:val="24"/>
          <w:highlight w:val="none"/>
        </w:rPr>
        <w:t xml:space="preserve">（注：每人一票，无记名测评，请大家填好后，投入意见箱内）</w:t>
      </w:r>
      <w:r/>
    </w:p>
    <w:p>
      <w:pPr>
        <w:ind w:firstLine="640"/>
        <w:spacing w:line="560" w:lineRule="exact"/>
        <w:rPr>
          <w:rFonts w:ascii="仿宋" w:hAnsi="仿宋" w:eastAsia="仿宋" w:cs="Helvetica"/>
          <w:b/>
          <w:bCs/>
          <w:color w:val="auto"/>
          <w:sz w:val="32"/>
          <w:szCs w:val="32"/>
          <w:highlight w:val="none"/>
        </w:rPr>
      </w:pPr>
      <w:r>
        <w:rPr>
          <w:rFonts w:hint="eastAsia" w:ascii="仿宋" w:hAnsi="仿宋" w:eastAsia="仿宋" w:cs="Helvetica"/>
          <w:b/>
          <w:bCs/>
          <w:color w:val="auto"/>
          <w:sz w:val="32"/>
          <w:szCs w:val="32"/>
          <w:highlight w:val="none"/>
        </w:rPr>
        <w:t xml:space="preserve">测评表可自行复印</w:t>
      </w:r>
      <w:r/>
    </w:p>
    <w:p>
      <w:pPr>
        <w:pStyle w:val="791"/>
        <w:rPr>
          <w:rFonts w:hint="eastAsia" w:eastAsia="宋体"/>
          <w:color w:val="auto"/>
          <w:highlight w:val="none"/>
          <w:lang w:val="en-US" w:eastAsia="zh-CN"/>
        </w:rPr>
      </w:pPr>
      <w:r>
        <w:rPr>
          <w:rFonts w:hint="eastAsia" w:eastAsia="宋体"/>
          <w:color w:val="auto"/>
          <w:highlight w:val="none"/>
          <w:lang w:val="en-US" w:eastAsia="zh-CN"/>
        </w:rPr>
      </w:r>
      <w:r/>
    </w:p>
    <w:p>
      <w:pPr>
        <w:pStyle w:val="1069"/>
        <w:rPr>
          <w:rFonts w:hint="eastAsia" w:ascii="宋体" w:hAnsi="宋体" w:cs="宋体"/>
          <w:color w:val="auto"/>
          <w:highlight w:val="none"/>
        </w:rPr>
      </w:pPr>
      <w:r/>
      <w:bookmarkStart w:id="110" w:name="_Toc3304"/>
      <w:r>
        <w:rPr>
          <w:rFonts w:ascii="Microsoft New Tai Lue" w:hAnsi="Microsoft New Tai Lue" w:cs="Microsoft New Tai Lue"/>
          <w:color w:val="auto"/>
          <w:highlight w:val="none"/>
        </w:rPr>
        <w:br w:type="page" w:clear="all"/>
      </w:r>
      <w:bookmarkStart w:id="111" w:name="_Toc107246270"/>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rPr>
        <w:t xml:space="preserve">五</w:t>
      </w:r>
      <w:r>
        <w:rPr>
          <w:rFonts w:ascii="Microsoft New Tai Lue" w:hAnsi="Microsoft New Tai Lue" w:cs="Microsoft New Tai Lue"/>
          <w:color w:val="auto"/>
          <w:highlight w:val="none"/>
        </w:rPr>
        <w:t xml:space="preserve">章 </w:t>
      </w:r>
      <w:bookmarkEnd w:id="111"/>
      <w:r>
        <w:rPr>
          <w:rFonts w:hint="eastAsia" w:ascii="宋体" w:hAnsi="宋体" w:cs="宋体"/>
          <w:color w:val="auto"/>
          <w:highlight w:val="none"/>
        </w:rPr>
        <w:t xml:space="preserve">政府采购合同条款及格式</w:t>
      </w:r>
      <w:bookmarkEnd w:id="110"/>
      <w:r/>
      <w:r/>
    </w:p>
    <w:p>
      <w:pPr>
        <w:ind w:firstLine="372"/>
        <w:rPr>
          <w:rFonts w:hint="eastAsia" w:ascii="宋体" w:hAnsi="宋体" w:cs="宋体"/>
          <w:color w:val="auto"/>
          <w:highlight w:val="none"/>
        </w:rPr>
      </w:pPr>
      <w:r>
        <w:rPr>
          <w:rFonts w:hint="eastAsia" w:ascii="宋体" w:hAnsi="宋体" w:cs="宋体"/>
          <w:color w:val="auto"/>
          <w:sz w:val="28"/>
          <w:szCs w:val="28"/>
          <w:highlight w:val="none"/>
        </w:rPr>
        <w:t xml:space="preserve">注：本合同仅为合同的参考文本，合同签订双方可根据项目的具体要求进行修订，但不得更改实质性要求。</w:t>
      </w:r>
      <w:r/>
    </w:p>
    <w:p>
      <w:pPr>
        <w:ind w:firstLine="372"/>
        <w:rPr>
          <w:rFonts w:hint="eastAsia" w:ascii="宋体" w:hAnsi="宋体" w:cs="宋体"/>
          <w:color w:val="auto"/>
          <w:highlight w:val="none"/>
        </w:rPr>
      </w:pPr>
      <w:r>
        <w:rPr>
          <w:rFonts w:hint="eastAsia" w:ascii="宋体" w:hAnsi="宋体" w:cs="宋体"/>
          <w:color w:val="auto"/>
          <w:highlight w:val="none"/>
        </w:rPr>
      </w:r>
      <w:bookmarkEnd w:id="107"/>
      <w:r/>
      <w:bookmarkEnd w:id="108"/>
      <w:r/>
      <w:r/>
    </w:p>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（模板仅供参考以最终签订的合同为准）</w:t>
      </w:r>
      <w:r/>
    </w:p>
    <w:p>
      <w:pPr>
        <w:ind w:firstLine="4209"/>
        <w:tabs>
          <w:tab w:val="left" w:pos="1770" w:leader="none"/>
        </w:tabs>
        <w:rPr>
          <w:rFonts w:eastAsia="黑体"/>
          <w:color w:val="auto"/>
          <w:sz w:val="48"/>
          <w:szCs w:val="48"/>
          <w:highlight w:val="none"/>
        </w:rPr>
      </w:pPr>
      <w:r>
        <w:rPr>
          <w:rFonts w:eastAsia="黑体"/>
          <w:color w:val="auto"/>
          <w:sz w:val="48"/>
          <w:szCs w:val="48"/>
          <w:highlight w:val="none"/>
        </w:rPr>
      </w:r>
      <w:r/>
    </w:p>
    <w:p>
      <w:pPr>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委托方：</w:t>
      </w:r>
      <w:r>
        <w:rPr>
          <w:rFonts w:hint="eastAsia" w:ascii="宋体" w:hAnsi="宋体" w:cs="仿宋"/>
          <w:color w:val="auto"/>
          <w:szCs w:val="21"/>
          <w:highlight w:val="none"/>
        </w:rPr>
        <w:t xml:space="preserve">    </w:t>
      </w:r>
      <w:r>
        <w:rPr>
          <w:rFonts w:hint="eastAsia" w:ascii="宋体" w:hAnsi="宋体" w:cs="仿宋"/>
          <w:bCs/>
          <w:color w:val="auto"/>
          <w:szCs w:val="21"/>
          <w:highlight w:val="none"/>
        </w:rPr>
        <w:t xml:space="preserve">（下简称甲方）</w:t>
      </w:r>
      <w:r/>
    </w:p>
    <w:p>
      <w:pPr>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住所地：</w:t>
      </w:r>
      <w:r/>
    </w:p>
    <w:p>
      <w:pPr>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r>
      <w:r/>
    </w:p>
    <w:p>
      <w:pPr>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受托方：                           （下简称乙方）</w:t>
      </w:r>
      <w:r/>
    </w:p>
    <w:p>
      <w:pPr>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住所地：  </w:t>
      </w:r>
      <w:r/>
    </w:p>
    <w:p>
      <w:pPr>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统一社会信用代码：  </w:t>
      </w:r>
      <w:r/>
    </w:p>
    <w:p>
      <w:pPr>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法定代表人：                    联系方式： </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根据《中华人民共和国民法典》及相关法律法规规定，甲、乙双方经友好协商，就乙方受托管理甲方位于</w:t>
      </w:r>
      <w:r>
        <w:rPr>
          <w:rFonts w:hint="eastAsia" w:ascii="宋体" w:hAnsi="宋体" w:cs="仿宋"/>
          <w:color w:val="auto"/>
          <w:szCs w:val="21"/>
          <w:highlight w:val="none"/>
          <w:u w:val="single"/>
        </w:rPr>
        <w:t xml:space="preserve"> </w:t>
      </w:r>
      <w:r>
        <w:rPr>
          <w:rFonts w:hint="eastAsia" w:ascii="宋体" w:hAnsi="宋体" w:cs="宋体"/>
          <w:bCs/>
          <w:color w:val="auto"/>
          <w:szCs w:val="21"/>
          <w:highlight w:val="none"/>
          <w:u w:val="single"/>
        </w:rPr>
        <w:t xml:space="preserve">南京市鼓楼区沅江路62号辰龙雅苑2栋的沅江路办公区食堂（南京市建邺区南湖路97号的南湖路办公区食堂）</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 xml:space="preserve">（下称该食堂）事宜，达成以下协议：</w:t>
      </w:r>
      <w:r/>
    </w:p>
    <w:p>
      <w:pPr>
        <w:ind w:left="567"/>
        <w:spacing w:before="120"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一、托管内容</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甲方将该食堂委托给乙方管理，由乙方为甲方及相关人员提供用餐服务，乙方根据服务量收取委托管理服务费用、人员薪资费用、人员其他费用及税费。甲方食堂的设备设施及用品用具均由乙方使用管理。</w:t>
      </w:r>
      <w:r/>
    </w:p>
    <w:p>
      <w:pPr>
        <w:ind w:left="567"/>
        <w:spacing w:before="120"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二、双方权利和义务</w:t>
      </w:r>
      <w:r/>
    </w:p>
    <w:p>
      <w:pPr>
        <w:ind w:firstLine="422"/>
        <w:spacing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（一）甲方权利和义务</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1、甲方有权监督乙方依法经营、安全生产、合同履行、并做好协调工作。</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2、甲方协助乙方维持该食堂的治安秩序，并加强对就餐人员的教育，自觉维护公共卫生和公共秩序，遵守该食堂的各项管理规定。</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3、乙方因生产和服务需要而产生的能源费用、卫生用品、清洁用品、洗涤用品等低耗品由乙方提供书面清单，经甲方同意后，由甲方负责统一提供。</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4、甲方负责提供电脑和网络，保证乙方正常服务工作使用。</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5、甲方负责设备的维护及油烟、排污管道深度清洁保养和隔油池清理等常规性维护工作以及泔水处理等产生的费用。</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6、甲方负责采购食品原材料。</w:t>
      </w:r>
      <w:r/>
    </w:p>
    <w:p>
      <w:pPr>
        <w:ind w:firstLine="422"/>
        <w:spacing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（二）乙方权利和义务</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1、乙方负责甲方食堂的日常经营和管理，包括人事安排、提供每日餐食服务等，每日供餐时间依据甲方要求制定。</w:t>
      </w:r>
      <w:r>
        <w:rPr>
          <w:rFonts w:hint="eastAsia"/>
          <w:color w:val="auto"/>
          <w:sz w:val="21"/>
          <w:szCs w:val="21"/>
          <w:highlight w:val="none"/>
        </w:rPr>
        <w:t xml:space="preserve">每日协助甲方验收食材原材料</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2、在本协议签订时，乙方必须向甲方出示承办食堂的各种有效资质证明(包括营业执照、卫生许可证、工作人员健康证等作为本协议附件)。乙方负责该食堂工作人员必须持按规定体检合格后取得的有效健康证上岗。如在取得健康证后得病，并且病症影响食品卫生的，必须立即调离工作岗位。</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3、乙方在经营服务中应严格遵守国家有关法律、法规，遵守甲方一切管理、规章制度并承担因违法、违规造成的一切经济、法律责任。</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4、乙方有权制定严格的管理制度和规定，包括人事、岗位责任、饮食、环境卫生、安全防范等制度。</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5、乙方人员必须严格遵守甲方的各项管理制度，服从甲方相关领导之指示，文明经营，讲究个人及公共卫生，保证安全生产。</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6、乙方每餐制作的菜肴必须严格按照《中华人民共和国食品安全法》及相关的法律规定进行经营，并做到菜肴新鲜可口，品种不断翻新，注重营养搭配，价格合理，数量适中，质量上乘。否则由此产生的所有损失及法律责任均由乙方承担。</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7、乙方在委托管理服务期内对于甲方的房屋未经甲方同意，不得自行改造，不得随意改变房屋结构，爱护甲方设备设施，包括厨房设备、用具和餐具，因乙方故意或过失导致甲方物品损坏或遗失的，由乙方承担相应的赔偿责任。</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8、在本合同有效期内，该食堂所有的包括但不限于安全生产、工作人员人身安全等所有责任均由乙方承担，与甲方无关。</w:t>
      </w:r>
      <w:r/>
    </w:p>
    <w:p>
      <w:pPr>
        <w:ind w:left="567"/>
        <w:spacing w:before="120"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三、费用结算</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1、乙方应向甲方缴纳履约保证金，单年合同额的10%，即人民币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 。</w:t>
      </w:r>
      <w:r/>
    </w:p>
    <w:p>
      <w:pPr>
        <w:ind w:firstLine="420"/>
        <w:jc w:val="left"/>
        <w:spacing w:line="360" w:lineRule="auto"/>
        <w:rPr>
          <w:rFonts w:hint="eastAsia" w:ascii="宋体" w:hAnsi="宋体" w:cs="仿宋"/>
          <w:bCs/>
          <w:color w:val="auto"/>
          <w:szCs w:val="21"/>
          <w:highlight w:val="none"/>
        </w:rPr>
      </w:pPr>
      <w:r>
        <w:rPr>
          <w:rFonts w:hint="eastAsia" w:ascii="宋体" w:hAnsi="宋体" w:cs="宋体"/>
          <w:color w:val="auto"/>
          <w:szCs w:val="21"/>
          <w:highlight w:val="none"/>
        </w:rPr>
        <w:t xml:space="preserve">2、</w:t>
      </w:r>
      <w:r>
        <w:rPr>
          <w:rFonts w:hint="eastAsia" w:ascii="宋体" w:hAnsi="宋体" w:cs="仿宋"/>
          <w:bCs/>
          <w:color w:val="auto"/>
          <w:szCs w:val="21"/>
          <w:highlight w:val="none"/>
        </w:rPr>
        <w:t xml:space="preserve">每月收取委托管理服务费：人民币</w:t>
      </w:r>
      <w:r>
        <w:rPr>
          <w:rFonts w:hint="eastAsia" w:ascii="宋体" w:hAnsi="宋体" w:cs="仿宋"/>
          <w:b/>
          <w:bCs/>
          <w:color w:val="auto"/>
          <w:szCs w:val="21"/>
          <w:highlight w:val="none"/>
          <w:u w:val="single"/>
        </w:rPr>
        <w:t xml:space="preserve">         </w:t>
      </w:r>
      <w:r>
        <w:rPr>
          <w:rFonts w:hint="eastAsia" w:ascii="宋体" w:hAnsi="宋体" w:cs="仿宋"/>
          <w:bCs/>
          <w:color w:val="auto"/>
          <w:szCs w:val="21"/>
          <w:highlight w:val="none"/>
        </w:rPr>
        <w:t xml:space="preserve">元（</w:t>
      </w:r>
      <w:r>
        <w:rPr>
          <w:rFonts w:hint="eastAsia" w:ascii="宋体" w:hAnsi="宋体" w:cs="仿宋"/>
          <w:b/>
          <w:bCs/>
          <w:color w:val="auto"/>
          <w:szCs w:val="21"/>
          <w:highlight w:val="none"/>
        </w:rPr>
        <w:t xml:space="preserve">大写：       </w:t>
      </w:r>
      <w:r>
        <w:rPr>
          <w:rFonts w:hint="eastAsia" w:ascii="宋体" w:hAnsi="宋体" w:cs="仿宋"/>
          <w:bCs/>
          <w:color w:val="auto"/>
          <w:szCs w:val="21"/>
          <w:highlight w:val="none"/>
        </w:rPr>
        <w:t xml:space="preserve">），每年收取委托管理服务费：人民币</w:t>
      </w:r>
      <w:r>
        <w:rPr>
          <w:rFonts w:hint="eastAsia" w:ascii="宋体" w:hAnsi="宋体" w:cs="仿宋"/>
          <w:b/>
          <w:bCs/>
          <w:color w:val="auto"/>
          <w:szCs w:val="21"/>
          <w:highlight w:val="none"/>
          <w:u w:val="single"/>
        </w:rPr>
        <w:t xml:space="preserve">         </w:t>
      </w:r>
      <w:r>
        <w:rPr>
          <w:rFonts w:hint="eastAsia" w:ascii="宋体" w:hAnsi="宋体" w:cs="仿宋"/>
          <w:bCs/>
          <w:color w:val="auto"/>
          <w:szCs w:val="21"/>
          <w:highlight w:val="none"/>
        </w:rPr>
        <w:t xml:space="preserve">元（</w:t>
      </w:r>
      <w:r>
        <w:rPr>
          <w:rFonts w:hint="eastAsia" w:ascii="宋体" w:hAnsi="宋体" w:cs="仿宋"/>
          <w:b/>
          <w:bCs/>
          <w:color w:val="auto"/>
          <w:szCs w:val="21"/>
          <w:highlight w:val="none"/>
        </w:rPr>
        <w:t xml:space="preserve">大写：       </w:t>
      </w:r>
      <w:r>
        <w:rPr>
          <w:rFonts w:hint="eastAsia" w:ascii="宋体" w:hAnsi="宋体" w:cs="仿宋"/>
          <w:bCs/>
          <w:color w:val="auto"/>
          <w:szCs w:val="21"/>
          <w:highlight w:val="none"/>
        </w:rPr>
        <w:t xml:space="preserve">），两年共计：人民币</w:t>
      </w:r>
      <w:r>
        <w:rPr>
          <w:rFonts w:hint="eastAsia" w:ascii="宋体" w:hAnsi="宋体" w:cs="仿宋"/>
          <w:b/>
          <w:bCs/>
          <w:color w:val="auto"/>
          <w:szCs w:val="21"/>
          <w:highlight w:val="none"/>
          <w:u w:val="single"/>
        </w:rPr>
        <w:t xml:space="preserve">         </w:t>
      </w:r>
      <w:r>
        <w:rPr>
          <w:rFonts w:hint="eastAsia" w:ascii="宋体" w:hAnsi="宋体" w:cs="仿宋"/>
          <w:bCs/>
          <w:color w:val="auto"/>
          <w:szCs w:val="21"/>
          <w:highlight w:val="none"/>
        </w:rPr>
        <w:t xml:space="preserve">元（</w:t>
      </w:r>
      <w:r>
        <w:rPr>
          <w:rFonts w:hint="eastAsia" w:ascii="宋体" w:hAnsi="宋体" w:cs="仿宋"/>
          <w:b/>
          <w:bCs/>
          <w:color w:val="auto"/>
          <w:szCs w:val="21"/>
          <w:highlight w:val="none"/>
        </w:rPr>
        <w:t xml:space="preserve">大写：       </w:t>
      </w:r>
      <w:r>
        <w:rPr>
          <w:rFonts w:hint="eastAsia" w:ascii="宋体" w:hAnsi="宋体" w:cs="仿宋"/>
          <w:bCs/>
          <w:color w:val="auto"/>
          <w:szCs w:val="21"/>
          <w:highlight w:val="none"/>
        </w:rPr>
        <w:t xml:space="preserve">）。</w:t>
      </w:r>
      <w:r/>
    </w:p>
    <w:p>
      <w:pPr>
        <w:ind w:firstLine="420"/>
        <w:spacing w:line="360" w:lineRule="auto"/>
        <w:rPr>
          <w:color w:val="auto"/>
          <w:highlight w:val="none"/>
        </w:rPr>
      </w:pPr>
      <w:r>
        <w:rPr>
          <w:color w:val="auto"/>
          <w:highlight w:val="none"/>
        </w:rPr>
        <w:t xml:space="preserve">3、</w:t>
      </w:r>
      <w:r>
        <w:rPr>
          <w:rFonts w:hint="eastAsia" w:ascii="宋体" w:hAnsi="宋体" w:cs="仿宋"/>
          <w:bCs/>
          <w:color w:val="auto"/>
          <w:szCs w:val="21"/>
          <w:highlight w:val="none"/>
        </w:rPr>
        <w:t xml:space="preserve">双方共同商定的用工编制</w:t>
      </w:r>
      <w:r>
        <w:rPr>
          <w:rFonts w:hint="eastAsia" w:ascii="宋体" w:hAnsi="宋体" w:cs="仿宋"/>
          <w:bCs/>
          <w:color w:val="auto"/>
          <w:szCs w:val="21"/>
          <w:highlight w:val="none"/>
          <w:u w:val="single"/>
          <w:lang w:val="en-US" w:eastAsia="zh-CN"/>
        </w:rPr>
        <w:t xml:space="preserve">     </w:t>
      </w:r>
      <w:r>
        <w:rPr>
          <w:rFonts w:hint="eastAsia" w:ascii="宋体" w:hAnsi="宋体" w:cs="仿宋"/>
          <w:bCs/>
          <w:color w:val="auto"/>
          <w:szCs w:val="21"/>
          <w:highlight w:val="none"/>
        </w:rPr>
        <w:t xml:space="preserve">人</w:t>
      </w:r>
      <w:r>
        <w:rPr>
          <w:rFonts w:hint="eastAsia" w:ascii="宋体" w:hAnsi="宋体" w:cs="仿宋"/>
          <w:bCs/>
          <w:color w:val="auto"/>
          <w:szCs w:val="21"/>
          <w:highlight w:val="none"/>
          <w:u w:val="single"/>
        </w:rPr>
        <w:t xml:space="preserve">。</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甲方如需在双休日或法定节假日提供餐食服务或应甲方要求临时增加服务人员，经双方协商后另行支付加班费等相关费用。</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5、本协议履行期内，</w:t>
      </w:r>
      <w:r>
        <w:rPr>
          <w:rFonts w:hint="eastAsia" w:ascii="宋体" w:hAnsi="宋体" w:cs="宋体"/>
          <w:b/>
          <w:color w:val="auto"/>
          <w:szCs w:val="21"/>
          <w:highlight w:val="none"/>
        </w:rPr>
        <w:t xml:space="preserve">如遇南京市最低工资及社保基数上调及对公积金缴纳有明确规定的，可对合同价款进行调整，调整金额不超过中标金额的10%，合同金额调整方式按照国家及南京市对最低工资标准及社保基数的标准执行。</w:t>
      </w:r>
      <w:r>
        <w:rPr>
          <w:rFonts w:hint="eastAsia" w:ascii="宋体" w:hAnsi="宋体" w:cs="仿宋"/>
          <w:bCs/>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仿宋"/>
          <w:bCs/>
          <w:color w:val="auto"/>
          <w:szCs w:val="21"/>
          <w:highlight w:val="none"/>
        </w:rPr>
        <w:t xml:space="preserve">6、</w:t>
      </w:r>
      <w:r>
        <w:rPr>
          <w:rFonts w:hint="eastAsia" w:ascii="宋体" w:hAnsi="宋体" w:cs="宋体"/>
          <w:color w:val="auto"/>
          <w:szCs w:val="21"/>
          <w:highlight w:val="none"/>
        </w:rPr>
        <w:t xml:space="preserve">如遇重大活动、临时性重大接待任务的餐饮的制作和服务；提前通知乙方，在保证餐厅正常开放的情况下，乙方须及时增派人员参与接待服务。相关人员费用由双方协商。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7、费用</w:t>
      </w:r>
      <w:r>
        <w:rPr>
          <w:rFonts w:hint="eastAsia" w:ascii="宋体" w:hAnsi="宋体" w:cs="宋体"/>
          <w:color w:val="auto"/>
          <w:szCs w:val="21"/>
          <w:highlight w:val="none"/>
          <w:lang w:val="en-US" w:eastAsia="zh-CN"/>
        </w:rPr>
        <w:t xml:space="preserve">支付</w:t>
      </w:r>
      <w:r>
        <w:rPr>
          <w:rFonts w:hint="eastAsia" w:ascii="宋体" w:hAnsi="宋体" w:cs="宋体"/>
          <w:color w:val="auto"/>
          <w:szCs w:val="21"/>
          <w:highlight w:val="none"/>
        </w:rPr>
        <w:t xml:space="preserve">：</w:t>
      </w:r>
      <w:r/>
    </w:p>
    <w:p>
      <w:pPr>
        <w:ind w:firstLine="420"/>
        <w:jc w:val="left"/>
        <w:spacing w:line="360" w:lineRule="auto"/>
        <w:widowControl/>
        <w:rPr>
          <w:color w:val="auto"/>
          <w:szCs w:val="21"/>
          <w:highlight w:val="none"/>
        </w:rPr>
      </w:pPr>
      <w:r>
        <w:rPr>
          <w:rStyle w:val="826"/>
          <w:rFonts w:hint="eastAsia" w:ascii="宋体" w:hAnsi="宋体" w:cs="方正仿宋_GBK"/>
          <w:color w:val="auto"/>
          <w:highlight w:val="none"/>
        </w:rPr>
        <w:t xml:space="preserve">（1）</w:t>
      </w:r>
      <w:r>
        <w:rPr>
          <w:color w:val="auto"/>
          <w:szCs w:val="21"/>
          <w:highlight w:val="none"/>
        </w:rPr>
        <w:t xml:space="preserve">合同生效</w:t>
      </w:r>
      <w:r>
        <w:rPr>
          <w:rFonts w:hint="eastAsia"/>
          <w:color w:val="auto"/>
          <w:szCs w:val="21"/>
          <w:highlight w:val="none"/>
        </w:rPr>
        <w:t xml:space="preserve">后</w:t>
      </w:r>
      <w:r>
        <w:rPr>
          <w:color w:val="auto"/>
          <w:szCs w:val="21"/>
          <w:highlight w:val="none"/>
        </w:rPr>
        <w:t xml:space="preserve">，</w:t>
      </w:r>
      <w:r>
        <w:rPr>
          <w:rFonts w:hint="eastAsia"/>
          <w:color w:val="auto"/>
          <w:szCs w:val="21"/>
          <w:highlight w:val="none"/>
        </w:rPr>
        <w:t xml:space="preserve">乙方</w:t>
      </w:r>
      <w:r>
        <w:rPr>
          <w:color w:val="auto"/>
          <w:szCs w:val="21"/>
          <w:highlight w:val="none"/>
        </w:rPr>
        <w:t xml:space="preserve">进场开展服务后 10 个工作日内，向</w:t>
      </w:r>
      <w:r>
        <w:rPr>
          <w:rFonts w:hint="eastAsia"/>
          <w:color w:val="auto"/>
          <w:szCs w:val="21"/>
          <w:highlight w:val="none"/>
        </w:rPr>
        <w:t xml:space="preserve">乙方</w:t>
      </w:r>
      <w:r>
        <w:rPr>
          <w:color w:val="auto"/>
          <w:szCs w:val="21"/>
          <w:highlight w:val="none"/>
        </w:rPr>
        <w:t xml:space="preserve">支付</w:t>
      </w:r>
      <w:r>
        <w:rPr>
          <w:rStyle w:val="823"/>
          <w:rFonts w:hint="eastAsia"/>
          <w:color w:val="auto"/>
          <w:szCs w:val="21"/>
          <w:highlight w:val="none"/>
        </w:rPr>
        <w:t xml:space="preserve">单年合同额</w:t>
      </w:r>
      <w:r>
        <w:rPr>
          <w:rStyle w:val="823"/>
          <w:color w:val="auto"/>
          <w:szCs w:val="21"/>
          <w:highlight w:val="none"/>
        </w:rPr>
        <w:t xml:space="preserve">的 10%作为预付款</w:t>
      </w:r>
      <w:r>
        <w:rPr>
          <w:color w:val="auto"/>
          <w:szCs w:val="21"/>
          <w:highlight w:val="none"/>
        </w:rPr>
        <w:t xml:space="preserve">，该预付款在后续服务费</w:t>
      </w:r>
      <w:r>
        <w:rPr>
          <w:rFonts w:hint="eastAsia"/>
          <w:color w:val="auto"/>
          <w:szCs w:val="21"/>
          <w:highlight w:val="none"/>
        </w:rPr>
        <w:t xml:space="preserve">支付</w:t>
      </w:r>
      <w:r>
        <w:rPr>
          <w:color w:val="auto"/>
          <w:szCs w:val="21"/>
          <w:highlight w:val="none"/>
        </w:rPr>
        <w:t xml:space="preserve">中予以抵扣。</w:t>
      </w:r>
      <w:r/>
    </w:p>
    <w:p>
      <w:pPr>
        <w:ind w:firstLine="420"/>
        <w:jc w:val="left"/>
        <w:spacing w:line="360" w:lineRule="auto"/>
        <w:widowControl/>
        <w:rPr>
          <w:color w:val="auto"/>
          <w:szCs w:val="21"/>
          <w:highlight w:val="none"/>
        </w:rPr>
      </w:pPr>
      <w:r>
        <w:rPr>
          <w:rFonts w:hint="eastAsia" w:ascii="Symbol" w:hAnsi="Symbol" w:cs="Symbol"/>
          <w:color w:val="auto"/>
          <w:szCs w:val="21"/>
          <w:highlight w:val="none"/>
        </w:rPr>
        <w:t xml:space="preserve">（2）</w:t>
      </w:r>
      <w:r>
        <w:rPr>
          <w:color w:val="auto"/>
          <w:szCs w:val="21"/>
          <w:highlight w:val="none"/>
        </w:rPr>
        <w:t xml:space="preserve">本项目服务费每 </w:t>
      </w:r>
      <w:r>
        <w:rPr>
          <w:rFonts w:hint="eastAsia"/>
          <w:color w:val="auto"/>
          <w:szCs w:val="21"/>
          <w:highlight w:val="none"/>
        </w:rPr>
        <w:t xml:space="preserve">3</w:t>
      </w:r>
      <w:r>
        <w:rPr>
          <w:color w:val="auto"/>
          <w:szCs w:val="21"/>
          <w:highlight w:val="none"/>
        </w:rPr>
        <w:t xml:space="preserve"> 个月为一个付款周期。每个服务周期结束，经</w:t>
      </w:r>
      <w:r>
        <w:rPr>
          <w:rFonts w:hint="eastAsia"/>
          <w:color w:val="auto"/>
          <w:szCs w:val="21"/>
          <w:highlight w:val="none"/>
        </w:rPr>
        <w:t xml:space="preserve">委托人</w:t>
      </w:r>
      <w:r>
        <w:rPr>
          <w:color w:val="auto"/>
          <w:szCs w:val="21"/>
          <w:highlight w:val="none"/>
        </w:rPr>
        <w:t xml:space="preserve">对该周期食堂服务考核</w:t>
      </w:r>
      <w:r>
        <w:rPr>
          <w:rFonts w:hint="eastAsia"/>
          <w:color w:val="auto"/>
          <w:szCs w:val="21"/>
          <w:highlight w:val="none"/>
        </w:rPr>
        <w:t xml:space="preserve">后</w:t>
      </w:r>
      <w:r>
        <w:rPr>
          <w:color w:val="auto"/>
          <w:szCs w:val="21"/>
          <w:highlight w:val="none"/>
        </w:rPr>
        <w:t xml:space="preserve">，支付该</w:t>
      </w:r>
      <w:r>
        <w:rPr>
          <w:rFonts w:hint="eastAsia"/>
          <w:color w:val="auto"/>
          <w:szCs w:val="21"/>
          <w:highlight w:val="none"/>
        </w:rPr>
        <w:t xml:space="preserve">期</w:t>
      </w:r>
      <w:r>
        <w:rPr>
          <w:color w:val="auto"/>
          <w:szCs w:val="21"/>
          <w:highlight w:val="none"/>
        </w:rPr>
        <w:t xml:space="preserve">对应的服务费用。</w:t>
      </w:r>
      <w:r/>
    </w:p>
    <w:p>
      <w:pPr>
        <w:ind w:firstLine="420"/>
        <w:jc w:val="left"/>
        <w:spacing w:line="360" w:lineRule="auto"/>
        <w:widowControl/>
        <w:rPr>
          <w:color w:val="auto"/>
          <w:szCs w:val="21"/>
          <w:highlight w:val="none"/>
        </w:rPr>
      </w:pPr>
      <w:r>
        <w:rPr>
          <w:rFonts w:hint="eastAsia" w:ascii="Symbol" w:hAnsi="Symbol" w:cs="Symbol"/>
          <w:color w:val="auto"/>
          <w:szCs w:val="21"/>
          <w:highlight w:val="none"/>
        </w:rPr>
        <w:t xml:space="preserve">（3）</w:t>
      </w:r>
      <w:r>
        <w:rPr>
          <w:color w:val="auto"/>
          <w:szCs w:val="21"/>
          <w:highlight w:val="none"/>
        </w:rPr>
        <w:t xml:space="preserve">每期付款前，</w:t>
      </w:r>
      <w:r>
        <w:rPr>
          <w:rFonts w:hint="eastAsia"/>
          <w:color w:val="auto"/>
          <w:szCs w:val="21"/>
          <w:highlight w:val="none"/>
        </w:rPr>
        <w:t xml:space="preserve">乙方</w:t>
      </w:r>
      <w:r>
        <w:rPr>
          <w:color w:val="auto"/>
          <w:szCs w:val="21"/>
          <w:highlight w:val="none"/>
        </w:rPr>
        <w:t xml:space="preserve">应</w:t>
      </w:r>
      <w:r>
        <w:rPr>
          <w:rFonts w:hint="eastAsia"/>
          <w:color w:val="auto"/>
          <w:szCs w:val="21"/>
          <w:highlight w:val="none"/>
        </w:rPr>
        <w:t xml:space="preserve">提供符合委托人</w:t>
      </w:r>
      <w:r>
        <w:rPr>
          <w:color w:val="auto"/>
          <w:szCs w:val="21"/>
          <w:highlight w:val="none"/>
        </w:rPr>
        <w:t xml:space="preserve">财务要求</w:t>
      </w:r>
      <w:r>
        <w:rPr>
          <w:rFonts w:hint="eastAsia"/>
          <w:color w:val="auto"/>
          <w:szCs w:val="21"/>
          <w:highlight w:val="none"/>
        </w:rPr>
        <w:t xml:space="preserve">的</w:t>
      </w:r>
      <w:r>
        <w:rPr>
          <w:color w:val="auto"/>
          <w:szCs w:val="21"/>
          <w:highlight w:val="none"/>
        </w:rPr>
        <w:t xml:space="preserve">发票；如</w:t>
      </w:r>
      <w:r>
        <w:rPr>
          <w:rFonts w:hint="eastAsia"/>
          <w:color w:val="auto"/>
          <w:szCs w:val="21"/>
          <w:highlight w:val="none"/>
        </w:rPr>
        <w:t xml:space="preserve">乙方</w:t>
      </w:r>
      <w:r>
        <w:rPr>
          <w:color w:val="auto"/>
          <w:szCs w:val="21"/>
          <w:highlight w:val="none"/>
        </w:rPr>
        <w:t xml:space="preserve">服务考核存在扣款、违约金情形，</w:t>
      </w:r>
      <w:r>
        <w:rPr>
          <w:rFonts w:hint="eastAsia"/>
          <w:color w:val="auto"/>
          <w:szCs w:val="21"/>
          <w:highlight w:val="none"/>
        </w:rPr>
        <w:t xml:space="preserve">委托人</w:t>
      </w:r>
      <w:r>
        <w:rPr>
          <w:color w:val="auto"/>
          <w:szCs w:val="21"/>
          <w:highlight w:val="none"/>
        </w:rPr>
        <w:t xml:space="preserve">有权直接在当期应付服务费中扣除相应金额后支付剩余款项。</w:t>
      </w:r>
      <w:r/>
    </w:p>
    <w:p>
      <w:pPr>
        <w:ind w:firstLine="420"/>
        <w:rPr>
          <w:color w:val="auto"/>
          <w:highlight w:val="none"/>
        </w:rPr>
      </w:pPr>
      <w:r>
        <w:rPr>
          <w:rFonts w:hint="eastAsia" w:ascii="宋体" w:hAnsi="宋体" w:cs="方正仿宋_GBK"/>
          <w:color w:val="auto"/>
          <w:szCs w:val="21"/>
          <w:highlight w:val="none"/>
        </w:rPr>
        <w:t xml:space="preserve">委托人</w:t>
      </w:r>
      <w:r>
        <w:rPr>
          <w:rFonts w:ascii="宋体" w:hAnsi="宋体" w:cs="方正仿宋_GBK"/>
          <w:color w:val="auto"/>
          <w:szCs w:val="21"/>
          <w:highlight w:val="none"/>
        </w:rPr>
        <w:t xml:space="preserve">每</w:t>
      </w:r>
      <w:r>
        <w:rPr>
          <w:rFonts w:hint="eastAsia" w:ascii="宋体" w:hAnsi="宋体" w:cs="方正仿宋_GBK"/>
          <w:color w:val="auto"/>
          <w:szCs w:val="21"/>
          <w:highlight w:val="none"/>
        </w:rPr>
        <w:t xml:space="preserve">3个</w:t>
      </w:r>
      <w:r>
        <w:rPr>
          <w:rFonts w:ascii="宋体" w:hAnsi="宋体" w:cs="方正仿宋_GBK"/>
          <w:color w:val="auto"/>
          <w:szCs w:val="21"/>
          <w:highlight w:val="none"/>
        </w:rPr>
        <w:t xml:space="preserve">月对</w:t>
      </w:r>
      <w:r>
        <w:rPr>
          <w:rFonts w:hint="eastAsia" w:ascii="宋体" w:hAnsi="宋体" w:cs="方正仿宋_GBK"/>
          <w:color w:val="auto"/>
          <w:szCs w:val="21"/>
          <w:highlight w:val="none"/>
        </w:rPr>
        <w:t xml:space="preserve">成交供应商</w:t>
      </w:r>
      <w:r>
        <w:rPr>
          <w:rFonts w:ascii="宋体" w:hAnsi="宋体" w:cs="方正仿宋_GBK"/>
          <w:color w:val="auto"/>
          <w:szCs w:val="21"/>
          <w:highlight w:val="none"/>
        </w:rPr>
        <w:t xml:space="preserve">进行</w:t>
      </w:r>
      <w:r>
        <w:rPr>
          <w:rFonts w:hint="eastAsia" w:ascii="宋体" w:hAnsi="宋体" w:cs="方正仿宋_GBK"/>
          <w:color w:val="auto"/>
          <w:szCs w:val="21"/>
          <w:highlight w:val="none"/>
          <w:lang w:val="en-US" w:eastAsia="zh-CN"/>
        </w:rPr>
        <w:t xml:space="preserve">满意度测评</w:t>
      </w:r>
      <w:r>
        <w:rPr>
          <w:rFonts w:ascii="宋体" w:hAnsi="宋体" w:cs="方正仿宋_GBK"/>
          <w:color w:val="auto"/>
          <w:szCs w:val="21"/>
          <w:highlight w:val="none"/>
        </w:rPr>
        <w:t xml:space="preserve">，</w:t>
      </w:r>
      <w:r>
        <w:rPr>
          <w:rFonts w:hint="eastAsia" w:ascii="宋体" w:hAnsi="宋体" w:cs="方正仿宋_GBK"/>
          <w:color w:val="auto"/>
          <w:szCs w:val="21"/>
          <w:highlight w:val="none"/>
          <w:lang w:val="en-US" w:eastAsia="zh-CN"/>
        </w:rPr>
        <w:t xml:space="preserve">满意度</w:t>
      </w:r>
      <w:r>
        <w:rPr>
          <w:rFonts w:ascii="宋体" w:hAnsi="宋体" w:cs="方正仿宋_GBK"/>
          <w:color w:val="auto"/>
          <w:szCs w:val="21"/>
          <w:highlight w:val="none"/>
        </w:rPr>
        <w:t xml:space="preserve">低于</w:t>
      </w:r>
      <w:r>
        <w:rPr>
          <w:rFonts w:hint="eastAsia" w:ascii="宋体" w:hAnsi="宋体" w:cs="方正仿宋_GBK"/>
          <w:color w:val="auto"/>
          <w:szCs w:val="21"/>
          <w:highlight w:val="none"/>
        </w:rPr>
        <w:t xml:space="preserve">9</w:t>
      </w:r>
      <w:r>
        <w:rPr>
          <w:rFonts w:hint="eastAsia" w:ascii="宋体" w:hAnsi="宋体" w:cs="方正仿宋_GBK"/>
          <w:color w:val="auto"/>
          <w:szCs w:val="21"/>
          <w:highlight w:val="none"/>
          <w:lang w:val="en-US" w:eastAsia="zh-CN"/>
        </w:rPr>
        <w:t xml:space="preserve">0%</w:t>
      </w:r>
      <w:r>
        <w:rPr>
          <w:rFonts w:ascii="宋体" w:hAnsi="宋体" w:cs="方正仿宋_GBK"/>
          <w:color w:val="auto"/>
          <w:szCs w:val="21"/>
          <w:highlight w:val="none"/>
        </w:rPr>
        <w:t xml:space="preserve">，扣减</w:t>
      </w:r>
      <w:r>
        <w:rPr>
          <w:rFonts w:hint="eastAsia" w:ascii="宋体" w:hAnsi="宋体" w:cs="方正仿宋_GBK"/>
          <w:color w:val="auto"/>
          <w:szCs w:val="21"/>
          <w:highlight w:val="none"/>
        </w:rPr>
        <w:t xml:space="preserve">3个月委托管理服务费的</w:t>
      </w:r>
      <w:r>
        <w:rPr>
          <w:rFonts w:ascii="宋体" w:hAnsi="宋体" w:cs="方正仿宋_GBK"/>
          <w:color w:val="auto"/>
          <w:szCs w:val="21"/>
          <w:highlight w:val="none"/>
        </w:rPr>
        <w:t xml:space="preserve">10%；</w:t>
      </w:r>
      <w:r>
        <w:rPr>
          <w:rFonts w:hint="eastAsia" w:ascii="宋体" w:hAnsi="宋体" w:cs="方正仿宋_GBK"/>
          <w:color w:val="auto"/>
          <w:szCs w:val="21"/>
          <w:highlight w:val="none"/>
          <w:lang w:val="en-US" w:eastAsia="zh-CN"/>
        </w:rPr>
        <w:t xml:space="preserve">低于</w:t>
      </w:r>
      <w:r>
        <w:rPr>
          <w:rFonts w:ascii="宋体" w:hAnsi="宋体" w:cs="方正仿宋_GBK"/>
          <w:color w:val="auto"/>
          <w:szCs w:val="21"/>
          <w:highlight w:val="none"/>
        </w:rPr>
        <w:t xml:space="preserve">8</w:t>
      </w:r>
      <w:r>
        <w:rPr>
          <w:rFonts w:hint="eastAsia" w:ascii="宋体" w:hAnsi="宋体" w:cs="方正仿宋_GBK"/>
          <w:color w:val="auto"/>
          <w:szCs w:val="21"/>
          <w:highlight w:val="none"/>
        </w:rPr>
        <w:t xml:space="preserve">5</w:t>
      </w:r>
      <w:r>
        <w:rPr>
          <w:rFonts w:hint="eastAsia" w:ascii="宋体" w:hAnsi="宋体" w:cs="方正仿宋_GBK"/>
          <w:color w:val="auto"/>
          <w:szCs w:val="21"/>
          <w:highlight w:val="none"/>
          <w:lang w:val="en-US" w:eastAsia="zh-CN"/>
        </w:rPr>
        <w:t xml:space="preserve">%</w:t>
      </w:r>
      <w:r>
        <w:rPr>
          <w:rFonts w:ascii="宋体" w:hAnsi="宋体" w:cs="方正仿宋_GBK"/>
          <w:color w:val="auto"/>
          <w:szCs w:val="21"/>
          <w:highlight w:val="none"/>
        </w:rPr>
        <w:t xml:space="preserve">，扣减</w:t>
      </w:r>
      <w:r>
        <w:rPr>
          <w:rFonts w:hint="eastAsia" w:ascii="宋体" w:hAnsi="宋体" w:cs="方正仿宋_GBK"/>
          <w:color w:val="auto"/>
          <w:szCs w:val="21"/>
          <w:highlight w:val="none"/>
        </w:rPr>
        <w:t xml:space="preserve">单年3个月委托管理服务费的</w:t>
      </w:r>
      <w:r>
        <w:rPr>
          <w:rFonts w:ascii="宋体" w:hAnsi="宋体" w:cs="方正仿宋_GBK"/>
          <w:color w:val="auto"/>
          <w:szCs w:val="21"/>
          <w:highlight w:val="none"/>
        </w:rPr>
        <w:t xml:space="preserve">20%；低于</w:t>
      </w:r>
      <w:r>
        <w:rPr>
          <w:rFonts w:hint="eastAsia" w:ascii="宋体" w:hAnsi="宋体" w:cs="方正仿宋_GBK"/>
          <w:color w:val="auto"/>
          <w:szCs w:val="21"/>
          <w:highlight w:val="none"/>
        </w:rPr>
        <w:t xml:space="preserve">80</w:t>
      </w:r>
      <w:r>
        <w:rPr>
          <w:rFonts w:hint="eastAsia" w:ascii="宋体" w:hAnsi="宋体" w:cs="方正仿宋_GBK"/>
          <w:color w:val="auto"/>
          <w:szCs w:val="21"/>
          <w:highlight w:val="none"/>
          <w:lang w:val="en-US" w:eastAsia="zh-CN"/>
        </w:rPr>
        <w:t xml:space="preserve">%</w:t>
      </w:r>
      <w:r>
        <w:rPr>
          <w:rFonts w:ascii="宋体" w:hAnsi="宋体" w:cs="方正仿宋_GBK"/>
          <w:color w:val="auto"/>
          <w:szCs w:val="21"/>
          <w:highlight w:val="none"/>
        </w:rPr>
        <w:t xml:space="preserve">，扣减</w:t>
      </w:r>
      <w:r>
        <w:rPr>
          <w:rFonts w:hint="eastAsia" w:ascii="宋体" w:hAnsi="宋体" w:cs="方正仿宋_GBK"/>
          <w:color w:val="auto"/>
          <w:szCs w:val="21"/>
          <w:highlight w:val="none"/>
        </w:rPr>
        <w:t xml:space="preserve">3个月委托管理服务费的</w:t>
      </w:r>
      <w:r>
        <w:rPr>
          <w:rFonts w:ascii="宋体" w:hAnsi="宋体" w:cs="方正仿宋_GBK"/>
          <w:color w:val="auto"/>
          <w:szCs w:val="21"/>
          <w:highlight w:val="none"/>
        </w:rPr>
        <w:t xml:space="preserve">30%；累计</w:t>
      </w:r>
      <w:r>
        <w:rPr>
          <w:rFonts w:hint="eastAsia" w:ascii="宋体" w:hAnsi="宋体" w:cs="方正仿宋_GBK"/>
          <w:color w:val="auto"/>
          <w:szCs w:val="21"/>
          <w:highlight w:val="none"/>
        </w:rPr>
        <w:t xml:space="preserve">6</w:t>
      </w:r>
      <w:r>
        <w:rPr>
          <w:rFonts w:ascii="宋体" w:hAnsi="宋体" w:cs="方正仿宋_GBK"/>
          <w:color w:val="auto"/>
          <w:szCs w:val="21"/>
          <w:highlight w:val="none"/>
        </w:rPr>
        <w:t xml:space="preserve">个月低于</w:t>
      </w:r>
      <w:r>
        <w:rPr>
          <w:rFonts w:hint="eastAsia" w:ascii="宋体" w:hAnsi="宋体" w:cs="方正仿宋_GBK"/>
          <w:color w:val="auto"/>
          <w:szCs w:val="21"/>
          <w:highlight w:val="none"/>
        </w:rPr>
        <w:t xml:space="preserve">80</w:t>
      </w:r>
      <w:r>
        <w:rPr>
          <w:rFonts w:hint="eastAsia" w:ascii="宋体" w:hAnsi="宋体" w:cs="方正仿宋_GBK"/>
          <w:color w:val="auto"/>
          <w:szCs w:val="21"/>
          <w:highlight w:val="none"/>
          <w:lang w:val="en-US" w:eastAsia="zh-CN"/>
        </w:rPr>
        <w:t xml:space="preserve">%</w:t>
      </w:r>
      <w:r>
        <w:rPr>
          <w:rFonts w:ascii="宋体" w:hAnsi="宋体" w:cs="方正仿宋_GBK"/>
          <w:color w:val="auto"/>
          <w:szCs w:val="21"/>
          <w:highlight w:val="none"/>
        </w:rPr>
        <w:t xml:space="preserve">，</w:t>
      </w:r>
      <w:r>
        <w:rPr>
          <w:rFonts w:hint="eastAsia" w:ascii="宋体" w:hAnsi="宋体" w:cs="方正仿宋_GBK"/>
          <w:color w:val="auto"/>
          <w:szCs w:val="21"/>
          <w:highlight w:val="none"/>
        </w:rPr>
        <w:t xml:space="preserve">委托人</w:t>
      </w:r>
      <w:r>
        <w:rPr>
          <w:rFonts w:ascii="宋体" w:hAnsi="宋体" w:cs="方正仿宋_GBK"/>
          <w:color w:val="auto"/>
          <w:szCs w:val="21"/>
          <w:highlight w:val="none"/>
        </w:rPr>
        <w:t xml:space="preserve">有权解除合同，</w:t>
      </w:r>
      <w:r>
        <w:rPr>
          <w:rFonts w:hint="eastAsia" w:ascii="宋体" w:hAnsi="宋体" w:cs="方正仿宋_GBK"/>
          <w:color w:val="auto"/>
          <w:szCs w:val="21"/>
          <w:highlight w:val="none"/>
        </w:rPr>
        <w:t xml:space="preserve">乙方</w:t>
      </w:r>
      <w:r>
        <w:rPr>
          <w:rFonts w:ascii="宋体" w:hAnsi="宋体" w:cs="方正仿宋_GBK"/>
          <w:color w:val="auto"/>
          <w:szCs w:val="21"/>
          <w:highlight w:val="none"/>
        </w:rPr>
        <w:t xml:space="preserve">无条件服从；但</w:t>
      </w:r>
      <w:r>
        <w:rPr>
          <w:rFonts w:hint="eastAsia" w:ascii="宋体" w:hAnsi="宋体" w:cs="方正仿宋_GBK"/>
          <w:color w:val="auto"/>
          <w:szCs w:val="21"/>
          <w:highlight w:val="none"/>
        </w:rPr>
        <w:t xml:space="preserve">乙方</w:t>
      </w:r>
      <w:r>
        <w:rPr>
          <w:rFonts w:ascii="宋体" w:hAnsi="宋体" w:cs="方正仿宋_GBK"/>
          <w:color w:val="auto"/>
          <w:szCs w:val="21"/>
          <w:highlight w:val="none"/>
        </w:rPr>
        <w:t xml:space="preserve">须继续履约，直至</w:t>
      </w:r>
      <w:r>
        <w:rPr>
          <w:rFonts w:hint="eastAsia" w:ascii="宋体" w:hAnsi="宋体" w:cs="方正仿宋_GBK"/>
          <w:color w:val="auto"/>
          <w:szCs w:val="21"/>
          <w:highlight w:val="none"/>
        </w:rPr>
        <w:t xml:space="preserve">委托方</w:t>
      </w:r>
      <w:r>
        <w:rPr>
          <w:rFonts w:ascii="宋体" w:hAnsi="宋体" w:cs="方正仿宋_GBK"/>
          <w:color w:val="auto"/>
          <w:szCs w:val="21"/>
          <w:highlight w:val="none"/>
        </w:rPr>
        <w:t xml:space="preserve">另行</w:t>
      </w:r>
      <w:r>
        <w:rPr>
          <w:rFonts w:hint="eastAsia" w:ascii="宋体" w:hAnsi="宋体" w:cs="方正仿宋_GBK"/>
          <w:color w:val="auto"/>
          <w:szCs w:val="21"/>
          <w:highlight w:val="none"/>
        </w:rPr>
        <w:t xml:space="preserve">采购</w:t>
      </w:r>
      <w:r>
        <w:rPr>
          <w:rFonts w:ascii="宋体" w:hAnsi="宋体" w:cs="方正仿宋_GBK"/>
          <w:color w:val="auto"/>
          <w:szCs w:val="21"/>
          <w:highlight w:val="none"/>
        </w:rPr>
        <w:t xml:space="preserve">的下一家</w:t>
      </w:r>
      <w:r>
        <w:rPr>
          <w:rFonts w:hint="eastAsia" w:ascii="宋体" w:hAnsi="宋体" w:cs="方正仿宋_GBK"/>
          <w:color w:val="auto"/>
          <w:szCs w:val="21"/>
          <w:highlight w:val="none"/>
        </w:rPr>
        <w:t xml:space="preserve">服务商</w:t>
      </w:r>
      <w:r>
        <w:rPr>
          <w:rFonts w:ascii="宋体" w:hAnsi="宋体" w:cs="方正仿宋_GBK"/>
          <w:color w:val="auto"/>
          <w:szCs w:val="21"/>
          <w:highlight w:val="none"/>
        </w:rPr>
        <w:t xml:space="preserve">入场为止</w:t>
      </w:r>
      <w:r>
        <w:rPr>
          <w:rStyle w:val="826"/>
          <w:rFonts w:hint="eastAsia" w:ascii="宋体" w:hAnsi="宋体" w:cs="方正仿宋_GBK"/>
          <w:color w:val="auto"/>
          <w:highlight w:val="none"/>
        </w:rPr>
        <w:t xml:space="preserve">，费用结算至服务实际结束时间。</w:t>
      </w:r>
      <w:r/>
    </w:p>
    <w:p>
      <w:pPr>
        <w:ind w:firstLine="422"/>
        <w:spacing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四、服务要求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履行方式：合同自签订之日起，前三个月为试用期，试用期满经甲方考核合格后,合同方为有效。如考核不合格，甲方有权终止服务合同，但乙方必须保证甲方各项正常服务，直至新的服务单位到位方可撤离，期间所产生的费用按实结算。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将组成食堂服务评估小组，对乙方日常服务及人员考勤等情况进行定期、不定期的评估抽查，抽查结果作为甲方对乙方进行考核及每月结算及年终决算的依据，乙方应对甲方开放考勤系统权限，甲方可随时查阅乙方人员考勤情况。</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3、履约期间，因乙方没有严格遵守食品安全有关规定，发生食品安全事故（经权威部门鉴定）,甲方将依据事故严重情况对乙方进行不同程度的处罚：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1）出现超过五人以上出现食物中毒现象及更严重情况属严重质量问题，乙方向甲方一次支付5万元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并承担一切就医及赔偿责任，并且甲方有权直接解除合同关系，在甲方重新确定服务单位前仍由乙方继续提供食堂托管服务；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2）出现食物中毒现象不超过五人属较严重事故：乙方向甲方一次支付30000元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并承担一切就医及赔偿责任；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3）出现食物不熟等情况属轻微质量事故，乙方向甲方一次支付2000元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并赔偿食材；</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4）对就餐人员反映比较集中的问题超过一个月不整改的情况（因甲方客观原因除外），每发生一次，乙方向甲方一次支付1000元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5)发生被卫生、食品安全等管理监督部门现场检查出现问题或被处罚的，一切处罚由乙方承担（因甲方硬件条件或其他相关原因导致的除外）。</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以上事故情形由</w:t>
      </w:r>
      <w:r>
        <w:rPr>
          <w:rFonts w:hint="eastAsia" w:ascii="宋体" w:hAnsi="宋体" w:cs="宋体"/>
          <w:color w:val="auto"/>
          <w:szCs w:val="21"/>
          <w:highlight w:val="none"/>
          <w:lang w:val="en-US" w:eastAsia="zh-CN"/>
        </w:rPr>
        <w:t xml:space="preserve">委托方</w:t>
      </w:r>
      <w:r>
        <w:rPr>
          <w:rFonts w:hint="eastAsia" w:ascii="宋体" w:hAnsi="宋体" w:cs="宋体"/>
          <w:color w:val="auto"/>
          <w:szCs w:val="21"/>
          <w:highlight w:val="none"/>
        </w:rPr>
        <w:t xml:space="preserve">食堂服务评估小组作出认定。</w:t>
      </w:r>
      <w:r/>
    </w:p>
    <w:p>
      <w:pPr>
        <w:ind w:firstLine="420"/>
        <w:jc w:val="left"/>
        <w:spacing w:line="360" w:lineRule="auto"/>
        <w:rPr>
          <w:color w:val="auto"/>
          <w:highlight w:val="none"/>
        </w:rPr>
      </w:pPr>
      <w:r>
        <w:rPr>
          <w:rFonts w:hint="eastAsia"/>
          <w:color w:val="auto"/>
          <w:highlight w:val="none"/>
        </w:rPr>
        <w:t xml:space="preserve">4、乙方必须认真做好承包经营场所节能降耗，按甲方要求按时关灯、调控空调温度等，并及时清场，严禁在公共餐区打牌等活动，一旦发现乙方没有按要求做好节能降耗工作，一经查实，发现一次，</w:t>
      </w:r>
      <w:r>
        <w:rPr>
          <w:rFonts w:hint="eastAsia" w:ascii="宋体" w:hAnsi="宋体" w:cs="宋体"/>
          <w:color w:val="auto"/>
          <w:szCs w:val="21"/>
          <w:highlight w:val="none"/>
        </w:rPr>
        <w:t xml:space="preserve">乙方向甲方一次支付500元</w:t>
      </w:r>
      <w:r>
        <w:rPr>
          <w:rFonts w:hint="eastAsia" w:ascii="宋体" w:hAnsi="宋体" w:cs="宋体"/>
          <w:color w:val="auto"/>
          <w:szCs w:val="21"/>
          <w:highlight w:val="none"/>
        </w:rPr>
        <w:t xml:space="preserve">违约赔偿金</w:t>
      </w:r>
      <w:r>
        <w:rPr>
          <w:rFonts w:hint="eastAsia"/>
          <w:color w:val="auto"/>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5、就餐方式管理。餐厅使用一卡通系统进行消费，乙方单位应派人在刷卡处监督就餐人员刷卡就餐。乙方在就餐时间内刷卡处无人或发现甲方就餐人员不刷卡就餐及时提醒。</w:t>
      </w:r>
      <w:r/>
    </w:p>
    <w:p>
      <w:pPr>
        <w:ind w:firstLine="420"/>
        <w:jc w:val="left"/>
        <w:spacing w:line="360" w:lineRule="auto"/>
        <w:rPr>
          <w:color w:val="auto"/>
          <w:highlight w:val="none"/>
        </w:rPr>
      </w:pPr>
      <w:r>
        <w:rPr>
          <w:rFonts w:hint="eastAsia"/>
          <w:color w:val="auto"/>
          <w:highlight w:val="none"/>
        </w:rPr>
        <w:t xml:space="preserve">6、乙方应合理使用并爱护甲方的厨房设备、用具和餐具，并对甲方的厨房设备做常规的维护和保养，在合同期内，必须对甲方提供的固定资产做好清点、登记、保管、维护等工作，建立台账。一旦发生非正常使用之损坏、丢失等现象，必须由乙方按价赔偿（正常损耗除外），赔偿款可从结算价款或履约保证金中扣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7、乙方人员应着工装上岗，严格制度管理，杜绝各种事故发生，尤其对所使用的设备、用具、水电气要认真落实管理责任。加强日常设备的维护保养与安检，杜绝跑、冒、滴、漏现象发生。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8、服务期内所有安全生产间题均由乙方负责，包括但不限于燃气安全、消防安全、生产安全、食品安全、就餐环境安全等（甲方原因造成的除外）。造成重大、恶劣影响的</w:t>
      </w:r>
      <w:r>
        <w:rPr>
          <w:rFonts w:hint="eastAsia"/>
          <w:color w:val="auto"/>
          <w:highlight w:val="none"/>
        </w:rPr>
        <w:t xml:space="preserve">，</w:t>
      </w:r>
      <w:r>
        <w:rPr>
          <w:rFonts w:hint="eastAsia" w:ascii="宋体" w:hAnsi="宋体" w:cs="宋体"/>
          <w:color w:val="auto"/>
          <w:szCs w:val="21"/>
          <w:highlight w:val="none"/>
        </w:rPr>
        <w:t xml:space="preserve">乙方向甲方一次支付1000-50000元</w:t>
      </w:r>
      <w:r>
        <w:rPr>
          <w:rFonts w:hint="eastAsia" w:ascii="宋体" w:hAnsi="宋体" w:cs="宋体"/>
          <w:color w:val="auto"/>
          <w:szCs w:val="21"/>
          <w:highlight w:val="none"/>
        </w:rPr>
        <w:t xml:space="preserve">违约赔偿金。</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rPr>
        <w:t xml:space="preserve">因乙方原因造成的第三方意外伤害，由乙方自行承担。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10、乙方未经甲方允许，擅自接受他人的制餐要求的，甲方发现一次，乙方向甲方支付3000-5000元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。乙方不得使用甲方所提供的场地、设备、用具、用品、水电气等工作条件为甲方以外的单位、个人及市场经营活动进行食物加工，一经发现，视情况严重程度，乙方向甲方支付5000-10000元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en-US" w:eastAsia="zh-CN"/>
        </w:rPr>
        <w:t xml:space="preserve">在服务期间，</w:t>
      </w:r>
      <w:r>
        <w:rPr>
          <w:rFonts w:hint="eastAsia" w:ascii="宋体" w:hAnsi="宋体" w:cs="宋体"/>
          <w:color w:val="auto"/>
          <w:szCs w:val="21"/>
          <w:highlight w:val="none"/>
        </w:rPr>
        <w:t xml:space="preserve">乙方不得擅自更换</w:t>
      </w:r>
      <w:r>
        <w:rPr>
          <w:rFonts w:hint="eastAsia" w:ascii="宋体" w:hAnsi="宋体" w:cs="宋体"/>
          <w:color w:val="auto"/>
          <w:szCs w:val="21"/>
          <w:highlight w:val="none"/>
          <w:lang w:val="en-US" w:eastAsia="zh-CN"/>
        </w:rPr>
        <w:t xml:space="preserve">相关服务</w:t>
      </w:r>
      <w:r>
        <w:rPr>
          <w:rFonts w:hint="eastAsia" w:ascii="宋体" w:hAnsi="宋体" w:cs="宋体"/>
          <w:color w:val="auto"/>
          <w:szCs w:val="21"/>
          <w:highlight w:val="none"/>
        </w:rPr>
        <w:t xml:space="preserve">人员，如需更换应提前30日通知甲方，并征得甲方同意。擅自更换的，乙方向甲方支付10000元/人</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。甲方对乙方现场服务人员不满意时，乙方应及时更换，普通员工在5个工作日内进行更换，管理人员在10个工作日内进行更换，直至甲方满意为止。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rPr>
        <w:t xml:space="preserve">就餐人员的变动，乙方需无条件服从甲方安排。</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13、每周菜谱需经甲方审核，减少预制菜。</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14、厨余垃圾</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应设专人处理。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15、乙方在服务场所内，设点经营的，应经甲方允许。</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color w:val="auto"/>
          <w:szCs w:val="21"/>
          <w:highlight w:val="none"/>
        </w:rPr>
        <w:t xml:space="preserve">甲方发现并指出乙方管理不当之处，乙方拒不改正的，发现一次，由乙方向甲方支付500元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w:t>
      </w:r>
      <w:r>
        <w:rPr>
          <w:rFonts w:hint="eastAsia" w:ascii="宋体" w:hAnsi="宋体" w:cs="宋体"/>
          <w:color w:val="auto"/>
          <w:szCs w:val="21"/>
          <w:highlight w:val="none"/>
        </w:rPr>
        <w:t xml:space="preserve">如遇重大活动、临时性重大接待任务的餐饮的制作和服务；提前通知乙方，在保证餐厅正常开放的情况下，乙方须及时增派人员参与接待服务。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、所有原材料进场由乙方负责验收并保管。验收时，发现不合格商品，应及时退换。因乙方原因，造成的原材料损坏、变质、过期，由乙方照价赔偿。</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rPr>
        <w:t xml:space="preserve">、乙方在服务期内发生因设备、能源使用不当，发生安全事故造成一定影响的，由乙方承担经济赔偿责任以及相关法律责任，发生一起，由乙方向甲方支付1000元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、乙方在服务期内未能按时间提供服务，出现断供，缺供的情况下，造成重大影响的，由乙方向甲方支付2000元</w:t>
      </w:r>
      <w:r>
        <w:rPr>
          <w:rFonts w:hint="eastAsia" w:ascii="宋体" w:hAnsi="宋体" w:cs="宋体"/>
          <w:color w:val="auto"/>
          <w:szCs w:val="21"/>
          <w:highlight w:val="none"/>
        </w:rPr>
        <w:t xml:space="preserve">违约赔偿金</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、乙方根据甲方安排开通外卖服务。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、根据甲方需求举办餐饮美食节，包括但不限于端午节、中秋节、元宵节等重大传统节日。</w:t>
      </w:r>
      <w:r/>
    </w:p>
    <w:p>
      <w:pPr>
        <w:ind w:firstLine="570"/>
        <w:spacing w:line="360" w:lineRule="auto"/>
        <w:rPr>
          <w:rFonts w:hint="eastAsia" w:ascii="宋体" w:hAnsi="宋体" w:cs="仿宋"/>
          <w:bCs/>
          <w:color w:val="auto"/>
          <w:szCs w:val="21"/>
          <w:highlight w:val="none"/>
        </w:rPr>
      </w:pPr>
      <w:r>
        <w:rPr>
          <w:rFonts w:hint="eastAsia" w:ascii="宋体" w:hAnsi="宋体" w:cs="宋体"/>
          <w:color w:val="auto"/>
          <w:szCs w:val="21"/>
          <w:highlight w:val="none"/>
        </w:rPr>
        <w:t xml:space="preserve">以上违约金从乙方管理服务费中扣除或履约保证金中扣除。</w:t>
      </w:r>
      <w:r/>
    </w:p>
    <w:p>
      <w:pPr>
        <w:ind w:left="567"/>
        <w:spacing w:before="120"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六、协议期限</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本次采购有效期自2026年10月8日至2028年10月7日，协议一年一签。本协议自   年  月  日至  年  月  日。如果甲乙双方同意，可就协议续签问题进行协商，协商一致时重新签定委托管理协议，本协议到期前未达成新协议的，本协议到期自行终止。</w:t>
      </w:r>
      <w:r/>
    </w:p>
    <w:p>
      <w:pPr>
        <w:ind w:left="567"/>
        <w:spacing w:before="120"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七、协议争议解决</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因执行本协议发生争执时，双方应协调解决，协调不成时，可向甲方所在法院提起诉讼。</w:t>
      </w:r>
      <w:r/>
    </w:p>
    <w:p>
      <w:pPr>
        <w:ind w:left="567"/>
        <w:spacing w:before="120" w:line="360" w:lineRule="auto"/>
        <w:rPr>
          <w:rFonts w:hint="eastAsia" w:ascii="宋体" w:hAnsi="宋体" w:cs="仿宋"/>
          <w:b/>
          <w:bCs/>
          <w:color w:val="auto"/>
          <w:szCs w:val="21"/>
          <w:highlight w:val="none"/>
        </w:rPr>
      </w:pPr>
      <w:r>
        <w:rPr>
          <w:rFonts w:hint="eastAsia" w:ascii="宋体" w:hAnsi="宋体" w:cs="仿宋"/>
          <w:b/>
          <w:bCs/>
          <w:color w:val="auto"/>
          <w:szCs w:val="21"/>
          <w:highlight w:val="none"/>
        </w:rPr>
        <w:t xml:space="preserve">八、备注</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甲方提供给乙方的厨房设备、用品用具及其他设备设施须列出清单作为本协议的附件，经双方核定签名盖章后各持一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r/>
    </w:p>
    <w:p>
      <w:pPr>
        <w:ind w:firstLine="316"/>
        <w:rPr>
          <w:rFonts w:hint="eastAsia" w:ascii="宋体" w:hAnsi="宋体" w:cs="仿宋"/>
          <w:b/>
          <w:bCs/>
          <w:color w:val="auto"/>
          <w:szCs w:val="21"/>
          <w:highlight w:val="none"/>
        </w:rPr>
      </w:pPr>
      <w:r>
        <w:rPr>
          <w:rFonts w:hint="eastAsia" w:ascii="宋体" w:hAnsi="宋体" w:cs="仿宋"/>
          <w:b/>
          <w:bCs/>
          <w:color w:val="auto"/>
          <w:szCs w:val="21"/>
          <w:highlight w:val="none"/>
        </w:rPr>
      </w:r>
      <w:r/>
    </w:p>
    <w:p>
      <w:pPr>
        <w:ind w:firstLine="316"/>
        <w:rPr>
          <w:rFonts w:hint="eastAsia" w:ascii="宋体" w:hAnsi="宋体" w:cs="仿宋"/>
          <w:b/>
          <w:bCs/>
          <w:color w:val="auto"/>
          <w:szCs w:val="21"/>
          <w:highlight w:val="none"/>
        </w:rPr>
      </w:pPr>
      <w:r>
        <w:rPr>
          <w:rFonts w:hint="eastAsia" w:ascii="宋体" w:hAnsi="宋体" w:cs="仿宋"/>
          <w:b/>
          <w:bCs/>
          <w:color w:val="auto"/>
          <w:szCs w:val="21"/>
          <w:highlight w:val="none"/>
        </w:rPr>
        <w:t xml:space="preserve">九、其他</w:t>
      </w:r>
      <w:r/>
    </w:p>
    <w:p>
      <w:pPr>
        <w:ind w:firstLine="420"/>
        <w:spacing w:line="360" w:lineRule="auto"/>
        <w:rPr>
          <w:rFonts w:hint="eastAsia" w:ascii="宋体" w:hAnsi="宋体" w:cs="仿宋"/>
          <w:bCs/>
          <w:color w:val="auto"/>
          <w:szCs w:val="21"/>
          <w:highlight w:val="none"/>
        </w:rPr>
      </w:pPr>
      <w:r>
        <w:rPr>
          <w:rFonts w:hint="eastAsia" w:ascii="宋体" w:hAnsi="宋体" w:cs="仿宋"/>
          <w:bCs/>
          <w:color w:val="auto"/>
          <w:szCs w:val="21"/>
          <w:highlight w:val="none"/>
        </w:rPr>
        <w:t xml:space="preserve">本协议正本一式肆份，甲乙双方各持贰份；本协议未尽事宜，双方另行商议；本协议自双方签字盖章后生效。</w:t>
      </w:r>
      <w:r/>
    </w:p>
    <w:p>
      <w:pPr>
        <w:pStyle w:val="807"/>
        <w:ind w:firstLine="210"/>
        <w:spacing w:line="332" w:lineRule="auto"/>
        <w:rPr>
          <w:rFonts w:hint="eastAsia" w:hAnsi="宋体" w:cs="宋体"/>
          <w:color w:val="auto"/>
          <w:sz w:val="21"/>
          <w:szCs w:val="21"/>
          <w:highlight w:val="none"/>
        </w:rPr>
      </w:pPr>
      <w:r>
        <w:rPr>
          <w:rFonts w:hint="eastAsia" w:hAnsi="宋体" w:cs="宋体"/>
          <w:color w:val="auto"/>
          <w:sz w:val="21"/>
          <w:szCs w:val="21"/>
          <w:highlight w:val="none"/>
        </w:rPr>
        <w:t xml:space="preserve">      </w:t>
      </w:r>
      <w:r/>
    </w:p>
    <w:p>
      <w:pPr>
        <w:pStyle w:val="807"/>
        <w:ind w:left="447" w:firstLine="0"/>
        <w:spacing w:line="332" w:lineRule="auto"/>
        <w:rPr>
          <w:rFonts w:hint="eastAsia" w:hAnsi="宋体" w:cs="宋体"/>
          <w:color w:val="auto"/>
          <w:sz w:val="21"/>
          <w:szCs w:val="21"/>
          <w:highlight w:val="none"/>
        </w:rPr>
      </w:pPr>
      <w:r>
        <w:rPr>
          <w:rFonts w:hint="eastAsia" w:hAnsi="宋体" w:cs="宋体"/>
          <w:color w:val="auto"/>
          <w:sz w:val="21"/>
          <w:szCs w:val="21"/>
          <w:highlight w:val="none"/>
        </w:rPr>
        <w:t xml:space="preserve">甲方：                         乙方： </w:t>
      </w:r>
      <w:r/>
    </w:p>
    <w:p>
      <w:pPr>
        <w:pStyle w:val="807"/>
        <w:spacing w:line="332" w:lineRule="auto"/>
        <w:rPr>
          <w:rFonts w:hint="eastAsia" w:hAnsi="宋体" w:cs="宋体"/>
          <w:color w:val="auto"/>
          <w:sz w:val="21"/>
          <w:szCs w:val="21"/>
          <w:highlight w:val="none"/>
        </w:rPr>
      </w:pPr>
      <w:r>
        <w:rPr>
          <w:rFonts w:hint="eastAsia" w:hAnsi="宋体" w:cs="宋体"/>
          <w:color w:val="auto"/>
          <w:sz w:val="21"/>
          <w:szCs w:val="21"/>
          <w:highlight w:val="none"/>
        </w:rPr>
        <w:t xml:space="preserve">  地址：                         地址： </w:t>
      </w:r>
      <w:r/>
    </w:p>
    <w:p>
      <w:pPr>
        <w:pStyle w:val="807"/>
        <w:spacing w:line="332" w:lineRule="auto"/>
        <w:rPr>
          <w:rFonts w:hint="eastAsia" w:hAnsi="宋体" w:cs="宋体"/>
          <w:color w:val="auto"/>
          <w:sz w:val="21"/>
          <w:szCs w:val="21"/>
          <w:highlight w:val="none"/>
        </w:rPr>
      </w:pPr>
      <w:r>
        <w:rPr>
          <w:rFonts w:hint="eastAsia" w:hAnsi="宋体" w:cs="宋体"/>
          <w:color w:val="auto"/>
          <w:sz w:val="21"/>
          <w:szCs w:val="21"/>
          <w:highlight w:val="none"/>
        </w:rPr>
        <w:t xml:space="preserve">  法定代表人或授权代表：         法定代表人或授权代表：</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                            </w:t>
      </w:r>
      <w:r/>
    </w:p>
    <w:p>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center"/>
        <w:rPr>
          <w:color w:val="auto"/>
          <w:highlight w:val="none"/>
          <w:lang w:val="zh-CN"/>
        </w:rPr>
      </w:pPr>
      <w:r>
        <w:rPr>
          <w:rFonts w:hint="eastAsia" w:ascii="宋体" w:hAnsi="宋体" w:cs="宋体"/>
          <w:color w:val="auto"/>
          <w:szCs w:val="21"/>
          <w:highlight w:val="none"/>
        </w:rPr>
        <w:t xml:space="preserve">签订日期：      年    月   日</w:t>
      </w:r>
      <w:r/>
    </w:p>
    <w:p>
      <w:pPr>
        <w:rPr>
          <w:rFonts w:ascii="Microsoft New Tai Lue" w:hAnsi="Microsoft New Tai Lue" w:cs="Microsoft New Tai Lue"/>
          <w:b/>
          <w:bCs/>
          <w:color w:val="auto"/>
          <w:sz w:val="32"/>
          <w:szCs w:val="32"/>
          <w:highlight w:val="none"/>
        </w:rPr>
      </w:pPr>
      <w:r/>
      <w:bookmarkStart w:id="112" w:name="_Toc91836565"/>
      <w:r/>
      <w:bookmarkStart w:id="113" w:name="_Toc7207"/>
      <w:r/>
      <w:bookmarkStart w:id="114" w:name="_Toc107246273"/>
      <w:r>
        <w:rPr>
          <w:rFonts w:ascii="Microsoft New Tai Lue" w:hAnsi="Microsoft New Tai Lue" w:cs="Microsoft New Tai Lue"/>
          <w:b/>
          <w:bCs/>
          <w:color w:val="auto"/>
          <w:sz w:val="32"/>
          <w:szCs w:val="32"/>
          <w:highlight w:val="none"/>
        </w:rPr>
        <w:br w:type="page" w:clear="all"/>
      </w:r>
      <w:r/>
    </w:p>
    <w:p>
      <w:pPr>
        <w:pStyle w:val="977"/>
        <w:jc w:val="center"/>
        <w:rPr>
          <w:rFonts w:ascii="Microsoft New Tai Lue" w:hAnsi="Microsoft New Tai Lue" w:cs="Microsoft New Tai Lue"/>
          <w:color w:val="auto"/>
          <w:sz w:val="32"/>
          <w:szCs w:val="32"/>
          <w:highlight w:val="none"/>
        </w:rPr>
      </w:pPr>
      <w:r>
        <w:rPr>
          <w:rFonts w:ascii="Microsoft New Tai Lue" w:hAnsi="Microsoft New Tai Lue" w:cs="Microsoft New Tai Lue"/>
          <w:color w:val="auto"/>
          <w:sz w:val="32"/>
          <w:szCs w:val="32"/>
          <w:highlight w:val="none"/>
        </w:rPr>
        <w:t xml:space="preserve">第六章 </w:t>
      </w:r>
      <w:bookmarkEnd w:id="112"/>
      <w:r>
        <w:rPr>
          <w:rFonts w:hint="eastAsia" w:ascii="Microsoft New Tai Lue" w:hAnsi="Microsoft New Tai Lue" w:cs="Microsoft New Tai Lue"/>
          <w:color w:val="auto"/>
          <w:sz w:val="32"/>
          <w:szCs w:val="32"/>
          <w:highlight w:val="none"/>
        </w:rPr>
        <w:t xml:space="preserve">响应文件格式</w:t>
      </w:r>
      <w:bookmarkEnd w:id="113"/>
      <w:r/>
      <w:bookmarkEnd w:id="114"/>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注：请供应商按照以下文件的要求格式、内容，顺序制作响应文件，并请编制目录及页码，否则可能将影响对响应文件的评价。</w:t>
      </w:r>
      <w:r/>
    </w:p>
    <w:p>
      <w:pPr>
        <w:pStyle w:val="1051"/>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b/>
          <w:color w:val="auto"/>
          <w:sz w:val="40"/>
          <w:szCs w:val="60"/>
          <w:highlight w:val="none"/>
        </w:rPr>
      </w:pPr>
      <w:r/>
      <w:bookmarkStart w:id="115"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left"/>
        <w:spacing w:before="100" w:after="100" w:line="360" w:lineRule="auto"/>
        <w:rPr>
          <w:rFonts w:ascii="Microsoft New Tai Lue" w:hAnsi="Microsoft New Tai Lue" w:cs="Microsoft New Tai Lue"/>
          <w:b/>
          <w:color w:val="auto"/>
          <w:sz w:val="40"/>
          <w:szCs w:val="60"/>
          <w:highlight w:val="none"/>
        </w:rPr>
      </w:pPr>
      <w:r>
        <w:rPr>
          <w:rFonts w:ascii="Microsoft New Tai Lue" w:hAnsi="Microsoft New Tai Lue" w:cs="Microsoft New Tai Lue"/>
          <w:b/>
          <w:color w:val="auto"/>
          <w:sz w:val="40"/>
          <w:szCs w:val="60"/>
          <w:highlight w:val="none"/>
        </w:rPr>
      </w:r>
      <w:r/>
    </w:p>
    <w:p>
      <w:pPr>
        <w:jc w:val="center"/>
        <w:spacing w:before="100" w:after="100" w:line="360" w:lineRule="auto"/>
        <w:rPr>
          <w:rFonts w:ascii="Microsoft New Tai Lue" w:hAnsi="Microsoft New Tai Lue" w:cs="Microsoft New Tai Lue"/>
          <w:b/>
          <w:color w:val="auto"/>
          <w:sz w:val="60"/>
          <w:szCs w:val="60"/>
          <w:highlight w:val="none"/>
        </w:rPr>
      </w:pPr>
      <w:r>
        <w:rPr>
          <w:rFonts w:hint="eastAsia" w:ascii="Microsoft New Tai Lue" w:hAnsi="Microsoft New Tai Lue" w:cs="Microsoft New Tai Lue"/>
          <w:b/>
          <w:color w:val="auto"/>
          <w:sz w:val="60"/>
          <w:szCs w:val="60"/>
          <w:highlight w:val="none"/>
        </w:rPr>
        <w:t xml:space="preserve">省农业农村厅沅江路、南湖路办公区食堂外包采购项目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1006"/>
        <w:jc w:val="center"/>
        <w:rPr>
          <w:rFonts w:ascii="Microsoft New Tai Lue" w:hAnsi="Microsoft New Tai Lue" w:cs="Microsoft New Tai Lue"/>
          <w:b/>
          <w:color w:val="auto"/>
          <w:sz w:val="84"/>
          <w:szCs w:val="84"/>
          <w:highlight w:val="none"/>
        </w:rPr>
      </w:pPr>
      <w:r/>
      <w:bookmarkStart w:id="116" w:name="_Toc100905255"/>
      <w:r>
        <w:rPr>
          <w:rFonts w:hint="eastAsia" w:ascii="Microsoft New Tai Lue" w:hAnsi="Microsoft New Tai Lue" w:cs="Microsoft New Tai Lue"/>
          <w:b/>
          <w:color w:val="auto"/>
          <w:sz w:val="84"/>
          <w:szCs w:val="84"/>
          <w:highlight w:val="none"/>
        </w:rPr>
        <w:t xml:space="preserve">响 应</w:t>
      </w:r>
      <w:r>
        <w:rPr>
          <w:rFonts w:ascii="Microsoft New Tai Lue" w:hAnsi="Microsoft New Tai Lue" w:cs="Microsoft New Tai Lue"/>
          <w:b/>
          <w:color w:val="auto"/>
          <w:sz w:val="84"/>
          <w:szCs w:val="84"/>
          <w:highlight w:val="none"/>
        </w:rPr>
        <w:t xml:space="preserve"> 文 件</w:t>
      </w:r>
      <w:bookmarkEnd w:id="116"/>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100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00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00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00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00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供应商名称：</w:t>
      </w:r>
      <w:r>
        <w:rPr>
          <w:rFonts w:ascii="Microsoft New Tai Lue" w:hAnsi="Microsoft New Tai Lue" w:cs="Microsoft New Tai Lue"/>
          <w:b/>
          <w:color w:val="auto"/>
          <w:sz w:val="32"/>
          <w:szCs w:val="32"/>
          <w:highlight w:val="none"/>
        </w:rPr>
        <w:t xml:space="preserve">_____________________</w:t>
      </w:r>
      <w:r/>
    </w:p>
    <w:p>
      <w:pPr>
        <w:pStyle w:val="100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100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bookmarkEnd w:id="115"/>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117" w:name="_Toc104560893"/>
      <w:r/>
      <w:r/>
    </w:p>
    <w:p>
      <w:pPr>
        <w:rPr>
          <w:color w:val="auto"/>
          <w:highlight w:val="none"/>
        </w:rPr>
      </w:pPr>
      <w:r>
        <w:rPr>
          <w:color w:val="auto"/>
          <w:highlight w:val="none"/>
        </w:rPr>
      </w:r>
      <w:r/>
    </w:p>
    <w:p>
      <w:pPr>
        <w:pStyle w:val="1025"/>
        <w:spacing w:before="0" w:line="280" w:lineRule="exact"/>
        <w:rPr>
          <w:rFonts w:ascii="Microsoft New Tai Lue" w:hAnsi="Microsoft New Tai Lue" w:cs="Microsoft New Tai Lue"/>
          <w:color w:val="auto"/>
          <w:sz w:val="28"/>
          <w:szCs w:val="24"/>
          <w:highlight w:val="none"/>
        </w:rPr>
      </w:pPr>
      <w:r/>
      <w:bookmarkStart w:id="118" w:name="_Toc107246275"/>
      <w:r>
        <w:rPr>
          <w:rFonts w:hint="eastAsia" w:ascii="Microsoft New Tai Lue" w:hAnsi="Microsoft New Tai Lue" w:cs="Microsoft New Tai Lue"/>
          <w:b w:val="0"/>
          <w:color w:val="auto"/>
          <w:sz w:val="24"/>
          <w:highlight w:val="none"/>
        </w:rPr>
        <w:br w:type="page" w:clear="all"/>
      </w:r>
      <w:bookmarkStart w:id="119" w:name="_Toc21649"/>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响应函</w:t>
      </w:r>
      <w:bookmarkEnd w:id="117"/>
      <w:r/>
      <w:bookmarkEnd w:id="118"/>
      <w:r/>
      <w:bookmarkEnd w:id="119"/>
      <w:r/>
      <w:r/>
    </w:p>
    <w:p>
      <w:pPr>
        <w:ind w:firstLine="420"/>
        <w:spacing w:before="156" w:line="360" w:lineRule="exact"/>
        <w:rPr>
          <w:color w:val="auto"/>
          <w:szCs w:val="21"/>
          <w:highlight w:val="none"/>
        </w:rPr>
      </w:pPr>
      <w:r/>
      <w:bookmarkStart w:id="120" w:name="_Toc103848580"/>
      <w:r/>
      <w:bookmarkStart w:id="121"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供应商</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响应</w:t>
      </w:r>
      <w:r>
        <w:rPr>
          <w:color w:val="auto"/>
          <w:szCs w:val="21"/>
          <w:highlight w:val="none"/>
        </w:rPr>
        <w:t xml:space="preserve">的有关活动，并对此项目进行</w:t>
      </w:r>
      <w:r>
        <w:rPr>
          <w:rFonts w:hint="eastAsia"/>
          <w:color w:val="auto"/>
          <w:szCs w:val="21"/>
          <w:highlight w:val="none"/>
        </w:rPr>
        <w:t xml:space="preserve">响应</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102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供应商</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响应文件</w:t>
      </w:r>
      <w:r>
        <w:rPr>
          <w:rFonts w:ascii="Times New Roman" w:hAnsi="Times New Roman"/>
          <w:color w:val="auto"/>
          <w:highlight w:val="none"/>
        </w:rPr>
        <w:t xml:space="preserve">。</w:t>
      </w:r>
      <w:r/>
    </w:p>
    <w:p>
      <w:pPr>
        <w:pStyle w:val="102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2、我方将按磋商文件的规定履行全部责任和义务。</w:t>
      </w:r>
      <w:r/>
    </w:p>
    <w:p>
      <w:pPr>
        <w:pStyle w:val="102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3、我方已详细审查全部磋商文件，我们完全理解并同意</w:t>
      </w:r>
      <w:r>
        <w:rPr>
          <w:rFonts w:ascii="Times New Roman" w:hAnsi="Times New Roman"/>
          <w:color w:val="auto"/>
          <w:szCs w:val="21"/>
          <w:highlight w:val="none"/>
        </w:rPr>
        <w:t xml:space="preserve">放弃对磋商文件提出质疑或争议的权利。</w:t>
      </w:r>
      <w:r/>
    </w:p>
    <w:p>
      <w:pPr>
        <w:pStyle w:val="1022"/>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为自</w:t>
      </w:r>
      <w:r>
        <w:rPr>
          <w:rFonts w:hint="eastAsia"/>
          <w:color w:val="auto"/>
          <w:szCs w:val="21"/>
          <w:highlight w:val="none"/>
        </w:rPr>
        <w:t xml:space="preserve">响应</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 xml:space="preserve">90</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102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5、如果在规定的提交</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截止时间后，我方在</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内撤销</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磋商保证金</w:t>
      </w:r>
      <w:r>
        <w:rPr>
          <w:rFonts w:ascii="Times New Roman" w:hAnsi="Times New Roman"/>
          <w:color w:val="auto"/>
          <w:szCs w:val="21"/>
          <w:highlight w:val="none"/>
        </w:rPr>
        <w:t xml:space="preserve">将不予退还。</w:t>
      </w:r>
      <w:r/>
    </w:p>
    <w:p>
      <w:pPr>
        <w:pStyle w:val="102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有关的声明、文件和资料，并同意在贵方的要求下提供相关文件或证书的原件及其他相关书面材料。</w:t>
      </w:r>
      <w:r/>
    </w:p>
    <w:p>
      <w:pPr>
        <w:pStyle w:val="102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102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2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响应文件</w:t>
      </w:r>
      <w:r>
        <w:rPr>
          <w:rFonts w:ascii="Times New Roman" w:hAnsi="Times New Roman"/>
          <w:color w:val="auto"/>
          <w:highlight w:val="none"/>
        </w:rPr>
        <w:t xml:space="preserve">所提供的全部资料真实可靠，同意提供贵方要求的与该项</w:t>
      </w:r>
      <w:r>
        <w:rPr>
          <w:rFonts w:hint="eastAsia"/>
          <w:color w:val="auto"/>
          <w:szCs w:val="21"/>
          <w:highlight w:val="none"/>
        </w:rPr>
        <w:t xml:space="preserve">响应</w:t>
      </w:r>
      <w:r>
        <w:rPr>
          <w:rFonts w:ascii="Times New Roman" w:hAnsi="Times New Roman"/>
          <w:color w:val="auto"/>
          <w:highlight w:val="none"/>
        </w:rPr>
        <w:t xml:space="preserve">有关的数据或资料，完全理解贵方不一定接受最低价的</w:t>
      </w:r>
      <w:r>
        <w:rPr>
          <w:rFonts w:hint="eastAsia"/>
          <w:color w:val="auto"/>
          <w:szCs w:val="21"/>
          <w:highlight w:val="none"/>
        </w:rPr>
        <w:t xml:space="preserve">响应</w:t>
      </w:r>
      <w:r>
        <w:rPr>
          <w:rFonts w:ascii="Times New Roman" w:hAnsi="Times New Roman"/>
          <w:color w:val="auto"/>
          <w:highlight w:val="none"/>
        </w:rPr>
        <w:t xml:space="preserve">或收到的任何</w:t>
      </w:r>
      <w:r>
        <w:rPr>
          <w:rFonts w:hint="eastAsia"/>
          <w:color w:val="auto"/>
          <w:szCs w:val="21"/>
          <w:highlight w:val="none"/>
        </w:rPr>
        <w:t xml:space="preserve">响应</w:t>
      </w:r>
      <w:r>
        <w:rPr>
          <w:rFonts w:ascii="Times New Roman" w:hAnsi="Times New Roman"/>
          <w:color w:val="auto"/>
          <w:highlight w:val="none"/>
        </w:rPr>
        <w:t xml:space="preserve">。</w:t>
      </w:r>
      <w:r/>
    </w:p>
    <w:p>
      <w:pPr>
        <w:pStyle w:val="102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color w:val="auto"/>
          <w:szCs w:val="21"/>
          <w:highlight w:val="none"/>
        </w:rPr>
        <w:t xml:space="preserve">响应</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5"/>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122" w:name="_Toc104560898"/>
      <w:r/>
      <w:bookmarkStart w:id="123" w:name="_Toc103848583"/>
      <w:r/>
      <w:bookmarkStart w:id="124" w:name="_Toc107246276"/>
      <w:r/>
      <w:bookmarkStart w:id="125" w:name="_Toc13183"/>
      <w:r>
        <w:rPr>
          <w:rFonts w:ascii="Microsoft New Tai Lue" w:hAnsi="Microsoft New Tai Lue" w:cs="Microsoft New Tai Lue"/>
          <w:bCs w:val="0"/>
          <w:color w:val="auto"/>
          <w:sz w:val="24"/>
          <w:szCs w:val="24"/>
          <w:highlight w:val="none"/>
        </w:rPr>
        <w:t xml:space="preserve">（2）</w:t>
      </w:r>
      <w:bookmarkEnd w:id="122"/>
      <w:r/>
      <w:bookmarkEnd w:id="123"/>
      <w:r>
        <w:rPr>
          <w:rFonts w:hint="eastAsia" w:ascii="Microsoft New Tai Lue" w:hAnsi="Microsoft New Tai Lue" w:cs="Microsoft New Tai Lue"/>
          <w:bCs w:val="0"/>
          <w:color w:val="auto"/>
          <w:sz w:val="24"/>
          <w:szCs w:val="24"/>
          <w:highlight w:val="none"/>
        </w:rPr>
        <w:t xml:space="preserve">法定代表人（单位负责人）身份证明</w:t>
      </w:r>
      <w:bookmarkEnd w:id="124"/>
      <w:r/>
      <w:bookmarkEnd w:id="125"/>
      <w:r/>
      <w:r/>
    </w:p>
    <w:p>
      <w:pPr>
        <w:pStyle w:val="100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100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1001"/>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1001"/>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1001"/>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1001"/>
        <w:ind w:firstLine="420"/>
        <w:spacing w:before="170"/>
        <w:rPr>
          <w:color w:val="auto"/>
          <w:highlight w:val="none"/>
        </w:rPr>
      </w:pPr>
      <w:r>
        <w:rPr>
          <w:color w:val="auto"/>
          <w:highlight w:val="none"/>
        </w:rPr>
        <w:t xml:space="preserve">特此证明。</w:t>
      </w:r>
      <w:r/>
    </w:p>
    <w:p>
      <w:pPr>
        <w:pStyle w:val="1001"/>
        <w:ind w:left="1260"/>
        <w:rPr>
          <w:color w:val="auto"/>
          <w:sz w:val="20"/>
          <w:highlight w:val="none"/>
        </w:rPr>
      </w:pPr>
      <w:r>
        <w:rPr>
          <w:color w:val="auto"/>
          <w:sz w:val="20"/>
          <w:highlight w:val="none"/>
        </w:rPr>
      </w:r>
      <w:r/>
    </w:p>
    <w:p>
      <w:pPr>
        <w:pStyle w:val="1001"/>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98"/>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001"/>
              <w:jc w:val="center"/>
              <w:rPr>
                <w:i/>
                <w:color w:val="auto"/>
                <w:sz w:val="20"/>
                <w:highlight w:val="none"/>
              </w:rPr>
            </w:pPr>
            <w:r>
              <w:rPr>
                <w:i/>
                <w:color w:val="auto"/>
                <w:sz w:val="24"/>
                <w:highlight w:val="none"/>
              </w:rPr>
              <w:t xml:space="preserve">身份证正面</w:t>
            </w:r>
            <w:r/>
          </w:p>
        </w:tc>
      </w:tr>
    </w:tbl>
    <w:p>
      <w:pPr>
        <w:pStyle w:val="1001"/>
        <w:ind w:left="1260"/>
        <w:rPr>
          <w:color w:val="auto"/>
          <w:sz w:val="20"/>
          <w:highlight w:val="none"/>
        </w:rPr>
      </w:pPr>
      <w:r>
        <w:rPr>
          <w:color w:val="auto"/>
          <w:sz w:val="20"/>
          <w:highlight w:val="none"/>
        </w:rPr>
      </w:r>
      <w:r/>
    </w:p>
    <w:tbl>
      <w:tblPr>
        <w:tblStyle w:val="798"/>
        <w:tblpPr w:horzAnchor="text" w:tblpX="4628" w:vertAnchor="text" w:tblpY="-3404" w:leftFromText="180" w:topFromText="0" w:rightFromText="180" w:bottomFromText="0"/>
        <w:tblW w:w="46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01"/>
              <w:jc w:val="center"/>
              <w:rPr>
                <w:color w:val="auto"/>
                <w:sz w:val="20"/>
                <w:highlight w:val="none"/>
              </w:rPr>
            </w:pPr>
            <w:r>
              <w:rPr>
                <w:i/>
                <w:color w:val="auto"/>
                <w:sz w:val="24"/>
                <w:highlight w:val="none"/>
              </w:rPr>
              <w:t xml:space="preserve">身份证反面</w:t>
            </w:r>
            <w:r/>
          </w:p>
        </w:tc>
      </w:tr>
    </w:tbl>
    <w:p>
      <w:pPr>
        <w:pStyle w:val="1001"/>
        <w:rPr>
          <w:color w:val="auto"/>
          <w:sz w:val="20"/>
          <w:highlight w:val="none"/>
        </w:rPr>
      </w:pPr>
      <w:r>
        <w:rPr>
          <w:color w:val="auto"/>
          <w:sz w:val="20"/>
          <w:highlight w:val="none"/>
        </w:rPr>
      </w:r>
      <w:r/>
    </w:p>
    <w:p>
      <w:pPr>
        <w:pStyle w:val="1001"/>
        <w:rPr>
          <w:color w:val="auto"/>
          <w:sz w:val="20"/>
          <w:highlight w:val="none"/>
        </w:rPr>
      </w:pPr>
      <w:r>
        <w:rPr>
          <w:color w:val="auto"/>
          <w:sz w:val="20"/>
          <w:highlight w:val="none"/>
        </w:rPr>
      </w:r>
      <w:r/>
    </w:p>
    <w:p>
      <w:pPr>
        <w:pStyle w:val="1001"/>
        <w:ind w:left="1260"/>
        <w:rPr>
          <w:color w:val="auto"/>
          <w:sz w:val="20"/>
          <w:highlight w:val="none"/>
        </w:rPr>
      </w:pPr>
      <w:r>
        <w:rPr>
          <w:color w:val="auto"/>
          <w:sz w:val="20"/>
          <w:highlight w:val="none"/>
        </w:rPr>
      </w:r>
      <w:r/>
    </w:p>
    <w:p>
      <w:pPr>
        <w:pStyle w:val="1001"/>
        <w:ind w:left="1260"/>
        <w:spacing w:before="1"/>
        <w:rPr>
          <w:color w:val="auto"/>
          <w:sz w:val="22"/>
          <w:highlight w:val="none"/>
        </w:rPr>
      </w:pPr>
      <w:r>
        <w:rPr>
          <w:color w:val="auto"/>
          <w:sz w:val="22"/>
          <w:highlight w:val="none"/>
        </w:rPr>
      </w:r>
      <w:r/>
    </w:p>
    <w:p>
      <w:pPr>
        <w:pStyle w:val="1001"/>
        <w:ind w:left="1260" w:firstLine="3060"/>
        <w:tabs>
          <w:tab w:val="left" w:pos="7977" w:leader="none"/>
        </w:tabs>
        <w:rPr>
          <w:color w:val="auto"/>
          <w:highlight w:val="none"/>
        </w:rPr>
      </w:pPr>
      <w:r>
        <w:rPr>
          <w:rFonts w:hint="eastAsia"/>
          <w:color w:val="auto"/>
          <w:spacing w:val="-3"/>
          <w:highlight w:val="none"/>
        </w:rPr>
        <w:t xml:space="preserve">供应商</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5"/>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126" w:name="_Toc104560899"/>
      <w:r/>
      <w:bookmarkStart w:id="127" w:name="_Toc103848584"/>
      <w:r/>
      <w:bookmarkStart w:id="128" w:name="_Toc107246277"/>
      <w:r/>
      <w:bookmarkStart w:id="129" w:name="_Toc13156"/>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126"/>
      <w:r/>
      <w:bookmarkEnd w:id="127"/>
      <w:r/>
      <w:bookmarkEnd w:id="128"/>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129"/>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102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102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1022"/>
        <w:ind w:firstLine="420"/>
        <w:spacing w:after="0" w:line="300" w:lineRule="exact"/>
        <w:rPr>
          <w:rFonts w:ascii="Times New Roman" w:hAnsi="Times New Roman"/>
          <w:color w:val="auto"/>
          <w:highlight w:val="none"/>
        </w:rPr>
      </w:pPr>
      <w:r>
        <w:rPr>
          <w:rFonts w:ascii="Times New Roman" w:hAnsi="Times New Roman"/>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9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1"/>
              <w:jc w:val="center"/>
              <w:spacing w:line="300" w:lineRule="exact"/>
              <w:rPr>
                <w:i/>
                <w:color w:val="auto"/>
                <w:sz w:val="20"/>
                <w:highlight w:val="none"/>
              </w:rPr>
            </w:pPr>
            <w:r>
              <w:rPr>
                <w:i/>
                <w:color w:val="auto"/>
                <w:sz w:val="24"/>
                <w:highlight w:val="none"/>
              </w:rPr>
              <w:t xml:space="preserve">身份证正面</w:t>
            </w:r>
            <w:r/>
          </w:p>
        </w:tc>
        <w:tc>
          <w:tcPr>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98"/>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1"/>
              <w:jc w:val="center"/>
              <w:spacing w:line="300" w:lineRule="exact"/>
              <w:rPr>
                <w:i/>
                <w:color w:val="auto"/>
                <w:sz w:val="20"/>
                <w:highlight w:val="none"/>
              </w:rPr>
            </w:pPr>
            <w:r>
              <w:rPr>
                <w:i/>
                <w:color w:val="auto"/>
                <w:sz w:val="24"/>
                <w:highlight w:val="none"/>
              </w:rPr>
              <w:t xml:space="preserve">身份证正面</w:t>
            </w:r>
            <w:r/>
          </w:p>
        </w:tc>
        <w:tc>
          <w:tcPr>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1022"/>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1022"/>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若供应商为分公司、分支机构等依法无需设置法定代表人职务的单位（仅当磋商文件注明允许上述单位响应时），法定代表人签字处可由单位负责人签署。</w:t>
      </w:r>
      <w:r/>
    </w:p>
    <w:p>
      <w:pPr>
        <w:pStyle w:val="1022"/>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bookmarkStart w:id="130" w:name="_Toc104560895"/>
      <w:r/>
      <w:bookmarkStart w:id="131" w:name="_Toc107246279"/>
      <w:r/>
      <w:r/>
    </w:p>
    <w:p>
      <w:pPr>
        <w:rPr>
          <w:rFonts w:ascii="Microsoft New Tai Lue" w:hAnsi="Microsoft New Tai Lue" w:cs="Microsoft New Tai Lue"/>
          <w:color w:val="auto"/>
          <w:sz w:val="24"/>
          <w:highlight w:val="none"/>
        </w:rPr>
      </w:pPr>
      <w:r/>
      <w:bookmarkStart w:id="132" w:name="_Toc103848585"/>
      <w:r/>
      <w:bookmarkStart w:id="133" w:name="_Toc107246278"/>
      <w:r/>
      <w:bookmarkStart w:id="134" w:name="_Toc104560900"/>
      <w:r>
        <w:rPr>
          <w:rFonts w:ascii="Microsoft New Tai Lue" w:hAnsi="Microsoft New Tai Lue" w:cs="Microsoft New Tai Lue"/>
          <w:color w:val="auto"/>
          <w:sz w:val="24"/>
          <w:highlight w:val="none"/>
        </w:rPr>
        <w:br w:type="page" w:clear="all"/>
      </w:r>
      <w:r/>
    </w:p>
    <w:p>
      <w:pPr>
        <w:pStyle w:val="1025"/>
        <w:spacing w:before="0"/>
        <w:rPr>
          <w:rFonts w:ascii="Times New Roman" w:hAnsi="Times New Roman"/>
          <w:bCs w:val="0"/>
          <w:color w:val="auto"/>
          <w:sz w:val="21"/>
          <w:szCs w:val="24"/>
          <w:highlight w:val="none"/>
        </w:rPr>
      </w:pPr>
      <w:r/>
      <w:bookmarkStart w:id="135" w:name="_Toc32283"/>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132"/>
      <w:r/>
      <w:bookmarkEnd w:id="133"/>
      <w:r/>
      <w:bookmarkEnd w:id="134"/>
      <w:r/>
      <w:bookmarkEnd w:id="135"/>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102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102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9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1"/>
              <w:jc w:val="center"/>
              <w:rPr>
                <w:i/>
                <w:color w:val="auto"/>
                <w:sz w:val="20"/>
                <w:highlight w:val="none"/>
              </w:rPr>
            </w:pPr>
            <w:r>
              <w:rPr>
                <w:i/>
                <w:color w:val="auto"/>
                <w:sz w:val="24"/>
                <w:highlight w:val="none"/>
              </w:rPr>
              <w:t xml:space="preserve">身份证正面</w:t>
            </w:r>
            <w:r/>
          </w:p>
        </w:tc>
        <w:tc>
          <w:tcPr>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1022"/>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98"/>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1"/>
              <w:jc w:val="center"/>
              <w:rPr>
                <w:i/>
                <w:color w:val="auto"/>
                <w:sz w:val="20"/>
                <w:highlight w:val="none"/>
              </w:rPr>
            </w:pPr>
            <w:r>
              <w:rPr>
                <w:i/>
                <w:color w:val="auto"/>
                <w:sz w:val="24"/>
                <w:highlight w:val="none"/>
              </w:rPr>
              <w:t xml:space="preserve">身份证正面</w:t>
            </w:r>
            <w:r/>
          </w:p>
        </w:tc>
        <w:tc>
          <w:tcPr>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1022"/>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1022"/>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响应文件</w:t>
      </w:r>
      <w:r>
        <w:rPr>
          <w:rFonts w:ascii="Times New Roman" w:hAnsi="Times New Roman"/>
          <w:b/>
          <w:bCs/>
          <w:color w:val="auto"/>
          <w:szCs w:val="21"/>
          <w:highlight w:val="none"/>
        </w:rPr>
        <w:t xml:space="preserve">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1003"/>
        <w:ind w:left="0"/>
        <w:rPr>
          <w:color w:val="auto"/>
          <w:highlight w:val="none"/>
        </w:rPr>
      </w:pPr>
      <w:r>
        <w:rPr>
          <w:color w:val="auto"/>
          <w:highlight w:val="none"/>
        </w:rPr>
      </w:r>
      <w:r/>
    </w:p>
    <w:p>
      <w:pPr>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br w:type="page" w:clear="all"/>
      </w:r>
      <w:r/>
    </w:p>
    <w:p>
      <w:pPr>
        <w:pStyle w:val="1025"/>
        <w:rPr>
          <w:rFonts w:ascii="Microsoft New Tai Lue" w:hAnsi="Microsoft New Tai Lue" w:cs="Microsoft New Tai Lue"/>
          <w:color w:val="auto"/>
          <w:sz w:val="28"/>
          <w:szCs w:val="24"/>
          <w:highlight w:val="none"/>
        </w:rPr>
      </w:pPr>
      <w:r/>
      <w:bookmarkStart w:id="136" w:name="_Toc7535"/>
      <w:r>
        <w:rPr>
          <w:rFonts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初始</w:t>
      </w:r>
      <w:r>
        <w:rPr>
          <w:rFonts w:ascii="Microsoft New Tai Lue" w:hAnsi="Microsoft New Tai Lue" w:cs="Microsoft New Tai Lue"/>
          <w:bCs w:val="0"/>
          <w:color w:val="auto"/>
          <w:sz w:val="24"/>
          <w:szCs w:val="24"/>
          <w:highlight w:val="none"/>
        </w:rPr>
        <w:t xml:space="preserve">报价一览表</w:t>
      </w:r>
      <w:bookmarkEnd w:id="120"/>
      <w:r/>
      <w:bookmarkEnd w:id="130"/>
      <w:r/>
      <w:bookmarkEnd w:id="131"/>
      <w:r/>
      <w:bookmarkEnd w:id="136"/>
      <w:r/>
      <w:r/>
    </w:p>
    <w:p>
      <w:pPr>
        <w:ind w:left="-120" w:firstLine="210"/>
        <w:spacing w:line="360" w:lineRule="auto"/>
        <w:rPr>
          <w:rFonts w:ascii="Microsoft New Tai Lue" w:hAnsi="Microsoft New Tai Lue" w:cs="Microsoft New Tai Lue"/>
          <w:color w:val="auto"/>
          <w:szCs w:val="21"/>
          <w:highlight w:val="none"/>
        </w:rPr>
      </w:pPr>
      <w:r/>
      <w:bookmarkStart w:id="137" w:name="_Toc103848581"/>
      <w:r>
        <w:rPr>
          <w:rFonts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tbl>
      <w:tblPr>
        <w:tblStyle w:val="798"/>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响应报价：</w:t>
            </w:r>
            <w:r/>
          </w:p>
        </w:tc>
        <w:tc>
          <w:tcPr>
            <w:tcW w:w="6347" w:type="dxa"/>
            <w:vAlign w:val="center"/>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小写：    </w:t>
            </w:r>
            <w:r/>
          </w:p>
          <w:p>
            <w:pPr>
              <w:jc w:val="left"/>
              <w:spacing w:line="360" w:lineRule="auto"/>
              <w:widowControl/>
              <w:rPr>
                <w:color w:val="auto"/>
                <w:highlight w:val="none"/>
              </w:rPr>
            </w:pPr>
            <w:r>
              <w:rPr>
                <w:rFonts w:hint="eastAsia" w:ascii="宋体" w:hAnsi="宋体" w:cs="宋体"/>
                <w:color w:val="auto"/>
                <w:sz w:val="24"/>
                <w:highlight w:val="none"/>
              </w:rPr>
              <w:t xml:space="preserve">大写：    </w:t>
            </w:r>
            <w:r/>
          </w:p>
        </w:tc>
      </w:tr>
      <w:tr>
        <w:trPr>
          <w:jc w:val="center"/>
          <w:trHeight w:val="964"/>
        </w:trPr>
        <w:tc>
          <w:tcPr>
            <w:tcW w:w="248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hAnsi="宋体" w:cs="宋体"/>
                <w:color w:val="auto"/>
                <w:szCs w:val="21"/>
                <w:highlight w:val="none"/>
              </w:rPr>
              <w:t xml:space="preserve">服务期</w:t>
            </w:r>
            <w:r/>
          </w:p>
        </w:tc>
        <w:tc>
          <w:tcPr>
            <w:tcW w:w="63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hAnsi="宋体" w:cs="宋体"/>
                <w:color w:val="auto"/>
                <w:szCs w:val="21"/>
                <w:highlight w:val="none"/>
              </w:rPr>
              <w:t xml:space="preserve">响应采购文件要求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hAnsi="宋体" w:cs="宋体"/>
                <w:color w:val="auto"/>
                <w:szCs w:val="21"/>
                <w:highlight w:val="none"/>
              </w:rPr>
              <w:t xml:space="preserve">付款方式</w:t>
            </w:r>
            <w:r/>
          </w:p>
        </w:tc>
        <w:tc>
          <w:tcPr>
            <w:tcW w:w="63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hAnsi="宋体" w:cs="宋体"/>
                <w:color w:val="auto"/>
                <w:szCs w:val="21"/>
                <w:highlight w:val="none"/>
              </w:rPr>
              <w:t xml:space="preserve">响应招标文件要求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hAnsi="宋体" w:cs="宋体"/>
                <w:color w:val="auto"/>
                <w:szCs w:val="21"/>
                <w:highlight w:val="none"/>
              </w:rPr>
              <w:t xml:space="preserve">备注</w:t>
            </w:r>
            <w:r/>
          </w:p>
        </w:tc>
        <w:tc>
          <w:tcPr>
            <w:tcW w:w="63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ind w:left="-88" w:right="105" w:firstLine="420"/>
        <w:jc w:val="right"/>
        <w:rPr>
          <w:color w:val="auto"/>
          <w:szCs w:val="21"/>
          <w:highlight w:val="none"/>
        </w:rPr>
      </w:pPr>
      <w:r>
        <w:rPr>
          <w:color w:val="auto"/>
          <w:szCs w:val="21"/>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69"/>
        <w:ind w:firstLine="426"/>
        <w:spacing w:before="0"/>
        <w:rPr>
          <w:rFonts w:hint="eastAsia" w:ascii="宋体" w:hAnsi="宋体" w:cs="宋体"/>
          <w:color w:val="auto"/>
          <w:sz w:val="24"/>
          <w:szCs w:val="24"/>
          <w:highlight w:val="none"/>
        </w:rPr>
      </w:pPr>
      <w:r>
        <w:rPr>
          <w:color w:val="auto"/>
          <w:highlight w:val="none"/>
        </w:rPr>
        <w:br w:type="page" w:clear="all"/>
      </w:r>
      <w:bookmarkStart w:id="138" w:name="_Toc25850"/>
      <w:r>
        <w:rPr>
          <w:rFonts w:hint="eastAsia" w:ascii="宋体" w:hAnsi="宋体" w:cs="宋体"/>
          <w:bCs w:val="0"/>
          <w:color w:val="auto"/>
          <w:sz w:val="24"/>
          <w:szCs w:val="24"/>
          <w:highlight w:val="none"/>
        </w:rPr>
        <w:t xml:space="preserve">（4-2）分项报价表</w:t>
      </w:r>
      <w:bookmarkEnd w:id="138"/>
      <w:r/>
      <w:bookmarkEnd w:id="137"/>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p>
      <w:pPr>
        <w:pStyle w:val="791"/>
        <w:keepLines w:val="0"/>
        <w:keepNext w:val="0"/>
        <w:rPr>
          <w:rFonts w:eastAsia="宋体"/>
          <w:color w:val="auto"/>
          <w:highlight w:val="none"/>
        </w:rPr>
      </w:pPr>
      <w:r>
        <w:rPr>
          <w:rFonts w:hint="eastAsia" w:ascii="宋体" w:hAnsi="宋体" w:eastAsia="宋体"/>
          <w:color w:val="auto"/>
          <w:szCs w:val="21"/>
          <w:highlight w:val="none"/>
        </w:rPr>
        <w:t xml:space="preserve">沅江路办公区</w:t>
      </w:r>
      <w:r/>
    </w:p>
    <w:tbl>
      <w:tblPr>
        <w:tblStyle w:val="798"/>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32"/>
        <w:gridCol w:w="729"/>
        <w:gridCol w:w="1511"/>
        <w:gridCol w:w="1450"/>
        <w:gridCol w:w="1436"/>
        <w:gridCol w:w="1436"/>
      </w:tblGrid>
      <w:tr>
        <w:trPr>
          <w:jc w:val="center"/>
          <w:trHeight w:val="352"/>
        </w:trPr>
        <w:tc>
          <w:tcPr>
            <w:tcW w:w="719"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序号</w:t>
            </w:r>
            <w:r/>
          </w:p>
        </w:tc>
        <w:tc>
          <w:tcPr>
            <w:tcW w:w="1432"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岗    位</w:t>
            </w:r>
            <w:r/>
          </w:p>
        </w:tc>
        <w:tc>
          <w:tcPr>
            <w:tcW w:w="729"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人数</w:t>
            </w:r>
            <w:r/>
          </w:p>
        </w:tc>
        <w:tc>
          <w:tcPr>
            <w:tcW w:w="1511"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工资（元/月）</w:t>
            </w:r>
            <w:r/>
          </w:p>
        </w:tc>
        <w:tc>
          <w:tcPr>
            <w:tcW w:w="1450"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统筹/（元/月）</w:t>
            </w:r>
            <w:r/>
          </w:p>
        </w:tc>
        <w:tc>
          <w:tcPr>
            <w:tcW w:w="1436"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月度总金额（元）</w:t>
            </w:r>
            <w:r/>
          </w:p>
        </w:tc>
        <w:tc>
          <w:tcPr>
            <w:tcW w:w="1436" w:type="dxa"/>
            <w:textDirection w:val="lrTb"/>
            <w:noWrap w:val="false"/>
          </w:tcPr>
          <w:p>
            <w:pPr>
              <w:jc w:val="center"/>
              <w:spacing w:line="360" w:lineRule="auto"/>
              <w:rPr>
                <w:rFonts w:hint="eastAsia" w:hAnsi="宋体"/>
                <w:b/>
                <w:bCs/>
                <w:color w:val="auto"/>
                <w:szCs w:val="21"/>
                <w:highlight w:val="none"/>
              </w:rPr>
            </w:pPr>
            <w:r>
              <w:rPr>
                <w:rFonts w:hint="eastAsia" w:hAnsi="宋体"/>
                <w:b/>
                <w:bCs/>
                <w:color w:val="auto"/>
                <w:szCs w:val="21"/>
                <w:highlight w:val="none"/>
              </w:rPr>
              <w:t xml:space="preserve">2026年10月8日至2028年10月7日总金额</w:t>
            </w:r>
            <w:r/>
          </w:p>
          <w:p>
            <w:pPr>
              <w:jc w:val="center"/>
              <w:spacing w:line="360" w:lineRule="auto"/>
              <w:rPr>
                <w:rFonts w:hint="eastAsia" w:hAnsi="宋体"/>
                <w:b/>
                <w:bCs/>
                <w:color w:val="auto"/>
                <w:szCs w:val="21"/>
                <w:highlight w:val="none"/>
              </w:rPr>
            </w:pPr>
            <w:r>
              <w:rPr>
                <w:rFonts w:hint="eastAsia" w:hAnsi="宋体"/>
                <w:b/>
                <w:bCs/>
                <w:color w:val="auto"/>
                <w:szCs w:val="21"/>
                <w:highlight w:val="none"/>
              </w:rPr>
              <w:t xml:space="preserve">（24个月）（元）</w:t>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1</w:t>
            </w:r>
            <w:r/>
          </w:p>
        </w:tc>
        <w:tc>
          <w:tcPr>
            <w:tcW w:w="1432" w:type="dxa"/>
            <w:vAlign w:val="center"/>
            <w:textDirection w:val="lrTb"/>
            <w:noWrap w:val="false"/>
          </w:tcPr>
          <w:p>
            <w:pPr>
              <w:rPr>
                <w:rFonts w:hint="eastAsia" w:hAnsi="宋体" w:cs="宋体"/>
                <w:color w:val="auto"/>
                <w:szCs w:val="21"/>
                <w:highlight w:val="none"/>
              </w:rPr>
            </w:pPr>
            <w:r>
              <w:rPr>
                <w:rFonts w:hint="eastAsia" w:hAnsi="宋体" w:cs="宋体"/>
                <w:color w:val="auto"/>
                <w:szCs w:val="21"/>
                <w:highlight w:val="none"/>
              </w:rPr>
              <w:t xml:space="preserve">项目经理</w:t>
            </w:r>
            <w:r/>
          </w:p>
        </w:tc>
        <w:tc>
          <w:tcPr>
            <w:tcW w:w="729"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2</w:t>
            </w:r>
            <w:r/>
          </w:p>
        </w:tc>
        <w:tc>
          <w:tcPr>
            <w:tcW w:w="1432" w:type="dxa"/>
            <w:vAlign w:val="center"/>
            <w:textDirection w:val="lrTb"/>
            <w:noWrap w:val="false"/>
          </w:tcPr>
          <w:p>
            <w:pPr>
              <w:rPr>
                <w:rFonts w:hint="eastAsia" w:hAnsi="宋体" w:cs="宋体"/>
                <w:color w:val="auto"/>
                <w:szCs w:val="21"/>
                <w:highlight w:val="none"/>
              </w:rPr>
            </w:pPr>
            <w:r>
              <w:rPr>
                <w:rFonts w:hint="eastAsia" w:hAnsi="宋体" w:cs="宋体"/>
                <w:color w:val="auto"/>
                <w:szCs w:val="21"/>
                <w:highlight w:val="none"/>
              </w:rPr>
              <w:t xml:space="preserve">厨师长</w:t>
            </w:r>
            <w:r/>
          </w:p>
        </w:tc>
        <w:tc>
          <w:tcPr>
            <w:tcW w:w="729"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3</w:t>
            </w:r>
            <w:r/>
          </w:p>
        </w:tc>
        <w:tc>
          <w:tcPr>
            <w:tcW w:w="1432" w:type="dxa"/>
            <w:vAlign w:val="center"/>
            <w:textDirection w:val="lrTb"/>
            <w:noWrap w:val="false"/>
          </w:tcPr>
          <w:p>
            <w:pPr>
              <w:rPr>
                <w:rFonts w:hint="eastAsia" w:hAnsi="宋体" w:cs="宋体"/>
                <w:color w:val="auto"/>
                <w:szCs w:val="21"/>
                <w:highlight w:val="none"/>
              </w:rPr>
            </w:pPr>
            <w:r>
              <w:rPr>
                <w:rFonts w:hint="eastAsia" w:hAnsi="宋体" w:cs="宋体"/>
                <w:color w:val="auto"/>
                <w:szCs w:val="21"/>
                <w:highlight w:val="none"/>
              </w:rPr>
              <w:t xml:space="preserve">大锅菜厨师</w:t>
            </w:r>
            <w:r/>
          </w:p>
        </w:tc>
        <w:tc>
          <w:tcPr>
            <w:tcW w:w="729"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4</w:t>
            </w:r>
            <w:r/>
          </w:p>
        </w:tc>
        <w:tc>
          <w:tcPr>
            <w:tcW w:w="1432" w:type="dxa"/>
            <w:vAlign w:val="center"/>
            <w:textDirection w:val="lrTb"/>
            <w:noWrap w:val="false"/>
          </w:tcPr>
          <w:p>
            <w:pPr>
              <w:rPr>
                <w:rFonts w:hint="eastAsia" w:hAnsi="宋体" w:cs="宋体"/>
                <w:color w:val="auto"/>
                <w:szCs w:val="21"/>
                <w:highlight w:val="none"/>
              </w:rPr>
            </w:pPr>
            <w:r>
              <w:rPr>
                <w:rFonts w:hint="eastAsia" w:hAnsi="宋体" w:cs="宋体"/>
                <w:color w:val="auto"/>
                <w:szCs w:val="21"/>
                <w:highlight w:val="none"/>
              </w:rPr>
              <w:t xml:space="preserve">面点师</w:t>
            </w:r>
            <w:r/>
          </w:p>
        </w:tc>
        <w:tc>
          <w:tcPr>
            <w:tcW w:w="729"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5</w:t>
            </w:r>
            <w:r/>
          </w:p>
        </w:tc>
        <w:tc>
          <w:tcPr>
            <w:tcW w:w="1432" w:type="dxa"/>
            <w:vAlign w:val="center"/>
            <w:textDirection w:val="lrTb"/>
            <w:noWrap w:val="false"/>
          </w:tcPr>
          <w:p>
            <w:pPr>
              <w:rPr>
                <w:rFonts w:hint="eastAsia" w:hAnsi="宋体" w:cs="宋体"/>
                <w:color w:val="auto"/>
                <w:szCs w:val="21"/>
                <w:highlight w:val="none"/>
              </w:rPr>
            </w:pPr>
            <w:r>
              <w:rPr>
                <w:rFonts w:hint="eastAsia" w:hAnsi="宋体" w:cs="宋体"/>
                <w:color w:val="auto"/>
                <w:szCs w:val="21"/>
                <w:highlight w:val="none"/>
              </w:rPr>
              <w:t xml:space="preserve">服务员</w:t>
            </w:r>
            <w:r/>
          </w:p>
        </w:tc>
        <w:tc>
          <w:tcPr>
            <w:tcW w:w="729"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6</w:t>
            </w:r>
            <w:r/>
          </w:p>
        </w:tc>
        <w:tc>
          <w:tcPr>
            <w:tcW w:w="1432" w:type="dxa"/>
            <w:vAlign w:val="center"/>
            <w:textDirection w:val="lrTb"/>
            <w:noWrap w:val="false"/>
          </w:tcPr>
          <w:p>
            <w:pPr>
              <w:rPr>
                <w:rFonts w:hint="eastAsia" w:hAnsi="宋体" w:cs="宋体"/>
                <w:color w:val="auto"/>
                <w:szCs w:val="21"/>
                <w:highlight w:val="none"/>
              </w:rPr>
            </w:pPr>
            <w:r>
              <w:rPr>
                <w:rFonts w:hint="eastAsia" w:hAnsi="宋体" w:cs="宋体"/>
                <w:color w:val="auto"/>
                <w:szCs w:val="21"/>
                <w:highlight w:val="none"/>
              </w:rPr>
              <w:t xml:space="preserve">厨务</w:t>
            </w:r>
            <w:r/>
          </w:p>
        </w:tc>
        <w:tc>
          <w:tcPr>
            <w:tcW w:w="729"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2</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7</w:t>
            </w:r>
            <w:r/>
          </w:p>
        </w:tc>
        <w:tc>
          <w:tcPr>
            <w:tcW w:w="1432" w:type="dxa"/>
            <w:vAlign w:val="center"/>
            <w:textDirection w:val="lrTb"/>
            <w:noWrap w:val="false"/>
          </w:tcPr>
          <w:p>
            <w:pPr>
              <w:rPr>
                <w:rFonts w:hint="eastAsia" w:hAnsi="宋体" w:cs="宋体"/>
                <w:color w:val="auto"/>
                <w:szCs w:val="21"/>
                <w:highlight w:val="none"/>
              </w:rPr>
            </w:pPr>
            <w:r>
              <w:rPr>
                <w:rFonts w:hint="eastAsia" w:hAnsi="宋体" w:cs="宋体"/>
                <w:color w:val="auto"/>
                <w:szCs w:val="21"/>
                <w:highlight w:val="none"/>
              </w:rPr>
              <w:t xml:space="preserve">人员（1-7之和）</w:t>
            </w:r>
            <w:r/>
          </w:p>
        </w:tc>
        <w:tc>
          <w:tcPr>
            <w:tcW w:w="729"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7</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w:t>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8</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工作人员服装费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9</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工作人员福利费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10</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高温费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11</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管理费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12</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税费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13</w:t>
            </w:r>
            <w:r/>
          </w:p>
        </w:tc>
        <w:tc>
          <w:tcPr>
            <w:gridSpan w:val="4"/>
            <w:tcW w:w="5122"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合计</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bl>
    <w:p>
      <w:pPr>
        <w:spacing w:after="120"/>
        <w:rPr>
          <w:rFonts w:hint="eastAsia" w:hAnsi="宋体"/>
          <w:color w:val="auto"/>
          <w:szCs w:val="21"/>
          <w:highlight w:val="none"/>
        </w:rPr>
      </w:pPr>
      <w:r>
        <w:rPr>
          <w:rFonts w:hint="eastAsia" w:hAnsi="宋体"/>
          <w:color w:val="auto"/>
          <w:szCs w:val="21"/>
          <w:highlight w:val="none"/>
        </w:rPr>
      </w:r>
      <w:r/>
    </w:p>
    <w:p>
      <w:pPr>
        <w:pStyle w:val="791"/>
        <w:rPr>
          <w:rFonts w:hAnsi="宋体"/>
          <w:color w:val="auto"/>
          <w:sz w:val="21"/>
          <w:szCs w:val="21"/>
          <w:highlight w:val="none"/>
        </w:rPr>
      </w:pPr>
      <w:r>
        <w:rPr>
          <w:rFonts w:hAnsi="宋体"/>
          <w:color w:val="auto"/>
          <w:sz w:val="21"/>
          <w:szCs w:val="21"/>
          <w:highlight w:val="none"/>
        </w:rPr>
      </w:r>
      <w:r/>
    </w:p>
    <w:p>
      <w:pPr>
        <w:pStyle w:val="791"/>
        <w:keepLines w:val="0"/>
        <w:keepNext w:val="0"/>
        <w:rPr>
          <w:rFonts w:eastAsia="宋体"/>
          <w:color w:val="auto"/>
          <w:highlight w:val="none"/>
        </w:rPr>
      </w:pPr>
      <w:r>
        <w:rPr>
          <w:rFonts w:hint="eastAsia" w:ascii="宋体" w:hAnsi="宋体" w:eastAsia="宋体"/>
          <w:color w:val="auto"/>
          <w:szCs w:val="21"/>
          <w:highlight w:val="none"/>
        </w:rPr>
        <w:t xml:space="preserve">南湖路办公区</w:t>
      </w:r>
      <w:r/>
    </w:p>
    <w:tbl>
      <w:tblPr>
        <w:tblStyle w:val="798"/>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32"/>
        <w:gridCol w:w="729"/>
        <w:gridCol w:w="1511"/>
        <w:gridCol w:w="1450"/>
        <w:gridCol w:w="1436"/>
        <w:gridCol w:w="1436"/>
      </w:tblGrid>
      <w:tr>
        <w:trPr>
          <w:jc w:val="center"/>
          <w:trHeight w:val="352"/>
        </w:trPr>
        <w:tc>
          <w:tcPr>
            <w:tcW w:w="719"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序号</w:t>
            </w:r>
            <w:r/>
          </w:p>
        </w:tc>
        <w:tc>
          <w:tcPr>
            <w:tcW w:w="1432"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岗    位</w:t>
            </w:r>
            <w:r/>
          </w:p>
        </w:tc>
        <w:tc>
          <w:tcPr>
            <w:tcW w:w="729"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人数</w:t>
            </w:r>
            <w:r/>
          </w:p>
        </w:tc>
        <w:tc>
          <w:tcPr>
            <w:tcW w:w="1511"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工资（元/月）</w:t>
            </w:r>
            <w:r/>
          </w:p>
        </w:tc>
        <w:tc>
          <w:tcPr>
            <w:tcW w:w="1450"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统筹/（元/月）</w:t>
            </w:r>
            <w:r/>
          </w:p>
        </w:tc>
        <w:tc>
          <w:tcPr>
            <w:tcW w:w="1436" w:type="dxa"/>
            <w:vAlign w:val="center"/>
            <w:textDirection w:val="lrTb"/>
            <w:noWrap w:val="false"/>
          </w:tcPr>
          <w:p>
            <w:pPr>
              <w:jc w:val="center"/>
              <w:spacing w:line="360" w:lineRule="auto"/>
              <w:rPr>
                <w:rFonts w:hint="eastAsia" w:hAnsi="宋体" w:cs="宋体"/>
                <w:b/>
                <w:bCs/>
                <w:color w:val="auto"/>
                <w:szCs w:val="21"/>
                <w:highlight w:val="none"/>
              </w:rPr>
            </w:pPr>
            <w:r>
              <w:rPr>
                <w:rFonts w:hint="eastAsia" w:hAnsi="宋体"/>
                <w:b/>
                <w:bCs/>
                <w:color w:val="auto"/>
                <w:szCs w:val="21"/>
                <w:highlight w:val="none"/>
              </w:rPr>
              <w:t xml:space="preserve">月度总金额（元）</w:t>
            </w:r>
            <w:r/>
          </w:p>
        </w:tc>
        <w:tc>
          <w:tcPr>
            <w:tcW w:w="1436" w:type="dxa"/>
            <w:textDirection w:val="lrTb"/>
            <w:noWrap w:val="false"/>
          </w:tcPr>
          <w:p>
            <w:pPr>
              <w:jc w:val="center"/>
              <w:spacing w:line="360" w:lineRule="auto"/>
              <w:rPr>
                <w:rFonts w:hint="eastAsia" w:hAnsi="宋体"/>
                <w:b/>
                <w:bCs/>
                <w:color w:val="auto"/>
                <w:szCs w:val="21"/>
                <w:highlight w:val="none"/>
              </w:rPr>
            </w:pPr>
            <w:r>
              <w:rPr>
                <w:rFonts w:hint="eastAsia" w:hAnsi="宋体"/>
                <w:b/>
                <w:bCs/>
                <w:color w:val="auto"/>
                <w:szCs w:val="21"/>
                <w:highlight w:val="none"/>
              </w:rPr>
              <w:t xml:space="preserve">2026年10月8日至2028年10月7日</w:t>
            </w:r>
            <w:r>
              <w:rPr>
                <w:rFonts w:hint="eastAsia" w:hAnsi="宋体"/>
                <w:b/>
                <w:bCs/>
                <w:color w:val="auto"/>
                <w:szCs w:val="21"/>
                <w:highlight w:val="none"/>
              </w:rPr>
              <w:br/>
            </w:r>
            <w:r>
              <w:rPr>
                <w:rFonts w:hint="eastAsia" w:hAnsi="宋体"/>
                <w:b/>
                <w:bCs/>
                <w:color w:val="auto"/>
                <w:szCs w:val="21"/>
                <w:highlight w:val="none"/>
              </w:rPr>
              <w:t xml:space="preserve">（24个月）</w:t>
            </w:r>
            <w:r>
              <w:rPr>
                <w:rFonts w:hint="eastAsia" w:hAnsi="宋体"/>
                <w:b/>
                <w:bCs/>
                <w:color w:val="auto"/>
                <w:szCs w:val="21"/>
                <w:highlight w:val="none"/>
              </w:rPr>
              <w:br/>
            </w:r>
            <w:r>
              <w:rPr>
                <w:rFonts w:hint="eastAsia" w:hAnsi="宋体"/>
                <w:b/>
                <w:bCs/>
                <w:color w:val="auto"/>
                <w:szCs w:val="21"/>
                <w:highlight w:val="none"/>
              </w:rPr>
              <w:t xml:space="preserve">总金额（元）</w:t>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1</w:t>
            </w:r>
            <w:r/>
          </w:p>
        </w:tc>
        <w:tc>
          <w:tcPr>
            <w:tcW w:w="1432" w:type="dxa"/>
            <w:vAlign w:val="center"/>
            <w:textDirection w:val="lrTb"/>
            <w:noWrap w:val="false"/>
          </w:tcPr>
          <w:p>
            <w:pPr>
              <w:jc w:val="left"/>
              <w:widowControl/>
              <w:rPr>
                <w:rFonts w:hint="eastAsia" w:hAnsi="宋体" w:cs="宋体"/>
                <w:color w:val="auto"/>
                <w:szCs w:val="21"/>
                <w:highlight w:val="none"/>
              </w:rPr>
            </w:pPr>
            <w:r>
              <w:rPr>
                <w:rFonts w:hint="eastAsia" w:ascii="宋体" w:hAnsi="宋体" w:cs="宋体"/>
                <w:color w:val="auto"/>
                <w:szCs w:val="21"/>
                <w:highlight w:val="none"/>
              </w:rPr>
              <w:t xml:space="preserve">项目经理</w:t>
            </w:r>
            <w:r/>
          </w:p>
        </w:tc>
        <w:tc>
          <w:tcPr>
            <w:tcW w:w="729" w:type="dxa"/>
            <w:vAlign w:val="center"/>
            <w:textDirection w:val="lrTb"/>
            <w:noWrap w:val="false"/>
          </w:tcPr>
          <w:p>
            <w:pPr>
              <w:jc w:val="center"/>
              <w:widowControl/>
              <w:rPr>
                <w:rFonts w:hint="eastAsia" w:hAnsi="宋体"/>
                <w:color w:val="auto"/>
                <w:szCs w:val="21"/>
                <w:highlight w:val="none"/>
              </w:rPr>
            </w:pPr>
            <w:r>
              <w:rPr>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2</w:t>
            </w:r>
            <w:r/>
          </w:p>
        </w:tc>
        <w:tc>
          <w:tcPr>
            <w:tcW w:w="1432" w:type="dxa"/>
            <w:vAlign w:val="center"/>
            <w:textDirection w:val="lrTb"/>
            <w:noWrap w:val="false"/>
          </w:tcPr>
          <w:p>
            <w:pPr>
              <w:jc w:val="left"/>
              <w:widowControl/>
              <w:rPr>
                <w:rFonts w:hint="eastAsia" w:hAnsi="宋体" w:cs="宋体"/>
                <w:color w:val="auto"/>
                <w:szCs w:val="21"/>
                <w:highlight w:val="none"/>
              </w:rPr>
            </w:pPr>
            <w:r>
              <w:rPr>
                <w:rFonts w:hint="eastAsia" w:ascii="宋体" w:hAnsi="宋体" w:cs="宋体"/>
                <w:color w:val="auto"/>
                <w:szCs w:val="21"/>
                <w:highlight w:val="none"/>
              </w:rPr>
              <w:t xml:space="preserve">厨师长</w:t>
            </w:r>
            <w:r/>
          </w:p>
        </w:tc>
        <w:tc>
          <w:tcPr>
            <w:tcW w:w="729" w:type="dxa"/>
            <w:vAlign w:val="center"/>
            <w:textDirection w:val="lrTb"/>
            <w:noWrap w:val="false"/>
          </w:tcPr>
          <w:p>
            <w:pPr>
              <w:jc w:val="center"/>
              <w:widowControl/>
              <w:rPr>
                <w:rFonts w:hint="eastAsia" w:hAnsi="宋体"/>
                <w:color w:val="auto"/>
                <w:szCs w:val="21"/>
                <w:highlight w:val="none"/>
              </w:rPr>
            </w:pPr>
            <w:r>
              <w:rPr>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3</w:t>
            </w:r>
            <w:r/>
          </w:p>
        </w:tc>
        <w:tc>
          <w:tcPr>
            <w:tcW w:w="1432" w:type="dxa"/>
            <w:vAlign w:val="center"/>
            <w:textDirection w:val="lrTb"/>
            <w:noWrap w:val="false"/>
          </w:tcPr>
          <w:p>
            <w:pPr>
              <w:jc w:val="left"/>
              <w:widowControl/>
              <w:rPr>
                <w:rFonts w:hint="eastAsia" w:hAnsi="宋体" w:cs="宋体"/>
                <w:color w:val="auto"/>
                <w:szCs w:val="21"/>
                <w:highlight w:val="none"/>
              </w:rPr>
            </w:pPr>
            <w:r>
              <w:rPr>
                <w:rFonts w:hint="eastAsia" w:ascii="宋体" w:hAnsi="宋体" w:cs="宋体"/>
                <w:color w:val="auto"/>
                <w:szCs w:val="21"/>
                <w:highlight w:val="none"/>
              </w:rPr>
              <w:t xml:space="preserve">大锅菜厨师</w:t>
            </w:r>
            <w:r/>
          </w:p>
        </w:tc>
        <w:tc>
          <w:tcPr>
            <w:tcW w:w="729" w:type="dxa"/>
            <w:vAlign w:val="center"/>
            <w:textDirection w:val="lrTb"/>
            <w:noWrap w:val="false"/>
          </w:tcPr>
          <w:p>
            <w:pPr>
              <w:jc w:val="center"/>
              <w:widowControl/>
              <w:rPr>
                <w:rFonts w:hint="eastAsia" w:hAnsi="宋体"/>
                <w:color w:val="auto"/>
                <w:szCs w:val="21"/>
                <w:highlight w:val="none"/>
              </w:rPr>
            </w:pPr>
            <w:r>
              <w:rPr>
                <w:rFonts w:hint="eastAsia"/>
                <w:color w:val="auto"/>
                <w:szCs w:val="21"/>
                <w:highlight w:val="none"/>
              </w:rPr>
              <w:t xml:space="preserve">2</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4</w:t>
            </w:r>
            <w:r/>
          </w:p>
        </w:tc>
        <w:tc>
          <w:tcPr>
            <w:tcW w:w="1432" w:type="dxa"/>
            <w:vAlign w:val="center"/>
            <w:textDirection w:val="lrTb"/>
            <w:noWrap w:val="false"/>
          </w:tcPr>
          <w:p>
            <w:pPr>
              <w:jc w:val="left"/>
              <w:widowControl/>
              <w:rPr>
                <w:rFonts w:hint="eastAsia" w:hAnsi="宋体" w:cs="宋体"/>
                <w:color w:val="auto"/>
                <w:szCs w:val="21"/>
                <w:highlight w:val="none"/>
              </w:rPr>
            </w:pPr>
            <w:r>
              <w:rPr>
                <w:rFonts w:hint="eastAsia" w:ascii="宋体" w:hAnsi="宋体" w:cs="宋体"/>
                <w:color w:val="auto"/>
                <w:szCs w:val="21"/>
                <w:highlight w:val="none"/>
              </w:rPr>
              <w:t xml:space="preserve">面点师</w:t>
            </w:r>
            <w:r/>
          </w:p>
        </w:tc>
        <w:tc>
          <w:tcPr>
            <w:tcW w:w="729" w:type="dxa"/>
            <w:vAlign w:val="center"/>
            <w:textDirection w:val="lrTb"/>
            <w:noWrap w:val="false"/>
          </w:tcPr>
          <w:p>
            <w:pPr>
              <w:jc w:val="center"/>
              <w:widowControl/>
              <w:rPr>
                <w:rFonts w:hint="eastAsia" w:hAnsi="宋体"/>
                <w:color w:val="auto"/>
                <w:szCs w:val="21"/>
                <w:highlight w:val="none"/>
              </w:rPr>
            </w:pPr>
            <w:r>
              <w:rPr>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Ansi="宋体"/>
                <w:color w:val="auto"/>
                <w:szCs w:val="21"/>
                <w:highlight w:val="none"/>
              </w:rPr>
              <w:t xml:space="preserve">5</w:t>
            </w:r>
            <w:r/>
          </w:p>
        </w:tc>
        <w:tc>
          <w:tcPr>
            <w:tcW w:w="1432" w:type="dxa"/>
            <w:vAlign w:val="center"/>
            <w:textDirection w:val="lrTb"/>
            <w:noWrap w:val="false"/>
          </w:tcPr>
          <w:p>
            <w:pPr>
              <w:jc w:val="left"/>
              <w:widowControl/>
              <w:rPr>
                <w:rFonts w:hint="eastAsia" w:hAnsi="宋体" w:cs="宋体"/>
                <w:color w:val="auto"/>
                <w:szCs w:val="21"/>
                <w:highlight w:val="none"/>
              </w:rPr>
            </w:pPr>
            <w:r>
              <w:rPr>
                <w:rFonts w:hint="eastAsia" w:ascii="宋体" w:hAnsi="宋体" w:cs="宋体"/>
                <w:color w:val="auto"/>
                <w:szCs w:val="21"/>
                <w:highlight w:val="none"/>
              </w:rPr>
              <w:t xml:space="preserve">切配</w:t>
            </w:r>
            <w:r/>
          </w:p>
        </w:tc>
        <w:tc>
          <w:tcPr>
            <w:tcW w:w="729" w:type="dxa"/>
            <w:vAlign w:val="center"/>
            <w:textDirection w:val="lrTb"/>
            <w:noWrap w:val="false"/>
          </w:tcPr>
          <w:p>
            <w:pPr>
              <w:jc w:val="center"/>
              <w:widowControl/>
              <w:rPr>
                <w:rFonts w:hint="eastAsia" w:hAnsi="宋体"/>
                <w:color w:val="auto"/>
                <w:szCs w:val="21"/>
                <w:highlight w:val="none"/>
              </w:rPr>
            </w:pPr>
            <w:r>
              <w:rPr>
                <w:rFonts w:hint="eastAsia"/>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6</w:t>
            </w:r>
            <w:r/>
          </w:p>
        </w:tc>
        <w:tc>
          <w:tcPr>
            <w:tcW w:w="1432" w:type="dxa"/>
            <w:vAlign w:val="center"/>
            <w:textDirection w:val="lrTb"/>
            <w:noWrap w:val="false"/>
          </w:tcPr>
          <w:p>
            <w:pPr>
              <w:jc w:val="left"/>
              <w:widowControl/>
              <w:rPr>
                <w:rFonts w:hint="eastAsia" w:hAnsi="宋体" w:cs="宋体"/>
                <w:color w:val="auto"/>
                <w:szCs w:val="21"/>
                <w:highlight w:val="none"/>
              </w:rPr>
            </w:pPr>
            <w:r>
              <w:rPr>
                <w:rFonts w:hint="eastAsia" w:ascii="宋体" w:hAnsi="宋体" w:cs="宋体"/>
                <w:color w:val="auto"/>
                <w:szCs w:val="21"/>
                <w:highlight w:val="none"/>
              </w:rPr>
              <w:t xml:space="preserve">服务员</w:t>
            </w:r>
            <w:r/>
          </w:p>
        </w:tc>
        <w:tc>
          <w:tcPr>
            <w:tcW w:w="729" w:type="dxa"/>
            <w:vAlign w:val="center"/>
            <w:textDirection w:val="lrTb"/>
            <w:noWrap w:val="false"/>
          </w:tcPr>
          <w:p>
            <w:pPr>
              <w:jc w:val="center"/>
              <w:widowControl/>
              <w:rPr>
                <w:rFonts w:hint="eastAsia" w:hAnsi="宋体"/>
                <w:color w:val="auto"/>
                <w:szCs w:val="21"/>
                <w:highlight w:val="none"/>
              </w:rPr>
            </w:pPr>
            <w:r>
              <w:rPr>
                <w:color w:val="auto"/>
                <w:szCs w:val="21"/>
                <w:highlight w:val="none"/>
              </w:rPr>
              <w:t xml:space="preserve">1</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7</w:t>
            </w:r>
            <w:r/>
          </w:p>
        </w:tc>
        <w:tc>
          <w:tcPr>
            <w:tcW w:w="1432" w:type="dxa"/>
            <w:vAlign w:val="center"/>
            <w:textDirection w:val="lrTb"/>
            <w:noWrap w:val="false"/>
          </w:tcPr>
          <w:p>
            <w:pPr>
              <w:jc w:val="left"/>
              <w:widowControl/>
              <w:rPr>
                <w:rFonts w:hint="eastAsia" w:hAnsi="宋体" w:cs="宋体"/>
                <w:color w:val="auto"/>
                <w:szCs w:val="21"/>
                <w:highlight w:val="none"/>
              </w:rPr>
            </w:pPr>
            <w:r>
              <w:rPr>
                <w:rFonts w:hint="eastAsia" w:ascii="宋体" w:hAnsi="宋体" w:cs="宋体"/>
                <w:color w:val="auto"/>
                <w:szCs w:val="21"/>
                <w:highlight w:val="none"/>
              </w:rPr>
              <w:t xml:space="preserve">厨务</w:t>
            </w:r>
            <w:r/>
          </w:p>
        </w:tc>
        <w:tc>
          <w:tcPr>
            <w:tcW w:w="729" w:type="dxa"/>
            <w:vAlign w:val="center"/>
            <w:textDirection w:val="lrTb"/>
            <w:noWrap w:val="false"/>
          </w:tcPr>
          <w:p>
            <w:pPr>
              <w:jc w:val="center"/>
              <w:widowControl/>
              <w:rPr>
                <w:rFonts w:hint="eastAsia" w:hAnsi="宋体"/>
                <w:color w:val="auto"/>
                <w:szCs w:val="21"/>
                <w:highlight w:val="none"/>
              </w:rPr>
            </w:pPr>
            <w:r>
              <w:rPr>
                <w:color w:val="auto"/>
                <w:szCs w:val="21"/>
                <w:highlight w:val="none"/>
              </w:rPr>
              <w:t xml:space="preserve">2</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8</w:t>
            </w:r>
            <w:r/>
          </w:p>
        </w:tc>
        <w:tc>
          <w:tcPr>
            <w:tcW w:w="1432" w:type="dxa"/>
            <w:vAlign w:val="center"/>
            <w:textDirection w:val="lrTb"/>
            <w:noWrap w:val="false"/>
          </w:tcPr>
          <w:p>
            <w:pPr>
              <w:jc w:val="center"/>
              <w:widowControl/>
              <w:rPr>
                <w:rFonts w:hint="eastAsia" w:hAnsi="宋体" w:cs="宋体"/>
                <w:color w:val="auto"/>
                <w:szCs w:val="21"/>
                <w:highlight w:val="none"/>
              </w:rPr>
            </w:pPr>
            <w:r>
              <w:rPr>
                <w:rFonts w:hint="eastAsia" w:hAnsi="宋体" w:cs="宋体"/>
                <w:color w:val="auto"/>
                <w:szCs w:val="21"/>
                <w:highlight w:val="none"/>
              </w:rPr>
              <w:t xml:space="preserve">人员（1-7之和）</w:t>
            </w:r>
            <w:r/>
          </w:p>
        </w:tc>
        <w:tc>
          <w:tcPr>
            <w:tcW w:w="729" w:type="dxa"/>
            <w:vAlign w:val="center"/>
            <w:textDirection w:val="lrTb"/>
            <w:noWrap w:val="false"/>
          </w:tcPr>
          <w:p>
            <w:pPr>
              <w:jc w:val="center"/>
              <w:widowControl/>
              <w:rPr>
                <w:rFonts w:hint="eastAsia" w:hAnsi="宋体"/>
                <w:color w:val="auto"/>
                <w:szCs w:val="21"/>
                <w:highlight w:val="none"/>
              </w:rPr>
            </w:pPr>
            <w:r>
              <w:rPr>
                <w:rFonts w:hint="eastAsia"/>
                <w:b/>
                <w:bCs/>
                <w:color w:val="auto"/>
                <w:szCs w:val="21"/>
                <w:highlight w:val="none"/>
              </w:rPr>
              <w:t xml:space="preserve">9</w:t>
            </w:r>
            <w:r/>
          </w:p>
        </w:tc>
        <w:tc>
          <w:tcPr>
            <w:tcW w:w="1511"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w:t>
            </w:r>
            <w:r/>
          </w:p>
        </w:tc>
        <w:tc>
          <w:tcPr>
            <w:tcW w:w="1450"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9</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工作人员服装费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10</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工作人员福利费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11</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高温费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12</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管理费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13</w:t>
            </w:r>
            <w:r/>
          </w:p>
        </w:tc>
        <w:tc>
          <w:tcPr>
            <w:gridSpan w:val="4"/>
            <w:tcW w:w="5122" w:type="dxa"/>
            <w:vAlign w:val="center"/>
            <w:textDirection w:val="lrTb"/>
            <w:noWrap w:val="false"/>
          </w:tcPr>
          <w:p>
            <w:pPr>
              <w:rPr>
                <w:rFonts w:hint="eastAsia" w:hAnsi="宋体"/>
                <w:color w:val="auto"/>
                <w:szCs w:val="21"/>
                <w:highlight w:val="none"/>
              </w:rPr>
            </w:pPr>
            <w:r>
              <w:rPr>
                <w:rFonts w:hint="eastAsia" w:ascii="宋体" w:hAnsi="宋体" w:cs="宋体"/>
                <w:color w:val="auto"/>
                <w:szCs w:val="21"/>
                <w:highlight w:val="none"/>
              </w:rPr>
              <w:t xml:space="preserve">税费</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r>
        <w:trPr>
          <w:jc w:val="center"/>
          <w:trHeight w:val="352"/>
        </w:trPr>
        <w:tc>
          <w:tcPr>
            <w:tcW w:w="71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t xml:space="preserve">14</w:t>
            </w:r>
            <w:r/>
          </w:p>
        </w:tc>
        <w:tc>
          <w:tcPr>
            <w:gridSpan w:val="4"/>
            <w:tcW w:w="5122"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t xml:space="preserve">合计</w:t>
            </w:r>
            <w:r/>
          </w:p>
        </w:tc>
        <w:tc>
          <w:tcPr>
            <w:tcW w:w="1436" w:type="dxa"/>
            <w:vAlign w:val="center"/>
            <w:textDirection w:val="lrTb"/>
            <w:noWrap w:val="false"/>
          </w:tcPr>
          <w:p>
            <w:pPr>
              <w:rPr>
                <w:rFonts w:hint="eastAsia" w:hAnsi="宋体"/>
                <w:color w:val="auto"/>
                <w:szCs w:val="21"/>
                <w:highlight w:val="none"/>
              </w:rPr>
            </w:pPr>
            <w:r>
              <w:rPr>
                <w:rFonts w:hint="eastAsia" w:hAnsi="宋体"/>
                <w:color w:val="auto"/>
                <w:szCs w:val="21"/>
                <w:highlight w:val="none"/>
              </w:rPr>
            </w:r>
            <w:r/>
          </w:p>
        </w:tc>
        <w:tc>
          <w:tcPr>
            <w:tcW w:w="1436" w:type="dxa"/>
            <w:textDirection w:val="lrTb"/>
            <w:noWrap w:val="false"/>
          </w:tcPr>
          <w:p>
            <w:pPr>
              <w:rPr>
                <w:rFonts w:hint="eastAsia" w:hAnsi="宋体"/>
                <w:color w:val="auto"/>
                <w:szCs w:val="21"/>
                <w:highlight w:val="none"/>
              </w:rPr>
            </w:pPr>
            <w:r>
              <w:rPr>
                <w:rFonts w:hint="eastAsia" w:hAnsi="宋体"/>
                <w:color w:val="auto"/>
                <w:szCs w:val="21"/>
                <w:highlight w:val="none"/>
              </w:rPr>
            </w:r>
            <w:r/>
          </w:p>
        </w:tc>
      </w:tr>
    </w:tbl>
    <w:p>
      <w:pPr>
        <w:spacing w:after="120"/>
        <w:rPr>
          <w:rFonts w:hint="eastAsia" w:hAnsi="宋体"/>
          <w:color w:val="auto"/>
          <w:szCs w:val="21"/>
          <w:highlight w:val="none"/>
        </w:rPr>
      </w:pPr>
      <w:r>
        <w:rPr>
          <w:rFonts w:hint="eastAsia" w:hAnsi="宋体"/>
          <w:color w:val="auto"/>
          <w:szCs w:val="21"/>
          <w:highlight w:val="none"/>
        </w:rPr>
        <w:t xml:space="preserve">以上格式供参考，供应商可自行拟定，但需至少包含人员工资费用</w:t>
      </w:r>
      <w:r/>
    </w:p>
    <w:p>
      <w:pPr>
        <w:spacing w:after="120"/>
        <w:rPr>
          <w:rFonts w:hint="eastAsia" w:hAnsi="宋体"/>
          <w:color w:val="auto"/>
          <w:szCs w:val="21"/>
          <w:highlight w:val="none"/>
        </w:rPr>
      </w:pPr>
      <w:r>
        <w:rPr>
          <w:rFonts w:hint="eastAsia" w:hAnsi="宋体"/>
          <w:color w:val="auto"/>
          <w:szCs w:val="21"/>
          <w:highlight w:val="none"/>
        </w:rPr>
      </w:r>
      <w:r/>
    </w:p>
    <w:p>
      <w:pPr>
        <w:spacing w:line="360" w:lineRule="auto"/>
        <w:rPr>
          <w:rFonts w:hint="eastAsia" w:hAnsi="宋体"/>
          <w:color w:val="auto"/>
          <w:szCs w:val="21"/>
          <w:highlight w:val="none"/>
          <w:u w:val="single"/>
        </w:rPr>
      </w:pPr>
      <w:r>
        <w:rPr>
          <w:rFonts w:hint="eastAsia" w:hAnsi="宋体"/>
          <w:color w:val="auto"/>
          <w:szCs w:val="21"/>
          <w:highlight w:val="none"/>
        </w:rPr>
        <w:t xml:space="preserve">投标人名称（公章）：</w:t>
      </w:r>
      <w:r>
        <w:rPr>
          <w:rFonts w:hAnsi="宋体"/>
          <w:color w:val="auto"/>
          <w:szCs w:val="21"/>
          <w:highlight w:val="none"/>
          <w:u w:val="single"/>
        </w:rPr>
        <w:t xml:space="preserve">                     </w:t>
      </w:r>
      <w:r/>
    </w:p>
    <w:p>
      <w:pPr>
        <w:spacing w:after="120"/>
        <w:rPr>
          <w:rFonts w:hint="eastAsia" w:hAnsi="宋体"/>
          <w:color w:val="auto"/>
          <w:szCs w:val="21"/>
          <w:highlight w:val="none"/>
          <w:u w:val="single"/>
        </w:rPr>
      </w:pPr>
      <w:r>
        <w:rPr>
          <w:rFonts w:hint="eastAsia" w:hAnsi="宋体"/>
          <w:color w:val="auto"/>
          <w:szCs w:val="21"/>
          <w:highlight w:val="none"/>
        </w:rPr>
        <w:t xml:space="preserve">日期：</w:t>
      </w:r>
      <w:r>
        <w:rPr>
          <w:rFonts w:hAnsi="宋体"/>
          <w:color w:val="auto"/>
          <w:szCs w:val="21"/>
          <w:highlight w:val="none"/>
          <w:u w:val="single"/>
        </w:rPr>
        <w:t xml:space="preserve">                   </w:t>
      </w:r>
      <w:r/>
    </w:p>
    <w:p>
      <w:pPr>
        <w:pStyle w:val="1071"/>
        <w:ind w:firstLine="373"/>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71"/>
        <w:ind w:firstLine="373"/>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071"/>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注：上述表格中沅江路的总费用+南湖路的总费用填入初始报价一览表中。</w:t>
      </w:r>
      <w:r/>
    </w:p>
    <w:p>
      <w:pPr>
        <w:pStyle w:val="1025"/>
        <w:spacing w:before="0"/>
        <w:rPr>
          <w:rFonts w:ascii="Microsoft New Tai Lue" w:hAnsi="Microsoft New Tai Lue" w:cs="Microsoft New Tai Lue"/>
          <w:color w:val="auto"/>
          <w:sz w:val="24"/>
          <w:szCs w:val="24"/>
          <w:highlight w:val="none"/>
        </w:rPr>
      </w:pPr>
      <w:r/>
      <w:bookmarkStart w:id="139" w:name="_Toc107246281"/>
      <w:r/>
      <w:bookmarkStart w:id="140" w:name="_Toc103848586"/>
      <w:r/>
      <w:bookmarkStart w:id="141" w:name="_Toc104560901"/>
      <w:r/>
      <w:bookmarkStart w:id="142" w:name="_Toc102117319"/>
      <w:r>
        <w:rPr>
          <w:rFonts w:ascii="Microsoft New Tai Lue" w:hAnsi="Microsoft New Tai Lue" w:cs="Microsoft New Tai Lue"/>
          <w:bCs w:val="0"/>
          <w:color w:val="auto"/>
          <w:sz w:val="24"/>
          <w:szCs w:val="24"/>
          <w:highlight w:val="none"/>
        </w:rPr>
        <w:br w:type="page" w:clear="all"/>
      </w:r>
      <w:bookmarkEnd w:id="139"/>
      <w:r/>
      <w:bookmarkEnd w:id="140"/>
      <w:r/>
      <w:bookmarkEnd w:id="141"/>
      <w:r/>
      <w:bookmarkStart w:id="143" w:name="_Toc25510"/>
      <w:r/>
      <w:bookmarkStart w:id="144" w:name="_Toc103848587"/>
      <w:r/>
      <w:bookmarkStart w:id="145" w:name="_Toc104560902"/>
      <w:r>
        <w:rPr>
          <w:rFonts w:ascii="Microsoft New Tai Lue" w:hAnsi="Microsoft New Tai Lue" w:cs="Microsoft New Tai Lue"/>
          <w:bCs w:val="0"/>
          <w:color w:val="auto"/>
          <w:sz w:val="24"/>
          <w:szCs w:val="24"/>
          <w:highlight w:val="none"/>
        </w:rPr>
        <w:t xml:space="preserve">（5）商务条款偏离表</w:t>
      </w:r>
      <w:bookmarkEnd w:id="143"/>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07"/>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98"/>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磋商文件的商务条款</w:t>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响应文件的商务条款</w:t>
            </w:r>
            <w:r/>
          </w:p>
        </w:tc>
        <w:tc>
          <w:tcPr>
            <w:tcW w:w="1134" w:type="dxa"/>
            <w:textDirection w:val="lrTb"/>
            <w:noWrap w:val="false"/>
          </w:tcPr>
          <w:p>
            <w:pPr>
              <w:pStyle w:val="807"/>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102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10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所有偏离必须在本表中列出，未在本偏离表中列出偏离，将视为供应商已完全接受磋商文件要求。如完全无偏离，也无其他说明，可在本表第一行填写“全部无偏离”。</w:t>
      </w:r>
      <w:r/>
    </w:p>
    <w:p>
      <w:pPr>
        <w:pStyle w:val="10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10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如果行数不够，请自行增加。</w:t>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0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25"/>
        <w:spacing w:line="240" w:lineRule="atLeast"/>
        <w:rPr>
          <w:rFonts w:ascii="Microsoft New Tai Lue" w:hAnsi="Microsoft New Tai Lue" w:cs="Microsoft New Tai Lue"/>
          <w:color w:val="auto"/>
          <w:highlight w:val="none"/>
        </w:rPr>
      </w:pPr>
      <w:r/>
      <w:bookmarkStart w:id="146" w:name="_Toc107246282"/>
      <w:r>
        <w:rPr>
          <w:rFonts w:ascii="Microsoft New Tai Lue" w:hAnsi="Microsoft New Tai Lue" w:cs="Microsoft New Tai Lue"/>
          <w:bCs w:val="0"/>
          <w:color w:val="auto"/>
          <w:sz w:val="24"/>
          <w:szCs w:val="24"/>
          <w:highlight w:val="none"/>
        </w:rPr>
        <w:br w:type="page" w:clear="all"/>
      </w:r>
      <w:bookmarkStart w:id="147" w:name="_Toc14939"/>
      <w:r>
        <w:rPr>
          <w:rFonts w:ascii="Microsoft New Tai Lue" w:hAnsi="Microsoft New Tai Lue" w:cs="Microsoft New Tai Lue"/>
          <w:bCs w:val="0"/>
          <w:color w:val="auto"/>
          <w:sz w:val="24"/>
          <w:szCs w:val="24"/>
          <w:highlight w:val="none"/>
        </w:rPr>
        <w:t xml:space="preserve">（6）供应商具备</w:t>
      </w:r>
      <w:r>
        <w:rPr>
          <w:rFonts w:hint="eastAsia" w:ascii="Microsoft New Tai Lue" w:hAnsi="Microsoft New Tai Lue" w:cs="Microsoft New Tai Lue"/>
          <w:bCs w:val="0"/>
          <w:color w:val="auto"/>
          <w:sz w:val="24"/>
          <w:szCs w:val="24"/>
          <w:highlight w:val="none"/>
        </w:rPr>
        <w:t xml:space="preserve">响应</w:t>
      </w:r>
      <w:r>
        <w:rPr>
          <w:rFonts w:ascii="Microsoft New Tai Lue" w:hAnsi="Microsoft New Tai Lue" w:cs="Microsoft New Tai Lue"/>
          <w:bCs w:val="0"/>
          <w:color w:val="auto"/>
          <w:sz w:val="24"/>
          <w:szCs w:val="24"/>
          <w:highlight w:val="none"/>
        </w:rPr>
        <w:t xml:space="preserve">资格的证明文件</w:t>
      </w:r>
      <w:bookmarkEnd w:id="144"/>
      <w:r/>
      <w:bookmarkEnd w:id="145"/>
      <w:r/>
      <w:bookmarkEnd w:id="146"/>
      <w:r/>
      <w:bookmarkEnd w:id="147"/>
      <w:r/>
      <w:r/>
    </w:p>
    <w:p>
      <w:pPr>
        <w:pStyle w:val="1025"/>
        <w:spacing w:line="240" w:lineRule="atLeast"/>
        <w:rPr>
          <w:rFonts w:ascii="Microsoft New Tai Lue" w:hAnsi="Microsoft New Tai Lue" w:cs="Microsoft New Tai Lue"/>
          <w:bCs w:val="0"/>
          <w:color w:val="auto"/>
          <w:sz w:val="24"/>
          <w:szCs w:val="24"/>
          <w:highlight w:val="none"/>
        </w:rPr>
      </w:pPr>
      <w:r/>
      <w:bookmarkStart w:id="148" w:name="_Toc107246283"/>
      <w:r/>
      <w:bookmarkStart w:id="149" w:name="_Toc104560903"/>
      <w:r/>
      <w:bookmarkStart w:id="150" w:name="_Toc4556"/>
      <w:r/>
      <w:bookmarkStart w:id="151" w:name="_Toc103848588"/>
      <w:r>
        <w:rPr>
          <w:rFonts w:ascii="Microsoft New Tai Lue" w:hAnsi="Microsoft New Tai Lue" w:cs="Microsoft New Tai Lue"/>
          <w:bCs w:val="0"/>
          <w:color w:val="auto"/>
          <w:sz w:val="24"/>
          <w:szCs w:val="24"/>
          <w:highlight w:val="none"/>
        </w:rPr>
        <w:t xml:space="preserve">（6-1-1）营业执照复印件</w:t>
      </w:r>
      <w:bookmarkEnd w:id="142"/>
      <w:r>
        <w:rPr>
          <w:rFonts w:ascii="Microsoft New Tai Lue" w:hAnsi="Microsoft New Tai Lue" w:cs="Microsoft New Tai Lue"/>
          <w:bCs w:val="0"/>
          <w:color w:val="auto"/>
          <w:sz w:val="24"/>
          <w:szCs w:val="24"/>
          <w:highlight w:val="none"/>
        </w:rPr>
        <w:t xml:space="preserve">或自然人的身份证明复印件</w:t>
      </w:r>
      <w:bookmarkEnd w:id="148"/>
      <w:r/>
      <w:bookmarkEnd w:id="149"/>
      <w:r/>
      <w:bookmarkEnd w:id="150"/>
      <w:r/>
      <w:bookmarkEnd w:id="151"/>
      <w:r/>
      <w:r/>
    </w:p>
    <w:p>
      <w:pPr>
        <w:spacing w:line="360" w:lineRule="auto"/>
        <w:rPr>
          <w:rFonts w:ascii="Microsoft New Tai Lue" w:hAnsi="Microsoft New Tai Lue" w:cs="Microsoft New Tai Lue"/>
          <w:b/>
          <w:bCs/>
          <w:color w:val="auto"/>
          <w:highlight w:val="none"/>
        </w:rPr>
      </w:pPr>
      <w:r/>
      <w:bookmarkStart w:id="152"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注：供应商提供营业执照副本（或具有同等法律效力的证照）复印件。复印件应能清晰显示供应商名称。</w:t>
      </w:r>
      <w:bookmarkEnd w:id="152"/>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25"/>
        <w:spacing w:line="240" w:lineRule="atLeast"/>
        <w:rPr>
          <w:rFonts w:ascii="Microsoft New Tai Lue" w:hAnsi="Microsoft New Tai Lue" w:eastAsia="黑体" w:cs="Microsoft New Tai Lue"/>
          <w:b w:val="0"/>
          <w:color w:val="auto"/>
          <w:highlight w:val="none"/>
        </w:rPr>
      </w:pPr>
      <w:r/>
      <w:bookmarkStart w:id="153" w:name="_Toc103848589"/>
      <w:r/>
      <w:bookmarkStart w:id="154" w:name="_Toc102117320"/>
      <w:r>
        <w:rPr>
          <w:rFonts w:ascii="Microsoft New Tai Lue" w:hAnsi="Microsoft New Tai Lue" w:cs="Microsoft New Tai Lue"/>
          <w:bCs w:val="0"/>
          <w:color w:val="auto"/>
          <w:sz w:val="24"/>
          <w:szCs w:val="24"/>
          <w:highlight w:val="none"/>
        </w:rPr>
        <w:br w:type="page" w:clear="all"/>
      </w:r>
      <w:bookmarkStart w:id="155" w:name="_Toc107246284"/>
      <w:r/>
      <w:bookmarkStart w:id="156" w:name="_Toc7164"/>
      <w:r/>
      <w:bookmarkStart w:id="157" w:name="_Toc104560904"/>
      <w:r>
        <w:rPr>
          <w:rFonts w:ascii="Microsoft New Tai Lue" w:hAnsi="Microsoft New Tai Lue" w:cs="Microsoft New Tai Lue"/>
          <w:bCs w:val="0"/>
          <w:color w:val="auto"/>
          <w:sz w:val="24"/>
          <w:szCs w:val="24"/>
          <w:highlight w:val="none"/>
        </w:rPr>
        <w:t xml:space="preserve">（6-1-2）工商变更登记文件（如需）</w:t>
      </w:r>
      <w:bookmarkEnd w:id="153"/>
      <w:r/>
      <w:bookmarkEnd w:id="154"/>
      <w:r/>
      <w:bookmarkEnd w:id="155"/>
      <w:r/>
      <w:bookmarkEnd w:id="156"/>
      <w:r/>
      <w:bookmarkEnd w:id="157"/>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供应商</w:t>
      </w:r>
      <w:r>
        <w:rPr>
          <w:rFonts w:ascii="Microsoft New Tai Lue" w:hAnsi="Microsoft New Tai Lue" w:cs="Microsoft New Tai Lue"/>
          <w:b/>
          <w:bCs/>
          <w:color w:val="auto"/>
          <w:highlight w:val="none"/>
        </w:rPr>
        <w:t xml:space="preserve">在磋商文件资质、业绩等要求的时间期限内发生了单位名称等变更的，提供相关工商变更登记文件的复印件。如无，则可不提供。</w:t>
      </w:r>
      <w:r/>
    </w:p>
    <w:p>
      <w:pPr>
        <w:pStyle w:val="102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158" w:name="_Toc104560905"/>
      <w:r/>
      <w:bookmarkStart w:id="159" w:name="_Toc102117321"/>
      <w:r/>
      <w:bookmarkStart w:id="160" w:name="_Toc107246285"/>
      <w:r/>
      <w:bookmarkStart w:id="161" w:name="_Toc103848590"/>
      <w:r/>
      <w:bookmarkStart w:id="162" w:name="_Toc8789"/>
      <w:r>
        <w:rPr>
          <w:rFonts w:ascii="Microsoft New Tai Lue" w:hAnsi="Microsoft New Tai Lue" w:cs="Microsoft New Tai Lue"/>
          <w:bCs w:val="0"/>
          <w:color w:val="auto"/>
          <w:sz w:val="24"/>
          <w:szCs w:val="24"/>
          <w:highlight w:val="none"/>
        </w:rPr>
        <w:t xml:space="preserve">（6-2）财务报表</w:t>
      </w:r>
      <w:bookmarkEnd w:id="158"/>
      <w:r/>
      <w:bookmarkEnd w:id="159"/>
      <w:r/>
      <w:bookmarkEnd w:id="160"/>
      <w:r/>
      <w:bookmarkEnd w:id="161"/>
      <w:r/>
      <w:bookmarkEnd w:id="162"/>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1025"/>
        <w:jc w:val="left"/>
        <w:spacing w:line="240" w:lineRule="atLeast"/>
        <w:rPr>
          <w:rFonts w:ascii="Microsoft New Tai Lue" w:hAnsi="Microsoft New Tai Lue" w:cs="Microsoft New Tai Lue"/>
          <w:bCs w:val="0"/>
          <w:color w:val="auto"/>
          <w:sz w:val="24"/>
          <w:szCs w:val="24"/>
          <w:highlight w:val="none"/>
        </w:rPr>
      </w:pPr>
      <w:r/>
      <w:bookmarkStart w:id="163" w:name="_Toc104560908"/>
      <w:r/>
      <w:bookmarkStart w:id="164" w:name="_Toc102117322"/>
      <w:r/>
      <w:bookmarkStart w:id="165" w:name="_Toc103848593"/>
      <w:r>
        <w:rPr>
          <w:rFonts w:ascii="Microsoft New Tai Lue" w:hAnsi="Microsoft New Tai Lue" w:cs="Microsoft New Tai Lue"/>
          <w:bCs w:val="0"/>
          <w:color w:val="auto"/>
          <w:sz w:val="24"/>
          <w:szCs w:val="24"/>
          <w:highlight w:val="none"/>
        </w:rPr>
        <w:br w:type="page" w:clear="all"/>
      </w:r>
      <w:bookmarkStart w:id="166" w:name="_Toc23875"/>
      <w:r/>
      <w:bookmarkStart w:id="167" w:name="_Toc107246286"/>
      <w:r>
        <w:rPr>
          <w:rFonts w:ascii="Microsoft New Tai Lue" w:hAnsi="Microsoft New Tai Lue" w:cs="Microsoft New Tai Lue"/>
          <w:bCs w:val="0"/>
          <w:color w:val="auto"/>
          <w:sz w:val="24"/>
          <w:szCs w:val="24"/>
          <w:highlight w:val="none"/>
        </w:rPr>
        <w:t xml:space="preserve">（6-3）具有履行合同所必需的设备和专业技术能力的相关证明材料或承诺函（提供承诺函原件）</w:t>
      </w:r>
      <w:bookmarkEnd w:id="163"/>
      <w:r/>
      <w:bookmarkEnd w:id="164"/>
      <w:r/>
      <w:bookmarkEnd w:id="165"/>
      <w:r/>
      <w:bookmarkEnd w:id="166"/>
      <w:r/>
      <w:bookmarkEnd w:id="16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03"/>
        <w:ind w:left="1260"/>
        <w:rPr>
          <w:color w:val="auto"/>
          <w:highlight w:val="none"/>
        </w:rPr>
      </w:pPr>
      <w:r>
        <w:rPr>
          <w:color w:val="auto"/>
          <w:highlight w:val="none"/>
        </w:rPr>
      </w:r>
      <w:r/>
    </w:p>
    <w:p>
      <w:pPr>
        <w:rPr>
          <w:color w:val="auto"/>
          <w:highlight w:val="none"/>
        </w:rPr>
      </w:pPr>
      <w:r>
        <w:rPr>
          <w:color w:val="auto"/>
          <w:highlight w:val="none"/>
        </w:rPr>
      </w:r>
      <w:r/>
    </w:p>
    <w:p>
      <w:pPr>
        <w:pStyle w:val="1003"/>
        <w:ind w:left="1260"/>
        <w:rPr>
          <w:color w:val="auto"/>
          <w:highlight w:val="none"/>
        </w:rPr>
      </w:pPr>
      <w:r>
        <w:rPr>
          <w:color w:val="auto"/>
          <w:highlight w:val="none"/>
        </w:rPr>
      </w:r>
      <w:r/>
    </w:p>
    <w:p>
      <w:pPr>
        <w:rPr>
          <w:color w:val="auto"/>
          <w:highlight w:val="none"/>
        </w:rPr>
      </w:pPr>
      <w:r>
        <w:rPr>
          <w:color w:val="auto"/>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1025"/>
        <w:spacing w:line="240" w:lineRule="atLeast"/>
        <w:rPr>
          <w:rFonts w:ascii="Microsoft New Tai Lue" w:hAnsi="Microsoft New Tai Lue" w:eastAsia="黑体" w:cs="Microsoft New Tai Lue"/>
          <w:b w:val="0"/>
          <w:color w:val="auto"/>
          <w:highlight w:val="none"/>
        </w:rPr>
      </w:pPr>
      <w:r/>
      <w:bookmarkStart w:id="168" w:name="_Toc102117323"/>
      <w:r/>
      <w:bookmarkStart w:id="169" w:name="_Toc103848591"/>
      <w:r>
        <w:rPr>
          <w:rFonts w:ascii="Microsoft New Tai Lue" w:hAnsi="Microsoft New Tai Lue" w:cs="Microsoft New Tai Lue"/>
          <w:bCs w:val="0"/>
          <w:color w:val="auto"/>
          <w:sz w:val="24"/>
          <w:szCs w:val="24"/>
          <w:highlight w:val="none"/>
        </w:rPr>
        <w:br w:type="page" w:clear="all"/>
      </w:r>
      <w:bookmarkStart w:id="170" w:name="_Toc104560906"/>
      <w:r/>
      <w:bookmarkStart w:id="171" w:name="_Toc19580"/>
      <w:r/>
      <w:bookmarkStart w:id="172" w:name="_Toc107246287"/>
      <w:r>
        <w:rPr>
          <w:rFonts w:ascii="Microsoft New Tai Lue" w:hAnsi="Microsoft New Tai Lue" w:cs="Microsoft New Tai Lue"/>
          <w:bCs w:val="0"/>
          <w:color w:val="auto"/>
          <w:sz w:val="24"/>
          <w:szCs w:val="24"/>
          <w:highlight w:val="none"/>
        </w:rPr>
        <w:t xml:space="preserve">（6-4）依法缴纳税收的相关材料</w:t>
      </w:r>
      <w:bookmarkEnd w:id="168"/>
      <w:r/>
      <w:bookmarkEnd w:id="169"/>
      <w:r/>
      <w:bookmarkEnd w:id="170"/>
      <w:r/>
      <w:bookmarkEnd w:id="171"/>
      <w:r/>
      <w:bookmarkEnd w:id="172"/>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pStyle w:val="102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173" w:name="_Toc16631"/>
      <w:r/>
      <w:bookmarkStart w:id="174" w:name="_Toc102117324"/>
      <w:r/>
      <w:bookmarkStart w:id="175" w:name="_Toc104560907"/>
      <w:r/>
      <w:bookmarkStart w:id="176" w:name="_Toc103848592"/>
      <w:r/>
      <w:bookmarkStart w:id="177" w:name="_Toc107246288"/>
      <w:r>
        <w:rPr>
          <w:rFonts w:ascii="Microsoft New Tai Lue" w:hAnsi="Microsoft New Tai Lue" w:cs="Microsoft New Tai Lue"/>
          <w:bCs w:val="0"/>
          <w:color w:val="auto"/>
          <w:sz w:val="24"/>
          <w:szCs w:val="24"/>
          <w:highlight w:val="none"/>
        </w:rPr>
        <w:t xml:space="preserve">（6-5）依法缴纳社会保障资金的相关材料</w:t>
      </w:r>
      <w:bookmarkEnd w:id="173"/>
      <w:r/>
      <w:bookmarkEnd w:id="174"/>
      <w:r/>
      <w:bookmarkEnd w:id="175"/>
      <w:r/>
      <w:bookmarkEnd w:id="176"/>
      <w:r/>
      <w:bookmarkEnd w:id="177"/>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1025"/>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178" w:name="_Toc30337"/>
      <w:r/>
      <w:bookmarkStart w:id="179" w:name="_Toc103848594"/>
      <w:r/>
      <w:bookmarkStart w:id="180" w:name="_Toc102117325"/>
      <w:r/>
      <w:bookmarkStart w:id="181" w:name="_Toc104560909"/>
      <w:r/>
      <w:bookmarkStart w:id="182" w:name="_Toc107246289"/>
      <w:r>
        <w:rPr>
          <w:rFonts w:ascii="Microsoft New Tai Lue" w:hAnsi="Microsoft New Tai Lue" w:cs="Microsoft New Tai Lue"/>
          <w:bCs w:val="0"/>
          <w:color w:val="auto"/>
          <w:sz w:val="24"/>
          <w:szCs w:val="24"/>
          <w:highlight w:val="none"/>
        </w:rPr>
        <w:t xml:space="preserve">（6-6）没有重大违法记录的书面声明</w:t>
      </w:r>
      <w:bookmarkEnd w:id="178"/>
      <w:r/>
      <w:bookmarkEnd w:id="179"/>
      <w:r/>
      <w:bookmarkEnd w:id="180"/>
      <w:r/>
      <w:bookmarkEnd w:id="181"/>
      <w:r/>
      <w:bookmarkEnd w:id="182"/>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1025"/>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183" w:name="_Toc20646"/>
      <w:r/>
      <w:bookmarkStart w:id="184" w:name="_Toc107246290"/>
      <w:r/>
      <w:bookmarkStart w:id="185"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183"/>
      <w:r/>
      <w:bookmarkEnd w:id="184"/>
      <w:r/>
      <w:bookmarkEnd w:id="185"/>
      <w:r/>
      <w:r/>
    </w:p>
    <w:p>
      <w:pPr>
        <w:pStyle w:val="807"/>
        <w:ind w:firstLine="420"/>
        <w:spacing w:line="48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807"/>
        <w:ind w:firstLine="420"/>
        <w:spacing w:line="48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807"/>
        <w:ind w:firstLine="420"/>
        <w:spacing w:line="48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807"/>
        <w:ind w:firstLine="420"/>
        <w:spacing w:line="48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807"/>
        <w:ind w:firstLine="420"/>
        <w:spacing w:line="48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807"/>
        <w:ind w:firstLine="420"/>
        <w:spacing w:line="480" w:lineRule="auto"/>
        <w:rPr>
          <w:rFonts w:hint="eastAsia" w:hAnsi="宋体"/>
          <w:color w:val="auto"/>
          <w:sz w:val="21"/>
          <w:szCs w:val="21"/>
          <w:highlight w:val="none"/>
        </w:rPr>
      </w:pPr>
      <w:r>
        <w:rPr>
          <w:rFonts w:hint="eastAsia" w:hAnsi="宋体"/>
          <w:color w:val="auto"/>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807"/>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07"/>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07"/>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07"/>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07"/>
        <w:ind w:firstLine="400"/>
        <w:rPr>
          <w:rFonts w:ascii="Times New Roman" w:hAnsi="Times New Roman" w:eastAsia="等线"/>
          <w:color w:val="auto"/>
          <w:highlight w:val="none"/>
        </w:rPr>
      </w:pPr>
      <w:r>
        <w:rPr>
          <w:rFonts w:ascii="Times New Roman" w:hAnsi="Times New Roman" w:eastAsia="等线"/>
          <w:color w:val="auto"/>
          <w:highlight w:val="none"/>
        </w:rPr>
      </w:r>
      <w:r/>
    </w:p>
    <w:p>
      <w:pPr>
        <w:ind w:right="420" w:firstLine="3780"/>
        <w:spacing w:line="360" w:lineRule="auto"/>
        <w:rPr>
          <w:color w:val="auto"/>
          <w:highlight w:val="none"/>
          <w:u w:val="single"/>
        </w:rPr>
      </w:pPr>
      <w:r/>
      <w:bookmarkStart w:id="186" w:name="_Toc102117326"/>
      <w:r/>
      <w:bookmarkStart w:id="187" w:name="_Toc103848596"/>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102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88" w:name="_Toc30426"/>
      <w:r/>
      <w:bookmarkStart w:id="189" w:name="_Toc107246291"/>
      <w:r/>
      <w:bookmarkStart w:id="190" w:name="_Toc104560911"/>
      <w:r>
        <w:rPr>
          <w:rFonts w:ascii="Microsoft New Tai Lue" w:hAnsi="Microsoft New Tai Lue" w:cs="Microsoft New Tai Lue"/>
          <w:bCs w:val="0"/>
          <w:color w:val="auto"/>
          <w:sz w:val="24"/>
          <w:szCs w:val="24"/>
          <w:highlight w:val="none"/>
        </w:rPr>
        <w:t xml:space="preserve">（6-8）</w:t>
      </w:r>
      <w:bookmarkEnd w:id="186"/>
      <w:r>
        <w:rPr>
          <w:rFonts w:ascii="Microsoft New Tai Lue" w:hAnsi="Microsoft New Tai Lue" w:cs="Microsoft New Tai Lue"/>
          <w:bCs w:val="0"/>
          <w:color w:val="auto"/>
          <w:sz w:val="24"/>
          <w:szCs w:val="24"/>
          <w:highlight w:val="none"/>
        </w:rPr>
        <w:t xml:space="preserve">磋商文件要求的其它实质性资格资信证明文件</w:t>
      </w:r>
      <w:bookmarkEnd w:id="187"/>
      <w:r/>
      <w:bookmarkEnd w:id="188"/>
      <w:r/>
      <w:bookmarkEnd w:id="189"/>
      <w:r/>
      <w:bookmarkEnd w:id="190"/>
      <w:r/>
      <w:r/>
    </w:p>
    <w:p>
      <w:pPr>
        <w:pStyle w:val="1003"/>
        <w:ind w:left="0"/>
        <w:rPr>
          <w:color w:val="auto"/>
          <w:highlight w:val="none"/>
        </w:rPr>
      </w:pPr>
      <w:r>
        <w:rPr>
          <w:color w:val="auto"/>
          <w:highlight w:val="none"/>
        </w:rPr>
      </w:r>
      <w:r/>
    </w:p>
    <w:p>
      <w:pPr>
        <w:pStyle w:val="1025"/>
        <w:spacing w:before="0"/>
        <w:rPr>
          <w:rFonts w:ascii="Microsoft New Tai Lue" w:hAnsi="Microsoft New Tai Lue" w:cs="Microsoft New Tai Lue"/>
          <w:bCs w:val="0"/>
          <w:color w:val="auto"/>
          <w:sz w:val="24"/>
          <w:szCs w:val="24"/>
          <w:highlight w:val="none"/>
        </w:rPr>
      </w:pPr>
      <w:r/>
      <w:bookmarkStart w:id="191" w:name="_Toc103848600"/>
      <w:r/>
      <w:bookmarkStart w:id="192" w:name="_Toc107246300"/>
      <w:r/>
      <w:bookmarkStart w:id="193" w:name="_Toc104560917"/>
      <w:r>
        <w:rPr>
          <w:rFonts w:ascii="Microsoft New Tai Lue" w:hAnsi="Microsoft New Tai Lue" w:cs="Microsoft New Tai Lue"/>
          <w:color w:val="auto"/>
          <w:sz w:val="24"/>
          <w:highlight w:val="none"/>
        </w:rPr>
        <w:br w:type="page" w:clear="all"/>
      </w:r>
      <w:bookmarkStart w:id="194" w:name="_Toc104560918"/>
      <w:r/>
      <w:bookmarkStart w:id="195" w:name="_Toc107246301"/>
      <w:r/>
      <w:bookmarkStart w:id="196" w:name="_Toc14214"/>
      <w:r/>
      <w:bookmarkStart w:id="197" w:name="_Toc10384860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7</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194"/>
      <w:r/>
      <w:bookmarkEnd w:id="195"/>
      <w:r/>
      <w:bookmarkEnd w:id="196"/>
      <w:r/>
      <w:bookmarkEnd w:id="197"/>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1022"/>
        <w:spacing w:line="360" w:lineRule="exact"/>
        <w:rPr>
          <w:rFonts w:ascii="Times New Roman" w:hAnsi="Times New Roman"/>
          <w:b/>
          <w:bCs/>
          <w:color w:val="auto"/>
          <w:highlight w:val="none"/>
        </w:rPr>
      </w:pPr>
      <w:r>
        <w:rPr>
          <w:rFonts w:ascii="Times New Roman" w:hAnsi="Times New Roman"/>
          <w:b/>
          <w:bCs/>
          <w:color w:val="auto"/>
          <w:highlight w:val="none"/>
        </w:rPr>
      </w:r>
      <w:r/>
    </w:p>
    <w:tbl>
      <w:tblPr>
        <w:tblStyle w:val="798"/>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w:t>
            </w:r>
            <w:r>
              <w:rPr>
                <w:rFonts w:hint="eastAsia" w:ascii="Microsoft New Tai Lue" w:hAnsi="Microsoft New Tai Lue" w:cs="Microsoft New Tai Lue"/>
                <w:color w:val="auto"/>
                <w:sz w:val="21"/>
                <w:szCs w:val="21"/>
                <w:highlight w:val="none"/>
              </w:rPr>
              <w:t xml:space="preserve">技术</w:t>
            </w:r>
            <w:r>
              <w:rPr>
                <w:rFonts w:ascii="Microsoft New Tai Lue" w:hAnsi="Microsoft New Tai Lue" w:cs="Microsoft New Tai Lue"/>
                <w:color w:val="auto"/>
                <w:sz w:val="21"/>
                <w:szCs w:val="21"/>
                <w:highlight w:val="none"/>
              </w:rPr>
              <w:t xml:space="preserve">条款</w:t>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w:t>
            </w:r>
            <w:r>
              <w:rPr>
                <w:rFonts w:hint="eastAsia" w:ascii="Microsoft New Tai Lue" w:hAnsi="Microsoft New Tai Lue" w:cs="Microsoft New Tai Lue"/>
                <w:color w:val="auto"/>
                <w:sz w:val="21"/>
                <w:szCs w:val="21"/>
                <w:highlight w:val="none"/>
              </w:rPr>
              <w:t xml:space="preserve">技术</w:t>
            </w:r>
            <w:r>
              <w:rPr>
                <w:rFonts w:ascii="Microsoft New Tai Lue" w:hAnsi="Microsoft New Tai Lue" w:cs="Microsoft New Tai Lue"/>
                <w:color w:val="auto"/>
                <w:sz w:val="21"/>
                <w:szCs w:val="21"/>
                <w:highlight w:val="none"/>
              </w:rPr>
              <w:t xml:space="preserve">条款</w:t>
            </w:r>
            <w:r/>
          </w:p>
        </w:tc>
        <w:tc>
          <w:tcPr>
            <w:tcW w:w="1134" w:type="dxa"/>
            <w:textDirection w:val="lrTb"/>
            <w:noWrap w:val="false"/>
          </w:tcPr>
          <w:p>
            <w:pPr>
              <w:pStyle w:val="807"/>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80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1022"/>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102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10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w:t>
      </w:r>
      <w:r>
        <w:rPr>
          <w:rFonts w:hint="eastAsia"/>
          <w:b/>
          <w:color w:val="auto"/>
          <w:highlight w:val="none"/>
        </w:rPr>
        <w:t xml:space="preserve">. </w:t>
      </w:r>
      <w:r>
        <w:rPr>
          <w:rFonts w:hint="eastAsia" w:ascii="Times New Roman" w:hAnsi="Times New Roman"/>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10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1022"/>
        <w:spacing w:line="360" w:lineRule="exact"/>
        <w:rPr>
          <w:rFonts w:ascii="Times New Roman" w:hAnsi="Times New Roman"/>
          <w:b/>
          <w:bCs/>
          <w:color w:val="auto"/>
          <w:highlight w:val="none"/>
        </w:rPr>
      </w:pPr>
      <w:r>
        <w:rPr>
          <w:rFonts w:hint="eastAsia"/>
          <w:b/>
          <w:color w:val="auto"/>
          <w:highlight w:val="none"/>
        </w:rPr>
        <w:t xml:space="preserve">3. 如果行数不够，请自行增加。</w:t>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0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07"/>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供应商名称(公章)：_________________</w:t>
      </w:r>
      <w:r/>
    </w:p>
    <w:p>
      <w:pPr>
        <w:pStyle w:val="807"/>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07"/>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807"/>
        <w:ind w:firstLine="3780"/>
        <w:rPr>
          <w:rFonts w:ascii="Microsoft New Tai Lue" w:hAnsi="Microsoft New Tai Lue" w:eastAsia="MingLiU_HKSCS" w:cs="Microsoft New Tai Lue"/>
          <w:color w:val="auto"/>
          <w:highlight w:val="none"/>
        </w:rPr>
      </w:pPr>
      <w:r>
        <w:rPr>
          <w:rFonts w:ascii="Microsoft New Tai Lue" w:hAnsi="Microsoft New Tai Lue" w:cs="Microsoft New Tai Lue"/>
          <w:color w:val="auto"/>
          <w:sz w:val="21"/>
          <w:szCs w:val="21"/>
          <w:highlight w:val="none"/>
        </w:rPr>
        <w:t xml:space="preserve">日期：______年____月____日</w:t>
      </w:r>
      <w:r/>
    </w:p>
    <w:p>
      <w:pPr>
        <w:pStyle w:val="102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98" w:name="_Toc1026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8</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服务</w:t>
      </w:r>
      <w:r>
        <w:rPr>
          <w:rFonts w:ascii="Microsoft New Tai Lue" w:hAnsi="Microsoft New Tai Lue" w:cs="Microsoft New Tai Lue"/>
          <w:bCs w:val="0"/>
          <w:color w:val="auto"/>
          <w:sz w:val="24"/>
          <w:szCs w:val="24"/>
          <w:highlight w:val="none"/>
        </w:rPr>
        <w:t xml:space="preserve">方案</w:t>
      </w:r>
      <w:bookmarkEnd w:id="191"/>
      <w:r/>
      <w:bookmarkEnd w:id="192"/>
      <w:r/>
      <w:bookmarkEnd w:id="193"/>
      <w:r/>
      <w:bookmarkEnd w:id="198"/>
      <w:r/>
      <w:r/>
    </w:p>
    <w:p>
      <w:pPr>
        <w:rPr>
          <w:color w:val="auto"/>
          <w:highlight w:val="none"/>
        </w:rPr>
      </w:pPr>
      <w:r>
        <w:rPr>
          <w:color w:val="auto"/>
          <w:highlight w:val="none"/>
        </w:rPr>
        <w:t xml:space="preserve"> </w:t>
      </w:r>
      <w:r/>
    </w:p>
    <w:p>
      <w:pPr>
        <w:pStyle w:val="807"/>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807"/>
        <w:ind w:firstLine="0"/>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格式自拟</w:t>
      </w:r>
      <w:r/>
    </w:p>
    <w:p>
      <w:pPr>
        <w:rPr>
          <w:color w:val="auto"/>
          <w:highlight w:val="none"/>
        </w:rPr>
      </w:pPr>
      <w:r>
        <w:rPr>
          <w:color w:val="auto"/>
          <w:highlight w:val="none"/>
        </w:rPr>
        <w:br w:type="page" w:clear="all"/>
      </w:r>
      <w:r/>
    </w:p>
    <w:p>
      <w:pPr>
        <w:pStyle w:val="1025"/>
        <w:spacing w:before="0"/>
        <w:rPr>
          <w:rFonts w:hint="eastAsia" w:ascii="Microsoft New Tai Lue" w:hAnsi="Microsoft New Tai Lue" w:cs="Microsoft New Tai Lue"/>
          <w:bCs w:val="0"/>
          <w:color w:val="auto"/>
          <w:sz w:val="24"/>
          <w:szCs w:val="24"/>
          <w:highlight w:val="none"/>
          <w:lang w:val="en-US" w:eastAsia="zh-CN"/>
        </w:rPr>
      </w:pPr>
      <w:r>
        <w:rPr>
          <w:rFonts w:hint="eastAsia" w:ascii="Microsoft New Tai Lue" w:hAnsi="Microsoft New Tai Lue" w:eastAsia="宋体" w:cs="Microsoft New Tai Lue"/>
          <w:bCs w:val="0"/>
          <w:color w:val="auto"/>
          <w:sz w:val="24"/>
          <w:szCs w:val="24"/>
          <w:highlight w:val="none"/>
          <w:lang w:val="en-US" w:eastAsia="zh-CN"/>
        </w:rPr>
        <w:t xml:space="preserve">（9）</w:t>
      </w:r>
      <w:r>
        <w:rPr>
          <w:rFonts w:hint="eastAsia" w:ascii="Microsoft New Tai Lue" w:hAnsi="Microsoft New Tai Lue" w:cs="Microsoft New Tai Lue"/>
          <w:bCs w:val="0"/>
          <w:color w:val="auto"/>
          <w:sz w:val="24"/>
          <w:szCs w:val="24"/>
          <w:highlight w:val="none"/>
          <w:lang w:val="en-US" w:eastAsia="zh-CN"/>
        </w:rPr>
        <w:t xml:space="preserve">采购需求中★号项证明材料（如需）</w:t>
      </w:r>
      <w:r/>
    </w:p>
    <w:p>
      <w:pPr>
        <w:pStyle w:val="807"/>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pStyle w:val="807"/>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br w:type="page" w:clear="all"/>
      </w:r>
      <w:r/>
    </w:p>
    <w:p>
      <w:pPr>
        <w:pStyle w:val="1025"/>
        <w:spacing w:before="0"/>
        <w:rPr>
          <w:rFonts w:hint="eastAsia" w:ascii="Microsoft New Tai Lue" w:hAnsi="Microsoft New Tai Lue" w:cs="Microsoft New Tai Lue"/>
          <w:bCs w:val="0"/>
          <w:color w:val="auto"/>
          <w:sz w:val="24"/>
          <w:szCs w:val="24"/>
          <w:highlight w:val="none"/>
          <w:lang w:val="en-US" w:eastAsia="zh-CN"/>
        </w:rPr>
      </w:pPr>
      <w:r>
        <w:rPr>
          <w:rFonts w:hint="eastAsia" w:ascii="Microsoft New Tai Lue" w:hAnsi="Microsoft New Tai Lue" w:eastAsia="宋体" w:cs="Microsoft New Tai Lue"/>
          <w:bCs w:val="0"/>
          <w:color w:val="auto"/>
          <w:sz w:val="24"/>
          <w:szCs w:val="24"/>
          <w:highlight w:val="none"/>
          <w:lang w:val="en-US" w:eastAsia="zh-CN"/>
        </w:rPr>
        <w:t xml:space="preserve">（10）</w:t>
      </w:r>
      <w:r>
        <w:rPr>
          <w:rFonts w:hint="eastAsia" w:ascii="Microsoft New Tai Lue" w:hAnsi="Microsoft New Tai Lue" w:cs="Microsoft New Tai Lue"/>
          <w:bCs w:val="0"/>
          <w:color w:val="auto"/>
          <w:sz w:val="24"/>
          <w:szCs w:val="24"/>
          <w:highlight w:val="none"/>
          <w:lang w:val="en-US" w:eastAsia="zh-CN"/>
        </w:rPr>
        <w:t xml:space="preserve">服务承诺（如需）</w:t>
      </w:r>
      <w:r/>
    </w:p>
    <w:p>
      <w:pPr>
        <w:pStyle w:val="807"/>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pStyle w:val="807"/>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pStyle w:val="1025"/>
        <w:spacing w:before="0"/>
        <w:rPr>
          <w:rFonts w:ascii="Microsoft New Tai Lue" w:hAnsi="Microsoft New Tai Lue" w:cs="Microsoft New Tai Lue"/>
          <w:bCs w:val="0"/>
          <w:color w:val="auto"/>
          <w:sz w:val="24"/>
          <w:szCs w:val="24"/>
          <w:highlight w:val="none"/>
        </w:rPr>
      </w:pPr>
      <w:r>
        <w:rPr>
          <w:rFonts w:hint="eastAsia" w:ascii="宋体" w:hAnsi="宋体" w:cs="宋体"/>
          <w:color w:val="auto"/>
          <w:highlight w:val="none"/>
        </w:rPr>
        <w:br w:type="page" w:clear="all"/>
      </w:r>
      <w:bookmarkStart w:id="199" w:name="_Toc6475"/>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11</w:t>
      </w:r>
      <w:r>
        <w:rPr>
          <w:rFonts w:hint="eastAsia" w:ascii="Microsoft New Tai Lue" w:hAnsi="Microsoft New Tai Lue" w:cs="Microsoft New Tai Lue"/>
          <w:bCs w:val="0"/>
          <w:color w:val="auto"/>
          <w:sz w:val="24"/>
          <w:szCs w:val="24"/>
          <w:highlight w:val="none"/>
        </w:rPr>
        <w:t xml:space="preserve">）拟参与本项目人员一览表</w:t>
      </w:r>
      <w:bookmarkEnd w:id="199"/>
      <w:r/>
      <w:r/>
    </w:p>
    <w:p>
      <w:pPr>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项目</w:t>
      </w:r>
      <w:r>
        <w:rPr>
          <w:rFonts w:hint="eastAsia" w:ascii="宋体" w:hAnsi="宋体"/>
          <w:color w:val="auto"/>
          <w:sz w:val="24"/>
          <w:highlight w:val="none"/>
          <w:lang w:val="zh-CN"/>
        </w:rPr>
        <w:t xml:space="preserve">编号：</w:t>
      </w:r>
      <w:r/>
    </w:p>
    <w:tbl>
      <w:tblPr>
        <w:tblStyle w:val="798"/>
        <w:tblW w:w="80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546"/>
        <w:gridCol w:w="1511"/>
        <w:gridCol w:w="1454"/>
        <w:gridCol w:w="734"/>
      </w:tblGrid>
      <w:tr>
        <w:trPr>
          <w:jc w:val="center"/>
          <w:trHeight w:val="972" w:hRule="exact"/>
        </w:trPr>
        <w:tc>
          <w:tcPr>
            <w:tcW w:w="534" w:type="dxa"/>
            <w:vAlign w:val="center"/>
            <w:textDirection w:val="lrTb"/>
            <w:noWrap w:val="false"/>
          </w:tcPr>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序号</w:t>
            </w:r>
            <w:r/>
          </w:p>
        </w:tc>
        <w:tc>
          <w:tcPr>
            <w:tcW w:w="896" w:type="dxa"/>
            <w:vAlign w:val="center"/>
            <w:textDirection w:val="lrTb"/>
            <w:noWrap w:val="false"/>
          </w:tcPr>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姓名</w:t>
            </w:r>
            <w:r/>
          </w:p>
        </w:tc>
        <w:tc>
          <w:tcPr>
            <w:tcW w:w="663" w:type="dxa"/>
            <w:vAlign w:val="center"/>
            <w:textDirection w:val="lrTb"/>
            <w:noWrap w:val="false"/>
          </w:tcPr>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性别</w:t>
            </w:r>
            <w:r/>
          </w:p>
        </w:tc>
        <w:tc>
          <w:tcPr>
            <w:tcW w:w="709" w:type="dxa"/>
            <w:vAlign w:val="center"/>
            <w:textDirection w:val="lrTb"/>
            <w:noWrap w:val="false"/>
          </w:tcPr>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年龄</w:t>
            </w:r>
            <w:r/>
          </w:p>
        </w:tc>
        <w:tc>
          <w:tcPr>
            <w:tcW w:w="1546" w:type="dxa"/>
            <w:vAlign w:val="center"/>
            <w:textDirection w:val="lrTb"/>
            <w:noWrap w:val="false"/>
          </w:tcPr>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执业</w:t>
            </w:r>
            <w:r/>
          </w:p>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资格及证书（</w:t>
            </w:r>
            <w:r>
              <w:rPr>
                <w:rFonts w:hint="eastAsia" w:ascii="宋体" w:hAnsi="宋体"/>
                <w:b/>
                <w:color w:val="auto"/>
                <w:szCs w:val="21"/>
                <w:highlight w:val="none"/>
              </w:rPr>
              <w:t xml:space="preserve">如有</w:t>
            </w:r>
            <w:r>
              <w:rPr>
                <w:rFonts w:hint="eastAsia" w:ascii="宋体" w:hAnsi="宋体"/>
                <w:b/>
                <w:color w:val="auto"/>
                <w:szCs w:val="21"/>
                <w:highlight w:val="none"/>
                <w:lang w:val="zh-CN"/>
              </w:rPr>
              <w:t xml:space="preserve">）</w:t>
            </w:r>
            <w:r/>
          </w:p>
        </w:tc>
        <w:tc>
          <w:tcPr>
            <w:tcW w:w="1511" w:type="dxa"/>
            <w:vAlign w:val="center"/>
            <w:textDirection w:val="lrTb"/>
            <w:noWrap w:val="false"/>
          </w:tcPr>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相关工作年限</w:t>
            </w:r>
            <w:r/>
          </w:p>
        </w:tc>
        <w:tc>
          <w:tcPr>
            <w:tcW w:w="1454" w:type="dxa"/>
            <w:vAlign w:val="center"/>
            <w:textDirection w:val="lrTb"/>
            <w:noWrap w:val="false"/>
          </w:tcPr>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拟担任本项目何种工作</w:t>
            </w:r>
            <w:r/>
          </w:p>
        </w:tc>
        <w:tc>
          <w:tcPr>
            <w:tcW w:w="734" w:type="dxa"/>
            <w:vAlign w:val="center"/>
            <w:textDirection w:val="lrTb"/>
            <w:noWrap w:val="false"/>
          </w:tcPr>
          <w:p>
            <w:pPr>
              <w:jc w:val="center"/>
              <w:rPr>
                <w:rFonts w:hint="eastAsia" w:ascii="宋体" w:hAnsi="宋体"/>
                <w:b/>
                <w:color w:val="auto"/>
                <w:szCs w:val="21"/>
                <w:highlight w:val="none"/>
                <w:lang w:val="zh-CN"/>
              </w:rPr>
            </w:pPr>
            <w:r>
              <w:rPr>
                <w:rFonts w:hint="eastAsia" w:ascii="宋体" w:hAnsi="宋体"/>
                <w:b/>
                <w:color w:val="auto"/>
                <w:szCs w:val="21"/>
                <w:highlight w:val="none"/>
                <w:lang w:val="zh-CN"/>
              </w:rPr>
              <w:t xml:space="preserve">备注</w:t>
            </w:r>
            <w:r/>
          </w:p>
        </w:tc>
      </w:tr>
      <w:tr>
        <w:trPr>
          <w:jc w:val="center"/>
          <w:trHeight w:val="539" w:hRule="exact"/>
        </w:trPr>
        <w:tc>
          <w:tcPr>
            <w:tcW w:w="53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896"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663"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709"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1546" w:type="dxa"/>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c>
          <w:tcPr>
            <w:tcW w:w="1511"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145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73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r>
      <w:tr>
        <w:trPr>
          <w:jc w:val="center"/>
          <w:trHeight w:val="539" w:hRule="exact"/>
        </w:trPr>
        <w:tc>
          <w:tcPr>
            <w:tcW w:w="53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896"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663"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709"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1546"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1511"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145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73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r>
      <w:tr>
        <w:trPr>
          <w:jc w:val="center"/>
          <w:trHeight w:val="539" w:hRule="exact"/>
        </w:trPr>
        <w:tc>
          <w:tcPr>
            <w:tcW w:w="53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896"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663"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709"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1546"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1511"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145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c>
          <w:tcPr>
            <w:tcW w:w="734" w:type="dxa"/>
            <w:textDirection w:val="lrTb"/>
            <w:noWrap w:val="false"/>
          </w:tcPr>
          <w:p>
            <w:pPr>
              <w:rPr>
                <w:rFonts w:hint="eastAsia" w:ascii="宋体" w:hAnsi="宋体"/>
                <w:color w:val="auto"/>
                <w:sz w:val="24"/>
                <w:highlight w:val="none"/>
                <w:lang w:val="zh-CN"/>
              </w:rPr>
            </w:pPr>
            <w:r>
              <w:rPr>
                <w:rFonts w:hint="eastAsia" w:ascii="宋体" w:hAnsi="宋体"/>
                <w:color w:val="auto"/>
                <w:sz w:val="24"/>
                <w:highlight w:val="none"/>
                <w:lang w:val="zh-CN"/>
              </w:rPr>
            </w:r>
            <w:r/>
          </w:p>
        </w:tc>
      </w:tr>
    </w:tbl>
    <w:p>
      <w:pPr>
        <w:pStyle w:val="807"/>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07"/>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807"/>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807"/>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：_________________</w:t>
      </w:r>
      <w:r/>
    </w:p>
    <w:p>
      <w:pPr>
        <w:pStyle w:val="807"/>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07"/>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807"/>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102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200" w:name="_Toc11490"/>
      <w:r/>
      <w:bookmarkStart w:id="201" w:name="_Toc107246304"/>
      <w:r/>
      <w:bookmarkStart w:id="202" w:name="_Toc104560921"/>
      <w:r/>
      <w:bookmarkStart w:id="203" w:name="_Toc10384860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业绩一览表</w:t>
      </w:r>
      <w:bookmarkEnd w:id="200"/>
      <w:r/>
      <w:r/>
    </w:p>
    <w:p>
      <w:pPr>
        <w:jc w:val="left"/>
        <w:rPr>
          <w:rFonts w:hint="eastAsia"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798"/>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191"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991"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合同服务期限</w:t>
            </w:r>
            <w:r/>
          </w:p>
        </w:tc>
        <w:tc>
          <w:tcPr>
            <w:tcW w:w="187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494"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采购人联系电话</w:t>
            </w:r>
            <w:r/>
          </w:p>
        </w:tc>
        <w:tc>
          <w:tcPr>
            <w:tcW w:w="123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7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1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7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54"/>
        </w:trPr>
        <w:tc>
          <w:tcPr>
            <w:tcW w:w="7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1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7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1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7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1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7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1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7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1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7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1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7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31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99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7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3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hint="eastAsia"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lef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left"/>
        <w:rPr>
          <w:rFonts w:hint="eastAsia" w:ascii="宋体" w:hAnsi="宋体" w:cs="宋体"/>
          <w:color w:val="auto"/>
          <w:sz w:val="20"/>
          <w:szCs w:val="20"/>
          <w:highlight w:val="none"/>
        </w:rPr>
      </w:pPr>
      <w:r>
        <w:rPr>
          <w:rFonts w:ascii="Microsoft New Tai Lue" w:hAnsi="Microsoft New Tai Lue" w:cs="Microsoft New Tai Lue"/>
          <w:color w:val="auto"/>
          <w:szCs w:val="21"/>
          <w:highlight w:val="none"/>
        </w:rPr>
        <w:t xml:space="preserve">或其授权代表（签字或盖章）：</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121"/>
      <w:r/>
      <w:bookmarkEnd w:id="201"/>
      <w:r/>
      <w:bookmarkEnd w:id="202"/>
      <w:r/>
      <w:bookmarkEnd w:id="203"/>
      <w:r/>
      <w:r/>
    </w:p>
    <w:p>
      <w:pPr>
        <w:pStyle w:val="807"/>
        <w:ind w:firstLine="0"/>
        <w:rPr>
          <w:color w:val="auto"/>
          <w:highlight w:val="none"/>
        </w:rPr>
      </w:pPr>
      <w:r/>
      <w:bookmarkStart w:id="204" w:name="_Toc96347904"/>
      <w:r/>
      <w:r/>
    </w:p>
    <w:p>
      <w:pPr>
        <w:pStyle w:val="1025"/>
        <w:spacing w:before="0"/>
        <w:rPr>
          <w:rFonts w:ascii="Microsoft New Tai Lue" w:hAnsi="Microsoft New Tai Lue" w:cs="Microsoft New Tai Lue"/>
          <w:bCs w:val="0"/>
          <w:color w:val="auto"/>
          <w:sz w:val="24"/>
          <w:szCs w:val="24"/>
          <w:highlight w:val="none"/>
        </w:rPr>
      </w:pPr>
      <w:r/>
      <w:bookmarkStart w:id="205" w:name="_Toc104560923"/>
      <w:r/>
      <w:bookmarkStart w:id="206" w:name="_Toc103848606"/>
      <w:r/>
      <w:bookmarkStart w:id="207" w:name="_Toc107246306"/>
      <w:r/>
      <w:bookmarkStart w:id="208" w:name="_Toc100905289"/>
      <w:r>
        <w:rPr>
          <w:rFonts w:ascii="Microsoft New Tai Lue" w:hAnsi="Microsoft New Tai Lue" w:cs="Microsoft New Tai Lue"/>
          <w:bCs w:val="0"/>
          <w:color w:val="auto"/>
          <w:sz w:val="24"/>
          <w:szCs w:val="24"/>
          <w:highlight w:val="none"/>
        </w:rPr>
        <w:br w:type="page" w:clear="all"/>
      </w:r>
      <w:bookmarkStart w:id="209" w:name="_Toc27843"/>
      <w:r>
        <w:rPr>
          <w:rFonts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）提供符合政府采购政策的证明材料</w:t>
      </w:r>
      <w:bookmarkEnd w:id="205"/>
      <w:r/>
      <w:bookmarkEnd w:id="206"/>
      <w:r/>
      <w:bookmarkEnd w:id="207"/>
      <w:r/>
      <w:bookmarkEnd w:id="208"/>
      <w:r/>
      <w:bookmarkEnd w:id="209"/>
      <w:r/>
      <w:r/>
    </w:p>
    <w:p>
      <w:pPr>
        <w:pStyle w:val="1082"/>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left="214" w:firstLine="422"/>
        <w:spacing w:line="360" w:lineRule="auto"/>
        <w:rPr>
          <w:rFonts w:hint="eastAsia" w:ascii="宋体" w:hAnsi="宋体" w:cs="宋体"/>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rPr>
          <w:color w:val="auto"/>
          <w:highlight w:val="none"/>
        </w:rPr>
      </w:pPr>
      <w:r>
        <w:rPr>
          <w:color w:val="auto"/>
          <w:highlight w:val="none"/>
        </w:rPr>
      </w:r>
      <w:r/>
    </w:p>
    <w:p>
      <w:pPr>
        <w:pStyle w:val="807"/>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807"/>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07"/>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807"/>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0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07"/>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204"/>
      <w:r/>
      <w:r/>
    </w:p>
    <w:p>
      <w:pPr>
        <w:pStyle w:val="807"/>
        <w:ind w:firstLine="198"/>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025"/>
        <w:spacing w:before="0"/>
        <w:rPr>
          <w:rFonts w:ascii="Microsoft New Tai Lue" w:hAnsi="Microsoft New Tai Lue" w:cs="Microsoft New Tai Lue"/>
          <w:bCs w:val="0"/>
          <w:color w:val="auto"/>
          <w:sz w:val="24"/>
          <w:szCs w:val="24"/>
          <w:highlight w:val="none"/>
        </w:rPr>
      </w:pPr>
      <w:r/>
      <w:bookmarkStart w:id="210" w:name="_Toc100905295"/>
      <w:r/>
      <w:bookmarkStart w:id="211" w:name="_Toc103848607"/>
      <w:r/>
      <w:bookmarkStart w:id="212" w:name="_Toc104560924"/>
      <w:r/>
      <w:bookmarkStart w:id="213" w:name="_Toc107246307"/>
      <w:r>
        <w:rPr>
          <w:rFonts w:ascii="Microsoft New Tai Lue" w:hAnsi="Microsoft New Tai Lue" w:cs="Microsoft New Tai Lue"/>
          <w:bCs w:val="0"/>
          <w:color w:val="auto"/>
          <w:sz w:val="24"/>
          <w:szCs w:val="24"/>
          <w:highlight w:val="none"/>
        </w:rPr>
        <w:br w:type="page" w:clear="all"/>
      </w:r>
      <w:bookmarkStart w:id="214" w:name="_Toc2781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）供应商认为需提供的其他</w:t>
      </w:r>
      <w:bookmarkEnd w:id="210"/>
      <w:r>
        <w:rPr>
          <w:rFonts w:ascii="Microsoft New Tai Lue" w:hAnsi="Microsoft New Tai Lue" w:cs="Microsoft New Tai Lue"/>
          <w:bCs w:val="0"/>
          <w:color w:val="auto"/>
          <w:sz w:val="24"/>
          <w:szCs w:val="24"/>
          <w:highlight w:val="none"/>
        </w:rPr>
        <w:t xml:space="preserve">文件或证明材料</w:t>
      </w:r>
      <w:bookmarkEnd w:id="211"/>
      <w:r/>
      <w:bookmarkEnd w:id="212"/>
      <w:r/>
      <w:bookmarkEnd w:id="213"/>
      <w:r/>
      <w:bookmarkEnd w:id="214"/>
      <w:r/>
      <w:r/>
    </w:p>
    <w:p>
      <w:pPr>
        <w:pStyle w:val="102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215" w:name="_Toc103848608"/>
      <w:r/>
      <w:bookmarkStart w:id="216" w:name="_Toc104560925"/>
      <w:r/>
      <w:bookmarkStart w:id="217" w:name="_Toc24628"/>
      <w:r/>
      <w:bookmarkStart w:id="218" w:name="_Toc10724630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5</w:t>
      </w:r>
      <w:r>
        <w:rPr>
          <w:rFonts w:ascii="Microsoft New Tai Lue" w:hAnsi="Microsoft New Tai Lue" w:cs="Microsoft New Tai Lue"/>
          <w:bCs w:val="0"/>
          <w:color w:val="auto"/>
          <w:sz w:val="24"/>
          <w:szCs w:val="24"/>
          <w:highlight w:val="none"/>
        </w:rPr>
        <w:t xml:space="preserve">）要求供应商提交的其他文件材料或证明材料</w:t>
      </w:r>
      <w:bookmarkEnd w:id="215"/>
      <w:r/>
      <w:bookmarkEnd w:id="216"/>
      <w:r/>
      <w:bookmarkEnd w:id="217"/>
      <w:r/>
      <w:bookmarkEnd w:id="218"/>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1"/>
      <w:footerReference w:type="default" r:id="rId13"/>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Helvetica">
    <w:panose1 w:val="020B0604020202020204"/>
  </w:font>
  <w:font w:name="Segoe UI Symbol">
    <w:panose1 w:val="020B0502040204020203"/>
  </w:font>
  <w:font w:name="Symbol">
    <w:panose1 w:val="05050102010706020507"/>
  </w:font>
  <w:font w:name="Wingdings">
    <w:panose1 w:val="05000000000000000000"/>
  </w:font>
  <w:font w:name="Cambria">
    <w:panose1 w:val="02040503050406030204"/>
  </w:font>
  <w:font w:name="KNLe">
    <w:panose1 w:val="020B0503020202020204"/>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楷体_GB2312">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
  </w:p>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江苏省招标中心有限公司采购文件</w:t>
    </w:r>
    <w:r/>
  </w:p>
  <w:p>
    <w:pPr>
      <w:pStyle w:val="1015"/>
      <w:rPr>
        <w:rFonts w:hint="eastAsia" w:ascii="宋体" w:hAnsi="宋体" w:cs="宋体"/>
        <w:color w:val="000000"/>
      </w:rPr>
    </w:pPr>
    <w:r>
      <w:rPr>
        <w:rFonts w:hint="eastAsia" w:ascii="宋体" w:hAnsi="宋体" w:cs="宋体"/>
        <w:color w:val="000000"/>
      </w:rPr>
      <w:t xml:space="preserve">（省农业农村厅沅江路、南湖路办公区食堂外包采购项目）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江苏省招标中心有限公司采购文件</w:t>
    </w:r>
    <w:r/>
  </w:p>
  <w:p>
    <w:pPr>
      <w:pStyle w:val="1015"/>
    </w:pPr>
    <w:r>
      <w:rPr>
        <w:rFonts w:hint="eastAsia" w:ascii="宋体" w:hAnsi="宋体" w:cs="宋体"/>
        <w:color w:val="000000"/>
      </w:rPr>
      <w:t xml:space="preserve">（省农业农村厅沅江路、南湖路办公区食堂外包采购项目）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5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797"/>
    <w:link w:val="788"/>
    <w:uiPriority w:val="9"/>
    <w:rPr>
      <w:rFonts w:ascii="Arial" w:hAnsi="Arial" w:eastAsia="Arial" w:cs="Arial"/>
      <w:sz w:val="40"/>
      <w:szCs w:val="40"/>
    </w:rPr>
  </w:style>
  <w:style w:type="character" w:styleId="747">
    <w:name w:val="Heading 2 Char"/>
    <w:basedOn w:val="797"/>
    <w:link w:val="789"/>
    <w:uiPriority w:val="9"/>
    <w:rPr>
      <w:rFonts w:ascii="Arial" w:hAnsi="Arial" w:eastAsia="Arial" w:cs="Arial"/>
      <w:sz w:val="34"/>
    </w:rPr>
  </w:style>
  <w:style w:type="character" w:styleId="748">
    <w:name w:val="Heading 3 Char"/>
    <w:basedOn w:val="797"/>
    <w:link w:val="790"/>
    <w:uiPriority w:val="9"/>
    <w:rPr>
      <w:rFonts w:ascii="Arial" w:hAnsi="Arial" w:eastAsia="Arial" w:cs="Arial"/>
      <w:sz w:val="30"/>
      <w:szCs w:val="30"/>
    </w:rPr>
  </w:style>
  <w:style w:type="character" w:styleId="749">
    <w:name w:val="Heading 4 Char"/>
    <w:basedOn w:val="797"/>
    <w:link w:val="791"/>
    <w:uiPriority w:val="9"/>
    <w:rPr>
      <w:rFonts w:ascii="Arial" w:hAnsi="Arial" w:eastAsia="Arial" w:cs="Arial"/>
      <w:b/>
      <w:bCs/>
      <w:sz w:val="26"/>
      <w:szCs w:val="26"/>
    </w:rPr>
  </w:style>
  <w:style w:type="character" w:styleId="750">
    <w:name w:val="Heading 5 Char"/>
    <w:basedOn w:val="797"/>
    <w:link w:val="792"/>
    <w:uiPriority w:val="9"/>
    <w:rPr>
      <w:rFonts w:ascii="Arial" w:hAnsi="Arial" w:eastAsia="Arial" w:cs="Arial"/>
      <w:b/>
      <w:bCs/>
      <w:sz w:val="24"/>
      <w:szCs w:val="24"/>
    </w:rPr>
  </w:style>
  <w:style w:type="character" w:styleId="751">
    <w:name w:val="Heading 6 Char"/>
    <w:basedOn w:val="797"/>
    <w:link w:val="793"/>
    <w:uiPriority w:val="9"/>
    <w:rPr>
      <w:rFonts w:ascii="Arial" w:hAnsi="Arial" w:eastAsia="Arial" w:cs="Arial"/>
      <w:b/>
      <w:bCs/>
      <w:sz w:val="22"/>
      <w:szCs w:val="22"/>
    </w:rPr>
  </w:style>
  <w:style w:type="character" w:styleId="752">
    <w:name w:val="Heading 7 Char"/>
    <w:basedOn w:val="797"/>
    <w:link w:val="794"/>
    <w:uiPriority w:val="9"/>
    <w:rPr>
      <w:rFonts w:ascii="Arial" w:hAnsi="Arial" w:eastAsia="Arial" w:cs="Arial"/>
      <w:b/>
      <w:bCs/>
      <w:i/>
      <w:iCs/>
      <w:sz w:val="22"/>
      <w:szCs w:val="22"/>
    </w:rPr>
  </w:style>
  <w:style w:type="character" w:styleId="753">
    <w:name w:val="Heading 8 Char"/>
    <w:basedOn w:val="797"/>
    <w:link w:val="795"/>
    <w:uiPriority w:val="9"/>
    <w:rPr>
      <w:rFonts w:ascii="Arial" w:hAnsi="Arial" w:eastAsia="Arial" w:cs="Arial"/>
      <w:i/>
      <w:iCs/>
      <w:sz w:val="22"/>
      <w:szCs w:val="22"/>
    </w:rPr>
  </w:style>
  <w:style w:type="character" w:styleId="754">
    <w:name w:val="Heading 9 Char"/>
    <w:basedOn w:val="797"/>
    <w:link w:val="796"/>
    <w:uiPriority w:val="9"/>
    <w:rPr>
      <w:rFonts w:ascii="Arial" w:hAnsi="Arial" w:eastAsia="Arial" w:cs="Arial"/>
      <w:i/>
      <w:iCs/>
      <w:sz w:val="21"/>
      <w:szCs w:val="21"/>
    </w:rPr>
  </w:style>
  <w:style w:type="paragraph" w:styleId="755">
    <w:name w:val="List Paragraph"/>
    <w:basedOn w:val="787"/>
    <w:uiPriority w:val="34"/>
    <w:qFormat/>
    <w:pPr>
      <w:contextualSpacing/>
      <w:ind w:left="720"/>
    </w:pPr>
  </w:style>
  <w:style w:type="paragraph" w:styleId="756">
    <w:name w:val="No Spacing"/>
    <w:uiPriority w:val="1"/>
    <w:qFormat/>
    <w:pPr>
      <w:spacing w:before="0" w:after="0" w:line="240" w:lineRule="auto"/>
    </w:pPr>
  </w:style>
  <w:style w:type="character" w:styleId="757">
    <w:name w:val="Title Char"/>
    <w:basedOn w:val="797"/>
    <w:link w:val="820"/>
    <w:uiPriority w:val="10"/>
    <w:rPr>
      <w:sz w:val="48"/>
      <w:szCs w:val="48"/>
    </w:rPr>
  </w:style>
  <w:style w:type="character" w:styleId="758">
    <w:name w:val="Subtitle Char"/>
    <w:basedOn w:val="797"/>
    <w:link w:val="814"/>
    <w:uiPriority w:val="11"/>
    <w:rPr>
      <w:sz w:val="24"/>
      <w:szCs w:val="24"/>
    </w:rPr>
  </w:style>
  <w:style w:type="paragraph" w:styleId="759">
    <w:name w:val="Quote"/>
    <w:basedOn w:val="787"/>
    <w:next w:val="787"/>
    <w:link w:val="760"/>
    <w:uiPriority w:val="29"/>
    <w:qFormat/>
    <w:pPr>
      <w:ind w:left="720" w:right="720"/>
    </w:pPr>
    <w:rPr>
      <w:i/>
    </w:rPr>
  </w:style>
  <w:style w:type="character" w:styleId="760">
    <w:name w:val="Quote Char"/>
    <w:link w:val="759"/>
    <w:uiPriority w:val="29"/>
    <w:rPr>
      <w:i/>
    </w:rPr>
  </w:style>
  <w:style w:type="paragraph" w:styleId="761">
    <w:name w:val="Intense Quote"/>
    <w:basedOn w:val="787"/>
    <w:next w:val="78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797"/>
    <w:link w:val="811"/>
    <w:uiPriority w:val="99"/>
  </w:style>
  <w:style w:type="character" w:styleId="764">
    <w:name w:val="Caption Char"/>
    <w:basedOn w:val="800"/>
    <w:link w:val="810"/>
    <w:uiPriority w:val="99"/>
  </w:style>
  <w:style w:type="table" w:styleId="765">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4">
    <w:name w:val="Footnote Text Char"/>
    <w:link w:val="815"/>
    <w:uiPriority w:val="99"/>
    <w:rPr>
      <w:sz w:val="18"/>
    </w:rPr>
  </w:style>
  <w:style w:type="character" w:styleId="785">
    <w:name w:val="Endnote Text Char"/>
    <w:link w:val="809"/>
    <w:uiPriority w:val="99"/>
    <w:rPr>
      <w:sz w:val="20"/>
    </w:rPr>
  </w:style>
  <w:style w:type="paragraph" w:styleId="786">
    <w:name w:val="TOC Heading"/>
    <w:uiPriority w:val="39"/>
    <w:unhideWhenUsed/>
  </w:style>
  <w:style w:type="paragraph" w:styleId="7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8">
    <w:name w:val="Heading 1"/>
    <w:basedOn w:val="787"/>
    <w:next w:val="787"/>
    <w:link w:val="830"/>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31"/>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32"/>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33"/>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34"/>
    <w:uiPriority w:val="9"/>
    <w:unhideWhenUsed/>
    <w:qFormat/>
    <w:pPr>
      <w:keepLines/>
      <w:keepNext/>
      <w:spacing w:before="320" w:after="200"/>
      <w:outlineLvl w:val="4"/>
    </w:pPr>
    <w:rPr>
      <w:rFonts w:ascii="Arial" w:hAnsi="Arial" w:eastAsia="Arial" w:cs="Arial"/>
      <w:b/>
      <w:bCs/>
      <w:sz w:val="24"/>
    </w:rPr>
  </w:style>
  <w:style w:type="paragraph" w:styleId="793">
    <w:name w:val="Heading 6"/>
    <w:basedOn w:val="787"/>
    <w:next w:val="787"/>
    <w:link w:val="835"/>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37"/>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38"/>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toc 7"/>
    <w:basedOn w:val="787"/>
    <w:next w:val="787"/>
    <w:uiPriority w:val="39"/>
    <w:unhideWhenUsed/>
    <w:qFormat/>
    <w:pPr>
      <w:ind w:left="1701"/>
      <w:spacing w:after="57"/>
    </w:pPr>
  </w:style>
  <w:style w:type="paragraph" w:styleId="800">
    <w:name w:val="Caption"/>
    <w:basedOn w:val="787"/>
    <w:next w:val="78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7"/>
    <w:uiPriority w:val="99"/>
    <w:unhideWhenUsed/>
    <w:qFormat/>
    <w:pPr>
      <w:jc w:val="left"/>
    </w:pPr>
  </w:style>
  <w:style w:type="paragraph" w:styleId="802">
    <w:name w:val="Body Text"/>
    <w:basedOn w:val="787"/>
    <w:uiPriority w:val="1"/>
    <w:qFormat/>
    <w:pPr>
      <w:spacing w:after="120"/>
    </w:pPr>
  </w:style>
  <w:style w:type="paragraph" w:styleId="803">
    <w:name w:val="Body Text Indent"/>
    <w:basedOn w:val="787"/>
    <w:uiPriority w:val="0"/>
    <w:qFormat/>
    <w:pPr>
      <w:ind w:firstLine="574"/>
      <w:spacing w:line="312" w:lineRule="atLeast"/>
    </w:pPr>
    <w:rPr>
      <w:rFonts w:ascii="宋体"/>
      <w:sz w:val="28"/>
    </w:rPr>
  </w:style>
  <w:style w:type="paragraph" w:styleId="804">
    <w:name w:val="Block Text"/>
    <w:basedOn w:val="787"/>
    <w:uiPriority w:val="0"/>
    <w:qFormat/>
    <w:pPr>
      <w:ind w:left="-284" w:right="-105" w:firstLine="482"/>
      <w:spacing w:line="360" w:lineRule="auto"/>
    </w:pPr>
    <w:rPr>
      <w:rFonts w:eastAsia="楷体_GB2312"/>
      <w:b/>
      <w:bCs/>
      <w:sz w:val="24"/>
    </w:rPr>
  </w:style>
  <w:style w:type="paragraph" w:styleId="805">
    <w:name w:val="toc 5"/>
    <w:basedOn w:val="787"/>
    <w:next w:val="787"/>
    <w:uiPriority w:val="39"/>
    <w:unhideWhenUsed/>
    <w:qFormat/>
    <w:pPr>
      <w:ind w:left="1134"/>
      <w:spacing w:after="57"/>
    </w:pPr>
  </w:style>
  <w:style w:type="paragraph" w:styleId="806">
    <w:name w:val="toc 3"/>
    <w:basedOn w:val="787"/>
    <w:next w:val="787"/>
    <w:uiPriority w:val="39"/>
    <w:unhideWhenUsed/>
    <w:qFormat/>
    <w:pPr>
      <w:ind w:left="567"/>
      <w:spacing w:after="57"/>
    </w:pPr>
  </w:style>
  <w:style w:type="paragraph" w:styleId="807">
    <w:name w:val="Plain Text"/>
    <w:basedOn w:val="787"/>
    <w:link w:val="1052"/>
    <w:uiPriority w:val="0"/>
    <w:qFormat/>
    <w:pPr>
      <w:ind w:firstLine="200"/>
      <w:spacing w:line="360" w:lineRule="auto"/>
    </w:pPr>
    <w:rPr>
      <w:rFonts w:ascii="宋体" w:hAnsi="Courier New"/>
      <w:sz w:val="20"/>
      <w:szCs w:val="20"/>
    </w:rPr>
  </w:style>
  <w:style w:type="paragraph" w:styleId="808">
    <w:name w:val="toc 8"/>
    <w:basedOn w:val="787"/>
    <w:next w:val="787"/>
    <w:uiPriority w:val="39"/>
    <w:unhideWhenUsed/>
    <w:qFormat/>
    <w:pPr>
      <w:ind w:left="1984"/>
      <w:spacing w:after="57"/>
    </w:pPr>
  </w:style>
  <w:style w:type="paragraph" w:styleId="809">
    <w:name w:val="endnote text"/>
    <w:basedOn w:val="787"/>
    <w:link w:val="975"/>
    <w:uiPriority w:val="99"/>
    <w:unhideWhenUsed/>
    <w:qFormat/>
    <w:rPr>
      <w:sz w:val="20"/>
    </w:rPr>
  </w:style>
  <w:style w:type="paragraph" w:styleId="810">
    <w:name w:val="Footer"/>
    <w:basedOn w:val="787"/>
    <w:link w:val="848"/>
    <w:uiPriority w:val="99"/>
    <w:unhideWhenUsed/>
    <w:qFormat/>
    <w:pPr>
      <w:tabs>
        <w:tab w:val="center" w:pos="7143" w:leader="none"/>
        <w:tab w:val="right" w:pos="14287" w:leader="none"/>
      </w:tabs>
    </w:pPr>
  </w:style>
  <w:style w:type="paragraph" w:styleId="811">
    <w:name w:val="Header"/>
    <w:basedOn w:val="787"/>
    <w:link w:val="846"/>
    <w:uiPriority w:val="99"/>
    <w:unhideWhenUsed/>
    <w:qFormat/>
    <w:pPr>
      <w:tabs>
        <w:tab w:val="center" w:pos="7143" w:leader="none"/>
        <w:tab w:val="right" w:pos="14287" w:leader="none"/>
      </w:tabs>
    </w:pPr>
  </w:style>
  <w:style w:type="paragraph" w:styleId="812">
    <w:name w:val="toc 1"/>
    <w:basedOn w:val="787"/>
    <w:next w:val="787"/>
    <w:uiPriority w:val="39"/>
    <w:unhideWhenUsed/>
    <w:qFormat/>
    <w:pPr>
      <w:spacing w:after="57"/>
    </w:pPr>
  </w:style>
  <w:style w:type="paragraph" w:styleId="813">
    <w:name w:val="toc 4"/>
    <w:basedOn w:val="787"/>
    <w:next w:val="787"/>
    <w:uiPriority w:val="39"/>
    <w:unhideWhenUsed/>
    <w:qFormat/>
    <w:pPr>
      <w:ind w:left="850"/>
      <w:spacing w:after="57"/>
    </w:pPr>
  </w:style>
  <w:style w:type="paragraph" w:styleId="814">
    <w:name w:val="Subtitle"/>
    <w:basedOn w:val="787"/>
    <w:next w:val="787"/>
    <w:link w:val="841"/>
    <w:uiPriority w:val="11"/>
    <w:qFormat/>
    <w:pPr>
      <w:spacing w:before="200" w:after="200"/>
    </w:pPr>
    <w:rPr>
      <w:sz w:val="24"/>
    </w:rPr>
  </w:style>
  <w:style w:type="paragraph" w:styleId="815">
    <w:name w:val="footnote text"/>
    <w:basedOn w:val="787"/>
    <w:link w:val="974"/>
    <w:uiPriority w:val="99"/>
    <w:unhideWhenUsed/>
    <w:qFormat/>
    <w:pPr>
      <w:spacing w:after="40"/>
    </w:pPr>
    <w:rPr>
      <w:sz w:val="18"/>
    </w:rPr>
  </w:style>
  <w:style w:type="paragraph" w:styleId="816">
    <w:name w:val="toc 6"/>
    <w:basedOn w:val="787"/>
    <w:next w:val="787"/>
    <w:uiPriority w:val="39"/>
    <w:unhideWhenUsed/>
    <w:qFormat/>
    <w:pPr>
      <w:ind w:left="1417"/>
      <w:spacing w:after="57"/>
    </w:pPr>
  </w:style>
  <w:style w:type="paragraph" w:styleId="817">
    <w:name w:val="table of figures"/>
    <w:basedOn w:val="787"/>
    <w:next w:val="787"/>
    <w:uiPriority w:val="99"/>
    <w:unhideWhenUsed/>
    <w:qFormat/>
  </w:style>
  <w:style w:type="paragraph" w:styleId="818">
    <w:name w:val="toc 2"/>
    <w:basedOn w:val="787"/>
    <w:next w:val="787"/>
    <w:uiPriority w:val="39"/>
    <w:unhideWhenUsed/>
    <w:qFormat/>
    <w:pPr>
      <w:ind w:left="283"/>
      <w:spacing w:after="57"/>
    </w:pPr>
  </w:style>
  <w:style w:type="paragraph" w:styleId="819">
    <w:name w:val="toc 9"/>
    <w:basedOn w:val="787"/>
    <w:next w:val="787"/>
    <w:uiPriority w:val="39"/>
    <w:unhideWhenUsed/>
    <w:qFormat/>
    <w:pPr>
      <w:ind w:left="2268"/>
      <w:spacing w:after="57"/>
    </w:pPr>
  </w:style>
  <w:style w:type="paragraph" w:styleId="820">
    <w:name w:val="Title"/>
    <w:basedOn w:val="787"/>
    <w:next w:val="787"/>
    <w:link w:val="840"/>
    <w:uiPriority w:val="10"/>
    <w:qFormat/>
    <w:pPr>
      <w:contextualSpacing/>
      <w:spacing w:before="300" w:after="200"/>
    </w:pPr>
    <w:rPr>
      <w:sz w:val="48"/>
      <w:szCs w:val="48"/>
    </w:rPr>
  </w:style>
  <w:style w:type="paragraph" w:styleId="821">
    <w:name w:val="Body Text First Indent 2"/>
    <w:uiPriority w:val="99"/>
    <w:qFormat/>
    <w:pPr>
      <w:ind w:firstLine="420"/>
      <w:jc w:val="both"/>
      <w:spacing w:line="360" w:lineRule="auto"/>
      <w:widowControl w:val="off"/>
    </w:pPr>
    <w:rPr>
      <w:rFonts w:ascii="宋体" w:hAnsi="宋体" w:eastAsia="宋体" w:cs="Times New Roman"/>
      <w:lang w:val="en-US" w:eastAsia="zh-CN" w:bidi="mn-Mong-CN"/>
    </w:rPr>
  </w:style>
  <w:style w:type="table" w:styleId="8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basedOn w:val="797"/>
    <w:uiPriority w:val="22"/>
    <w:qFormat/>
    <w:rPr>
      <w:b/>
    </w:rPr>
  </w:style>
  <w:style w:type="character" w:styleId="824">
    <w:name w:val="endnote reference"/>
    <w:uiPriority w:val="99"/>
    <w:unhideWhenUsed/>
    <w:qFormat/>
    <w:rPr>
      <w:vertAlign w:val="superscript"/>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annotation reference"/>
    <w:uiPriority w:val="0"/>
    <w:qFormat/>
    <w:rPr>
      <w:sz w:val="21"/>
      <w:szCs w:val="21"/>
    </w:rPr>
  </w:style>
  <w:style w:type="character" w:styleId="827">
    <w:name w:val="footnote reference"/>
    <w:uiPriority w:val="99"/>
    <w:unhideWhenUsed/>
    <w:qFormat/>
    <w:rPr>
      <w:vertAlign w:val="superscript"/>
    </w:rPr>
  </w:style>
  <w:style w:type="paragraph" w:styleId="828" w:customStyle="1">
    <w:name w:val="正文缩进11"/>
    <w:basedOn w:val="787"/>
    <w:uiPriority w:val="99"/>
    <w:qFormat/>
    <w:pPr>
      <w:ind w:firstLine="420"/>
    </w:pPr>
    <w:rPr>
      <w:szCs w:val="20"/>
    </w:rPr>
  </w:style>
  <w:style w:type="paragraph" w:styleId="829" w:customStyle="1">
    <w:name w:val="正文文本111"/>
    <w:basedOn w:val="787"/>
    <w:uiPriority w:val="1"/>
    <w:qFormat/>
    <w:pPr>
      <w:spacing w:after="120"/>
    </w:pPr>
  </w:style>
  <w:style w:type="character" w:styleId="830" w:customStyle="1">
    <w:name w:val="标题 1 字符1"/>
    <w:link w:val="788"/>
    <w:uiPriority w:val="9"/>
    <w:qFormat/>
    <w:rPr>
      <w:rFonts w:ascii="Arial" w:hAnsi="Arial" w:eastAsia="Arial" w:cs="Arial"/>
      <w:sz w:val="40"/>
      <w:szCs w:val="40"/>
    </w:rPr>
  </w:style>
  <w:style w:type="character" w:styleId="831" w:customStyle="1">
    <w:name w:val="标题 2 字符1"/>
    <w:link w:val="789"/>
    <w:uiPriority w:val="9"/>
    <w:qFormat/>
    <w:rPr>
      <w:rFonts w:ascii="Arial" w:hAnsi="Arial" w:eastAsia="Arial" w:cs="Arial"/>
      <w:sz w:val="34"/>
    </w:rPr>
  </w:style>
  <w:style w:type="character" w:styleId="832" w:customStyle="1">
    <w:name w:val="标题 3 字符1"/>
    <w:link w:val="790"/>
    <w:uiPriority w:val="9"/>
    <w:qFormat/>
    <w:rPr>
      <w:rFonts w:ascii="Arial" w:hAnsi="Arial" w:eastAsia="Arial" w:cs="Arial"/>
      <w:sz w:val="30"/>
      <w:szCs w:val="30"/>
    </w:rPr>
  </w:style>
  <w:style w:type="character" w:styleId="833" w:customStyle="1">
    <w:name w:val="标题 4 字符1"/>
    <w:link w:val="791"/>
    <w:uiPriority w:val="9"/>
    <w:qFormat/>
    <w:rPr>
      <w:rFonts w:ascii="Arial" w:hAnsi="Arial" w:eastAsia="Arial" w:cs="Arial"/>
      <w:b/>
      <w:bCs/>
      <w:sz w:val="26"/>
      <w:szCs w:val="26"/>
    </w:rPr>
  </w:style>
  <w:style w:type="character" w:styleId="834" w:customStyle="1">
    <w:name w:val="标题 5 字符"/>
    <w:link w:val="792"/>
    <w:uiPriority w:val="9"/>
    <w:qFormat/>
    <w:rPr>
      <w:rFonts w:ascii="Arial" w:hAnsi="Arial" w:eastAsia="Arial" w:cs="Arial"/>
      <w:b/>
      <w:bCs/>
      <w:sz w:val="24"/>
      <w:szCs w:val="24"/>
    </w:rPr>
  </w:style>
  <w:style w:type="character" w:styleId="835" w:customStyle="1">
    <w:name w:val="标题 6 字符1"/>
    <w:link w:val="793"/>
    <w:uiPriority w:val="9"/>
    <w:qFormat/>
    <w:rPr>
      <w:rFonts w:ascii="Arial" w:hAnsi="Arial" w:eastAsia="Arial" w:cs="Arial"/>
      <w:b/>
      <w:bCs/>
      <w:sz w:val="22"/>
      <w:szCs w:val="22"/>
    </w:rPr>
  </w:style>
  <w:style w:type="character" w:styleId="836" w:customStyle="1">
    <w:name w:val="标题 7 字符"/>
    <w:link w:val="794"/>
    <w:uiPriority w:val="9"/>
    <w:qFormat/>
    <w:rPr>
      <w:rFonts w:ascii="Arial" w:hAnsi="Arial" w:eastAsia="Arial" w:cs="Arial"/>
      <w:b/>
      <w:bCs/>
      <w:i/>
      <w:iCs/>
      <w:sz w:val="22"/>
      <w:szCs w:val="22"/>
    </w:rPr>
  </w:style>
  <w:style w:type="character" w:styleId="837" w:customStyle="1">
    <w:name w:val="标题 8 字符1"/>
    <w:link w:val="795"/>
    <w:uiPriority w:val="9"/>
    <w:qFormat/>
    <w:rPr>
      <w:rFonts w:ascii="Arial" w:hAnsi="Arial" w:eastAsia="Arial" w:cs="Arial"/>
      <w:i/>
      <w:iCs/>
      <w:sz w:val="22"/>
      <w:szCs w:val="22"/>
    </w:rPr>
  </w:style>
  <w:style w:type="character" w:styleId="838" w:customStyle="1">
    <w:name w:val="标题 9 字符"/>
    <w:link w:val="796"/>
    <w:uiPriority w:val="9"/>
    <w:qFormat/>
    <w:rPr>
      <w:rFonts w:ascii="Arial" w:hAnsi="Arial" w:eastAsia="Arial" w:cs="Arial"/>
      <w:i/>
      <w:iCs/>
      <w:sz w:val="21"/>
      <w:szCs w:val="21"/>
    </w:rPr>
  </w:style>
  <w:style w:type="paragraph" w:styleId="839" w:customStyle="1">
    <w:name w:val="无间隔1"/>
    <w:uiPriority w:val="1"/>
    <w:qFormat/>
    <w:rPr>
      <w:rFonts w:ascii="Times New Roman" w:hAnsi="Times New Roman" w:eastAsia="宋体" w:cs="Times New Roman"/>
      <w:lang w:val="en-US" w:eastAsia="zh-CN" w:bidi="mn-Mong-CN"/>
    </w:rPr>
  </w:style>
  <w:style w:type="character" w:styleId="840" w:customStyle="1">
    <w:name w:val="标题 字符1"/>
    <w:link w:val="820"/>
    <w:uiPriority w:val="10"/>
    <w:qFormat/>
    <w:rPr>
      <w:sz w:val="48"/>
      <w:szCs w:val="48"/>
    </w:rPr>
  </w:style>
  <w:style w:type="character" w:styleId="841" w:customStyle="1">
    <w:name w:val="副标题 字符"/>
    <w:link w:val="814"/>
    <w:uiPriority w:val="11"/>
    <w:qFormat/>
    <w:rPr>
      <w:sz w:val="24"/>
      <w:szCs w:val="24"/>
    </w:rPr>
  </w:style>
  <w:style w:type="paragraph" w:styleId="842" w:customStyle="1">
    <w:name w:val="引用1"/>
    <w:basedOn w:val="787"/>
    <w:next w:val="787"/>
    <w:link w:val="843"/>
    <w:uiPriority w:val="29"/>
    <w:qFormat/>
    <w:pPr>
      <w:ind w:left="720" w:right="720"/>
    </w:pPr>
    <w:rPr>
      <w:i/>
    </w:rPr>
  </w:style>
  <w:style w:type="character" w:styleId="843" w:customStyle="1">
    <w:name w:val="引用 字符"/>
    <w:link w:val="842"/>
    <w:uiPriority w:val="29"/>
    <w:qFormat/>
    <w:rPr>
      <w:i/>
    </w:rPr>
  </w:style>
  <w:style w:type="paragraph" w:styleId="844" w:customStyle="1">
    <w:name w:val="明显引用1"/>
    <w:basedOn w:val="787"/>
    <w:next w:val="787"/>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1"/>
    <w:link w:val="811"/>
    <w:uiPriority w:val="99"/>
    <w:qFormat/>
  </w:style>
  <w:style w:type="character" w:styleId="847" w:customStyle="1">
    <w:name w:val="Footer Char"/>
    <w:uiPriority w:val="99"/>
    <w:qFormat/>
  </w:style>
  <w:style w:type="character" w:styleId="848" w:customStyle="1">
    <w:name w:val="页脚 字符1"/>
    <w:link w:val="810"/>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815"/>
    <w:uiPriority w:val="99"/>
    <w:qFormat/>
    <w:rPr>
      <w:sz w:val="18"/>
    </w:rPr>
  </w:style>
  <w:style w:type="character" w:styleId="975" w:customStyle="1">
    <w:name w:val="尾注文本 字符"/>
    <w:link w:val="809"/>
    <w:uiPriority w:val="99"/>
    <w:qFormat/>
    <w:rPr>
      <w:sz w:val="20"/>
    </w:rPr>
  </w:style>
  <w:style w:type="paragraph" w:styleId="976" w:customStyle="1">
    <w:name w:val="TOC 标题1"/>
    <w:uiPriority w:val="39"/>
    <w:unhideWhenUsed/>
    <w:qFormat/>
    <w:rPr>
      <w:rFonts w:ascii="Times New Roman" w:hAnsi="Times New Roman" w:eastAsia="宋体" w:cs="Times New Roman"/>
      <w:lang w:val="en-US" w:eastAsia="zh-CN" w:bidi="mn-Mong-CN"/>
    </w:rPr>
  </w:style>
  <w:style w:type="paragraph" w:styleId="977" w:customStyle="1">
    <w:name w:val="标题 11"/>
    <w:basedOn w:val="787"/>
    <w:next w:val="787"/>
    <w:link w:val="987"/>
    <w:uiPriority w:val="0"/>
    <w:qFormat/>
    <w:pPr>
      <w:ind w:left="100" w:right="100"/>
      <w:keepLines/>
      <w:keepNext/>
      <w:spacing w:before="120" w:after="120"/>
      <w:outlineLvl w:val="0"/>
    </w:pPr>
    <w:rPr>
      <w:b/>
      <w:bCs/>
      <w:szCs w:val="44"/>
    </w:rPr>
  </w:style>
  <w:style w:type="paragraph" w:styleId="978" w:customStyle="1">
    <w:name w:val="标题 211"/>
    <w:basedOn w:val="787"/>
    <w:next w:val="787"/>
    <w:link w:val="988"/>
    <w:uiPriority w:val="0"/>
    <w:qFormat/>
    <w:pPr>
      <w:keepLines/>
      <w:keepNext/>
      <w:spacing w:before="260" w:after="260" w:line="416" w:lineRule="auto"/>
      <w:outlineLvl w:val="1"/>
    </w:pPr>
    <w:rPr>
      <w:rFonts w:ascii="等线 Light" w:hAnsi="等线 Light" w:eastAsia="等线 Light"/>
      <w:b/>
      <w:bCs/>
      <w:sz w:val="32"/>
      <w:szCs w:val="32"/>
    </w:rPr>
  </w:style>
  <w:style w:type="paragraph" w:styleId="979" w:customStyle="1">
    <w:name w:val="标题 31"/>
    <w:basedOn w:val="787"/>
    <w:next w:val="787"/>
    <w:link w:val="989"/>
    <w:uiPriority w:val="9"/>
    <w:qFormat/>
    <w:pPr>
      <w:keepLines/>
      <w:keepNext/>
      <w:spacing w:before="260" w:after="260" w:line="416" w:lineRule="auto"/>
      <w:outlineLvl w:val="2"/>
    </w:pPr>
    <w:rPr>
      <w:b/>
      <w:bCs/>
      <w:sz w:val="32"/>
      <w:szCs w:val="32"/>
    </w:rPr>
  </w:style>
  <w:style w:type="paragraph" w:styleId="980" w:customStyle="1">
    <w:name w:val="标题 41"/>
    <w:basedOn w:val="787"/>
    <w:next w:val="787"/>
    <w:link w:val="990"/>
    <w:uiPriority w:val="0"/>
    <w:qFormat/>
    <w:pPr>
      <w:keepLines/>
      <w:keepNext/>
      <w:spacing w:before="280" w:after="290" w:line="376" w:lineRule="auto"/>
      <w:outlineLvl w:val="3"/>
    </w:pPr>
    <w:rPr>
      <w:rFonts w:ascii="等线 Light" w:hAnsi="等线 Light" w:eastAsia="等线 Light"/>
      <w:b/>
      <w:bCs/>
      <w:sz w:val="28"/>
      <w:szCs w:val="28"/>
    </w:rPr>
  </w:style>
  <w:style w:type="paragraph" w:styleId="981" w:customStyle="1">
    <w:name w:val="标题 61"/>
    <w:basedOn w:val="787"/>
    <w:next w:val="787"/>
    <w:link w:val="991"/>
    <w:uiPriority w:val="0"/>
    <w:qFormat/>
    <w:pPr>
      <w:keepLines/>
      <w:keepNext/>
      <w:spacing w:before="240" w:after="64" w:line="320" w:lineRule="auto"/>
      <w:outlineLvl w:val="5"/>
    </w:pPr>
    <w:rPr>
      <w:rFonts w:ascii="等线 Light" w:hAnsi="等线 Light" w:eastAsia="等线 Light"/>
      <w:b/>
      <w:bCs/>
      <w:sz w:val="24"/>
    </w:rPr>
  </w:style>
  <w:style w:type="paragraph" w:styleId="982" w:customStyle="1">
    <w:name w:val="标题 81"/>
    <w:basedOn w:val="787"/>
    <w:next w:val="787"/>
    <w:link w:val="992"/>
    <w:uiPriority w:val="0"/>
    <w:qFormat/>
    <w:pPr>
      <w:keepLines/>
      <w:keepNext/>
      <w:spacing w:before="240" w:after="64" w:line="320" w:lineRule="auto"/>
      <w:outlineLvl w:val="7"/>
    </w:pPr>
    <w:rPr>
      <w:rFonts w:ascii="等线 Light" w:hAnsi="等线 Light" w:eastAsia="等线 Light"/>
      <w:sz w:val="24"/>
    </w:rPr>
  </w:style>
  <w:style w:type="character" w:styleId="983" w:customStyle="1">
    <w:name w:val="默认段落字体1"/>
    <w:uiPriority w:val="0"/>
    <w:semiHidden/>
    <w:qFormat/>
  </w:style>
  <w:style w:type="table" w:styleId="984" w:customStyle="1">
    <w:name w:val="普通表格1"/>
    <w:uiPriority w:val="0"/>
    <w:semiHidden/>
    <w:qFormat/>
    <w:tblPr>
      <w:tblCellMar>
        <w:left w:w="0" w:type="dxa"/>
        <w:top w:w="0" w:type="dxa"/>
        <w:right w:w="0" w:type="dxa"/>
        <w:bottom w:w="0" w:type="dxa"/>
      </w:tblCellMar>
    </w:tblPr>
  </w:style>
  <w:style w:type="paragraph" w:styleId="985" w:customStyle="1">
    <w:name w:val="正文首行缩进 21"/>
    <w:basedOn w:val="986"/>
    <w:uiPriority w:val="0"/>
    <w:qFormat/>
    <w:pPr>
      <w:ind w:firstLine="420"/>
      <w:spacing w:line="360" w:lineRule="auto"/>
    </w:pPr>
    <w:rPr>
      <w:rFonts w:ascii="宋体" w:hAnsi="宋体"/>
      <w:szCs w:val="20"/>
    </w:rPr>
  </w:style>
  <w:style w:type="paragraph" w:styleId="986" w:customStyle="1">
    <w:name w:val="正文文本缩进1"/>
    <w:basedOn w:val="787"/>
    <w:next w:val="985"/>
    <w:uiPriority w:val="0"/>
    <w:qFormat/>
    <w:pPr>
      <w:ind w:left="420"/>
      <w:spacing w:after="120"/>
    </w:pPr>
  </w:style>
  <w:style w:type="character" w:styleId="987" w:customStyle="1">
    <w:name w:val="标题 1 字符"/>
    <w:link w:val="977"/>
    <w:uiPriority w:val="0"/>
    <w:qFormat/>
    <w:rPr>
      <w:b/>
      <w:bCs/>
      <w:sz w:val="21"/>
      <w:szCs w:val="44"/>
    </w:rPr>
  </w:style>
  <w:style w:type="character" w:styleId="988" w:customStyle="1">
    <w:name w:val="标题 2 字符"/>
    <w:link w:val="978"/>
    <w:uiPriority w:val="0"/>
    <w:semiHidden/>
    <w:qFormat/>
    <w:rPr>
      <w:rFonts w:ascii="等线 Light" w:hAnsi="等线 Light" w:eastAsia="等线 Light" w:cs="Times New Roman"/>
      <w:b/>
      <w:bCs/>
      <w:sz w:val="32"/>
      <w:szCs w:val="32"/>
    </w:rPr>
  </w:style>
  <w:style w:type="character" w:styleId="989" w:customStyle="1">
    <w:name w:val="标题 3 字符"/>
    <w:link w:val="979"/>
    <w:uiPriority w:val="9"/>
    <w:qFormat/>
    <w:rPr>
      <w:rFonts w:eastAsia="宋体"/>
      <w:b/>
      <w:bCs/>
      <w:sz w:val="32"/>
      <w:szCs w:val="32"/>
      <w:lang w:val="en-US" w:eastAsia="zh-CN" w:bidi="ar-SA"/>
    </w:rPr>
  </w:style>
  <w:style w:type="character" w:styleId="990" w:customStyle="1">
    <w:name w:val="标题 4 字符"/>
    <w:link w:val="980"/>
    <w:uiPriority w:val="0"/>
    <w:semiHidden/>
    <w:qFormat/>
    <w:rPr>
      <w:rFonts w:ascii="等线 Light" w:hAnsi="等线 Light" w:eastAsia="等线 Light" w:cs="Times New Roman"/>
      <w:b/>
      <w:bCs/>
      <w:sz w:val="28"/>
      <w:szCs w:val="28"/>
    </w:rPr>
  </w:style>
  <w:style w:type="character" w:styleId="991" w:customStyle="1">
    <w:name w:val="标题 6 字符"/>
    <w:link w:val="981"/>
    <w:uiPriority w:val="0"/>
    <w:qFormat/>
    <w:rPr>
      <w:rFonts w:ascii="等线 Light" w:hAnsi="等线 Light" w:eastAsia="等线 Light" w:cs="Times New Roman"/>
      <w:b/>
      <w:bCs/>
      <w:sz w:val="24"/>
      <w:szCs w:val="24"/>
    </w:rPr>
  </w:style>
  <w:style w:type="character" w:styleId="992" w:customStyle="1">
    <w:name w:val="标题 8 字符"/>
    <w:link w:val="982"/>
    <w:uiPriority w:val="0"/>
    <w:semiHidden/>
    <w:qFormat/>
    <w:rPr>
      <w:rFonts w:ascii="等线 Light" w:hAnsi="等线 Light" w:eastAsia="等线 Light" w:cs="Times New Roman"/>
      <w:sz w:val="24"/>
      <w:szCs w:val="24"/>
    </w:rPr>
  </w:style>
  <w:style w:type="paragraph" w:styleId="993" w:customStyle="1">
    <w:name w:val="列表 31"/>
    <w:basedOn w:val="787"/>
    <w:uiPriority w:val="0"/>
    <w:qFormat/>
    <w:pPr>
      <w:contextualSpacing/>
      <w:ind w:left="100" w:hanging="200"/>
      <w:jc w:val="left"/>
      <w:widowControl/>
    </w:pPr>
    <w:rPr>
      <w:sz w:val="20"/>
      <w:szCs w:val="20"/>
    </w:rPr>
  </w:style>
  <w:style w:type="paragraph" w:styleId="994" w:customStyle="1">
    <w:name w:val="目录 71"/>
    <w:basedOn w:val="787"/>
    <w:next w:val="787"/>
    <w:uiPriority w:val="39"/>
    <w:unhideWhenUsed/>
    <w:qFormat/>
    <w:pPr>
      <w:ind w:left="2520"/>
    </w:pPr>
    <w:rPr>
      <w:rFonts w:ascii="等线" w:hAnsi="等线" w:eastAsia="等线"/>
      <w:szCs w:val="22"/>
    </w:rPr>
  </w:style>
  <w:style w:type="paragraph" w:styleId="995" w:customStyle="1">
    <w:name w:val="正文缩进111"/>
    <w:basedOn w:val="787"/>
    <w:link w:val="996"/>
    <w:uiPriority w:val="99"/>
    <w:qFormat/>
    <w:pPr>
      <w:ind w:firstLine="420"/>
    </w:pPr>
    <w:rPr>
      <w:szCs w:val="20"/>
    </w:rPr>
  </w:style>
  <w:style w:type="character" w:styleId="996" w:customStyle="1">
    <w:name w:val="正文缩进 字符"/>
    <w:link w:val="995"/>
    <w:uiPriority w:val="0"/>
    <w:qFormat/>
    <w:rPr>
      <w:sz w:val="21"/>
    </w:rPr>
  </w:style>
  <w:style w:type="paragraph" w:styleId="997" w:customStyle="1">
    <w:name w:val="文档结构图1"/>
    <w:basedOn w:val="787"/>
    <w:link w:val="998"/>
    <w:uiPriority w:val="0"/>
    <w:qFormat/>
    <w:pPr>
      <w:shd w:val="clear" w:color="auto" w:fill="000080"/>
    </w:pPr>
  </w:style>
  <w:style w:type="character" w:styleId="998" w:customStyle="1">
    <w:name w:val="文档结构图 字符"/>
    <w:link w:val="997"/>
    <w:uiPriority w:val="0"/>
    <w:qFormat/>
    <w:rPr>
      <w:sz w:val="21"/>
      <w:szCs w:val="24"/>
      <w:shd w:val="clear" w:color="auto" w:fill="000080"/>
    </w:rPr>
  </w:style>
  <w:style w:type="paragraph" w:styleId="999" w:customStyle="1">
    <w:name w:val="批注文字1"/>
    <w:basedOn w:val="787"/>
    <w:link w:val="1000"/>
    <w:uiPriority w:val="0"/>
    <w:qFormat/>
    <w:pPr>
      <w:jc w:val="left"/>
    </w:pPr>
  </w:style>
  <w:style w:type="character" w:styleId="1000" w:customStyle="1">
    <w:name w:val="批注文字 字符"/>
    <w:link w:val="999"/>
    <w:uiPriority w:val="0"/>
    <w:qFormat/>
    <w:rPr>
      <w:sz w:val="21"/>
      <w:szCs w:val="24"/>
    </w:rPr>
  </w:style>
  <w:style w:type="paragraph" w:styleId="1001" w:customStyle="1">
    <w:name w:val="正文文本1"/>
    <w:basedOn w:val="787"/>
    <w:link w:val="1002"/>
    <w:uiPriority w:val="1"/>
    <w:qFormat/>
    <w:pPr>
      <w:spacing w:after="120"/>
    </w:pPr>
  </w:style>
  <w:style w:type="character" w:styleId="1002" w:customStyle="1">
    <w:name w:val="正文文本 字符"/>
    <w:link w:val="1001"/>
    <w:uiPriority w:val="1"/>
    <w:qFormat/>
    <w:rPr>
      <w:sz w:val="21"/>
      <w:szCs w:val="24"/>
    </w:rPr>
  </w:style>
  <w:style w:type="paragraph" w:styleId="1003" w:customStyle="1">
    <w:name w:val="索引 411"/>
    <w:basedOn w:val="787"/>
    <w:next w:val="787"/>
    <w:uiPriority w:val="99"/>
    <w:unhideWhenUsed/>
    <w:qFormat/>
    <w:pPr>
      <w:ind w:left="600"/>
    </w:pPr>
    <w:rPr>
      <w:rFonts w:ascii="宋体"/>
      <w:b/>
      <w:position w:val="-10"/>
      <w:sz w:val="24"/>
      <w:szCs w:val="20"/>
    </w:rPr>
  </w:style>
  <w:style w:type="paragraph" w:styleId="1004" w:customStyle="1">
    <w:name w:val="目录 51"/>
    <w:basedOn w:val="787"/>
    <w:next w:val="787"/>
    <w:uiPriority w:val="39"/>
    <w:unhideWhenUsed/>
    <w:qFormat/>
    <w:pPr>
      <w:ind w:left="1680"/>
    </w:pPr>
    <w:rPr>
      <w:rFonts w:ascii="等线" w:hAnsi="等线" w:eastAsia="等线"/>
      <w:szCs w:val="22"/>
    </w:rPr>
  </w:style>
  <w:style w:type="paragraph" w:styleId="1005" w:customStyle="1">
    <w:name w:val="目录 31"/>
    <w:basedOn w:val="787"/>
    <w:next w:val="787"/>
    <w:uiPriority w:val="39"/>
    <w:unhideWhenUsed/>
    <w:qFormat/>
    <w:pPr>
      <w:ind w:left="440"/>
      <w:jc w:val="left"/>
      <w:spacing w:after="100" w:line="259" w:lineRule="auto"/>
      <w:widowControl/>
    </w:pPr>
    <w:rPr>
      <w:rFonts w:ascii="等线" w:hAnsi="等线" w:eastAsia="等线"/>
      <w:sz w:val="22"/>
      <w:szCs w:val="22"/>
    </w:rPr>
  </w:style>
  <w:style w:type="paragraph" w:styleId="1006" w:customStyle="1">
    <w:name w:val="纯文本11"/>
    <w:basedOn w:val="787"/>
    <w:link w:val="1007"/>
    <w:uiPriority w:val="0"/>
    <w:qFormat/>
    <w:rPr>
      <w:rFonts w:ascii="宋体" w:hAnsi="Courier New" w:cs="Courier New"/>
      <w:szCs w:val="21"/>
    </w:rPr>
  </w:style>
  <w:style w:type="character" w:styleId="1007" w:customStyle="1">
    <w:name w:val="纯文本 字符"/>
    <w:link w:val="1006"/>
    <w:uiPriority w:val="0"/>
    <w:qFormat/>
    <w:rPr>
      <w:rFonts w:ascii="宋体" w:hAnsi="Courier New" w:cs="Courier New"/>
      <w:sz w:val="21"/>
      <w:szCs w:val="21"/>
    </w:rPr>
  </w:style>
  <w:style w:type="paragraph" w:styleId="1008" w:customStyle="1">
    <w:name w:val="目录 81"/>
    <w:basedOn w:val="787"/>
    <w:next w:val="787"/>
    <w:uiPriority w:val="39"/>
    <w:unhideWhenUsed/>
    <w:qFormat/>
    <w:pPr>
      <w:ind w:left="2940"/>
    </w:pPr>
    <w:rPr>
      <w:rFonts w:ascii="等线" w:hAnsi="等线" w:eastAsia="等线"/>
      <w:szCs w:val="22"/>
    </w:rPr>
  </w:style>
  <w:style w:type="paragraph" w:styleId="1009" w:customStyle="1">
    <w:name w:val="日期1"/>
    <w:basedOn w:val="787"/>
    <w:next w:val="787"/>
    <w:link w:val="1010"/>
    <w:uiPriority w:val="0"/>
    <w:qFormat/>
    <w:rPr>
      <w:sz w:val="24"/>
      <w:szCs w:val="20"/>
    </w:rPr>
  </w:style>
  <w:style w:type="character" w:styleId="1010" w:customStyle="1">
    <w:name w:val="日期 字符"/>
    <w:link w:val="1009"/>
    <w:uiPriority w:val="0"/>
    <w:qFormat/>
    <w:rPr>
      <w:sz w:val="24"/>
    </w:rPr>
  </w:style>
  <w:style w:type="paragraph" w:styleId="1011" w:customStyle="1">
    <w:name w:val="批注框文本1"/>
    <w:basedOn w:val="787"/>
    <w:link w:val="1012"/>
    <w:uiPriority w:val="0"/>
    <w:qFormat/>
    <w:rPr>
      <w:sz w:val="18"/>
      <w:szCs w:val="18"/>
    </w:rPr>
  </w:style>
  <w:style w:type="character" w:styleId="1012" w:customStyle="1">
    <w:name w:val="批注框文本 字符"/>
    <w:link w:val="1011"/>
    <w:uiPriority w:val="0"/>
    <w:qFormat/>
    <w:rPr>
      <w:sz w:val="18"/>
      <w:szCs w:val="18"/>
    </w:rPr>
  </w:style>
  <w:style w:type="paragraph" w:styleId="1013" w:customStyle="1">
    <w:name w:val="页脚1"/>
    <w:basedOn w:val="787"/>
    <w:link w:val="1014"/>
    <w:uiPriority w:val="0"/>
    <w:qFormat/>
    <w:pPr>
      <w:jc w:val="left"/>
      <w:tabs>
        <w:tab w:val="center" w:pos="4153" w:leader="none"/>
        <w:tab w:val="right" w:pos="8306" w:leader="none"/>
      </w:tabs>
    </w:pPr>
    <w:rPr>
      <w:sz w:val="18"/>
      <w:szCs w:val="18"/>
    </w:rPr>
  </w:style>
  <w:style w:type="character" w:styleId="1014" w:customStyle="1">
    <w:name w:val="页脚 字符"/>
    <w:link w:val="1013"/>
    <w:uiPriority w:val="99"/>
    <w:qFormat/>
    <w:rPr>
      <w:sz w:val="18"/>
      <w:szCs w:val="18"/>
    </w:rPr>
  </w:style>
  <w:style w:type="paragraph" w:styleId="1015" w:customStyle="1">
    <w:name w:val="页眉1"/>
    <w:basedOn w:val="787"/>
    <w:link w:val="1016"/>
    <w:uiPriority w:val="99"/>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字符"/>
    <w:link w:val="1015"/>
    <w:uiPriority w:val="99"/>
    <w:qFormat/>
    <w:rPr>
      <w:sz w:val="18"/>
      <w:szCs w:val="18"/>
    </w:rPr>
  </w:style>
  <w:style w:type="paragraph" w:styleId="1017" w:customStyle="1">
    <w:name w:val="目录 11"/>
    <w:basedOn w:val="787"/>
    <w:next w:val="787"/>
    <w:uiPriority w:val="39"/>
    <w:qFormat/>
    <w:rPr>
      <w:rFonts w:ascii="仿宋_GB2312" w:eastAsia="仿宋_GB2312"/>
      <w:sz w:val="24"/>
    </w:rPr>
  </w:style>
  <w:style w:type="paragraph" w:styleId="1018" w:customStyle="1">
    <w:name w:val="目录 41"/>
    <w:basedOn w:val="787"/>
    <w:next w:val="787"/>
    <w:uiPriority w:val="39"/>
    <w:unhideWhenUsed/>
    <w:qFormat/>
    <w:pPr>
      <w:ind w:left="1260"/>
    </w:pPr>
    <w:rPr>
      <w:rFonts w:ascii="等线" w:hAnsi="等线" w:eastAsia="等线"/>
      <w:szCs w:val="22"/>
    </w:rPr>
  </w:style>
  <w:style w:type="paragraph" w:styleId="1019" w:customStyle="1">
    <w:name w:val="目录 61"/>
    <w:basedOn w:val="787"/>
    <w:next w:val="787"/>
    <w:uiPriority w:val="39"/>
    <w:unhideWhenUsed/>
    <w:qFormat/>
    <w:pPr>
      <w:ind w:left="2100"/>
    </w:pPr>
    <w:rPr>
      <w:rFonts w:ascii="等线" w:hAnsi="等线" w:eastAsia="等线"/>
      <w:szCs w:val="22"/>
    </w:rPr>
  </w:style>
  <w:style w:type="paragraph" w:styleId="1020" w:customStyle="1">
    <w:name w:val="目录 21"/>
    <w:basedOn w:val="787"/>
    <w:next w:val="787"/>
    <w:uiPriority w:val="39"/>
    <w:unhideWhenUsed/>
    <w:qFormat/>
    <w:pPr>
      <w:ind w:left="220"/>
      <w:jc w:val="left"/>
      <w:spacing w:after="100" w:line="259" w:lineRule="auto"/>
      <w:widowControl/>
    </w:pPr>
    <w:rPr>
      <w:rFonts w:ascii="等线" w:hAnsi="等线" w:eastAsia="等线"/>
      <w:sz w:val="22"/>
      <w:szCs w:val="22"/>
    </w:rPr>
  </w:style>
  <w:style w:type="paragraph" w:styleId="1021" w:customStyle="1">
    <w:name w:val="目录 91"/>
    <w:basedOn w:val="787"/>
    <w:next w:val="787"/>
    <w:uiPriority w:val="39"/>
    <w:unhideWhenUsed/>
    <w:qFormat/>
    <w:pPr>
      <w:ind w:left="3360"/>
    </w:pPr>
    <w:rPr>
      <w:rFonts w:ascii="等线" w:hAnsi="等线" w:eastAsia="等线"/>
      <w:szCs w:val="22"/>
    </w:rPr>
  </w:style>
  <w:style w:type="paragraph" w:styleId="1022" w:customStyle="1">
    <w:name w:val="正文文本 211"/>
    <w:basedOn w:val="787"/>
    <w:link w:val="1023"/>
    <w:uiPriority w:val="0"/>
    <w:qFormat/>
    <w:pPr>
      <w:spacing w:after="120" w:line="480" w:lineRule="auto"/>
    </w:pPr>
    <w:rPr>
      <w:rFonts w:ascii="Calibri" w:hAnsi="Calibri"/>
    </w:rPr>
  </w:style>
  <w:style w:type="character" w:styleId="1023" w:customStyle="1">
    <w:name w:val="正文文本 2 字符"/>
    <w:link w:val="1022"/>
    <w:uiPriority w:val="0"/>
    <w:qFormat/>
    <w:rPr>
      <w:rFonts w:ascii="Calibri" w:hAnsi="Calibri"/>
      <w:sz w:val="21"/>
      <w:szCs w:val="24"/>
    </w:rPr>
  </w:style>
  <w:style w:type="paragraph" w:styleId="1024" w:customStyle="1">
    <w:name w:val="普通(网站)1"/>
    <w:basedOn w:val="787"/>
    <w:uiPriority w:val="99"/>
    <w:qFormat/>
    <w:pPr>
      <w:jc w:val="left"/>
      <w:spacing w:before="100" w:beforeAutospacing="1" w:after="100" w:afterAutospacing="1"/>
      <w:widowControl/>
    </w:pPr>
    <w:rPr>
      <w:sz w:val="24"/>
    </w:rPr>
  </w:style>
  <w:style w:type="paragraph" w:styleId="1025" w:customStyle="1">
    <w:name w:val="标题11"/>
    <w:basedOn w:val="787"/>
    <w:next w:val="787"/>
    <w:link w:val="1026"/>
    <w:uiPriority w:val="0"/>
    <w:qFormat/>
    <w:pPr>
      <w:jc w:val="center"/>
      <w:spacing w:before="240" w:after="60"/>
      <w:outlineLvl w:val="0"/>
    </w:pPr>
    <w:rPr>
      <w:rFonts w:ascii="等线 Light" w:hAnsi="等线 Light"/>
      <w:b/>
      <w:bCs/>
      <w:sz w:val="32"/>
      <w:szCs w:val="32"/>
    </w:rPr>
  </w:style>
  <w:style w:type="character" w:styleId="1026" w:customStyle="1">
    <w:name w:val="标题 字符"/>
    <w:link w:val="1025"/>
    <w:uiPriority w:val="0"/>
    <w:qFormat/>
    <w:rPr>
      <w:rFonts w:ascii="等线 Light" w:hAnsi="等线 Light" w:cs="Times New Roman"/>
      <w:b/>
      <w:bCs/>
      <w:sz w:val="32"/>
      <w:szCs w:val="32"/>
    </w:rPr>
  </w:style>
  <w:style w:type="paragraph" w:styleId="1027" w:customStyle="1">
    <w:name w:val="批注主题1"/>
    <w:basedOn w:val="999"/>
    <w:next w:val="999"/>
    <w:link w:val="1028"/>
    <w:uiPriority w:val="0"/>
    <w:qFormat/>
    <w:rPr>
      <w:b/>
      <w:bCs/>
    </w:rPr>
  </w:style>
  <w:style w:type="character" w:styleId="1028" w:customStyle="1">
    <w:name w:val="批注主题 字符"/>
    <w:link w:val="1027"/>
    <w:uiPriority w:val="0"/>
    <w:qFormat/>
    <w:rPr>
      <w:b/>
      <w:bCs/>
      <w:sz w:val="21"/>
      <w:szCs w:val="24"/>
    </w:rPr>
  </w:style>
  <w:style w:type="table" w:styleId="1029" w:customStyle="1">
    <w:name w:val="网格型1"/>
    <w:basedOn w:val="984"/>
    <w:uiPriority w:val="0"/>
    <w:qFormat/>
    <w:pPr>
      <w:jc w:val="both"/>
      <w:widowControl w:val="off"/>
    </w:pPr>
    <w:tblPr/>
  </w:style>
  <w:style w:type="character" w:styleId="1030" w:customStyle="1">
    <w:name w:val="要点1"/>
    <w:uiPriority w:val="0"/>
    <w:qFormat/>
    <w:rPr>
      <w:b/>
      <w:bCs/>
    </w:rPr>
  </w:style>
  <w:style w:type="character" w:styleId="1031" w:customStyle="1">
    <w:name w:val="页码1"/>
    <w:uiPriority w:val="0"/>
    <w:qFormat/>
  </w:style>
  <w:style w:type="character" w:styleId="1032" w:customStyle="1">
    <w:name w:val="强调1"/>
    <w:uiPriority w:val="0"/>
    <w:qFormat/>
    <w:rPr>
      <w:i/>
      <w:iCs/>
    </w:rPr>
  </w:style>
  <w:style w:type="character" w:styleId="1033" w:customStyle="1">
    <w:name w:val="超链接1"/>
    <w:uiPriority w:val="99"/>
    <w:qFormat/>
    <w:rPr>
      <w:color w:val="000000"/>
      <w:u w:val="none"/>
    </w:rPr>
  </w:style>
  <w:style w:type="character" w:styleId="1034" w:customStyle="1">
    <w:name w:val="批注引用1"/>
    <w:uiPriority w:val="0"/>
    <w:qFormat/>
    <w:rPr>
      <w:sz w:val="21"/>
      <w:szCs w:val="21"/>
    </w:rPr>
  </w:style>
  <w:style w:type="character" w:styleId="1035" w:customStyle="1">
    <w:name w:val="p0 Char"/>
    <w:link w:val="1036"/>
    <w:uiPriority w:val="0"/>
    <w:qFormat/>
    <w:rPr>
      <w:rFonts w:eastAsia="宋体"/>
      <w:sz w:val="21"/>
      <w:szCs w:val="21"/>
      <w:lang w:val="en-US" w:eastAsia="zh-CN" w:bidi="ar-SA"/>
    </w:rPr>
  </w:style>
  <w:style w:type="paragraph" w:styleId="1036" w:customStyle="1">
    <w:name w:val="p0"/>
    <w:basedOn w:val="787"/>
    <w:link w:val="1035"/>
    <w:uiPriority w:val="0"/>
    <w:qFormat/>
    <w:pPr>
      <w:widowControl/>
    </w:pPr>
    <w:rPr>
      <w:szCs w:val="21"/>
    </w:rPr>
  </w:style>
  <w:style w:type="character" w:styleId="1037" w:customStyle="1">
    <w:name w:val="标题 2 Char Char Char"/>
    <w:uiPriority w:val="0"/>
    <w:qFormat/>
    <w:rPr>
      <w:rFonts w:ascii="Arial" w:hAnsi="Arial" w:eastAsia="黑体"/>
      <w:b/>
      <w:bCs/>
      <w:sz w:val="32"/>
      <w:szCs w:val="32"/>
      <w:lang w:val="en-US" w:eastAsia="zh-CN" w:bidi="ar-SA"/>
    </w:rPr>
  </w:style>
  <w:style w:type="character" w:styleId="1038" w:customStyle="1">
    <w:name w:val="NormalCharacter1"/>
    <w:uiPriority w:val="0"/>
    <w:semiHidden/>
    <w:qFormat/>
  </w:style>
  <w:style w:type="paragraph" w:styleId="1039" w:customStyle="1">
    <w:name w:val="Heading21"/>
    <w:basedOn w:val="787"/>
    <w:next w:val="787"/>
    <w:uiPriority w:val="0"/>
    <w:qFormat/>
    <w:pPr>
      <w:jc w:val="center"/>
      <w:keepNext/>
      <w:widowControl/>
    </w:pPr>
    <w:rPr>
      <w:rFonts w:ascii="楷体_GB2312" w:eastAsia="楷体_GB2312"/>
      <w:sz w:val="18"/>
      <w:szCs w:val="20"/>
    </w:rPr>
  </w:style>
  <w:style w:type="paragraph" w:styleId="1040" w:customStyle="1">
    <w:name w:val="TOC 标题2"/>
    <w:basedOn w:val="977"/>
    <w:next w:val="78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1" w:customStyle="1">
    <w:name w:val="无间隔11"/>
    <w:uiPriority w:val="1"/>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样式1"/>
    <w:basedOn w:val="977"/>
    <w:link w:val="1043"/>
    <w:uiPriority w:val="0"/>
    <w:qFormat/>
    <w:pPr>
      <w:ind w:left="210" w:right="210"/>
    </w:pPr>
  </w:style>
  <w:style w:type="character" w:styleId="1043" w:customStyle="1">
    <w:name w:val="样式1 字符"/>
    <w:link w:val="1042"/>
    <w:uiPriority w:val="0"/>
    <w:qFormat/>
  </w:style>
  <w:style w:type="paragraph" w:styleId="1044" w:customStyle="1">
    <w:name w:val="标题 21"/>
    <w:basedOn w:val="787"/>
    <w:next w:val="78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45" w:customStyle="1">
    <w:name w:val="列表段落1"/>
    <w:basedOn w:val="787"/>
    <w:uiPriority w:val="1"/>
    <w:qFormat/>
    <w:pPr>
      <w:ind w:left="400" w:firstLine="420"/>
      <w:jc w:val="left"/>
    </w:pPr>
    <w:rPr>
      <w:rFonts w:ascii="宋体" w:hAnsi="宋体" w:cs="宋体"/>
      <w:sz w:val="22"/>
      <w:szCs w:val="22"/>
      <w:lang w:val="zh-CN" w:bidi="zh-CN"/>
    </w:rPr>
  </w:style>
  <w:style w:type="paragraph" w:styleId="1046" w:customStyle="1">
    <w:name w:val="Table Paragraph"/>
    <w:basedOn w:val="787"/>
    <w:uiPriority w:val="1"/>
    <w:qFormat/>
    <w:pPr>
      <w:jc w:val="left"/>
    </w:pPr>
    <w:rPr>
      <w:rFonts w:ascii="宋体" w:hAnsi="宋体" w:cs="宋体"/>
      <w:sz w:val="22"/>
      <w:szCs w:val="22"/>
      <w:lang w:val="zh-CN" w:bidi="zh-CN"/>
    </w:rPr>
  </w:style>
  <w:style w:type="character" w:styleId="1047" w:customStyle="1">
    <w:name w:val="ask-title2"/>
    <w:uiPriority w:val="0"/>
    <w:qFormat/>
  </w:style>
  <w:style w:type="paragraph" w:styleId="1048" w:customStyle="1">
    <w:name w:val="列出段落2"/>
    <w:basedOn w:val="787"/>
    <w:uiPriority w:val="99"/>
    <w:unhideWhenUsed/>
    <w:qFormat/>
    <w:pPr>
      <w:ind w:firstLine="420"/>
      <w:jc w:val="left"/>
    </w:pPr>
    <w:rPr>
      <w:rFonts w:ascii="宋体"/>
      <w:sz w:val="20"/>
      <w:szCs w:val="20"/>
    </w:rPr>
  </w:style>
  <w:style w:type="paragraph" w:styleId="1049" w:customStyle="1">
    <w:name w:val="纯文本1"/>
    <w:basedOn w:val="787"/>
    <w:uiPriority w:val="0"/>
    <w:qFormat/>
    <w:rPr>
      <w:rFonts w:ascii="宋体" w:hAnsi="Courier New"/>
      <w:sz w:val="20"/>
      <w:szCs w:val="21"/>
    </w:rPr>
  </w:style>
  <w:style w:type="character" w:styleId="1050" w:customStyle="1">
    <w:name w:val="纯文本 Char2"/>
    <w:uiPriority w:val="0"/>
    <w:qFormat/>
    <w:rPr>
      <w:rFonts w:ascii="宋体" w:hAnsi="Courier New"/>
      <w:sz w:val="21"/>
    </w:rPr>
  </w:style>
  <w:style w:type="paragraph" w:styleId="1051" w:customStyle="1">
    <w:name w:val="列出段落1"/>
    <w:basedOn w:val="787"/>
    <w:uiPriority w:val="0"/>
    <w:qFormat/>
    <w:pPr>
      <w:ind w:firstLine="420"/>
      <w:spacing w:line="0" w:lineRule="atLeast"/>
    </w:pPr>
    <w:rPr>
      <w:rFonts w:eastAsia="微软雅黑"/>
      <w:sz w:val="20"/>
      <w:szCs w:val="20"/>
    </w:rPr>
  </w:style>
  <w:style w:type="character" w:styleId="1052" w:customStyle="1">
    <w:name w:val="纯文本 字符1"/>
    <w:link w:val="807"/>
    <w:uiPriority w:val="0"/>
    <w:qFormat/>
    <w:rPr>
      <w:rFonts w:ascii="宋体" w:hAnsi="Courier New"/>
    </w:rPr>
  </w:style>
  <w:style w:type="character" w:styleId="1053" w:customStyle="1">
    <w:name w:val="页脚 Char"/>
    <w:uiPriority w:val="0"/>
    <w:qFormat/>
    <w:rPr>
      <w:sz w:val="18"/>
      <w:szCs w:val="18"/>
    </w:rPr>
  </w:style>
  <w:style w:type="paragraph" w:styleId="1054" w:customStyle="1">
    <w:name w:val="_Style 83"/>
    <w:basedOn w:val="787"/>
    <w:next w:val="1045"/>
    <w:uiPriority w:val="99"/>
    <w:qFormat/>
    <w:pPr>
      <w:ind w:firstLine="420"/>
    </w:pPr>
  </w:style>
  <w:style w:type="character" w:styleId="1055" w:customStyle="1">
    <w:name w:val="正文2 Char Char"/>
    <w:link w:val="1056"/>
    <w:uiPriority w:val="0"/>
    <w:qFormat/>
    <w:rPr>
      <w:sz w:val="24"/>
    </w:rPr>
  </w:style>
  <w:style w:type="paragraph" w:styleId="1056" w:customStyle="1">
    <w:name w:val="正文2"/>
    <w:basedOn w:val="787"/>
    <w:link w:val="1055"/>
    <w:uiPriority w:val="0"/>
    <w:qFormat/>
    <w:pPr>
      <w:ind w:firstLine="510"/>
      <w:spacing w:before="156" w:line="360" w:lineRule="auto"/>
    </w:pPr>
    <w:rPr>
      <w:sz w:val="24"/>
      <w:szCs w:val="20"/>
    </w:rPr>
  </w:style>
  <w:style w:type="paragraph" w:styleId="1057" w:customStyle="1">
    <w:name w:val="标题 5（有编号）（绿盟科技）"/>
    <w:basedOn w:val="787"/>
    <w:next w:val="1058"/>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58"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59" w:customStyle="1">
    <w:name w:val="0正文"/>
    <w:basedOn w:val="787"/>
    <w:uiPriority w:val="0"/>
    <w:qFormat/>
    <w:pPr>
      <w:ind w:firstLine="200"/>
      <w:jc w:val="left"/>
      <w:widowControl/>
    </w:pPr>
    <w:rPr>
      <w:szCs w:val="21"/>
      <w:lang w:bidi="mn-Mong-CN"/>
    </w:rPr>
  </w:style>
  <w:style w:type="paragraph" w:styleId="1060" w:customStyle="1">
    <w:name w:val="msolistparagraph"/>
    <w:basedOn w:val="787"/>
    <w:uiPriority w:val="0"/>
    <w:qFormat/>
    <w:pPr>
      <w:ind w:firstLine="420"/>
    </w:pPr>
    <w:rPr>
      <w:rFonts w:ascii="Calibri" w:hAnsi="Calibri"/>
      <w:szCs w:val="22"/>
      <w:lang w:bidi="mn-Mong-CN"/>
    </w:rPr>
  </w:style>
  <w:style w:type="table" w:styleId="1061" w:customStyle="1">
    <w:name w:val="Table Normal"/>
    <w:uiPriority w:val="0"/>
    <w:unhideWhenUsed/>
    <w:qFormat/>
    <w:rPr>
      <w:lang w:bidi="ar-SA"/>
    </w:rPr>
    <w:tblPr>
      <w:tblCellMar>
        <w:left w:w="0" w:type="dxa"/>
        <w:top w:w="0" w:type="dxa"/>
        <w:right w:w="0" w:type="dxa"/>
        <w:bottom w:w="0" w:type="dxa"/>
      </w:tblCellMar>
    </w:tblPr>
  </w:style>
  <w:style w:type="paragraph" w:styleId="1062" w:customStyle="1">
    <w:name w:val="Table Text"/>
    <w:basedOn w:val="787"/>
    <w:uiPriority w:val="0"/>
    <w:semiHidden/>
    <w:qFormat/>
    <w:rPr>
      <w:rFonts w:ascii="Arial" w:hAnsi="Arial" w:eastAsia="Arial" w:cs="Arial"/>
      <w:szCs w:val="21"/>
      <w:lang w:eastAsia="en-US"/>
    </w:rPr>
  </w:style>
  <w:style w:type="paragraph" w:styleId="1063" w:customStyle="1">
    <w:name w:val="样式4"/>
    <w:basedOn w:val="978"/>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64" w:customStyle="1">
    <w:name w:val="修订1"/>
    <w:uiPriority w:val="99"/>
    <w:unhideWhenUsed/>
    <w:qFormat/>
    <w:rPr>
      <w:rFonts w:ascii="Times New Roman" w:hAnsi="Times New Roman" w:eastAsia="宋体" w:cs="Times New Roman"/>
      <w:sz w:val="21"/>
      <w:szCs w:val="24"/>
      <w:lang w:val="en-US" w:eastAsia="zh-CN" w:bidi="ar-SA"/>
    </w:rPr>
  </w:style>
  <w:style w:type="paragraph" w:styleId="1065" w:customStyle="1">
    <w:name w:val="列表段落2"/>
    <w:basedOn w:val="787"/>
    <w:next w:val="787"/>
    <w:uiPriority w:val="0"/>
    <w:qFormat/>
    <w:pPr>
      <w:ind w:firstLine="420"/>
    </w:pPr>
    <w:rPr>
      <w:szCs w:val="21"/>
    </w:rPr>
  </w:style>
  <w:style w:type="paragraph" w:styleId="1066" w:customStyle="1">
    <w:name w:val="首行缩进"/>
    <w:basedOn w:val="1067"/>
    <w:uiPriority w:val="0"/>
    <w:qFormat/>
    <w:pPr>
      <w:ind w:firstLine="480"/>
      <w:jc w:val="left"/>
      <w:spacing w:line="360" w:lineRule="auto"/>
    </w:pPr>
    <w:rPr>
      <w:rFonts w:ascii="宋体" w:hAnsi="宋体" w:eastAsia="仿宋" w:cs="仿宋"/>
      <w:sz w:val="24"/>
      <w:lang w:val="zh-CN" w:bidi="zh-CN"/>
    </w:rPr>
  </w:style>
  <w:style w:type="paragraph" w:styleId="1067" w:customStyle="1">
    <w:name w:val="正文1"/>
    <w:next w:val="1066"/>
    <w:uiPriority w:val="0"/>
    <w:qFormat/>
    <w:pPr>
      <w:jc w:val="both"/>
      <w:widowControl w:val="off"/>
    </w:pPr>
    <w:rPr>
      <w:rFonts w:ascii="Calibri" w:hAnsi="Calibri" w:eastAsia="宋体" w:cs="Times New Roman"/>
      <w:color w:val="000000"/>
      <w:sz w:val="21"/>
      <w:szCs w:val="24"/>
      <w:lang w:val="en-US" w:eastAsia="zh-CN" w:bidi="ar-SA"/>
    </w:rPr>
  </w:style>
  <w:style w:type="paragraph" w:styleId="1068" w:customStyle="1">
    <w:name w:val="正文缩进1"/>
    <w:basedOn w:val="787"/>
    <w:uiPriority w:val="0"/>
    <w:qFormat/>
    <w:pPr>
      <w:ind w:firstLine="420"/>
    </w:pPr>
    <w:rPr>
      <w:szCs w:val="20"/>
    </w:rPr>
  </w:style>
  <w:style w:type="paragraph" w:styleId="1069" w:customStyle="1">
    <w:name w:val="标题1"/>
    <w:basedOn w:val="787"/>
    <w:next w:val="787"/>
    <w:uiPriority w:val="0"/>
    <w:qFormat/>
    <w:pPr>
      <w:jc w:val="center"/>
      <w:spacing w:before="240" w:after="60" w:line="360" w:lineRule="auto"/>
      <w:outlineLvl w:val="0"/>
    </w:pPr>
    <w:rPr>
      <w:rFonts w:ascii="等线 Light" w:hAnsi="等线 Light"/>
      <w:b/>
      <w:bCs/>
      <w:sz w:val="32"/>
      <w:szCs w:val="32"/>
    </w:rPr>
  </w:style>
  <w:style w:type="paragraph" w:styleId="1070" w:customStyle="1">
    <w:name w:val="纯文本2"/>
    <w:basedOn w:val="787"/>
    <w:uiPriority w:val="0"/>
    <w:qFormat/>
    <w:pPr>
      <w:ind w:firstLine="200"/>
      <w:spacing w:line="360" w:lineRule="auto"/>
    </w:pPr>
    <w:rPr>
      <w:rFonts w:ascii="宋体" w:hAnsi="Courier New"/>
      <w:sz w:val="20"/>
      <w:szCs w:val="20"/>
    </w:rPr>
  </w:style>
  <w:style w:type="paragraph" w:styleId="1071" w:customStyle="1">
    <w:name w:val="正文文本 21"/>
    <w:basedOn w:val="787"/>
    <w:uiPriority w:val="0"/>
    <w:qFormat/>
    <w:pPr>
      <w:spacing w:after="120" w:line="480" w:lineRule="auto"/>
    </w:pPr>
    <w:rPr>
      <w:rFonts w:ascii="Calibri" w:hAnsi="Calibri"/>
    </w:rPr>
  </w:style>
  <w:style w:type="paragraph" w:styleId="1072" w:customStyle="1">
    <w:name w:val="索引 41"/>
    <w:basedOn w:val="787"/>
    <w:next w:val="787"/>
    <w:uiPriority w:val="99"/>
    <w:unhideWhenUsed/>
    <w:qFormat/>
    <w:pPr>
      <w:ind w:left="600"/>
    </w:pPr>
    <w:rPr>
      <w:rFonts w:ascii="宋体"/>
      <w:b/>
      <w:position w:val="-10"/>
      <w:sz w:val="24"/>
      <w:szCs w:val="20"/>
    </w:rPr>
  </w:style>
  <w:style w:type="paragraph" w:styleId="1073" w:customStyle="1">
    <w:name w:val="null3"/>
    <w:uiPriority w:val="0"/>
    <w:qFormat/>
    <w:rPr>
      <w:rFonts w:hint="eastAsia" w:ascii="Calibri" w:hAnsi="Calibri" w:eastAsia="宋体" w:cs="Times New Roman"/>
      <w:lang w:val="en-US" w:eastAsia="en-US" w:bidi="mn-Mong-CN"/>
    </w:rPr>
  </w:style>
  <w:style w:type="character" w:styleId="1074" w:customStyle="1">
    <w:name w:val="rvts12"/>
    <w:uiPriority w:val="0"/>
    <w:qFormat/>
    <w:rPr>
      <w:sz w:val="21"/>
      <w:szCs w:val="24"/>
      <w:lang w:val="en-US" w:eastAsia="zh-CN" w:bidi="ar-SA"/>
    </w:rPr>
  </w:style>
  <w:style w:type="character" w:styleId="1075" w:customStyle="1">
    <w:name w:val="rvts10"/>
    <w:uiPriority w:val="0"/>
    <w:qFormat/>
    <w:rPr>
      <w:rFonts w:ascii="KNLe" w:hAnsi="KNLe"/>
    </w:rPr>
  </w:style>
  <w:style w:type="character" w:styleId="1076" w:customStyle="1">
    <w:name w:val="rvts13"/>
    <w:uiPriority w:val="0"/>
    <w:qFormat/>
    <w:rPr>
      <w:rFonts w:ascii="KNLe" w:hAnsi="KNLe"/>
      <w:color w:val="000000"/>
    </w:rPr>
  </w:style>
  <w:style w:type="character" w:styleId="1077" w:customStyle="1">
    <w:name w:val="rvts15"/>
    <w:uiPriority w:val="0"/>
    <w:qFormat/>
    <w:rPr>
      <w:rFonts w:ascii="KNLe" w:hAnsi="KNLe"/>
      <w:color w:val="0000ff"/>
      <w:u w:val="single"/>
    </w:rPr>
  </w:style>
  <w:style w:type="paragraph" w:styleId="1078" w:customStyle="1">
    <w:name w:val="文本块1"/>
    <w:next w:val="787"/>
    <w:uiPriority w:val="99"/>
    <w:unhideWhenUsed/>
    <w:qFormat/>
    <w:pPr>
      <w:ind w:left="1440" w:right="1440"/>
      <w:jc w:val="both"/>
      <w:spacing w:after="120"/>
      <w:widowControl w:val="off"/>
    </w:pPr>
    <w:rPr>
      <w:rFonts w:ascii="Times New Roman" w:hAnsi="Times New Roman" w:eastAsia="宋体" w:cs="Times New Roman"/>
      <w:sz w:val="21"/>
      <w:szCs w:val="24"/>
      <w:lang w:val="en-US" w:eastAsia="zh-CN" w:bidi="mn-Mong-CN"/>
    </w:rPr>
  </w:style>
  <w:style w:type="paragraph" w:styleId="1079" w:customStyle="1">
    <w:name w:val="reader-word-layer"/>
    <w:basedOn w:val="787"/>
    <w:uiPriority w:val="99"/>
    <w:qFormat/>
    <w:pPr>
      <w:jc w:val="left"/>
      <w:spacing w:before="100" w:beforeAutospacing="1" w:after="100" w:afterAutospacing="1"/>
      <w:widowControl/>
    </w:pPr>
    <w:rPr>
      <w:rFonts w:ascii="宋体" w:hAnsi="宋体" w:cs="宋体"/>
      <w:sz w:val="24"/>
    </w:rPr>
  </w:style>
  <w:style w:type="paragraph" w:styleId="1080" w:customStyle="1">
    <w:name w:val="标题 411"/>
    <w:basedOn w:val="787"/>
    <w:next w:val="787"/>
    <w:uiPriority w:val="0"/>
    <w:qFormat/>
    <w:pPr>
      <w:keepLines/>
      <w:keepNext/>
      <w:spacing w:before="280" w:after="290" w:line="376" w:lineRule="auto"/>
      <w:outlineLvl w:val="3"/>
    </w:pPr>
    <w:rPr>
      <w:rFonts w:ascii="Cambria" w:hAnsi="Cambria"/>
      <w:b/>
      <w:bCs/>
      <w:sz w:val="28"/>
      <w:szCs w:val="28"/>
    </w:rPr>
  </w:style>
  <w:style w:type="paragraph" w:styleId="1081" w:customStyle="1">
    <w:name w:val="正文文本首行缩进1"/>
    <w:basedOn w:val="1001"/>
    <w:uiPriority w:val="99"/>
    <w:qFormat/>
    <w:pPr>
      <w:ind w:firstLine="420"/>
    </w:pPr>
  </w:style>
  <w:style w:type="paragraph" w:styleId="1082" w:customStyle="1">
    <w:name w:val="纯文本3"/>
    <w:basedOn w:val="787"/>
    <w:uiPriority w:val="0"/>
    <w:qFormat/>
    <w:pPr>
      <w:ind w:firstLine="200"/>
      <w:spacing w:line="360" w:lineRule="auto"/>
    </w:pPr>
    <w:rPr>
      <w:rFonts w:ascii="宋体" w:hAnsi="Courier New"/>
      <w:sz w:val="20"/>
      <w:szCs w:val="20"/>
    </w:rPr>
  </w:style>
  <w:style w:type="paragraph" w:styleId="1083" w:customStyle="1">
    <w:name w:val="修订2"/>
    <w:hidden/>
    <w:uiPriority w:val="99"/>
    <w:unhideWhenUsed/>
    <w:qFormat/>
    <w:rPr>
      <w:rFonts w:ascii="Times New Roman" w:hAnsi="Times New Roman" w:eastAsia="宋体" w:cs="Times New Roman"/>
      <w:sz w:val="21"/>
      <w:szCs w:val="24"/>
      <w:lang w:val="en-US" w:eastAsia="zh-CN" w:bidi="ar-SA"/>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86367886-e435-4c8f-886e-5495cd2bea0b}"/>
        <w:description w:val=""/>
        <w:category>
          <w:name w:val="常规"/>
          <w:gallery w:val="placeholder"/>
        </w:category>
        <w:types>
          <w:type w:val="bbPlcHdr"/>
        </w:types>
        <w:behaviors>
          <w:behavior w:val="content"/>
        </w:behaviors>
        <w:guid w:val="{86367886-E435-4C8F-886E-5495CD2BEA0B}"/>
      </w:docPartPr>
      <w:docPartBody>
        <w:p>
          <w:pPr>
            <w:rPr>
              <w:rFonts w:hint="eastAsia"/>
            </w:rPr>
          </w:pPr>
          <w:r>
            <w:rPr>
              <w:rStyle w:val="1748"/>
              <w:rFonts w:hint="eastAsia"/>
            </w:rPr>
            <w:t xml:space="preserve">单击或点击此处输入文字。</w:t>
          </w:r>
          <w:r/>
        </w:p>
      </w:docPartBody>
    </w:docPart>
    <w:docPart>
      <w:docPartPr>
        <w:name w:val="{c3a9e8cb-abf8-4757-aad4-f42a04c4ac35}"/>
        <w:description w:val=""/>
        <w:category>
          <w:name w:val="常规"/>
          <w:gallery w:val="placeholder"/>
        </w:category>
        <w:types>
          <w:type w:val="bbPlcHdr"/>
        </w:types>
        <w:behaviors>
          <w:behavior w:val="content"/>
        </w:behaviors>
        <w:guid w:val="{C3A9E8CB-ABF8-4757-AAD4-F42A04C4AC35}"/>
      </w:docPartPr>
      <w:docPartBody>
        <w:p>
          <w:pPr>
            <w:rPr>
              <w:rFonts w:hint="eastAsia"/>
            </w:rPr>
          </w:pPr>
          <w:r>
            <w:rPr>
              <w:rStyle w:val="1748"/>
              <w:rFonts w:hint="eastAsia"/>
            </w:rPr>
            <w:t xml:space="preserve">单击或点击此处输入文字。</w:t>
          </w:r>
          <w:r/>
        </w:p>
      </w:docPartBody>
    </w:docPart>
    <w:docPart>
      <w:docPartPr>
        <w:name w:val="{dac2f5bf-6093-4bfd-bc09-7fc716ec5654}"/>
        <w:description w:val=""/>
        <w:category>
          <w:name w:val="常规"/>
          <w:gallery w:val="placeholder"/>
        </w:category>
        <w:types>
          <w:type w:val="bbPlcHdr"/>
        </w:types>
        <w:behaviors>
          <w:behavior w:val="content"/>
        </w:behaviors>
        <w:guid w:val="{DAC2F5BF-6093-4BFD-BC09-7FC716EC5654}"/>
      </w:docPartPr>
      <w:docPartBody>
        <w:p>
          <w:pPr>
            <w:rPr>
              <w:rFonts w:hint="eastAsia"/>
            </w:rPr>
          </w:pPr>
          <w:r>
            <w:rPr>
              <w:rStyle w:val="1748"/>
              <w:rFonts w:hint="eastAsia"/>
            </w:rPr>
            <w:t xml:space="preserve">单击或点击此处输入文字。</w:t>
          </w:r>
          <w:r/>
        </w:p>
      </w:docPartBody>
    </w:docPart>
    <w:docPart>
      <w:docPartPr>
        <w:name w:val="{b150dcec-09d6-4fe6-a4d7-d30d4d19f710}"/>
        <w:description w:val=""/>
        <w:category>
          <w:name w:val="常规"/>
          <w:gallery w:val="placeholder"/>
        </w:category>
        <w:types>
          <w:type w:val="bbPlcHdr"/>
        </w:types>
        <w:behaviors>
          <w:behavior w:val="content"/>
        </w:behaviors>
        <w:guid w:val="{B150DCEC-09D6-4FE6-A4D7-D30D4D19F710}"/>
      </w:docPartPr>
      <w:docPartBody>
        <w:p>
          <w:pPr>
            <w:rPr>
              <w:rFonts w:hint="eastAsia"/>
            </w:rPr>
          </w:pPr>
          <w:r>
            <w:rPr>
              <w:rStyle w:val="1748"/>
              <w:rFonts w:hint="eastAsia"/>
            </w:rPr>
            <w:t xml:space="preserve">单击或点击此处输入文字。</w:t>
          </w:r>
          <w:r/>
        </w:p>
      </w:docPartBody>
    </w:docPart>
    <w:docPart>
      <w:docPartPr>
        <w:name w:val="{a4a6d6d9-0431-4075-b44d-23ff0b07a082}"/>
        <w:description w:val=""/>
        <w:category>
          <w:name w:val="常规"/>
          <w:gallery w:val="placeholder"/>
        </w:category>
        <w:types>
          <w:type w:val="bbPlcHdr"/>
        </w:types>
        <w:behaviors>
          <w:behavior w:val="content"/>
        </w:behaviors>
        <w:guid w:val="{A4A6D6D9-0431-4075-B44D-23FF0B07A082}"/>
      </w:docPartPr>
      <w:docPartBody>
        <w:p>
          <w:pPr>
            <w:rPr>
              <w:rFonts w:hint="eastAsia"/>
            </w:rPr>
          </w:pPr>
          <w:r>
            <w:rPr>
              <w:rStyle w:val="174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33">
    <w:name w:val="Heading 1 Char"/>
    <w:basedOn w:val="1585"/>
    <w:link w:val="1576"/>
    <w:uiPriority w:val="9"/>
    <w:rPr>
      <w:rFonts w:ascii="Arial" w:hAnsi="Arial" w:eastAsia="Arial" w:cs="Arial"/>
      <w:sz w:val="40"/>
      <w:szCs w:val="40"/>
    </w:rPr>
  </w:style>
  <w:style w:type="character" w:styleId="1534">
    <w:name w:val="Heading 2 Char"/>
    <w:basedOn w:val="1585"/>
    <w:link w:val="1577"/>
    <w:uiPriority w:val="9"/>
    <w:rPr>
      <w:rFonts w:ascii="Arial" w:hAnsi="Arial" w:eastAsia="Arial" w:cs="Arial"/>
      <w:sz w:val="34"/>
    </w:rPr>
  </w:style>
  <w:style w:type="character" w:styleId="1535">
    <w:name w:val="Heading 3 Char"/>
    <w:basedOn w:val="1585"/>
    <w:link w:val="1578"/>
    <w:uiPriority w:val="9"/>
    <w:rPr>
      <w:rFonts w:ascii="Arial" w:hAnsi="Arial" w:eastAsia="Arial" w:cs="Arial"/>
      <w:sz w:val="30"/>
      <w:szCs w:val="30"/>
    </w:rPr>
  </w:style>
  <w:style w:type="character" w:styleId="1536">
    <w:name w:val="Heading 4 Char"/>
    <w:basedOn w:val="1585"/>
    <w:link w:val="1579"/>
    <w:uiPriority w:val="9"/>
    <w:rPr>
      <w:rFonts w:ascii="Arial" w:hAnsi="Arial" w:eastAsia="Arial" w:cs="Arial"/>
      <w:b/>
      <w:bCs/>
      <w:sz w:val="26"/>
      <w:szCs w:val="26"/>
    </w:rPr>
  </w:style>
  <w:style w:type="character" w:styleId="1537">
    <w:name w:val="Heading 5 Char"/>
    <w:basedOn w:val="1585"/>
    <w:link w:val="1580"/>
    <w:uiPriority w:val="9"/>
    <w:rPr>
      <w:rFonts w:ascii="Arial" w:hAnsi="Arial" w:eastAsia="Arial" w:cs="Arial"/>
      <w:b/>
      <w:bCs/>
      <w:sz w:val="24"/>
      <w:szCs w:val="24"/>
    </w:rPr>
  </w:style>
  <w:style w:type="character" w:styleId="1538">
    <w:name w:val="Heading 6 Char"/>
    <w:basedOn w:val="1585"/>
    <w:link w:val="1581"/>
    <w:uiPriority w:val="9"/>
    <w:rPr>
      <w:rFonts w:ascii="Arial" w:hAnsi="Arial" w:eastAsia="Arial" w:cs="Arial"/>
      <w:b/>
      <w:bCs/>
      <w:sz w:val="22"/>
      <w:szCs w:val="22"/>
    </w:rPr>
  </w:style>
  <w:style w:type="character" w:styleId="1539">
    <w:name w:val="Heading 7 Char"/>
    <w:basedOn w:val="1585"/>
    <w:link w:val="1582"/>
    <w:uiPriority w:val="9"/>
    <w:rPr>
      <w:rFonts w:ascii="Arial" w:hAnsi="Arial" w:eastAsia="Arial" w:cs="Arial"/>
      <w:b/>
      <w:bCs/>
      <w:i/>
      <w:iCs/>
      <w:sz w:val="22"/>
      <w:szCs w:val="22"/>
    </w:rPr>
  </w:style>
  <w:style w:type="character" w:styleId="1540">
    <w:name w:val="Heading 8 Char"/>
    <w:basedOn w:val="1585"/>
    <w:link w:val="1583"/>
    <w:uiPriority w:val="9"/>
    <w:rPr>
      <w:rFonts w:ascii="Arial" w:hAnsi="Arial" w:eastAsia="Arial" w:cs="Arial"/>
      <w:i/>
      <w:iCs/>
      <w:sz w:val="22"/>
      <w:szCs w:val="22"/>
    </w:rPr>
  </w:style>
  <w:style w:type="character" w:styleId="1541">
    <w:name w:val="Heading 9 Char"/>
    <w:basedOn w:val="1585"/>
    <w:link w:val="1584"/>
    <w:uiPriority w:val="9"/>
    <w:rPr>
      <w:rFonts w:ascii="Arial" w:hAnsi="Arial" w:eastAsia="Arial" w:cs="Arial"/>
      <w:i/>
      <w:iCs/>
      <w:sz w:val="21"/>
      <w:szCs w:val="21"/>
    </w:rPr>
  </w:style>
  <w:style w:type="paragraph" w:styleId="1542">
    <w:name w:val="List Paragraph"/>
    <w:basedOn w:val="1575"/>
    <w:uiPriority w:val="34"/>
    <w:qFormat/>
    <w:pPr>
      <w:contextualSpacing/>
      <w:ind w:left="720"/>
    </w:pPr>
  </w:style>
  <w:style w:type="paragraph" w:styleId="1543">
    <w:name w:val="No Spacing"/>
    <w:uiPriority w:val="1"/>
    <w:qFormat/>
    <w:pPr>
      <w:spacing w:before="0" w:after="0" w:line="240" w:lineRule="auto"/>
    </w:pPr>
  </w:style>
  <w:style w:type="character" w:styleId="1544">
    <w:name w:val="Title Char"/>
    <w:basedOn w:val="1585"/>
    <w:link w:val="1596"/>
    <w:uiPriority w:val="10"/>
    <w:rPr>
      <w:sz w:val="48"/>
      <w:szCs w:val="48"/>
    </w:rPr>
  </w:style>
  <w:style w:type="character" w:styleId="1545">
    <w:name w:val="Subtitle Char"/>
    <w:basedOn w:val="1585"/>
    <w:link w:val="1598"/>
    <w:uiPriority w:val="11"/>
    <w:rPr>
      <w:sz w:val="24"/>
      <w:szCs w:val="24"/>
    </w:rPr>
  </w:style>
  <w:style w:type="paragraph" w:styleId="1546">
    <w:name w:val="Quote"/>
    <w:basedOn w:val="1575"/>
    <w:next w:val="1575"/>
    <w:link w:val="1547"/>
    <w:uiPriority w:val="29"/>
    <w:qFormat/>
    <w:pPr>
      <w:ind w:left="720" w:right="720"/>
    </w:pPr>
    <w:rPr>
      <w:i/>
    </w:rPr>
  </w:style>
  <w:style w:type="character" w:styleId="1547">
    <w:name w:val="Quote Char"/>
    <w:link w:val="1546"/>
    <w:uiPriority w:val="29"/>
    <w:rPr>
      <w:i/>
    </w:rPr>
  </w:style>
  <w:style w:type="paragraph" w:styleId="1548">
    <w:name w:val="Intense Quote"/>
    <w:basedOn w:val="1575"/>
    <w:next w:val="1575"/>
    <w:link w:val="15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49">
    <w:name w:val="Intense Quote Char"/>
    <w:link w:val="1548"/>
    <w:uiPriority w:val="30"/>
    <w:rPr>
      <w:i/>
    </w:rPr>
  </w:style>
  <w:style w:type="character" w:styleId="1550">
    <w:name w:val="Header Char"/>
    <w:basedOn w:val="1585"/>
    <w:link w:val="1600"/>
    <w:uiPriority w:val="99"/>
  </w:style>
  <w:style w:type="character" w:styleId="1551">
    <w:name w:val="Footer Char"/>
    <w:basedOn w:val="1585"/>
    <w:link w:val="1602"/>
    <w:uiPriority w:val="99"/>
  </w:style>
  <w:style w:type="character" w:styleId="1552">
    <w:name w:val="Caption Char"/>
    <w:basedOn w:val="1603"/>
    <w:link w:val="1602"/>
    <w:uiPriority w:val="99"/>
  </w:style>
  <w:style w:type="table" w:styleId="1553">
    <w:name w:val="Plain Table 1"/>
    <w:basedOn w:val="15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4">
    <w:name w:val="Plain Table 2"/>
    <w:basedOn w:val="15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5">
    <w:name w:val="Plain Table 3"/>
    <w:basedOn w:val="15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6">
    <w:name w:val="Plain Table 4"/>
    <w:basedOn w:val="15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7">
    <w:name w:val="Plain Table 5"/>
    <w:basedOn w:val="15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58">
    <w:name w:val="Grid Table 1 Light"/>
    <w:basedOn w:val="15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59">
    <w:name w:val="Grid Table 2"/>
    <w:basedOn w:val="15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60">
    <w:name w:val="Grid Table 3"/>
    <w:basedOn w:val="15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61">
    <w:name w:val="Grid Table 4"/>
    <w:basedOn w:val="15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2">
    <w:name w:val="Grid Table 5 Dark"/>
    <w:basedOn w:val="15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63">
    <w:name w:val="Grid Table 6 Colorful"/>
    <w:basedOn w:val="15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64">
    <w:name w:val="Grid Table 7 Colorful"/>
    <w:basedOn w:val="15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65">
    <w:name w:val="List Table 1 Light"/>
    <w:basedOn w:val="15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6">
    <w:name w:val="List Table 2"/>
    <w:basedOn w:val="15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67">
    <w:name w:val="List Table 3"/>
    <w:basedOn w:val="15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8">
    <w:name w:val="List Table 4"/>
    <w:basedOn w:val="15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9">
    <w:name w:val="List Table 5 Dark"/>
    <w:basedOn w:val="15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0">
    <w:name w:val="List Table 6 Colorful"/>
    <w:basedOn w:val="15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71">
    <w:name w:val="List Table 7 Colorful"/>
    <w:basedOn w:val="15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72">
    <w:name w:val="Footnote Text Char"/>
    <w:link w:val="1732"/>
    <w:uiPriority w:val="99"/>
    <w:rPr>
      <w:sz w:val="18"/>
    </w:rPr>
  </w:style>
  <w:style w:type="character" w:styleId="1573">
    <w:name w:val="Endnote Text Char"/>
    <w:link w:val="1735"/>
    <w:uiPriority w:val="99"/>
    <w:rPr>
      <w:sz w:val="20"/>
    </w:rPr>
  </w:style>
  <w:style w:type="paragraph" w:styleId="1574">
    <w:name w:val="TOC Heading"/>
    <w:uiPriority w:val="39"/>
    <w:unhideWhenUsed/>
  </w:style>
  <w:style w:type="paragraph" w:styleId="157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76">
    <w:name w:val="Heading 1"/>
    <w:basedOn w:val="1575"/>
    <w:next w:val="1575"/>
    <w:link w:val="1587"/>
    <w:uiPriority w:val="9"/>
    <w:qFormat/>
    <w:pPr>
      <w:keepLines/>
      <w:keepNext/>
      <w:spacing w:before="480" w:after="200"/>
      <w:outlineLvl w:val="0"/>
    </w:pPr>
    <w:rPr>
      <w:rFonts w:ascii="Arial" w:hAnsi="Arial" w:eastAsia="Arial" w:cs="Arial"/>
      <w:sz w:val="40"/>
      <w:szCs w:val="40"/>
    </w:rPr>
  </w:style>
  <w:style w:type="paragraph" w:styleId="1577">
    <w:name w:val="Heading 2"/>
    <w:basedOn w:val="1575"/>
    <w:next w:val="1575"/>
    <w:link w:val="1588"/>
    <w:uiPriority w:val="9"/>
    <w:unhideWhenUsed/>
    <w:qFormat/>
    <w:pPr>
      <w:keepLines/>
      <w:keepNext/>
      <w:spacing w:before="360" w:after="200"/>
      <w:outlineLvl w:val="1"/>
    </w:pPr>
    <w:rPr>
      <w:rFonts w:ascii="Arial" w:hAnsi="Arial" w:eastAsia="Arial" w:cs="Arial"/>
      <w:sz w:val="34"/>
    </w:rPr>
  </w:style>
  <w:style w:type="paragraph" w:styleId="1578">
    <w:name w:val="Heading 3"/>
    <w:basedOn w:val="1575"/>
    <w:next w:val="1575"/>
    <w:link w:val="1589"/>
    <w:uiPriority w:val="9"/>
    <w:unhideWhenUsed/>
    <w:qFormat/>
    <w:pPr>
      <w:keepLines/>
      <w:keepNext/>
      <w:spacing w:before="320" w:after="200"/>
      <w:outlineLvl w:val="2"/>
    </w:pPr>
    <w:rPr>
      <w:rFonts w:ascii="Arial" w:hAnsi="Arial" w:eastAsia="Arial" w:cs="Arial"/>
      <w:sz w:val="30"/>
      <w:szCs w:val="30"/>
    </w:rPr>
  </w:style>
  <w:style w:type="paragraph" w:styleId="1579">
    <w:name w:val="Heading 4"/>
    <w:basedOn w:val="1575"/>
    <w:next w:val="1575"/>
    <w:link w:val="1590"/>
    <w:uiPriority w:val="9"/>
    <w:unhideWhenUsed/>
    <w:qFormat/>
    <w:pPr>
      <w:keepLines/>
      <w:keepNext/>
      <w:spacing w:before="320" w:after="200"/>
      <w:outlineLvl w:val="3"/>
    </w:pPr>
    <w:rPr>
      <w:rFonts w:ascii="Arial" w:hAnsi="Arial" w:eastAsia="Arial" w:cs="Arial"/>
      <w:b/>
      <w:bCs/>
      <w:sz w:val="26"/>
      <w:szCs w:val="26"/>
    </w:rPr>
  </w:style>
  <w:style w:type="paragraph" w:styleId="1580">
    <w:name w:val="Heading 5"/>
    <w:basedOn w:val="1575"/>
    <w:next w:val="1575"/>
    <w:link w:val="1591"/>
    <w:uiPriority w:val="9"/>
    <w:unhideWhenUsed/>
    <w:qFormat/>
    <w:pPr>
      <w:keepLines/>
      <w:keepNext/>
      <w:spacing w:before="320" w:after="200"/>
      <w:outlineLvl w:val="4"/>
    </w:pPr>
    <w:rPr>
      <w:rFonts w:ascii="Arial" w:hAnsi="Arial" w:eastAsia="Arial" w:cs="Arial"/>
      <w:b/>
      <w:bCs/>
      <w:sz w:val="24"/>
      <w:szCs w:val="24"/>
    </w:rPr>
  </w:style>
  <w:style w:type="paragraph" w:styleId="1581">
    <w:name w:val="Heading 6"/>
    <w:basedOn w:val="1575"/>
    <w:next w:val="1575"/>
    <w:link w:val="1592"/>
    <w:uiPriority w:val="9"/>
    <w:unhideWhenUsed/>
    <w:qFormat/>
    <w:pPr>
      <w:keepLines/>
      <w:keepNext/>
      <w:spacing w:before="320" w:after="200"/>
      <w:outlineLvl w:val="5"/>
    </w:pPr>
    <w:rPr>
      <w:rFonts w:ascii="Arial" w:hAnsi="Arial" w:eastAsia="Arial" w:cs="Arial"/>
      <w:b/>
      <w:bCs/>
      <w:sz w:val="22"/>
    </w:rPr>
  </w:style>
  <w:style w:type="paragraph" w:styleId="1582">
    <w:name w:val="Heading 7"/>
    <w:basedOn w:val="1575"/>
    <w:next w:val="1575"/>
    <w:link w:val="1593"/>
    <w:uiPriority w:val="9"/>
    <w:unhideWhenUsed/>
    <w:qFormat/>
    <w:pPr>
      <w:keepLines/>
      <w:keepNext/>
      <w:spacing w:before="320" w:after="200"/>
      <w:outlineLvl w:val="6"/>
    </w:pPr>
    <w:rPr>
      <w:rFonts w:ascii="Arial" w:hAnsi="Arial" w:eastAsia="Arial" w:cs="Arial"/>
      <w:b/>
      <w:bCs/>
      <w:i/>
      <w:iCs/>
      <w:sz w:val="22"/>
    </w:rPr>
  </w:style>
  <w:style w:type="paragraph" w:styleId="1583">
    <w:name w:val="Heading 8"/>
    <w:basedOn w:val="1575"/>
    <w:next w:val="1575"/>
    <w:link w:val="1594"/>
    <w:uiPriority w:val="9"/>
    <w:unhideWhenUsed/>
    <w:qFormat/>
    <w:pPr>
      <w:keepLines/>
      <w:keepNext/>
      <w:spacing w:before="320" w:after="200"/>
      <w:outlineLvl w:val="7"/>
    </w:pPr>
    <w:rPr>
      <w:rFonts w:ascii="Arial" w:hAnsi="Arial" w:eastAsia="Arial" w:cs="Arial"/>
      <w:i/>
      <w:iCs/>
      <w:sz w:val="22"/>
    </w:rPr>
  </w:style>
  <w:style w:type="paragraph" w:styleId="1584">
    <w:name w:val="Heading 9"/>
    <w:basedOn w:val="1575"/>
    <w:next w:val="1575"/>
    <w:link w:val="1595"/>
    <w:uiPriority w:val="9"/>
    <w:unhideWhenUsed/>
    <w:qFormat/>
    <w:pPr>
      <w:keepLines/>
      <w:keepNext/>
      <w:spacing w:before="320" w:after="200"/>
      <w:outlineLvl w:val="8"/>
    </w:pPr>
    <w:rPr>
      <w:rFonts w:ascii="Arial" w:hAnsi="Arial" w:eastAsia="Arial" w:cs="Arial"/>
      <w:i/>
      <w:iCs/>
      <w:szCs w:val="21"/>
    </w:rPr>
  </w:style>
  <w:style w:type="character" w:styleId="1585" w:default="1">
    <w:name w:val="Default Paragraph Font"/>
    <w:uiPriority w:val="1"/>
    <w:semiHidden/>
    <w:unhideWhenUsed/>
    <w:qFormat/>
  </w:style>
  <w:style w:type="table" w:styleId="1586" w:default="1">
    <w:name w:val="Normal Table"/>
    <w:uiPriority w:val="99"/>
    <w:semiHidden/>
    <w:unhideWhenUsed/>
    <w:qFormat/>
    <w:tblPr>
      <w:tblCellMar>
        <w:left w:w="108" w:type="dxa"/>
        <w:top w:w="0" w:type="dxa"/>
        <w:right w:w="108" w:type="dxa"/>
        <w:bottom w:w="0" w:type="dxa"/>
      </w:tblCellMar>
    </w:tblPr>
  </w:style>
  <w:style w:type="character" w:styleId="1587" w:customStyle="1">
    <w:name w:val="标题 1 字符"/>
    <w:basedOn w:val="1585"/>
    <w:link w:val="1576"/>
    <w:uiPriority w:val="9"/>
    <w:qFormat/>
    <w:rPr>
      <w:rFonts w:ascii="Arial" w:hAnsi="Arial" w:eastAsia="Arial" w:cs="Arial"/>
      <w:sz w:val="40"/>
      <w:szCs w:val="40"/>
    </w:rPr>
  </w:style>
  <w:style w:type="character" w:styleId="1588" w:customStyle="1">
    <w:name w:val="标题 2 字符"/>
    <w:basedOn w:val="1585"/>
    <w:link w:val="1577"/>
    <w:uiPriority w:val="9"/>
    <w:qFormat/>
    <w:rPr>
      <w:rFonts w:ascii="Arial" w:hAnsi="Arial" w:eastAsia="Arial" w:cs="Arial"/>
      <w:sz w:val="34"/>
    </w:rPr>
  </w:style>
  <w:style w:type="character" w:styleId="1589" w:customStyle="1">
    <w:name w:val="标题 3 字符"/>
    <w:basedOn w:val="1585"/>
    <w:link w:val="1578"/>
    <w:uiPriority w:val="9"/>
    <w:qFormat/>
    <w:rPr>
      <w:rFonts w:ascii="Arial" w:hAnsi="Arial" w:eastAsia="Arial" w:cs="Arial"/>
      <w:sz w:val="30"/>
      <w:szCs w:val="30"/>
    </w:rPr>
  </w:style>
  <w:style w:type="character" w:styleId="1590" w:customStyle="1">
    <w:name w:val="标题 4 字符"/>
    <w:basedOn w:val="1585"/>
    <w:link w:val="1579"/>
    <w:uiPriority w:val="9"/>
    <w:qFormat/>
    <w:rPr>
      <w:rFonts w:ascii="Arial" w:hAnsi="Arial" w:eastAsia="Arial" w:cs="Arial"/>
      <w:b/>
      <w:bCs/>
      <w:sz w:val="26"/>
      <w:szCs w:val="26"/>
    </w:rPr>
  </w:style>
  <w:style w:type="character" w:styleId="1591" w:customStyle="1">
    <w:name w:val="标题 5 字符"/>
    <w:basedOn w:val="1585"/>
    <w:link w:val="1580"/>
    <w:uiPriority w:val="9"/>
    <w:qFormat/>
    <w:rPr>
      <w:rFonts w:ascii="Arial" w:hAnsi="Arial" w:eastAsia="Arial" w:cs="Arial"/>
      <w:b/>
      <w:bCs/>
      <w:sz w:val="24"/>
      <w:szCs w:val="24"/>
    </w:rPr>
  </w:style>
  <w:style w:type="character" w:styleId="1592" w:customStyle="1">
    <w:name w:val="标题 6 字符"/>
    <w:basedOn w:val="1585"/>
    <w:link w:val="1581"/>
    <w:uiPriority w:val="9"/>
    <w:qFormat/>
    <w:rPr>
      <w:rFonts w:ascii="Arial" w:hAnsi="Arial" w:eastAsia="Arial" w:cs="Arial"/>
      <w:b/>
      <w:bCs/>
      <w:sz w:val="22"/>
      <w:szCs w:val="22"/>
    </w:rPr>
  </w:style>
  <w:style w:type="character" w:styleId="1593" w:customStyle="1">
    <w:name w:val="标题 7 字符"/>
    <w:basedOn w:val="1585"/>
    <w:link w:val="1582"/>
    <w:uiPriority w:val="9"/>
    <w:qFormat/>
    <w:rPr>
      <w:rFonts w:ascii="Arial" w:hAnsi="Arial" w:eastAsia="Arial" w:cs="Arial"/>
      <w:b/>
      <w:bCs/>
      <w:i/>
      <w:iCs/>
      <w:sz w:val="22"/>
      <w:szCs w:val="22"/>
    </w:rPr>
  </w:style>
  <w:style w:type="character" w:styleId="1594" w:customStyle="1">
    <w:name w:val="标题 8 字符"/>
    <w:basedOn w:val="1585"/>
    <w:link w:val="1583"/>
    <w:uiPriority w:val="9"/>
    <w:qFormat/>
    <w:rPr>
      <w:rFonts w:ascii="Arial" w:hAnsi="Arial" w:eastAsia="Arial" w:cs="Arial"/>
      <w:i/>
      <w:iCs/>
      <w:sz w:val="22"/>
      <w:szCs w:val="22"/>
    </w:rPr>
  </w:style>
  <w:style w:type="character" w:styleId="1595" w:customStyle="1">
    <w:name w:val="标题 9 字符"/>
    <w:basedOn w:val="1585"/>
    <w:link w:val="1584"/>
    <w:uiPriority w:val="9"/>
    <w:qFormat/>
    <w:rPr>
      <w:rFonts w:ascii="Arial" w:hAnsi="Arial" w:eastAsia="Arial" w:cs="Arial"/>
      <w:i/>
      <w:iCs/>
      <w:sz w:val="21"/>
      <w:szCs w:val="21"/>
    </w:rPr>
  </w:style>
  <w:style w:type="paragraph" w:styleId="1596">
    <w:name w:val="Title"/>
    <w:basedOn w:val="1575"/>
    <w:next w:val="1575"/>
    <w:link w:val="1597"/>
    <w:uiPriority w:val="10"/>
    <w:qFormat/>
    <w:pPr>
      <w:contextualSpacing/>
      <w:spacing w:before="300" w:after="200"/>
    </w:pPr>
    <w:rPr>
      <w:sz w:val="48"/>
      <w:szCs w:val="48"/>
    </w:rPr>
  </w:style>
  <w:style w:type="character" w:styleId="1597" w:customStyle="1">
    <w:name w:val="标题 字符"/>
    <w:basedOn w:val="1585"/>
    <w:link w:val="1596"/>
    <w:uiPriority w:val="10"/>
    <w:qFormat/>
    <w:rPr>
      <w:sz w:val="48"/>
      <w:szCs w:val="48"/>
    </w:rPr>
  </w:style>
  <w:style w:type="paragraph" w:styleId="1598">
    <w:name w:val="Subtitle"/>
    <w:basedOn w:val="1575"/>
    <w:next w:val="1575"/>
    <w:link w:val="1599"/>
    <w:uiPriority w:val="11"/>
    <w:qFormat/>
    <w:pPr>
      <w:spacing w:before="200" w:after="200"/>
    </w:pPr>
    <w:rPr>
      <w:sz w:val="24"/>
      <w:szCs w:val="24"/>
    </w:rPr>
  </w:style>
  <w:style w:type="character" w:styleId="1599" w:customStyle="1">
    <w:name w:val="副标题 字符"/>
    <w:basedOn w:val="1585"/>
    <w:link w:val="1598"/>
    <w:uiPriority w:val="11"/>
    <w:qFormat/>
    <w:rPr>
      <w:sz w:val="24"/>
      <w:szCs w:val="24"/>
    </w:rPr>
  </w:style>
  <w:style w:type="paragraph" w:styleId="1600">
    <w:name w:val="Header"/>
    <w:basedOn w:val="1575"/>
    <w:link w:val="1601"/>
    <w:uiPriority w:val="99"/>
    <w:unhideWhenUsed/>
    <w:qFormat/>
    <w:pPr>
      <w:tabs>
        <w:tab w:val="center" w:pos="7143" w:leader="none"/>
        <w:tab w:val="right" w:pos="14287" w:leader="none"/>
      </w:tabs>
    </w:pPr>
  </w:style>
  <w:style w:type="character" w:styleId="1601" w:customStyle="1">
    <w:name w:val="页眉 字符"/>
    <w:basedOn w:val="1585"/>
    <w:link w:val="1600"/>
    <w:uiPriority w:val="99"/>
    <w:qFormat/>
  </w:style>
  <w:style w:type="paragraph" w:styleId="1602">
    <w:name w:val="Footer"/>
    <w:basedOn w:val="1575"/>
    <w:link w:val="1604"/>
    <w:uiPriority w:val="99"/>
    <w:unhideWhenUsed/>
    <w:qFormat/>
    <w:pPr>
      <w:tabs>
        <w:tab w:val="center" w:pos="7143" w:leader="none"/>
        <w:tab w:val="right" w:pos="14287" w:leader="none"/>
      </w:tabs>
    </w:pPr>
  </w:style>
  <w:style w:type="paragraph" w:styleId="1603">
    <w:name w:val="Caption"/>
    <w:basedOn w:val="1575"/>
    <w:next w:val="1575"/>
    <w:uiPriority w:val="35"/>
    <w:unhideWhenUsed/>
    <w:qFormat/>
    <w:pPr>
      <w:spacing w:line="276" w:lineRule="auto"/>
    </w:pPr>
    <w:rPr>
      <w:b/>
      <w:bCs/>
      <w:color w:val="4f81bd" w:themeColor="accent1"/>
      <w:sz w:val="18"/>
      <w:szCs w:val="18"/>
      <w14:textFill>
        <w14:solidFill>
          <w14:schemeClr w14:val="accent1"/>
        </w14:solidFill>
      </w14:textFill>
    </w:rPr>
  </w:style>
  <w:style w:type="character" w:styleId="1604" w:customStyle="1">
    <w:name w:val="页脚 字符"/>
    <w:link w:val="1602"/>
    <w:uiPriority w:val="99"/>
    <w:qFormat/>
  </w:style>
  <w:style w:type="table" w:styleId="16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6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6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6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31">
    <w:name w:val="Hyperlink"/>
    <w:uiPriority w:val="99"/>
    <w:unhideWhenUsed/>
    <w:qFormat/>
    <w:rPr>
      <w:color w:val="0000ff" w:themeColor="hyperlink"/>
      <w:u w:val="single"/>
      <w14:textFill>
        <w14:solidFill>
          <w14:schemeClr w14:val="hlink"/>
        </w14:solidFill>
      </w14:textFill>
    </w:rPr>
  </w:style>
  <w:style w:type="paragraph" w:styleId="1732">
    <w:name w:val="footnote text"/>
    <w:basedOn w:val="1575"/>
    <w:link w:val="1733"/>
    <w:uiPriority w:val="99"/>
    <w:unhideWhenUsed/>
    <w:qFormat/>
    <w:pPr>
      <w:spacing w:after="40"/>
    </w:pPr>
    <w:rPr>
      <w:sz w:val="18"/>
    </w:rPr>
  </w:style>
  <w:style w:type="character" w:styleId="1733" w:customStyle="1">
    <w:name w:val="脚注文本 字符"/>
    <w:link w:val="1732"/>
    <w:uiPriority w:val="99"/>
    <w:qFormat/>
    <w:rPr>
      <w:sz w:val="18"/>
    </w:rPr>
  </w:style>
  <w:style w:type="character" w:styleId="1734">
    <w:name w:val="footnote reference"/>
    <w:basedOn w:val="1585"/>
    <w:uiPriority w:val="99"/>
    <w:unhideWhenUsed/>
    <w:qFormat/>
    <w:rPr>
      <w:vertAlign w:val="superscript"/>
    </w:rPr>
  </w:style>
  <w:style w:type="paragraph" w:styleId="1735">
    <w:name w:val="endnote text"/>
    <w:basedOn w:val="1575"/>
    <w:link w:val="1736"/>
    <w:uiPriority w:val="99"/>
    <w:unhideWhenUsed/>
    <w:qFormat/>
    <w:rPr>
      <w:sz w:val="20"/>
    </w:rPr>
  </w:style>
  <w:style w:type="character" w:styleId="1736" w:customStyle="1">
    <w:name w:val="尾注文本 字符"/>
    <w:link w:val="1735"/>
    <w:uiPriority w:val="99"/>
    <w:qFormat/>
    <w:rPr>
      <w:sz w:val="20"/>
    </w:rPr>
  </w:style>
  <w:style w:type="character" w:styleId="1737">
    <w:name w:val="endnote reference"/>
    <w:basedOn w:val="1585"/>
    <w:uiPriority w:val="99"/>
    <w:unhideWhenUsed/>
    <w:qFormat/>
    <w:rPr>
      <w:vertAlign w:val="superscript"/>
    </w:rPr>
  </w:style>
  <w:style w:type="paragraph" w:styleId="1738">
    <w:name w:val="toc 1"/>
    <w:basedOn w:val="1575"/>
    <w:next w:val="1575"/>
    <w:uiPriority w:val="39"/>
    <w:unhideWhenUsed/>
    <w:qFormat/>
    <w:pPr>
      <w:spacing w:after="57"/>
    </w:pPr>
  </w:style>
  <w:style w:type="paragraph" w:styleId="1739">
    <w:name w:val="toc 2"/>
    <w:basedOn w:val="1575"/>
    <w:next w:val="1575"/>
    <w:uiPriority w:val="39"/>
    <w:unhideWhenUsed/>
    <w:qFormat/>
    <w:pPr>
      <w:ind w:left="283"/>
      <w:spacing w:after="57"/>
    </w:pPr>
  </w:style>
  <w:style w:type="paragraph" w:styleId="1740">
    <w:name w:val="toc 3"/>
    <w:basedOn w:val="1575"/>
    <w:next w:val="1575"/>
    <w:uiPriority w:val="39"/>
    <w:unhideWhenUsed/>
    <w:qFormat/>
    <w:pPr>
      <w:ind w:left="567"/>
      <w:spacing w:after="57"/>
    </w:pPr>
  </w:style>
  <w:style w:type="paragraph" w:styleId="1741">
    <w:name w:val="toc 4"/>
    <w:basedOn w:val="1575"/>
    <w:next w:val="1575"/>
    <w:uiPriority w:val="39"/>
    <w:unhideWhenUsed/>
    <w:qFormat/>
    <w:pPr>
      <w:ind w:left="850"/>
      <w:spacing w:after="57"/>
    </w:pPr>
  </w:style>
  <w:style w:type="paragraph" w:styleId="1742">
    <w:name w:val="toc 5"/>
    <w:basedOn w:val="1575"/>
    <w:next w:val="1575"/>
    <w:uiPriority w:val="39"/>
    <w:unhideWhenUsed/>
    <w:qFormat/>
    <w:pPr>
      <w:ind w:left="1134"/>
      <w:spacing w:after="57"/>
    </w:pPr>
  </w:style>
  <w:style w:type="paragraph" w:styleId="1743">
    <w:name w:val="toc 6"/>
    <w:basedOn w:val="1575"/>
    <w:next w:val="1575"/>
    <w:uiPriority w:val="39"/>
    <w:unhideWhenUsed/>
    <w:qFormat/>
    <w:pPr>
      <w:ind w:left="1417"/>
      <w:spacing w:after="57"/>
    </w:pPr>
  </w:style>
  <w:style w:type="paragraph" w:styleId="1744">
    <w:name w:val="toc 7"/>
    <w:basedOn w:val="1575"/>
    <w:next w:val="1575"/>
    <w:uiPriority w:val="39"/>
    <w:unhideWhenUsed/>
    <w:qFormat/>
    <w:pPr>
      <w:ind w:left="1701"/>
      <w:spacing w:after="57"/>
    </w:pPr>
  </w:style>
  <w:style w:type="paragraph" w:styleId="1745">
    <w:name w:val="toc 8"/>
    <w:basedOn w:val="1575"/>
    <w:next w:val="1575"/>
    <w:uiPriority w:val="39"/>
    <w:unhideWhenUsed/>
    <w:qFormat/>
    <w:pPr>
      <w:ind w:left="1984"/>
      <w:spacing w:after="57"/>
    </w:pPr>
  </w:style>
  <w:style w:type="paragraph" w:styleId="1746">
    <w:name w:val="toc 9"/>
    <w:basedOn w:val="1575"/>
    <w:next w:val="1575"/>
    <w:uiPriority w:val="39"/>
    <w:unhideWhenUsed/>
    <w:qFormat/>
    <w:pPr>
      <w:ind w:left="2268"/>
      <w:spacing w:after="57"/>
    </w:pPr>
  </w:style>
  <w:style w:type="paragraph" w:styleId="1747">
    <w:name w:val="table of figures"/>
    <w:basedOn w:val="1575"/>
    <w:next w:val="1575"/>
    <w:uiPriority w:val="99"/>
    <w:unhideWhenUsed/>
    <w:qFormat/>
  </w:style>
  <w:style w:type="character" w:styleId="1748" w:customStyle="1">
    <w:name w:val="占位符文本1"/>
    <w:basedOn w:val="1585"/>
    <w:uiPriority w:val="99"/>
    <w:unhideWhenUsed/>
    <w:qFormat/>
    <w:rPr>
      <w:color w:val="808080"/>
    </w:rPr>
  </w:style>
  <w:style w:type="numbering" w:styleId="1749"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16</cp:revision>
  <dcterms:created xsi:type="dcterms:W3CDTF">2026-08-04T08:11:00Z</dcterms:created>
  <dcterms:modified xsi:type="dcterms:W3CDTF">2026-08-19T08:47:07Z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2052-12.1.0.28043</vt:lpwstr>
  </property>
  <property fmtid="{D5CDD505-2E9C-101B-9397-08002B2CF9AE}" pid="4" name="ICV">
    <vt:lpwstr>434F7396BA1A4658B26C583F52C8AA7E_13</vt:lpwstr>
  </property>
</Properties>
</file>