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jc w:val="center"/>
        <w:rPr>
          <w:rFonts w:ascii="黑体" w:hAnsi="黑体" w:eastAsia="黑体"/>
          <w:b/>
          <w:sz w:val="84"/>
          <w:szCs w:val="84"/>
          <w:highlight w:val="none"/>
        </w:rPr>
        <w:pBdr>
          <w:top w:val="none" w:color="auto" w:sz="0" w:space="1"/>
          <w:left w:val="none" w:color="auto" w:sz="0" w:space="4"/>
          <w:bottom w:val="none" w:color="auto" w:sz="0" w:space="1"/>
          <w:right w:val="none" w:color="auto" w:sz="0" w:space="4"/>
        </w:pBdr>
      </w:pPr>
      <w:r>
        <w:rPr>
          <w:rFonts w:hint="eastAsia" w:ascii="黑体" w:hAnsi="黑体" w:eastAsia="黑体"/>
          <w:b/>
          <w:sz w:val="84"/>
          <w:szCs w:val="84"/>
          <w:highlight w:val="none"/>
        </w:rPr>
        <w:t xml:space="preserve">招　标　文　件</w:t>
      </w:r>
      <w:r>
        <w:rPr>
          <w:highlight w:val="none"/>
        </w:rPr>
      </w:r>
      <w:r/>
    </w:p>
    <w:p>
      <w:pPr>
        <w:ind w:firstLine="2249"/>
        <w:jc w:val="left"/>
        <w:spacing w:line="48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ascii="Arial" w:hAnsi="Arial"/>
          <w:b/>
          <w:bCs/>
          <w:color w:val="000000"/>
          <w:sz w:val="32"/>
          <w:szCs w:val="24"/>
          <w:highlight w:val="none"/>
        </w:rPr>
      </w:r>
      <w:r>
        <w:rPr>
          <w:highlight w:val="none"/>
        </w:rPr>
      </w:r>
      <w:r/>
    </w:p>
    <w:p>
      <w:pPr>
        <w:ind w:firstLine="2249"/>
        <w:jc w:val="left"/>
        <w:spacing w:line="48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ascii="Arial" w:hAnsi="Arial"/>
          <w:b/>
          <w:bCs/>
          <w:color w:val="000000"/>
          <w:sz w:val="32"/>
          <w:szCs w:val="24"/>
          <w:highlight w:val="none"/>
        </w:rPr>
      </w:r>
      <w:r>
        <w:rPr>
          <w:highlight w:val="none"/>
        </w:rPr>
      </w:r>
      <w:r/>
    </w:p>
    <w:p>
      <w:pPr>
        <w:ind w:firstLine="2249"/>
        <w:jc w:val="left"/>
        <w:spacing w:line="48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ascii="Arial" w:hAnsi="Arial"/>
          <w:b/>
          <w:bCs/>
          <w:color w:val="000000"/>
          <w:sz w:val="32"/>
          <w:szCs w:val="24"/>
          <w:highlight w:val="none"/>
        </w:rPr>
      </w:r>
      <w:r>
        <w:rPr>
          <w:highlight w:val="none"/>
        </w:rPr>
      </w:r>
      <w:r/>
    </w:p>
    <w:p>
      <w:pPr>
        <w:ind w:firstLine="2249"/>
        <w:jc w:val="left"/>
        <w:spacing w:line="48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ascii="Arial" w:hAnsi="Arial"/>
          <w:b/>
          <w:bCs/>
          <w:color w:val="000000"/>
          <w:sz w:val="32"/>
          <w:szCs w:val="24"/>
          <w:highlight w:val="none"/>
        </w:rPr>
      </w:r>
      <w:r>
        <w:rPr>
          <w:highlight w:val="none"/>
        </w:rPr>
      </w:r>
      <w:r/>
    </w:p>
    <w:p>
      <w:pPr>
        <w:ind w:firstLine="2249"/>
        <w:jc w:val="left"/>
        <w:spacing w:line="48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ascii="Arial" w:hAnsi="Arial"/>
          <w:b/>
          <w:bCs/>
          <w:color w:val="000000"/>
          <w:sz w:val="32"/>
          <w:szCs w:val="24"/>
          <w:highlight w:val="none"/>
        </w:rPr>
      </w:r>
      <w:r>
        <w:rPr>
          <w:highlight w:val="none"/>
        </w:rPr>
      </w:r>
      <w:r/>
    </w:p>
    <w:p>
      <w:pPr>
        <w:spacing w:line="48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ascii="Arial" w:hAnsi="Arial"/>
          <w:b/>
          <w:bCs/>
          <w:color w:val="000000"/>
          <w:sz w:val="32"/>
          <w:szCs w:val="24"/>
          <w:highlight w:val="none"/>
        </w:rPr>
      </w:r>
      <w:r>
        <w:rPr>
          <w:highlight w:val="none"/>
        </w:rPr>
      </w:r>
      <w:r/>
    </w:p>
    <w:p>
      <w:pPr>
        <w:jc w:val="center"/>
        <w:spacing w:line="480" w:lineRule="auto"/>
        <w:rPr>
          <w:rFonts w:hint="eastAsia" w:ascii="Arial" w:hAnsi="Arial" w:eastAsia="宋体"/>
          <w:b/>
          <w:bCs/>
          <w:color w:val="000000"/>
          <w:sz w:val="32"/>
          <w:szCs w:val="24"/>
          <w:highlight w:val="none"/>
        </w:rPr>
        <w:pBdr>
          <w:top w:val="none" w:color="auto" w:sz="0" w:space="1"/>
          <w:left w:val="none" w:color="auto" w:sz="0" w:space="4"/>
          <w:bottom w:val="none" w:color="auto" w:sz="0" w:space="1"/>
          <w:right w:val="none" w:color="auto" w:sz="0" w:space="4"/>
        </w:pBdr>
      </w:pPr>
      <w:r>
        <w:rPr>
          <w:rFonts w:hint="eastAsia" w:ascii="Arial" w:hAnsi="Arial"/>
          <w:b/>
          <w:bCs/>
          <w:color w:val="000000"/>
          <w:sz w:val="32"/>
          <w:szCs w:val="24"/>
          <w:highlight w:val="none"/>
        </w:rPr>
        <w:t xml:space="preserve">项目名称：</w:t>
      </w:r>
      <w:r>
        <w:rPr>
          <w:rFonts w:hint="eastAsia" w:ascii="Arial" w:hAnsi="Arial"/>
          <w:b/>
          <w:bCs/>
          <w:color w:val="000000"/>
          <w:sz w:val="32"/>
          <w:szCs w:val="24"/>
          <w:highlight w:val="none"/>
          <w:lang w:eastAsia="zh-CN"/>
        </w:rPr>
        <w:t xml:space="preserve">2026年第十二批采购项目-设备：液相色谱仪、实验室洗瓶机、全自动凯氏定氮仪</w:t>
      </w:r>
      <w:r>
        <w:rPr>
          <w:highlight w:val="none"/>
        </w:rPr>
      </w:r>
      <w:r/>
    </w:p>
    <w:p>
      <w:pPr>
        <w:spacing w:line="480" w:lineRule="auto"/>
        <w:rPr>
          <w:rFonts w:hint="eastAsia" w:ascii="黑体" w:hAnsi="Arial" w:eastAsia="宋体"/>
          <w:b/>
          <w:color w:val="000000"/>
          <w:sz w:val="44"/>
          <w:szCs w:val="21"/>
          <w:highlight w:val="none"/>
        </w:rPr>
        <w:pBdr>
          <w:top w:val="none" w:color="auto" w:sz="0" w:space="1"/>
          <w:left w:val="none" w:color="auto" w:sz="0" w:space="4"/>
          <w:bottom w:val="none" w:color="auto" w:sz="0" w:space="1"/>
          <w:right w:val="none" w:color="auto" w:sz="0" w:space="4"/>
        </w:pBdr>
      </w:pPr>
      <w:r>
        <w:rPr>
          <w:rFonts w:hint="eastAsia" w:ascii="Arial" w:hAnsi="Arial"/>
          <w:b/>
          <w:bCs/>
          <w:sz w:val="32"/>
          <w:szCs w:val="24"/>
          <w:highlight w:val="none"/>
        </w:rPr>
        <w:t xml:space="preserve">项目编号：</w:t>
      </w:r>
      <w:r>
        <w:rPr>
          <w:rFonts w:hint="eastAsia" w:ascii="Arial" w:hAnsi="Arial"/>
          <w:b/>
          <w:bCs/>
          <w:sz w:val="32"/>
          <w:szCs w:val="24"/>
          <w:highlight w:val="none"/>
          <w:lang w:eastAsia="zh-CN"/>
        </w:rPr>
        <w:t xml:space="preserve">JSZC-320700-XHZX-G2026-0024</w:t>
      </w:r>
      <w:r>
        <w:rPr>
          <w:highlight w:val="none"/>
        </w:rPr>
      </w:r>
      <w:r/>
    </w:p>
    <w:p>
      <w:pPr>
        <w:spacing w:line="480" w:lineRule="auto"/>
        <w:rPr>
          <w:rFonts w:ascii="黑体" w:hAnsi="Arial" w:eastAsia="黑体"/>
          <w:b/>
          <w:color w:val="000000"/>
          <w:sz w:val="44"/>
          <w:szCs w:val="21"/>
          <w:highlight w:val="none"/>
        </w:rPr>
        <w:pBdr>
          <w:top w:val="none" w:color="auto" w:sz="0" w:space="1"/>
          <w:left w:val="none" w:color="auto" w:sz="0" w:space="4"/>
          <w:bottom w:val="none" w:color="auto" w:sz="0" w:space="1"/>
          <w:right w:val="none" w:color="auto" w:sz="0" w:space="4"/>
        </w:pBdr>
      </w:pPr>
      <w:r>
        <w:rPr>
          <w:rFonts w:ascii="黑体" w:hAnsi="Arial" w:eastAsia="黑体"/>
          <w:b/>
          <w:color w:val="000000"/>
          <w:sz w:val="44"/>
          <w:szCs w:val="21"/>
          <w:highlight w:val="none"/>
        </w:rPr>
      </w:r>
      <w:r>
        <w:rPr>
          <w:highlight w:val="none"/>
        </w:rPr>
      </w:r>
      <w:r/>
    </w:p>
    <w:p>
      <w:pPr>
        <w:spacing w:line="480" w:lineRule="auto"/>
        <w:rPr>
          <w:rFonts w:ascii="黑体" w:hAnsi="Arial" w:eastAsia="黑体"/>
          <w:b/>
          <w:color w:val="000000"/>
          <w:sz w:val="44"/>
          <w:szCs w:val="21"/>
          <w:highlight w:val="none"/>
        </w:rPr>
        <w:pBdr>
          <w:top w:val="none" w:color="auto" w:sz="0" w:space="1"/>
          <w:left w:val="none" w:color="auto" w:sz="0" w:space="4"/>
          <w:bottom w:val="none" w:color="auto" w:sz="0" w:space="1"/>
          <w:right w:val="none" w:color="auto" w:sz="0" w:space="4"/>
        </w:pBdr>
      </w:pPr>
      <w:r>
        <w:rPr>
          <w:rFonts w:ascii="黑体" w:hAnsi="Arial" w:eastAsia="黑体"/>
          <w:b/>
          <w:color w:val="000000"/>
          <w:sz w:val="44"/>
          <w:szCs w:val="21"/>
          <w:highlight w:val="none"/>
        </w:rPr>
      </w:r>
      <w:r>
        <w:rPr>
          <w:highlight w:val="none"/>
        </w:rPr>
      </w:r>
      <w:r/>
    </w:p>
    <w:p>
      <w:pPr>
        <w:pStyle w:val="744"/>
        <w:jc w:val="center"/>
        <w:spacing w:line="360" w:lineRule="auto"/>
        <w:rPr>
          <w:b/>
          <w:color w:val="000000"/>
          <w:sz w:val="32"/>
          <w:highlight w:val="none"/>
        </w:rPr>
        <w:pBdr>
          <w:top w:val="none" w:color="auto" w:sz="0" w:space="1"/>
          <w:left w:val="none" w:color="auto" w:sz="0" w:space="4"/>
          <w:bottom w:val="none" w:color="auto" w:sz="0" w:space="1"/>
          <w:right w:val="none" w:color="auto" w:sz="0" w:space="4"/>
        </w:pBdr>
      </w:pPr>
      <w:r>
        <w:rPr>
          <w:rFonts w:hint="eastAsia" w:ascii="宋体" w:hAnsi="宋体"/>
          <w:b/>
          <w:bCs/>
          <w:sz w:val="32"/>
          <w:highlight w:val="none"/>
        </w:rPr>
        <w:t xml:space="preserve">采  购  人：</w:t>
      </w:r>
      <w:r>
        <w:rPr>
          <w:rFonts w:hint="eastAsia"/>
          <w:b/>
          <w:color w:val="000000"/>
          <w:sz w:val="32"/>
          <w:highlight w:val="none"/>
        </w:rPr>
        <w:t xml:space="preserve">连云港市疾病预防控制中心</w:t>
      </w:r>
      <w:r>
        <w:rPr>
          <w:highlight w:val="none"/>
        </w:rPr>
      </w:r>
      <w:r/>
    </w:p>
    <w:p>
      <w:pPr>
        <w:jc w:val="center"/>
        <w:spacing w:before="120" w:after="120" w:line="36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32"/>
          <w:highlight w:val="none"/>
        </w:rPr>
        <w:t xml:space="preserve">采购代理机构：江苏协鸿工程咨询有限公司</w:t>
      </w:r>
      <w:r>
        <w:rPr>
          <w:highlight w:val="none"/>
        </w:rPr>
      </w:r>
      <w:r/>
    </w:p>
    <w:p>
      <w:pPr>
        <w:jc w:val="center"/>
        <w:spacing w:before="120" w:after="120" w:line="36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hint="eastAsia" w:ascii="Arial" w:hAnsi="Arial"/>
          <w:b/>
          <w:bCs/>
          <w:color w:val="000000"/>
          <w:sz w:val="32"/>
          <w:szCs w:val="24"/>
          <w:highlight w:val="none"/>
        </w:rPr>
        <w:t xml:space="preserve">2026年</w:t>
      </w:r>
      <w:r>
        <w:rPr>
          <w:rFonts w:hint="eastAsia" w:ascii="Arial" w:hAnsi="Arial"/>
          <w:b/>
          <w:bCs/>
          <w:color w:val="000000"/>
          <w:sz w:val="32"/>
          <w:szCs w:val="24"/>
          <w:highlight w:val="none"/>
          <w:lang w:val="en-US" w:eastAsia="zh-CN"/>
        </w:rPr>
        <w:t xml:space="preserve">8</w:t>
      </w:r>
      <w:r>
        <w:rPr>
          <w:rFonts w:hint="eastAsia" w:ascii="Arial" w:hAnsi="Arial"/>
          <w:b/>
          <w:bCs/>
          <w:color w:val="000000"/>
          <w:sz w:val="32"/>
          <w:szCs w:val="24"/>
          <w:highlight w:val="none"/>
        </w:rPr>
        <w:t xml:space="preserve">月</w:t>
      </w:r>
      <w:r>
        <w:rPr>
          <w:highlight w:val="none"/>
        </w:rPr>
      </w:r>
      <w:r/>
    </w:p>
    <w:p>
      <w:pPr>
        <w:jc w:val="center"/>
        <w:spacing w:before="120" w:after="120" w:line="360" w:lineRule="auto"/>
        <w:rPr>
          <w:highlight w:val="none"/>
        </w:rPr>
        <w:pBdr>
          <w:top w:val="none" w:color="auto" w:sz="0" w:space="1"/>
          <w:left w:val="none" w:color="auto" w:sz="0" w:space="4"/>
          <w:bottom w:val="none" w:color="auto" w:sz="0" w:space="1"/>
          <w:right w:val="none" w:color="auto" w:sz="0" w:space="4"/>
        </w:pBdr>
      </w:pPr>
      <w:r>
        <w:rPr>
          <w:rFonts w:hint="eastAsia" w:ascii="Arial" w:hAnsi="Arial"/>
          <w:b/>
          <w:bCs/>
          <w:color w:val="000000"/>
          <w:sz w:val="32"/>
          <w:szCs w:val="24"/>
          <w:highlight w:val="none"/>
        </w:rPr>
        <w:br w:type="page" w:clear="all"/>
      </w:r>
      <w:r>
        <w:rPr>
          <w:highlight w:val="none"/>
        </w:rPr>
        <w:fldChar w:fldCharType="begin"/>
      </w:r>
      <w:r>
        <w:rPr>
          <w:highlight w:val="none"/>
        </w:rPr>
        <w:instrText xml:space="preserve"> TOC \o "1-1" \u </w:instrText>
      </w:r>
      <w:r>
        <w:rPr>
          <w:highlight w:val="none"/>
        </w:rPr>
        <w:fldChar w:fldCharType="separate"/>
      </w:r>
      <w:r>
        <w:rPr>
          <w:highlight w:val="none"/>
        </w:rPr>
      </w:r>
      <w:r/>
    </w:p>
    <w:p>
      <w:pPr>
        <w:pStyle w:val="960"/>
        <w:rPr>
          <w:highlight w:val="none"/>
        </w:rPr>
        <w:pBdr>
          <w:top w:val="none" w:color="auto" w:sz="0" w:space="1"/>
          <w:left w:val="none" w:color="auto" w:sz="0" w:space="4"/>
          <w:bottom w:val="none" w:color="auto" w:sz="0" w:space="1"/>
          <w:right w:val="none" w:color="auto" w:sz="0" w:space="4"/>
        </w:pBdr>
      </w:pPr>
      <w:r>
        <w:rPr>
          <w:rFonts w:hint="eastAsia"/>
          <w:highlight w:val="none"/>
        </w:rPr>
        <w:t xml:space="preserve">目  录</w:t>
      </w:r>
      <w:r>
        <w:rPr>
          <w:highlight w:val="none"/>
        </w:rPr>
      </w:r>
      <w:r/>
    </w:p>
    <w:p>
      <w:pPr>
        <w:pStyle w:val="960"/>
        <w:rPr>
          <w:sz w:val="36"/>
          <w:szCs w:val="36"/>
          <w:highlight w:val="none"/>
        </w:rPr>
        <w:pBdr>
          <w:top w:val="none" w:color="auto" w:sz="0" w:space="1"/>
          <w:left w:val="none" w:color="auto" w:sz="0" w:space="4"/>
          <w:bottom w:val="none" w:color="auto" w:sz="0" w:space="1"/>
          <w:right w:val="none" w:color="auto" w:sz="0" w:space="4"/>
        </w:pBdr>
      </w:pPr>
      <w:r>
        <w:rPr>
          <w:rFonts w:hint="eastAsia"/>
          <w:sz w:val="36"/>
          <w:szCs w:val="36"/>
          <w:highlight w:val="none"/>
        </w:rPr>
        <w:t xml:space="preserve">第一章投标邀请</w:t>
      </w:r>
      <w:r>
        <w:rPr>
          <w:sz w:val="36"/>
          <w:szCs w:val="36"/>
          <w:highlight w:val="none"/>
        </w:rPr>
        <w:tab/>
      </w:r>
      <w:r>
        <w:rPr>
          <w:sz w:val="36"/>
          <w:szCs w:val="36"/>
          <w:highlight w:val="none"/>
        </w:rPr>
        <w:fldChar w:fldCharType="begin"/>
      </w:r>
      <w:r>
        <w:rPr>
          <w:sz w:val="36"/>
          <w:szCs w:val="36"/>
          <w:highlight w:val="none"/>
        </w:rPr>
        <w:instrText xml:space="preserve"> PAGEREF _Toc165205794 \h </w:instrText>
      </w:r>
      <w:r>
        <w:rPr>
          <w:sz w:val="36"/>
          <w:szCs w:val="36"/>
          <w:highlight w:val="none"/>
        </w:rPr>
        <w:fldChar w:fldCharType="separate"/>
      </w:r>
      <w:r>
        <w:rPr>
          <w:sz w:val="36"/>
          <w:szCs w:val="36"/>
          <w:highlight w:val="none"/>
        </w:rPr>
        <w:t xml:space="preserve">1</w:t>
      </w:r>
      <w:r>
        <w:rPr>
          <w:sz w:val="36"/>
          <w:szCs w:val="36"/>
          <w:highlight w:val="none"/>
        </w:rPr>
        <w:fldChar w:fldCharType="end"/>
      </w:r>
      <w:r>
        <w:rPr>
          <w:highlight w:val="none"/>
        </w:rPr>
      </w:r>
      <w:r/>
    </w:p>
    <w:p>
      <w:pPr>
        <w:pStyle w:val="960"/>
        <w:rPr>
          <w:sz w:val="36"/>
          <w:szCs w:val="36"/>
          <w:highlight w:val="none"/>
        </w:rPr>
        <w:pBdr>
          <w:top w:val="none" w:color="auto" w:sz="0" w:space="1"/>
          <w:left w:val="none" w:color="auto" w:sz="0" w:space="4"/>
          <w:bottom w:val="none" w:color="auto" w:sz="0" w:space="1"/>
          <w:right w:val="none" w:color="auto" w:sz="0" w:space="4"/>
        </w:pBdr>
      </w:pPr>
      <w:r>
        <w:rPr>
          <w:rFonts w:hint="eastAsia"/>
          <w:sz w:val="36"/>
          <w:szCs w:val="36"/>
          <w:highlight w:val="none"/>
        </w:rPr>
        <w:t xml:space="preserve">第二章供应商须知</w:t>
      </w:r>
      <w:r>
        <w:rPr>
          <w:sz w:val="36"/>
          <w:szCs w:val="36"/>
          <w:highlight w:val="none"/>
        </w:rPr>
        <w:tab/>
      </w:r>
      <w:r>
        <w:rPr>
          <w:sz w:val="36"/>
          <w:szCs w:val="36"/>
          <w:highlight w:val="none"/>
        </w:rPr>
        <w:fldChar w:fldCharType="begin"/>
      </w:r>
      <w:r>
        <w:rPr>
          <w:sz w:val="36"/>
          <w:szCs w:val="36"/>
          <w:highlight w:val="none"/>
        </w:rPr>
        <w:instrText xml:space="preserve"> PAGEREF _Toc165205795 \h </w:instrText>
      </w:r>
      <w:r>
        <w:rPr>
          <w:sz w:val="36"/>
          <w:szCs w:val="36"/>
          <w:highlight w:val="none"/>
        </w:rPr>
        <w:fldChar w:fldCharType="separate"/>
      </w:r>
      <w:r>
        <w:rPr>
          <w:sz w:val="36"/>
          <w:szCs w:val="36"/>
          <w:highlight w:val="none"/>
        </w:rPr>
        <w:t xml:space="preserve">4</w:t>
      </w:r>
      <w:r>
        <w:rPr>
          <w:sz w:val="36"/>
          <w:szCs w:val="36"/>
          <w:highlight w:val="none"/>
        </w:rPr>
        <w:fldChar w:fldCharType="end"/>
      </w:r>
      <w:r>
        <w:rPr>
          <w:highlight w:val="none"/>
        </w:rPr>
      </w:r>
      <w:r/>
    </w:p>
    <w:p>
      <w:pPr>
        <w:pStyle w:val="960"/>
        <w:rPr>
          <w:sz w:val="36"/>
          <w:szCs w:val="36"/>
          <w:highlight w:val="none"/>
        </w:rPr>
        <w:pBdr>
          <w:top w:val="none" w:color="auto" w:sz="0" w:space="1"/>
          <w:left w:val="none" w:color="auto" w:sz="0" w:space="4"/>
          <w:bottom w:val="none" w:color="auto" w:sz="0" w:space="1"/>
          <w:right w:val="none" w:color="auto" w:sz="0" w:space="4"/>
        </w:pBdr>
      </w:pPr>
      <w:r>
        <w:rPr>
          <w:rFonts w:hint="eastAsia"/>
          <w:sz w:val="36"/>
          <w:szCs w:val="36"/>
          <w:highlight w:val="none"/>
        </w:rPr>
        <w:t xml:space="preserve">第三章合同文本</w:t>
      </w:r>
      <w:r>
        <w:rPr>
          <w:sz w:val="36"/>
          <w:szCs w:val="36"/>
          <w:highlight w:val="none"/>
        </w:rPr>
        <w:tab/>
      </w:r>
      <w:r>
        <w:rPr>
          <w:sz w:val="36"/>
          <w:szCs w:val="36"/>
          <w:highlight w:val="none"/>
        </w:rPr>
        <w:fldChar w:fldCharType="begin"/>
      </w:r>
      <w:r>
        <w:rPr>
          <w:sz w:val="36"/>
          <w:szCs w:val="36"/>
          <w:highlight w:val="none"/>
        </w:rPr>
        <w:instrText xml:space="preserve"> PAGEREF _Toc165205796 \h </w:instrText>
      </w:r>
      <w:r>
        <w:rPr>
          <w:sz w:val="36"/>
          <w:szCs w:val="36"/>
          <w:highlight w:val="none"/>
        </w:rPr>
        <w:fldChar w:fldCharType="separate"/>
      </w:r>
      <w:r>
        <w:rPr>
          <w:sz w:val="36"/>
          <w:szCs w:val="36"/>
          <w:highlight w:val="none"/>
        </w:rPr>
        <w:t xml:space="preserve">21</w:t>
      </w:r>
      <w:r>
        <w:rPr>
          <w:sz w:val="36"/>
          <w:szCs w:val="36"/>
          <w:highlight w:val="none"/>
        </w:rPr>
        <w:fldChar w:fldCharType="end"/>
      </w:r>
      <w:r>
        <w:rPr>
          <w:highlight w:val="none"/>
        </w:rPr>
      </w:r>
      <w:r/>
    </w:p>
    <w:p>
      <w:pPr>
        <w:pStyle w:val="960"/>
        <w:rPr>
          <w:sz w:val="36"/>
          <w:szCs w:val="36"/>
          <w:highlight w:val="none"/>
        </w:rPr>
        <w:pBdr>
          <w:top w:val="none" w:color="auto" w:sz="0" w:space="1"/>
          <w:left w:val="none" w:color="auto" w:sz="0" w:space="4"/>
          <w:bottom w:val="none" w:color="auto" w:sz="0" w:space="1"/>
          <w:right w:val="none" w:color="auto" w:sz="0" w:space="4"/>
        </w:pBdr>
      </w:pPr>
      <w:r>
        <w:rPr>
          <w:rFonts w:hint="eastAsia"/>
          <w:sz w:val="36"/>
          <w:szCs w:val="36"/>
          <w:highlight w:val="none"/>
        </w:rPr>
        <w:t xml:space="preserve">第四章采购需求</w:t>
      </w:r>
      <w:r>
        <w:rPr>
          <w:sz w:val="36"/>
          <w:szCs w:val="36"/>
          <w:highlight w:val="none"/>
        </w:rPr>
        <w:tab/>
      </w:r>
      <w:r>
        <w:rPr>
          <w:sz w:val="36"/>
          <w:szCs w:val="36"/>
          <w:highlight w:val="none"/>
        </w:rPr>
        <w:fldChar w:fldCharType="begin"/>
      </w:r>
      <w:r>
        <w:rPr>
          <w:sz w:val="36"/>
          <w:szCs w:val="36"/>
          <w:highlight w:val="none"/>
        </w:rPr>
        <w:instrText xml:space="preserve"> PAGEREF _Toc165205797 \h </w:instrText>
      </w:r>
      <w:r>
        <w:rPr>
          <w:sz w:val="36"/>
          <w:szCs w:val="36"/>
          <w:highlight w:val="none"/>
        </w:rPr>
        <w:fldChar w:fldCharType="separate"/>
      </w:r>
      <w:r>
        <w:rPr>
          <w:sz w:val="36"/>
          <w:szCs w:val="36"/>
          <w:highlight w:val="none"/>
        </w:rPr>
        <w:t xml:space="preserve">36</w:t>
      </w:r>
      <w:r>
        <w:rPr>
          <w:sz w:val="36"/>
          <w:szCs w:val="36"/>
          <w:highlight w:val="none"/>
        </w:rPr>
        <w:fldChar w:fldCharType="end"/>
      </w:r>
      <w:r>
        <w:rPr>
          <w:highlight w:val="none"/>
        </w:rPr>
      </w:r>
      <w:r/>
    </w:p>
    <w:p>
      <w:pPr>
        <w:pStyle w:val="960"/>
        <w:rPr>
          <w:sz w:val="36"/>
          <w:szCs w:val="36"/>
          <w:highlight w:val="none"/>
        </w:rPr>
        <w:pBdr>
          <w:top w:val="none" w:color="auto" w:sz="0" w:space="1"/>
          <w:left w:val="none" w:color="auto" w:sz="0" w:space="4"/>
          <w:bottom w:val="none" w:color="auto" w:sz="0" w:space="1"/>
          <w:right w:val="none" w:color="auto" w:sz="0" w:space="4"/>
        </w:pBdr>
      </w:pPr>
      <w:r>
        <w:rPr>
          <w:rFonts w:hint="eastAsia"/>
          <w:sz w:val="36"/>
          <w:szCs w:val="36"/>
          <w:highlight w:val="none"/>
        </w:rPr>
        <w:t xml:space="preserve">第五章评标方法与评标标准</w:t>
      </w:r>
      <w:r>
        <w:rPr>
          <w:sz w:val="36"/>
          <w:szCs w:val="36"/>
          <w:highlight w:val="none"/>
        </w:rPr>
        <w:tab/>
      </w:r>
      <w:r>
        <w:rPr>
          <w:sz w:val="36"/>
          <w:szCs w:val="36"/>
          <w:highlight w:val="none"/>
        </w:rPr>
        <w:fldChar w:fldCharType="begin"/>
      </w:r>
      <w:r>
        <w:rPr>
          <w:sz w:val="36"/>
          <w:szCs w:val="36"/>
          <w:highlight w:val="none"/>
        </w:rPr>
        <w:instrText xml:space="preserve"> PAGEREF _Toc165205798 \h </w:instrText>
      </w:r>
      <w:r>
        <w:rPr>
          <w:sz w:val="36"/>
          <w:szCs w:val="36"/>
          <w:highlight w:val="none"/>
        </w:rPr>
        <w:fldChar w:fldCharType="separate"/>
      </w:r>
      <w:r>
        <w:rPr>
          <w:sz w:val="36"/>
          <w:szCs w:val="36"/>
          <w:highlight w:val="none"/>
        </w:rPr>
        <w:t xml:space="preserve">50</w:t>
      </w:r>
      <w:r>
        <w:rPr>
          <w:sz w:val="36"/>
          <w:szCs w:val="36"/>
          <w:highlight w:val="none"/>
        </w:rPr>
        <w:fldChar w:fldCharType="end"/>
      </w:r>
      <w:r>
        <w:rPr>
          <w:highlight w:val="none"/>
        </w:rPr>
      </w:r>
      <w:r/>
    </w:p>
    <w:p>
      <w:pPr>
        <w:pStyle w:val="960"/>
        <w:rPr>
          <w:sz w:val="36"/>
          <w:szCs w:val="36"/>
          <w:highlight w:val="none"/>
        </w:rPr>
        <w:pBdr>
          <w:top w:val="none" w:color="auto" w:sz="0" w:space="1"/>
          <w:left w:val="none" w:color="auto" w:sz="0" w:space="4"/>
          <w:bottom w:val="none" w:color="auto" w:sz="0" w:space="1"/>
          <w:right w:val="none" w:color="auto" w:sz="0" w:space="4"/>
        </w:pBdr>
      </w:pPr>
      <w:r>
        <w:rPr>
          <w:rFonts w:hint="eastAsia"/>
          <w:sz w:val="36"/>
          <w:szCs w:val="36"/>
          <w:highlight w:val="none"/>
        </w:rPr>
        <w:t xml:space="preserve">第六章投标文件格式</w:t>
      </w:r>
      <w:r>
        <w:rPr>
          <w:sz w:val="36"/>
          <w:szCs w:val="36"/>
          <w:highlight w:val="none"/>
        </w:rPr>
        <w:tab/>
      </w:r>
      <w:r>
        <w:rPr>
          <w:sz w:val="36"/>
          <w:szCs w:val="36"/>
          <w:highlight w:val="none"/>
        </w:rPr>
        <w:fldChar w:fldCharType="begin"/>
      </w:r>
      <w:r>
        <w:rPr>
          <w:sz w:val="36"/>
          <w:szCs w:val="36"/>
          <w:highlight w:val="none"/>
        </w:rPr>
        <w:instrText xml:space="preserve"> PAGEREF _Toc165205799 \h </w:instrText>
      </w:r>
      <w:r>
        <w:rPr>
          <w:sz w:val="36"/>
          <w:szCs w:val="36"/>
          <w:highlight w:val="none"/>
        </w:rPr>
        <w:fldChar w:fldCharType="separate"/>
      </w:r>
      <w:r>
        <w:rPr>
          <w:sz w:val="36"/>
          <w:szCs w:val="36"/>
          <w:highlight w:val="none"/>
        </w:rPr>
        <w:t xml:space="preserve">54</w:t>
      </w:r>
      <w:r>
        <w:rPr>
          <w:sz w:val="36"/>
          <w:szCs w:val="36"/>
          <w:highlight w:val="none"/>
        </w:rPr>
        <w:fldChar w:fldCharType="end"/>
      </w:r>
      <w:r>
        <w:rPr>
          <w:highlight w:val="none"/>
        </w:rPr>
      </w:r>
      <w:r/>
    </w:p>
    <w:p>
      <w:pPr>
        <w:jc w:val="left"/>
        <w:widowControl/>
        <w:rPr>
          <w:highlight w:val="none"/>
        </w:rPr>
        <w:pBdr>
          <w:top w:val="none" w:color="auto" w:sz="0" w:space="1"/>
          <w:left w:val="none" w:color="auto" w:sz="0" w:space="4"/>
          <w:bottom w:val="none" w:color="auto" w:sz="0" w:space="1"/>
          <w:right w:val="none" w:color="auto" w:sz="0" w:space="4"/>
        </w:pBdr>
      </w:pPr>
      <w:r>
        <w:rPr>
          <w:highlight w:val="none"/>
        </w:rPr>
        <w:fldChar w:fldCharType="end"/>
      </w:r>
      <w:r>
        <w:rPr>
          <w:highlight w:val="none"/>
        </w:rPr>
      </w:r>
      <w:r/>
    </w:p>
    <w:p>
      <w:pPr>
        <w:pStyle w:val="933"/>
        <w:jc w:val="center"/>
        <w:spacing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ascii="黑体" w:hAnsi="黑体" w:eastAsia="黑体"/>
          <w:b w:val="0"/>
          <w:highlight w:val="none"/>
        </w:rPr>
      </w:r>
      <w:r>
        <w:rPr>
          <w:highlight w:val="none"/>
        </w:rPr>
      </w:r>
      <w:r/>
    </w:p>
    <w:p>
      <w:pPr>
        <w:pStyle w:val="933"/>
        <w:jc w:val="center"/>
        <w:spacing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highlight w:val="none"/>
        </w:rPr>
      </w:r>
      <w:bookmarkStart w:id="0" w:name="_Toc165205794"/>
      <w:r>
        <w:rPr>
          <w:rFonts w:hint="eastAsia" w:ascii="黑体" w:hAnsi="黑体" w:eastAsia="黑体"/>
          <w:b w:val="0"/>
          <w:highlight w:val="none"/>
        </w:rPr>
        <w:t xml:space="preserve">第一章  投标邀请</w:t>
      </w:r>
      <w:bookmarkEnd w:id="0"/>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受连云港市疾病预防控制中心的委托，江苏协鸿工程咨询有限公司就</w:t>
      </w:r>
      <w:r>
        <w:rPr>
          <w:rFonts w:hint="eastAsia"/>
          <w:sz w:val="24"/>
          <w:szCs w:val="24"/>
          <w:highlight w:val="none"/>
          <w:lang w:eastAsia="zh-CN"/>
        </w:rPr>
        <w:t xml:space="preserve">2026年第十二批采购项目-设备：液相色谱仪、实验室洗瓶机、全自动凯氏定氮仪</w:t>
      </w:r>
      <w:r>
        <w:rPr>
          <w:rFonts w:hint="eastAsia"/>
          <w:sz w:val="24"/>
          <w:szCs w:val="24"/>
          <w:highlight w:val="none"/>
        </w:rPr>
        <w:t xml:space="preserve">（</w:t>
      </w:r>
      <w:r>
        <w:rPr>
          <w:rFonts w:hint="eastAsia"/>
          <w:sz w:val="24"/>
          <w:szCs w:val="24"/>
          <w:highlight w:val="none"/>
          <w:lang w:eastAsia="zh-CN"/>
        </w:rPr>
        <w:t xml:space="preserve">JSZC-320700-XHZX-G2026-0024</w:t>
      </w:r>
      <w:r>
        <w:rPr>
          <w:rFonts w:hint="eastAsia"/>
          <w:sz w:val="24"/>
          <w:szCs w:val="24"/>
          <w:highlight w:val="none"/>
        </w:rPr>
        <w:t xml:space="preserve">）进行公开招标采购，欢迎符合条件的供应商投标。</w:t>
      </w:r>
      <w:r>
        <w:rPr>
          <w:highlight w:val="none"/>
        </w:rPr>
      </w:r>
      <w:r/>
    </w:p>
    <w:tbl>
      <w:tblPr>
        <w:tblStyle w:val="734"/>
        <w:tblW w:w="95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18"/>
      </w:tblGrid>
      <w:tr>
        <w:trPr>
          <w:jc w:val="center"/>
        </w:trPr>
        <w:tc>
          <w:tcPr>
            <w:tcW w:w="9518" w:type="dxa"/>
            <w:textDirection w:val="lrTb"/>
            <w:noWrap w:val="false"/>
          </w:tcPr>
          <w:p>
            <w:pPr>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项目概况</w:t>
            </w:r>
            <w:r>
              <w:rPr>
                <w:highlight w:val="none"/>
              </w:rPr>
            </w:r>
            <w:r/>
          </w:p>
          <w:p>
            <w:pPr>
              <w:ind w:firstLine="482"/>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b/>
                <w:bCs/>
                <w:sz w:val="24"/>
                <w:szCs w:val="24"/>
                <w:highlight w:val="none"/>
                <w:u w:val="single"/>
                <w:lang w:eastAsia="zh-CN"/>
              </w:rPr>
              <w:t xml:space="preserve">2026年第十二批采购项目-设备：液相色谱仪、实验室洗瓶机、全自动凯氏定氮仪</w:t>
            </w:r>
            <w:r>
              <w:rPr>
                <w:rFonts w:hint="eastAsia"/>
                <w:sz w:val="24"/>
                <w:szCs w:val="24"/>
                <w:highlight w:val="none"/>
              </w:rPr>
              <w:t xml:space="preserve">的潜在供应商应在</w:t>
            </w:r>
            <w:r>
              <w:rPr>
                <w:rFonts w:hint="eastAsia"/>
                <w:b/>
                <w:bCs/>
                <w:sz w:val="24"/>
                <w:szCs w:val="24"/>
                <w:highlight w:val="none"/>
                <w:u w:val="single"/>
              </w:rPr>
              <w:t xml:space="preserve">江苏政府采购网</w:t>
            </w:r>
            <w:r>
              <w:rPr>
                <w:rFonts w:hint="eastAsia"/>
                <w:sz w:val="24"/>
                <w:szCs w:val="24"/>
                <w:highlight w:val="none"/>
              </w:rPr>
              <w:t xml:space="preserve">自行免费下载招标文件，并于2026年9月16日9:00:00（北京时间）前递交（上传）投标文件。</w:t>
            </w:r>
            <w:r>
              <w:rPr>
                <w:highlight w:val="none"/>
              </w:rPr>
            </w:r>
            <w:r/>
          </w:p>
        </w:tc>
      </w:tr>
    </w:tbl>
    <w:p>
      <w:pPr>
        <w:pStyle w:val="934"/>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一、项目基本情况</w:t>
      </w:r>
      <w:r>
        <w:rPr>
          <w:highlight w:val="none"/>
        </w:rPr>
      </w:r>
      <w:r/>
    </w:p>
    <w:p>
      <w:pPr>
        <w:ind w:firstLine="480"/>
        <w:jc w:val="left"/>
        <w:spacing w:line="500" w:lineRule="exact"/>
        <w:rPr>
          <w:rFonts w:hint="eastAsia" w:eastAsia="宋体"/>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项目编号：</w:t>
      </w:r>
      <w:r>
        <w:rPr>
          <w:rFonts w:hint="eastAsia"/>
          <w:sz w:val="24"/>
          <w:szCs w:val="24"/>
          <w:highlight w:val="none"/>
          <w:lang w:eastAsia="zh-CN"/>
        </w:rPr>
        <w:t xml:space="preserve">JSZC-320700-XHZX-G2026-0024</w:t>
      </w:r>
      <w:r>
        <w:rPr>
          <w:highlight w:val="none"/>
        </w:rPr>
      </w:r>
      <w:r/>
    </w:p>
    <w:p>
      <w:pPr>
        <w:ind w:firstLine="480"/>
        <w:jc w:val="left"/>
        <w:spacing w:line="500" w:lineRule="exact"/>
        <w:rPr>
          <w:rFonts w:hint="eastAsia" w:eastAsia="宋体"/>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项目名称：</w:t>
      </w:r>
      <w:r>
        <w:rPr>
          <w:rFonts w:hint="eastAsia"/>
          <w:sz w:val="24"/>
          <w:szCs w:val="24"/>
          <w:highlight w:val="none"/>
          <w:lang w:eastAsia="zh-CN"/>
        </w:rPr>
        <w:t xml:space="preserve">2026年第十二批采购项目-设备：液相色谱仪、实验室洗瓶机、全自动凯氏定氮仪</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预算金额：159万元</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最高限价：159万元</w:t>
      </w:r>
      <w:r>
        <w:rPr>
          <w:rFonts w:hint="eastAsia"/>
          <w:sz w:val="24"/>
          <w:szCs w:val="24"/>
          <w:highlight w:val="none"/>
          <w:lang w:eastAsia="zh-CN"/>
        </w:rPr>
        <w:t xml:space="preserve">，</w:t>
      </w:r>
      <w:r>
        <w:rPr>
          <w:rFonts w:hint="eastAsia"/>
          <w:sz w:val="24"/>
          <w:szCs w:val="24"/>
          <w:highlight w:val="none"/>
          <w:lang w:val="en-US" w:eastAsia="zh-CN"/>
        </w:rPr>
        <w:t xml:space="preserve">其中</w:t>
      </w:r>
      <w:r>
        <w:rPr>
          <w:rFonts w:hint="eastAsia" w:ascii="宋体" w:hAnsi="宋体"/>
          <w:sz w:val="24"/>
          <w:szCs w:val="24"/>
          <w:highlight w:val="none"/>
        </w:rPr>
        <w:t xml:space="preserve">液相色谱仪：92万元；实验室洗瓶机：21万元/台；全自动凯氏定氮仪：25万元</w:t>
      </w:r>
      <w:r>
        <w:rPr>
          <w:rFonts w:hint="eastAsia"/>
          <w:sz w:val="24"/>
          <w:szCs w:val="24"/>
          <w:highlight w:val="none"/>
        </w:rPr>
        <w:t xml:space="preserve">，</w:t>
      </w:r>
      <w:r>
        <w:rPr>
          <w:rFonts w:hint="eastAsia" w:ascii="宋体" w:hAnsi="宋体"/>
          <w:color w:val="000000"/>
          <w:sz w:val="24"/>
          <w:highlight w:val="none"/>
        </w:rPr>
        <w:t xml:space="preserve">投标报价超过</w:t>
      </w:r>
      <w:r>
        <w:rPr>
          <w:rFonts w:hint="eastAsia" w:ascii="宋体" w:hAnsi="宋体"/>
          <w:color w:val="000000"/>
          <w:sz w:val="24"/>
          <w:highlight w:val="none"/>
          <w:lang w:val="en-US" w:eastAsia="zh-CN"/>
        </w:rPr>
        <w:t xml:space="preserve">以上</w:t>
      </w:r>
      <w:r>
        <w:rPr>
          <w:rFonts w:hint="eastAsia" w:ascii="宋体" w:hAnsi="宋体"/>
          <w:color w:val="000000"/>
          <w:sz w:val="24"/>
          <w:highlight w:val="none"/>
        </w:rPr>
        <w:t xml:space="preserve">最高限价的投标无效。</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采购方式：公开招标</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采购需求：连云港市疾病预防控制中心采购设备：液相色谱仪、实验室洗瓶机、全自动凯氏定氮仪，具体详见第四章采购需求。</w:t>
      </w:r>
      <w:r>
        <w:rPr>
          <w:highlight w:val="none"/>
        </w:rPr>
      </w:r>
      <w:r/>
    </w:p>
    <w:p>
      <w:pPr>
        <w:ind w:firstLine="482"/>
        <w:jc w:val="left"/>
        <w:spacing w:line="500" w:lineRule="exact"/>
        <w:rPr>
          <w:b/>
          <w:sz w:val="24"/>
          <w:szCs w:val="24"/>
          <w:highlight w:val="none"/>
        </w:rPr>
        <w:pBdr>
          <w:top w:val="none" w:color="auto" w:sz="0" w:space="1"/>
          <w:left w:val="none" w:color="auto" w:sz="0" w:space="4"/>
          <w:bottom w:val="none" w:color="auto" w:sz="0" w:space="1"/>
          <w:right w:val="none" w:color="auto" w:sz="0" w:space="4"/>
        </w:pBdr>
      </w:pPr>
      <w:r>
        <w:rPr>
          <w:rFonts w:hint="eastAsia"/>
          <w:b/>
          <w:sz w:val="24"/>
          <w:szCs w:val="24"/>
          <w:highlight w:val="none"/>
        </w:rPr>
        <w:t xml:space="preserve">对本项目资格要求、采购需求、评标方法与评标标准等部分的询问、质疑请与采购人联系，由采购人负责答复。</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合同履行期限（</w:t>
      </w:r>
      <w:r>
        <w:rPr>
          <w:rFonts w:hint="eastAsia" w:ascii="Times New Roman"/>
          <w:sz w:val="24"/>
          <w:szCs w:val="24"/>
          <w:highlight w:val="none"/>
        </w:rPr>
        <w:t xml:space="preserve">交货期</w:t>
      </w:r>
      <w:r>
        <w:rPr>
          <w:rFonts w:hint="eastAsia"/>
          <w:sz w:val="24"/>
          <w:szCs w:val="24"/>
          <w:highlight w:val="none"/>
        </w:rPr>
        <w:t xml:space="preserve">）：</w:t>
      </w:r>
      <w:r>
        <w:rPr>
          <w:rFonts w:hint="eastAsia" w:ascii="宋体" w:hAnsi="宋体"/>
          <w:sz w:val="24"/>
          <w:szCs w:val="24"/>
          <w:highlight w:val="none"/>
        </w:rPr>
        <w:t xml:space="preserve">合同签订后60天内完成安装调试，达到预期效果。</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本项目（是/否）接受联合体投标：不接受联合体。</w:t>
      </w:r>
      <w:r>
        <w:rPr>
          <w:highlight w:val="none"/>
        </w:rPr>
      </w:r>
      <w:r/>
    </w:p>
    <w:p>
      <w:pPr>
        <w:pStyle w:val="934"/>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二、申请人的资格要求</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（一）满足《中华人民共和国政府采购法》第二十二条规定，并提供下列材料：</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1.法人或者其他组织的营业执照等证明文件，自然人的身份证明；</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2.2024或2025年度的财务状况报告；（成立不满一年无需提供）</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3.依法缴纳税收和社会保障资金的相关材料；（提供提交投标文件截止时间前一年内至少一个月依法缴纳税收及缴纳社会保障资金的证明材料，供应商依法享受缓缴、免缴税收、社会保障资金的提供证明材料）</w:t>
      </w:r>
      <w:r>
        <w:rPr>
          <w:highlight w:val="none"/>
        </w:rPr>
      </w:r>
      <w:r/>
    </w:p>
    <w:p>
      <w:pPr>
        <w:ind w:firstLine="480"/>
        <w:jc w:val="left"/>
        <w:spacing w:line="500" w:lineRule="exact"/>
        <w:rPr>
          <w:b/>
          <w:bCs/>
          <w:sz w:val="24"/>
          <w:szCs w:val="24"/>
          <w:highlight w:val="none"/>
        </w:rPr>
        <w:pBdr>
          <w:top w:val="none" w:color="auto" w:sz="0" w:space="1"/>
          <w:left w:val="none" w:color="auto" w:sz="0" w:space="4"/>
          <w:bottom w:val="none" w:color="auto" w:sz="0" w:space="1"/>
          <w:right w:val="none" w:color="auto" w:sz="0" w:space="4"/>
        </w:pBdr>
      </w:pPr>
      <w:r>
        <w:rPr>
          <w:rFonts w:hint="eastAsia"/>
          <w:b/>
          <w:bCs/>
          <w:sz w:val="24"/>
          <w:szCs w:val="24"/>
          <w:highlight w:val="none"/>
        </w:rPr>
        <w:t xml:space="preserve">（根据连财购〔2023〕4号文件精神，2、3项可以提供《财务状况报告及税收、社会保障资金缴纳情况承诺函》，详见第六章 投标文件格式）</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4.具备履行合同所必需的设备和专业技术能力的声明及证明材料；</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5.参加政府采购活动前3年内在经营活动中没有重大违法记录的书面声明；</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6.法律、行政法规规定的其他条件；（如有，请按要求提供）</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7.资格审查现场查询信用中国、中国政府采购网，供应商被列入失信被执行人、</w:t>
      </w:r>
      <w:r>
        <w:rPr>
          <w:sz w:val="24"/>
          <w:szCs w:val="24"/>
          <w:highlight w:val="none"/>
        </w:rPr>
        <w:t xml:space="preserve">税收违法黑名单</w:t>
      </w:r>
      <w:r>
        <w:rPr>
          <w:rFonts w:hint="eastAsia"/>
          <w:sz w:val="24"/>
          <w:szCs w:val="24"/>
          <w:highlight w:val="none"/>
        </w:rPr>
        <w:t xml:space="preserve">、政府采购严重违法失信行为记录名单及具有其他不符合《中华人民共和国政府采购法》第二十二条规定情形的，拒绝其参与政府采购活动。（投标文件中无需提供证明材料）</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8.本项目不接受进口产品（进口产品是指通过中国海关报关验放进入中国境内且产自关境外的产品）。</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（二）落实政府采购政策需满足的资格要求：无。</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（三）本项目的特定资格要求：无。</w:t>
      </w:r>
      <w:r>
        <w:rPr>
          <w:highlight w:val="none"/>
        </w:rPr>
      </w:r>
      <w:r/>
    </w:p>
    <w:p>
      <w:pPr>
        <w:pStyle w:val="934"/>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三、获取招标文件</w:t>
      </w:r>
      <w:r>
        <w:rPr>
          <w:highlight w:val="none"/>
        </w:rPr>
      </w:r>
      <w:r/>
    </w:p>
    <w:p>
      <w:pPr>
        <w:ind w:firstLine="480"/>
        <w:jc w:val="left"/>
        <w:spacing w:line="500" w:lineRule="exact"/>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时间：自招标公告发布之日起至2026年9</w:t>
      </w:r>
      <w:r>
        <w:rPr>
          <w:rFonts w:hint="eastAsia" w:ascii="宋体" w:hAnsi="宋体"/>
          <w:sz w:val="24"/>
          <w:szCs w:val="24"/>
          <w:highlight w:val="none"/>
        </w:rPr>
        <w:t xml:space="preserve">月1</w:t>
      </w:r>
      <w:r>
        <w:rPr>
          <w:rFonts w:hint="eastAsia" w:ascii="宋体" w:hAnsi="宋体"/>
          <w:sz w:val="24"/>
          <w:szCs w:val="24"/>
          <w:highlight w:val="none"/>
        </w:rPr>
        <w:t xml:space="preserve">日</w:t>
      </w:r>
      <w:r>
        <w:rPr>
          <w:rFonts w:hint="eastAsia"/>
          <w:sz w:val="24"/>
          <w:szCs w:val="24"/>
          <w:highlight w:val="none"/>
        </w:rPr>
        <w:t xml:space="preserve">（北京时间）</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地点：江苏政府采购网</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方式：供应商办理江苏省政府采购交易系统CA数字证书，登录“苏采云”政府采购交易系统，自行下载。</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售价：0.00元</w:t>
      </w:r>
      <w:r>
        <w:rPr>
          <w:highlight w:val="none"/>
        </w:rPr>
      </w:r>
      <w:r/>
    </w:p>
    <w:p>
      <w:pPr>
        <w:pStyle w:val="934"/>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四、提交投标文件截止时间、开标时间和地点</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提交投标文件截止时间：2026年9月16日9:00:00（北京时间）</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开标时间：提交投标文件截止时间</w:t>
      </w:r>
      <w:r>
        <w:rPr>
          <w:highlight w:val="none"/>
        </w:rPr>
      </w:r>
      <w:r/>
    </w:p>
    <w:p>
      <w:pPr>
        <w:ind w:firstLine="480"/>
        <w:jc w:val="left"/>
        <w:spacing w:line="500" w:lineRule="exact"/>
        <w:rPr>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开标地点：“苏采云”政府采购交易系统网上开标大厅</w:t>
      </w:r>
      <w:r>
        <w:rPr>
          <w:highlight w:val="none"/>
        </w:rPr>
      </w:r>
      <w:r/>
    </w:p>
    <w:p>
      <w:pPr>
        <w:pStyle w:val="934"/>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五、公告期限</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自本公告发布之日起5个工作日。</w:t>
      </w:r>
      <w:r>
        <w:rPr>
          <w:highlight w:val="none"/>
        </w:rPr>
      </w:r>
      <w:r/>
    </w:p>
    <w:p>
      <w:pPr>
        <w:pStyle w:val="934"/>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六、其他补充事宜</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1.本次招标不收取投标保证金。</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2.本招标文件中</w:t>
      </w:r>
      <w:r>
        <w:rPr>
          <w:rFonts w:hint="eastAsia"/>
          <w:i/>
          <w:iCs/>
          <w:color w:val="c00000"/>
          <w:sz w:val="24"/>
          <w:szCs w:val="24"/>
          <w:highlight w:val="none"/>
          <w:u w:val="single"/>
        </w:rPr>
        <w:t xml:space="preserve">斜体且有下划线</w:t>
      </w:r>
      <w:r>
        <w:rPr>
          <w:rFonts w:hint="eastAsia"/>
          <w:sz w:val="24"/>
          <w:szCs w:val="24"/>
          <w:highlight w:val="none"/>
        </w:rPr>
        <w:t xml:space="preserve">部分为实质性要求和条件，由采购人根据实际情况设置，供应商须逐条明确作出满足实质性要求和条件的响应，否则将按无效响应处理。</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无论出于何种原因，采购人及其委托的采购代理机构在采购活动开始前可对招标文件进行修改、补充或者变更，其内容作为招标文件的重要组成部分，请各供应商关注江苏政府采购网。若因供应商自身原因未及时关注本项目有关修改、补充或者变更信息，导致投标文件编制或者提交失误，由此造成的一切损失由供应商自行承担。</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http://www.ccgp-jiangsu.gov.cn/jiangsu/zlxz/ee/ee3a4bc5a3454aa2b0d9312230633ce9.html</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请供应商按照《操作手册》要求获取招标文件，制作、递交（上传）电子投标文件，参加开标，澄清、说明或者补正。因供应商未按要求操作原因导致电子投标文件被拒绝、造成无效响应的，自行承担一切损失。</w:t>
      </w:r>
      <w:r>
        <w:rPr>
          <w:highlight w:val="none"/>
        </w:rPr>
      </w:r>
      <w:r/>
    </w:p>
    <w:p>
      <w:pPr>
        <w:pStyle w:val="934"/>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七、对本次招标提出询问，请按以下方式联系</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1.采购人信息</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名    称：连云港市疾病预防控制中心</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地    址：江苏省连云港市海州区迎曙路99号</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联 系 人：</w:t>
      </w:r>
      <w:r>
        <w:rPr>
          <w:rFonts w:hint="eastAsia"/>
          <w:sz w:val="24"/>
          <w:szCs w:val="24"/>
          <w:highlight w:val="none"/>
          <w:lang w:val="en-US" w:eastAsia="zh-CN"/>
        </w:rPr>
        <w:t xml:space="preserve">沈</w:t>
      </w:r>
      <w:bookmarkStart w:id="29" w:name="_GoBack"/>
      <w:r>
        <w:rPr>
          <w:highlight w:val="none"/>
        </w:rPr>
      </w:r>
      <w:bookmarkEnd w:id="29"/>
      <w:r>
        <w:rPr>
          <w:rFonts w:hint="eastAsia"/>
          <w:sz w:val="24"/>
          <w:szCs w:val="24"/>
          <w:highlight w:val="none"/>
        </w:rPr>
        <w:t xml:space="preserve">老师</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联系电话：0518-85606056</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2.采购代理机构信息</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名    称：江苏协鸿工程咨询有限公司</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地    址：</w:t>
      </w:r>
      <w:r>
        <w:rPr>
          <w:rFonts w:hint="eastAsia" w:ascii="宋体" w:hAnsi="宋体" w:cs="宋体"/>
          <w:sz w:val="24"/>
          <w:szCs w:val="28"/>
          <w:highlight w:val="none"/>
        </w:rPr>
        <w:t xml:space="preserve">连云港市海州区秦东门大街兴亿达大厦西厅14楼</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联 系 人：陈工</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联系电话：0518-82341968</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3.项目联系方式</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项目联系人：陈工</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电      话：0518-82341968</w:t>
      </w:r>
      <w:r>
        <w:rPr>
          <w:highlight w:val="none"/>
        </w:rPr>
      </w:r>
      <w:r/>
    </w:p>
    <w:p>
      <w:pPr>
        <w:jc w:val="left"/>
        <w:widowControl/>
        <w:rPr>
          <w:rFonts w:ascii="黑体" w:hAnsi="黑体" w:eastAsia="黑体"/>
          <w:bCs/>
          <w:sz w:val="44"/>
          <w:szCs w:val="44"/>
          <w:highlight w:val="none"/>
        </w:rPr>
        <w:pBdr>
          <w:top w:val="none" w:color="auto" w:sz="0" w:space="1"/>
          <w:left w:val="none" w:color="auto" w:sz="0" w:space="4"/>
          <w:bottom w:val="none" w:color="auto" w:sz="0" w:space="1"/>
          <w:right w:val="none" w:color="auto" w:sz="0" w:space="4"/>
        </w:pBdr>
      </w:pPr>
      <w:r>
        <w:rPr>
          <w:rFonts w:ascii="黑体" w:hAnsi="黑体" w:eastAsia="黑体"/>
          <w:b/>
          <w:highlight w:val="none"/>
        </w:rPr>
        <w:br w:type="page" w:clear="all"/>
      </w:r>
      <w:r>
        <w:rPr>
          <w:highlight w:val="none"/>
        </w:rPr>
      </w:r>
      <w:r/>
    </w:p>
    <w:p>
      <w:pPr>
        <w:pStyle w:val="933"/>
        <w:jc w:val="center"/>
        <w:spacing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highlight w:val="none"/>
        </w:rPr>
      </w:r>
      <w:bookmarkStart w:id="1" w:name="_Toc165205795"/>
      <w:r>
        <w:rPr>
          <w:rFonts w:hint="eastAsia" w:ascii="黑体" w:hAnsi="黑体" w:eastAsia="黑体"/>
          <w:b w:val="0"/>
          <w:highlight w:val="none"/>
        </w:rPr>
        <w:t xml:space="preserve">第二章  供应商须知</w:t>
      </w:r>
      <w:bookmarkEnd w:id="1"/>
      <w:r>
        <w:rPr>
          <w:highlight w:val="none"/>
        </w:rPr>
      </w:r>
      <w:r/>
    </w:p>
    <w:p>
      <w:pPr>
        <w:pStyle w:val="934"/>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一、总则</w:t>
      </w:r>
      <w:r>
        <w:rPr>
          <w:highlight w:val="none"/>
        </w:rPr>
      </w:r>
      <w:r/>
    </w:p>
    <w:p>
      <w:pPr>
        <w:pStyle w:val="935"/>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1、采购方式</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1.1 本次招标采取公开招标方式，本招标文件仅适用于招标公告中所述项目。</w:t>
      </w:r>
      <w:r>
        <w:rPr>
          <w:highlight w:val="none"/>
        </w:rPr>
      </w:r>
      <w:r/>
    </w:p>
    <w:p>
      <w:pPr>
        <w:pStyle w:val="935"/>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2、合格的供应商</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2.1 满足招标公告中申请人的资格要求的规定。</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2.3 满足本招标文件全部实质性要求和条件的规定。</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2.4 符合上述条件的供应商应承担投标及履约过程应承担的全部责任与义务。</w:t>
      </w:r>
      <w:r>
        <w:rPr>
          <w:highlight w:val="none"/>
        </w:rPr>
      </w:r>
      <w:r/>
    </w:p>
    <w:p>
      <w:pPr>
        <w:pStyle w:val="935"/>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3、适用法律</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3.1 本次招标及由此产生的合同受中华人民共和国有关的法律法规制约和保护。</w:t>
      </w:r>
      <w:r>
        <w:rPr>
          <w:highlight w:val="none"/>
        </w:rPr>
      </w:r>
      <w:r/>
    </w:p>
    <w:p>
      <w:pPr>
        <w:pStyle w:val="935"/>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4、投标费用</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4.1 供应商应自行承担所有与参与投标有关的费用，无论投标过程中的做法和结果如何，采购人和江苏协鸿工程咨询有限公司（以下简称采购代理机构）在任何情况下均无义务和责任承担这些费用。</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4.2 </w:t>
      </w:r>
      <w:r>
        <w:rPr>
          <w:rFonts w:cs="Calibri"/>
          <w:color w:val="000000"/>
          <w:sz w:val="24"/>
          <w:szCs w:val="24"/>
          <w:highlight w:val="none"/>
        </w:rPr>
        <w:t xml:space="preserve">供应商投标时报价须包含代理费（供应商在投标报价时可综合考虑此费用，不单列）。依据本项目委托代理协议约定，</w:t>
      </w:r>
      <w:r>
        <w:rPr>
          <w:rFonts w:hint="eastAsia"/>
          <w:sz w:val="24"/>
          <w:szCs w:val="24"/>
          <w:highlight w:val="none"/>
        </w:rPr>
        <w:t xml:space="preserve">本项目采购代理费根据苏招协【2022】002号收费标准的69.99%计取，由中标人支付。支付方式：电汇、网银、现金。</w:t>
      </w:r>
      <w:r>
        <w:rPr>
          <w:highlight w:val="none"/>
        </w:rPr>
      </w:r>
      <w:r/>
    </w:p>
    <w:p>
      <w:pPr>
        <w:pStyle w:val="935"/>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5、招标文件的约束力</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5.1 供应商一旦参与本项目采购活动，即被认为接受了本招标文件的规定和约束。</w:t>
      </w:r>
      <w:r>
        <w:rPr>
          <w:highlight w:val="none"/>
        </w:rPr>
      </w:r>
      <w:r/>
    </w:p>
    <w:p>
      <w:pPr>
        <w:pStyle w:val="934"/>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二、招标文件</w:t>
      </w:r>
      <w:r>
        <w:rPr>
          <w:highlight w:val="none"/>
        </w:rPr>
      </w:r>
      <w:r/>
    </w:p>
    <w:p>
      <w:pPr>
        <w:pStyle w:val="935"/>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6、招标文件的构成</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6.1 招标文件由以下部分构成：</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（1）投标邀请</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（2）供应商须知</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（3）合同文本</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（4）采购需求</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（5）评标方法与评标标准</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（6）投标文件格式</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请仔细检查招标文件是否齐全，如有缺漏请立即与采购代理机构联系解决。</w:t>
      </w:r>
      <w:r>
        <w:rPr>
          <w:highlight w:val="none"/>
        </w:rPr>
      </w:r>
      <w:r/>
    </w:p>
    <w:p>
      <w:pPr>
        <w:pStyle w:val="935"/>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7、招标文件的澄清</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7.1 任何要求对招标文件进行澄清的供应商，应在投标截止时间十日前按招标公告中的通讯地址，以书面形式通知采购人或者采购代理机构。</w:t>
      </w:r>
      <w:r>
        <w:rPr>
          <w:highlight w:val="none"/>
        </w:rPr>
      </w:r>
      <w:r/>
    </w:p>
    <w:p>
      <w:pPr>
        <w:pStyle w:val="935"/>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8、招标文件的修改</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8.1 在投标截止时间前，采购人和采购代理机构可以对招标文件进行修改。</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8.2 采购人和采购代理机构有权按照法定的要求推迟投标截止时间和开标时间。</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8.3 招标文件的修改将在江苏政府采购网公布，补充文件将作为招标文件的组成部分，并对供应商具有约束力。</w:t>
      </w:r>
      <w:r>
        <w:rPr>
          <w:highlight w:val="none"/>
        </w:rPr>
      </w:r>
      <w:r/>
    </w:p>
    <w:p>
      <w:pPr>
        <w:pStyle w:val="934"/>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三、投标文件编制</w:t>
      </w:r>
      <w:r>
        <w:rPr>
          <w:highlight w:val="none"/>
        </w:rPr>
      </w:r>
      <w:r/>
    </w:p>
    <w:p>
      <w:pPr>
        <w:pStyle w:val="935"/>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9、投标文件编写注意事项</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9.1 供应商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9.2 对招标文件提出的实质性要求和条件作出响应是指供应商必须对招标文件中标明实质性要求和条件的技术参数及性能配置、数量、价格、售后服务、合同主要条款及其它要求等内容逐条作出满足原要求和条件的响应。</w:t>
      </w:r>
      <w:r>
        <w:rPr>
          <w:highlight w:val="none"/>
        </w:rPr>
      </w:r>
      <w:r/>
    </w:p>
    <w:p>
      <w:pPr>
        <w:pStyle w:val="935"/>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10、投标文件的语言及度量衡单位</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10.1 除专用术语外，供应商提交的投标文件以及供应商与采购人和采购代理机构就有关投标的所有来往通知、函件和文件均应使用简体中文。必要时专用术语应附有中文解释。供应商提交的支持资料和已印制的文献可以使用外文，但相应内容应附有中文翻译本，在解释投标文件时以中文翻译本为准。未附中文翻译本或翻译本中文内容明显与外文内容不一致的，其不利后果由供应商自行承担。</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10.2 除技术性能另有规定外，投标文件所使用的度量衡单位，均须采用国家法定计量单位。</w:t>
      </w:r>
      <w:r>
        <w:rPr>
          <w:highlight w:val="none"/>
        </w:rPr>
      </w:r>
      <w:r/>
    </w:p>
    <w:p>
      <w:pPr>
        <w:pStyle w:val="935"/>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11、投标文件的构成</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11.1 供应商编写的投标文件应包括资格证明文件、符合性证明文件、投标分项报价表、技术要求响应及偏离表、商务要求响应及偏离表、其他证明文件、投标函、开标一览表等部分。</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11.2 如投标文件制作工具中格式和内容与江苏政府采购网发布的招标文件不一致，请以江苏政府采购网发布的招标文件为准。</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11.3 特别提醒供应商，混乱的编排导致投标文件被误读或评标委员会（以下简称评委会）查找不到有效文件是供应商的风险。</w:t>
      </w:r>
      <w:r>
        <w:rPr>
          <w:highlight w:val="none"/>
        </w:rPr>
      </w:r>
      <w:r/>
    </w:p>
    <w:p>
      <w:pPr>
        <w:pStyle w:val="935"/>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12、证明供应商及投标标的符合招标文件规定的文件</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12.1 供应商应按照招标文件要求提交证明文件，证明其及投标标的符合招标文件规定。</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12.2 招标文件对证明文件无明确形式要求的，证明文件可以以文字资料、图纸和数据等形式提交。</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12.3 供应商委托代理时应当提交授权委托书，请按招标文件第六章给定格式及要求填写并附法定代表人（单位负责人）与委托代理人身份证明。</w:t>
      </w:r>
      <w:r>
        <w:rPr>
          <w:highlight w:val="none"/>
        </w:rPr>
      </w:r>
      <w:r/>
    </w:p>
    <w:p>
      <w:pPr>
        <w:pStyle w:val="935"/>
        <w:ind w:firstLine="562"/>
        <w:jc w:val="left"/>
        <w:spacing w:before="0" w:after="0" w:line="360" w:lineRule="auto"/>
        <w:rPr>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13、投标分项报价表</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（1）投标的货物总价；</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（2）货物的标准附件、备品备件、专用工具、运输、装卸等各种费用；</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（3）必要的保险费用和各项税金；</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（4）投标总价要求包含安装维保费用。</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13.2 供应商应根据投标报价要求在投标分项报价表中列明各项投标单价、总价等，未全部列示的作无效响应处理。</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13.3 投标文件中的单价和总价无特殊规定的采用人民币报价，以元为单位标注。招标文件中另有规定的按规定执行。</w:t>
      </w:r>
      <w:r>
        <w:rPr>
          <w:highlight w:val="none"/>
        </w:rPr>
      </w:r>
      <w:r/>
    </w:p>
    <w:p>
      <w:pPr>
        <w:pStyle w:val="935"/>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14、技术要求响应及偏离表、商务要求响应及偏离表</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招标文件中的技术要求与商务要求逐项作出响应或偏离。</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14.2 供应商可在投标文件中提供认为需要的其他技术文件或说明。</w:t>
      </w:r>
      <w:r>
        <w:rPr>
          <w:highlight w:val="none"/>
        </w:rPr>
      </w:r>
      <w:r/>
    </w:p>
    <w:p>
      <w:pPr>
        <w:pStyle w:val="935"/>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15、服务承诺、培训计划、人员安排及其他</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15.1 供应商应根据招标文件要求提供有关售后服务的管理制度，售后服务机构的分布情况，售后服务人员的数量、素质、技术水平及售后服务的反应能力等。</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15.2 供应商应根据招标文件要求提供培训计划、人员安排等。</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15.3 供应商应根据招标文件要求提供所投标的的主要组成部分、功能设计、实现思路及关键技术等。</w:t>
      </w:r>
      <w:r>
        <w:rPr>
          <w:highlight w:val="none"/>
        </w:rPr>
      </w:r>
      <w:r/>
    </w:p>
    <w:p>
      <w:pPr>
        <w:pStyle w:val="935"/>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16、投标函和开标一览表</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16.1 供应商应按照招标文件提供的格式完整、正确填写投标函、开标一览表。</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16.2 对于采用货币报价的项目，开标一览表中的投标总报价应与投标分项报价表中的投标总报价一致，如不一致，不作无效投标处理，但评标时以开标一览表中价格为准。</w:t>
      </w:r>
      <w:r>
        <w:rPr>
          <w:highlight w:val="none"/>
        </w:rPr>
      </w:r>
      <w:r/>
    </w:p>
    <w:p>
      <w:pPr>
        <w:pStyle w:val="935"/>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17、投标有效期</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17.1 投标有效期为招标文件规定的开标之日后一百二</w:t>
      </w:r>
      <w:r>
        <w:rPr>
          <w:rFonts w:hint="eastAsia"/>
          <w:sz w:val="24"/>
          <w:szCs w:val="24"/>
          <w:highlight w:val="none"/>
        </w:rPr>
        <w:t xml:space="preserve">十</w:t>
      </w:r>
      <w:r>
        <w:rPr>
          <w:rFonts w:hint="eastAsia"/>
          <w:sz w:val="24"/>
          <w:szCs w:val="24"/>
          <w:highlight w:val="none"/>
        </w:rPr>
        <w:t xml:space="preserve">（120）天。投标有效期比规定短的将被视为未实质性响应招标文件而予以拒绝。</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17.2 在特殊情况下（法律法规另有规定的除外），经监管部门批准后，采购代理机构于原投标有效期满之前可向供应商提出延长投标有效期的要求。这种要求与答复均应采用书面形式。供应商可以拒绝采购代理机构的这一要求而放弃投标，同意延长投标有效期的供应商既不能要求也不允许修改其投标文件。受投标有效期约束的所有权利与义务均延长至新的有效期。</w:t>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ind w:firstLine="573"/>
        <w:jc w:val="left"/>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pStyle w:val="934"/>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四、投标文件递交</w:t>
      </w:r>
      <w:r>
        <w:rPr>
          <w:highlight w:val="none"/>
        </w:rPr>
      </w:r>
      <w:r/>
    </w:p>
    <w:p>
      <w:pPr>
        <w:pStyle w:val="935"/>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18、电子投标文件的递交</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18.1 供应商应当按照《操作手册》规定，在投标截止时间前制作并递交（上传）电子投标文件。</w:t>
      </w:r>
      <w:r>
        <w:rPr>
          <w:highlight w:val="none"/>
        </w:rPr>
      </w:r>
      <w:r/>
    </w:p>
    <w:p>
      <w:pPr>
        <w:pStyle w:val="935"/>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19、投标截止时间</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19.1 供应商递交（上传）电子投标文件的时间不得迟于招标公告中规定的投标截止时间。</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供应商应充分考虑计算机硬件、软件及网络环境等风险因素，如因供应商自身原因造成电子投标文件递交（上传）不成功的按照本招标文件第二章第27.1条规定作无效投标处理。</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19.2 采购人和采购代理机构可以按照规定，通过修改招标文件酌情延长投标截止时间，在此情况下，供应商的所有权利和义务以及供应商受制的截止时间均应以延长后新的截止时间为准。</w:t>
      </w:r>
      <w:r>
        <w:rPr>
          <w:highlight w:val="none"/>
        </w:rPr>
      </w:r>
      <w:r/>
    </w:p>
    <w:p>
      <w:pPr>
        <w:pStyle w:val="935"/>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20、投标文件的拒收</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20.1 采购代理机构拒绝接收在招标文件规定的投标截止时间后递交（上传）的任何投标文件。</w:t>
      </w:r>
      <w:r>
        <w:rPr>
          <w:highlight w:val="none"/>
        </w:rPr>
      </w:r>
      <w:r/>
    </w:p>
    <w:p>
      <w:pPr>
        <w:pStyle w:val="935"/>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21、投标文件的撤回和修改</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21.1 供应商可在投标截止时间前，撤回其电子投标文件，具体操作方法见《操作手册》。供应商撤回电子投标文件的，则认为其不再参与本项目采购活动。</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21.2 供应商可在投标截止时间前，对其电子投标文件进行修改，具体操作方法见《操作手册》。在投标截止时间之后，供应商不得对其电子投标文件做任何修改。</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21.3 在投标截止时间至招标文件规定的投标有效期满之间的这段时间内，供应商不得撤回其投标。</w:t>
      </w:r>
      <w:r>
        <w:rPr>
          <w:highlight w:val="none"/>
        </w:rPr>
      </w:r>
      <w:r/>
    </w:p>
    <w:p>
      <w:pPr>
        <w:pStyle w:val="934"/>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五、开标与评标</w:t>
      </w:r>
      <w:r>
        <w:rPr>
          <w:highlight w:val="none"/>
        </w:rPr>
      </w:r>
      <w:r/>
    </w:p>
    <w:p>
      <w:pPr>
        <w:pStyle w:val="935"/>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22、开标</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22.1 采购代理机构将在招标公告中规定的时间和地点组织公开开标。供应商应当按时参加开标活动，并在“苏采云”系统规定的时间内对其投标文件进行解密。</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22.2 开标仪式由采购代理机构组织。“苏采云”系统将自动对项目进行开标，并宣布各供应商名称和投标价格。</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22.3 供应商在开标过程中涉及到的投标文件解密、开标结果确认等工作，应当按照《操作手册》规定执行。</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22.4 供应商如果对开标过程和开标记录有疑义，应当按照《操作手册》规定提出，未在“苏采云”系统《开标记录表》宣布后5分钟内提出的，视同认可开标结果。</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22.5 供应商未参加开标的，视同认可开标结果。</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22.6 供应商在开标、评标全过程中应保持通讯畅通，及时登录“苏采云”系统查阅、答复相关信息，并安排专人与采购代理机构及评委会联系。</w:t>
      </w:r>
      <w:r>
        <w:rPr>
          <w:highlight w:val="none"/>
        </w:rPr>
      </w:r>
      <w:r/>
    </w:p>
    <w:p>
      <w:pPr>
        <w:pStyle w:val="935"/>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23、评标委员会</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23.1 开标后，采购代理机构将组织评委会进行评标。</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23.2 评委会由采购人代表和有关技术、经济等方面的评审专家组成，且人员构成符合政府采购有关规定。</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23.3 评委会按照采购文件规定的评审程序、评审方法和评审标准进行独立评审并确定中标候选人。</w:t>
      </w:r>
      <w:r>
        <w:rPr>
          <w:highlight w:val="none"/>
        </w:rPr>
      </w:r>
      <w:r/>
    </w:p>
    <w:p>
      <w:pPr>
        <w:pStyle w:val="935"/>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24、评标过程的保密与公正</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24.1 凡是与审查、澄清、评价和比较投标的有关资料以及授标建议等，采购人、评审专家、采购代理机构均不得向供应商或与评标无关的其他人员透露。</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24.2 在评标过程中，供应商不得以任何行为影响评标过程，否则其投标文件将被作为无效投标文件。</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24.3 采购代理机构和评委会不向未中标的供应商解释未中标原因，也不公布评标过程中的相关细节。</w:t>
      </w:r>
      <w:r>
        <w:rPr>
          <w:highlight w:val="none"/>
        </w:rPr>
      </w:r>
      <w:r/>
    </w:p>
    <w:p>
      <w:pPr>
        <w:pStyle w:val="935"/>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25、投标文件的澄清</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25.1 评标期间，评委会对投标文件中含义不明确、同类问题表述不一致或者有明显文字和计算错误的内容，有权要求供应商作出必要的澄清、说明或者补正。</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供应商的澄清、说明或者补正应当采用书面形式，并加盖公章，或者由法定代表人（单位负责人）或其授权的代表签字。供应商的澄清、说明或者补正不得超出投标文件的范围或者改变投标文件的实质性内容。</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评委会并非对每个供应商都提出澄清、说明或者补正要求。</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25.2 需要供应商进行澄清、说明或者补正的，评委会将通过“苏采云”系统向供应商发出“澄清要求函”，接到“澄清要求函”的供应商应当按照要求在“苏采云”系统中提交“澄清响应函”，并加盖CA电子公章。澄清、说明或者补正的内容作为投标文件的补充部分，具体操作方法见《操作手册》。</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25.3 接到评委会澄清、说明或者补正要求的供应商如未按要求响应，其风险由供应商自行承担。</w:t>
      </w:r>
      <w:r>
        <w:rPr>
          <w:highlight w:val="none"/>
        </w:rPr>
      </w:r>
      <w:r/>
    </w:p>
    <w:p>
      <w:pPr>
        <w:pStyle w:val="935"/>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26、对投标文件的审查</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26.1 投标文件审查分为资格审查和符合性审查。</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（1）资格审查：采购人依据法律法规和招标文件的规定，对投标文件中的资格证明文件进行审查。资格审查的结论，采购人以书面形式向评委会进行反馈。</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采购人在进行资格审查的同时，将在信用中国网站（www.creditchina.gov.cn）、中国政府采购网（www.ccgp.gov.cn）查询供应商的信用记录，以确定供应商是否具备投标资格，查询结果留存并归档。</w:t>
      </w:r>
      <w:r>
        <w:rPr>
          <w:highlight w:val="none"/>
        </w:rPr>
      </w:r>
      <w:r/>
    </w:p>
    <w:p>
      <w:pPr>
        <w:ind w:firstLine="480"/>
        <w:jc w:val="left"/>
        <w:spacing w:line="500" w:lineRule="exact"/>
        <w:rPr>
          <w:color w:val="000000"/>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接受联合体的项目，两个以上的自然人、法人或者其他组织组成一个联合体，以一个供应商的身份共同参与政府采购活动的，联合体成员中任何一方存在不良信</w:t>
      </w:r>
      <w:r>
        <w:rPr>
          <w:rFonts w:hint="eastAsia"/>
          <w:color w:val="000000"/>
          <w:sz w:val="24"/>
          <w:szCs w:val="24"/>
          <w:highlight w:val="none"/>
        </w:rPr>
        <w:t xml:space="preserve">用记录的，视同联合体存在不良信用记录。</w:t>
      </w:r>
      <w:r>
        <w:rPr>
          <w:highlight w:val="none"/>
        </w:rPr>
      </w:r>
      <w:r/>
    </w:p>
    <w:p>
      <w:pPr>
        <w:ind w:firstLine="480"/>
        <w:jc w:val="left"/>
        <w:spacing w:line="500" w:lineRule="exact"/>
        <w:rPr>
          <w:color w:val="000000"/>
          <w:sz w:val="24"/>
          <w:szCs w:val="24"/>
          <w:highlight w:val="none"/>
        </w:rPr>
        <w:pBdr>
          <w:top w:val="none" w:color="auto" w:sz="0" w:space="1"/>
          <w:left w:val="none" w:color="auto" w:sz="0" w:space="4"/>
          <w:bottom w:val="none" w:color="auto" w:sz="0" w:space="1"/>
          <w:right w:val="none" w:color="auto" w:sz="0" w:space="4"/>
        </w:pBdr>
      </w:pPr>
      <w:r>
        <w:rPr>
          <w:rFonts w:hint="eastAsia"/>
          <w:color w:val="000000"/>
          <w:sz w:val="24"/>
          <w:szCs w:val="24"/>
          <w:highlight w:val="none"/>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color w:val="000000"/>
          <w:sz w:val="24"/>
          <w:szCs w:val="24"/>
          <w:highlight w:val="none"/>
        </w:rPr>
        <w:t xml:space="preserve">且</w:t>
      </w:r>
      <w:r>
        <w:rPr>
          <w:rFonts w:hint="eastAsia"/>
          <w:color w:val="000000"/>
          <w:sz w:val="24"/>
          <w:szCs w:val="24"/>
          <w:highlight w:val="none"/>
        </w:rPr>
        <w:t xml:space="preserve">与招标文件的</w:t>
      </w:r>
      <w:r>
        <w:rPr>
          <w:color w:val="000000"/>
          <w:sz w:val="24"/>
          <w:szCs w:val="24"/>
          <w:highlight w:val="none"/>
        </w:rPr>
        <w:t xml:space="preserve">其余非实质性要求和条件</w:t>
      </w:r>
      <w:r>
        <w:rPr>
          <w:rFonts w:hint="eastAsia"/>
          <w:color w:val="000000"/>
          <w:sz w:val="24"/>
          <w:szCs w:val="24"/>
          <w:highlight w:val="none"/>
        </w:rPr>
        <w:t xml:space="preserve">没有重大偏离。</w:t>
      </w:r>
      <w:r>
        <w:rPr>
          <w:highlight w:val="none"/>
        </w:rPr>
      </w:r>
      <w:r/>
    </w:p>
    <w:p>
      <w:pPr>
        <w:ind w:firstLine="480"/>
        <w:jc w:val="left"/>
        <w:spacing w:line="500" w:lineRule="exact"/>
        <w:rPr>
          <w:color w:val="000000"/>
          <w:sz w:val="24"/>
          <w:szCs w:val="24"/>
          <w:highlight w:val="none"/>
        </w:rPr>
        <w:pBdr>
          <w:top w:val="none" w:color="auto" w:sz="0" w:space="1"/>
          <w:left w:val="none" w:color="auto" w:sz="0" w:space="4"/>
          <w:bottom w:val="none" w:color="auto" w:sz="0" w:space="1"/>
          <w:right w:val="none" w:color="auto" w:sz="0" w:space="4"/>
        </w:pBdr>
      </w:pPr>
      <w:r>
        <w:rPr>
          <w:rFonts w:hint="eastAsia"/>
          <w:color w:val="000000"/>
          <w:sz w:val="24"/>
          <w:szCs w:val="24"/>
          <w:highlight w:val="none"/>
        </w:rPr>
        <w:t xml:space="preserve">未通过资格审查或符合性审查的供应商，将通过“苏采云”系统中告知其未通过的原因，评审结束后，将不再告知。</w:t>
      </w:r>
      <w:r>
        <w:rPr>
          <w:highlight w:val="none"/>
        </w:rPr>
      </w:r>
      <w:r/>
    </w:p>
    <w:p>
      <w:pPr>
        <w:ind w:firstLine="480"/>
        <w:jc w:val="left"/>
        <w:spacing w:line="500" w:lineRule="exact"/>
        <w:rPr>
          <w:color w:val="000000"/>
          <w:sz w:val="24"/>
          <w:szCs w:val="24"/>
          <w:highlight w:val="none"/>
        </w:rPr>
        <w:pBdr>
          <w:top w:val="none" w:color="auto" w:sz="0" w:space="1"/>
          <w:left w:val="none" w:color="auto" w:sz="0" w:space="4"/>
          <w:bottom w:val="none" w:color="auto" w:sz="0" w:space="1"/>
          <w:right w:val="none" w:color="auto" w:sz="0" w:space="4"/>
        </w:pBdr>
      </w:pPr>
      <w:r>
        <w:rPr>
          <w:rFonts w:hint="eastAsia"/>
          <w:color w:val="000000"/>
          <w:sz w:val="24"/>
          <w:szCs w:val="24"/>
          <w:highlight w:val="none"/>
        </w:rPr>
        <w:t xml:space="preserve">26.2 </w:t>
      </w:r>
      <w:r>
        <w:rPr>
          <w:rFonts w:hint="eastAsia" w:cs="宋体"/>
          <w:color w:val="000000"/>
          <w:sz w:val="24"/>
          <w:szCs w:val="24"/>
          <w:highlight w:val="none"/>
        </w:rPr>
        <w:t xml:space="preserve">所谓重大偏离</w:t>
      </w:r>
      <w:r>
        <w:rPr>
          <w:rFonts w:ascii="宋体" w:hAnsi="宋体"/>
          <w:color w:val="000000"/>
          <w:sz w:val="24"/>
          <w:highlight w:val="none"/>
        </w:rPr>
        <w:t xml:space="preserve">是指</w:t>
      </w:r>
      <w:r>
        <w:rPr>
          <w:rFonts w:hint="eastAsia" w:cs="宋体"/>
          <w:color w:val="000000"/>
          <w:sz w:val="24"/>
          <w:szCs w:val="24"/>
          <w:highlight w:val="none"/>
        </w:rPr>
        <w:t xml:space="preserve">实质上与招标文件要求不一致，而且限制了合同中买方的权利或供应商的义务，纠正这些偏离将会对其他实质性响应要求的供应商的竞争地位产生不公正的影响。重大偏离的认定须经过评委会以少数服从多数的原则作出结论。评委会决定投标文件的响应性只根据投标文件本身的内容，而不寻求外部的证据。</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color w:val="000000"/>
          <w:sz w:val="24"/>
          <w:szCs w:val="24"/>
          <w:highlight w:val="none"/>
        </w:rPr>
        <w:t xml:space="preserve">26.3如果投标文件实质上</w:t>
      </w:r>
      <w:r>
        <w:rPr>
          <w:rFonts w:hint="eastAsia"/>
          <w:sz w:val="24"/>
          <w:szCs w:val="24"/>
          <w:highlight w:val="none"/>
        </w:rPr>
        <w:t xml:space="preserve">没有响应招标文件的要求，评委会将予以拒绝，供应商不得通过修改或撤销不符合要求的偏离而使其投标成为实质性响应的投标。</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26.4 评委会将对确定为实质性响应的投标进行进一步审核，看其是否有计算上或累加上的算术错误，修正错误的原则如下：</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（1）投标文件中开标一览表内容与投标文件中相应内容不一致的，以开标一览表为准。</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（2）大写金额和小写金额不一致的，以大写金额为准。</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（3）单价金额小数点或者百分比有明显错位的，以开标一览表的总价为准，并修改单价。</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（4）总价金额与按单价汇总金额不一致的，以单价金额计算结果为准。</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同时出现两种以上错误的，按照前款规定的顺序修正。</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26.5 评委会将按上述修正错误的方法调整投标文件中的投标报价，并通过“苏采云”系统告知供应商，调整后的价格对供应商具有约束力。如果供应商不接受修正后的价格，则其投标将被拒绝。</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26.6 采用最低评标价法的采购项目，提供相同品牌产品的不同供应商参加同一合同项下投标的，以其中通过资格审查、符合性审查且报价最低的参加评标；报价相同的，由评委会按照招标文件规定的方式确定一个参加评标的供应商，招标文件未规定的采取随机抽取方式确定，其他投标无效。</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采用综合评分法的采购项目，提供相同品牌产品且通过资格审查、符合性审查的不同供应商参加同一合同项下投标的，按一家供应商计算，评审后得分最高的同品牌供应商获得中标人推荐资格；评审得分相同的，由评委会按照招标文件规定的方式确定一个供应商获得中标人推荐资格，招标文件未规定的采取随机抽取方式确定，其他同品牌供应商不作为中标候选人。</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非单一产品采购项目，招标文件中将载明核心产品。多家供应商提供的核心产品品牌相同的，按前两款规定处理。</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26.7政府采购异常低价审查：</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（1）评审过程中出现下列情形之一的，评标委员会应当启动异常低价投标（响应）审查程序：</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①投标（响应）报价低于全部通过符合性审查供应商投标（响应）报价平均值50%的，即投标（响应）报价&lt;全部通过符合性审查供应商投标（响应）报价平均值×50%；</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②投标（响应）报价低于通过符合性审查的次低报价供应商投标（响应）报价50%的，即投标（响应）报价&lt;通过符合性审查的次低报价供应商投标（响应）报价×50%；</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③投标（响应）报价低于采购项目最高限价45%的，即投标（响应）报价&lt;采购项目最高限价×45%；</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④评审委员会基于专业判断，认为供应商报价过低，有可能影响产品质量或者不能诚信履约的其他情形。</w:t>
      </w:r>
      <w:r>
        <w:rPr>
          <w:highlight w:val="none"/>
        </w:rPr>
      </w:r>
      <w:r/>
    </w:p>
    <w:p>
      <w:pPr>
        <w:ind w:left="0" w:right="0" w:firstLine="480"/>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w:t>
      </w:r>
      <w:r>
        <w:rPr>
          <w:rFonts w:ascii="Calibri" w:hAnsi="Calibri" w:eastAsia="Calibri" w:cs="Calibri"/>
          <w:color w:val="000000"/>
          <w:sz w:val="24"/>
          <w:highlight w:val="none"/>
        </w:rPr>
        <w:t xml:space="preserve">2</w:t>
      </w:r>
      <w:r>
        <w:rPr>
          <w:rFonts w:ascii="SimSun" w:hAnsi="SimSun" w:eastAsia="SimSun" w:cs="SimSun"/>
          <w:color w:val="000000"/>
          <w:sz w:val="24"/>
          <w:highlight w:val="none"/>
        </w:rPr>
        <w:t xml:space="preserve">）评审委员会启动异常低价投标（响应）审查后，属于前述第</w:t>
      </w:r>
      <w:r>
        <w:rPr>
          <w:rFonts w:hint="eastAsia"/>
          <w:sz w:val="24"/>
          <w:szCs w:val="24"/>
          <w:highlight w:val="none"/>
        </w:rPr>
        <w:t xml:space="preserve">①</w:t>
      </w:r>
      <w:r>
        <w:rPr>
          <w:rFonts w:ascii="SimSun" w:hAnsi="SimSun" w:eastAsia="SimSun" w:cs="SimSun"/>
          <w:color w:val="000000"/>
          <w:sz w:val="24"/>
          <w:highlight w:val="none"/>
        </w:rPr>
        <w:t xml:space="preserve">项至第</w:t>
      </w:r>
      <w:r>
        <w:rPr>
          <w:rFonts w:hint="eastAsia"/>
          <w:sz w:val="24"/>
          <w:szCs w:val="24"/>
          <w:highlight w:val="none"/>
        </w:rPr>
        <w:t xml:space="preserve">④</w:t>
      </w:r>
      <w:r>
        <w:rPr>
          <w:rFonts w:ascii="SimSun" w:hAnsi="SimSun" w:eastAsia="SimSun" w:cs="SimSun"/>
          <w:color w:val="000000"/>
          <w:sz w:val="24"/>
          <w:highlight w:val="none"/>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Calibri" w:hAnsi="Calibri" w:eastAsia="Calibri" w:cs="Calibri"/>
          <w:color w:val="000000"/>
          <w:sz w:val="24"/>
          <w:highlight w:val="none"/>
        </w:rPr>
        <w:t xml:space="preserve">30</w:t>
      </w:r>
      <w:r>
        <w:rPr>
          <w:rFonts w:ascii="SimSun" w:hAnsi="SimSun" w:eastAsia="SimSun" w:cs="SimSun"/>
          <w:color w:val="000000"/>
          <w:sz w:val="24"/>
          <w:highlight w:val="none"/>
        </w:rPr>
        <w:t xml:space="preserve">分钟。其中，属于第</w:t>
      </w:r>
      <w:r>
        <w:rPr>
          <w:rFonts w:ascii="Calibri" w:hAnsi="Calibri" w:eastAsia="Calibri" w:cs="Calibri"/>
          <w:color w:val="000000"/>
          <w:sz w:val="24"/>
          <w:highlight w:val="none"/>
        </w:rPr>
        <w:t xml:space="preserve">3</w:t>
      </w:r>
      <w:r>
        <w:rPr>
          <w:rFonts w:ascii="SimSun" w:hAnsi="SimSun" w:eastAsia="SimSun" w:cs="SimSun"/>
          <w:color w:val="000000"/>
          <w:sz w:val="24"/>
          <w:highlight w:val="none"/>
        </w:rPr>
        <w:t xml:space="preserve">项情形，供应商已随投标（响应）文件一并提交相关书面说明及必要的证明材料的，在评审现场可不再重复提交。</w:t>
      </w:r>
      <w:r>
        <w:rPr>
          <w:highlight w:val="none"/>
        </w:rPr>
      </w:r>
      <w:r/>
    </w:p>
    <w:p>
      <w:pPr>
        <w:ind w:left="0" w:right="0" w:firstLine="480"/>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highlight w:val="none"/>
        </w:rPr>
      </w:r>
      <w:r/>
    </w:p>
    <w:p>
      <w:pPr>
        <w:ind w:left="0" w:right="0" w:firstLine="480"/>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评委会将书面方式要求其在合理的时间内提供书面说明、证明材料。供应商可在投标（响应）文件中提供项目具体成本测算等与报价合理性相关的书面说明及相关证明材料，对投标（响应）价格作出解释，便于评审。</w:t>
      </w:r>
      <w:r>
        <w:rPr>
          <w:highlight w:val="none"/>
        </w:rPr>
      </w:r>
      <w:r/>
    </w:p>
    <w:p>
      <w:pPr>
        <w:pStyle w:val="935"/>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27、无效投标条款和废标条款</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27.1 无效投标条款：</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（1）供应商未按照招标文件要求递交（上传）电子投标文件的。</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（2）供应商在“苏采云”系统规定的时间内未成功解密电子投标文件的。</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（3）供应商不具备招标文件中规定的资格要求的。</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（5）供应商提交两个（含两个）以上不同的投标报价的。</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（6）供应商的报价超过了采购预算或者最高限价的。</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7）评委会认为供应商的报价明显低于其他通过符合性审查供应商的报价，有可能影响产品质量或者不能诚信履约，将通过“苏采云”系统要求其在合理的时间内提供说明，必要时提交相关证明材料，供应商不能证明其报价合理性的。</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（8）不符合招标文件规定的实质性要求和条件的。（本招标文件中斜体且有下划线部分为实质性要求和条件）</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9）本项目采购产品（如有）被财政部、国家发改委、生态环境部等列入“节能产品品目清单”“环境标志产品品目清单”强制采购范围，而供应商投标产品不在强制采购范围内或者未按要求提供国家确定的认证机构出具的、处于有效期之内的节能产品认证证书的。</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（10）供应商未通过符合性审查的。</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（11）投标文件含有采购人不能接受的附加条件的。</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（12）投标文件未按照招标文件要求加盖公章（CA电子公章）的。</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（13）其他法律、法规及本招标文件规定的属于无效投标的情形。</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27.2 有下列情形之一的，视为供应商串通投标，投标无效：</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（1）不同供应商的投标文件由同一单位或者个人编制。</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（2）不同供应商委托同一单位或者个人办理投标事宜。</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（3）不同供应商的投标文件载明的项目管理成员或者联系人员为同一人。</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（4）不同供应商的投标文件异常一致或者投标报价呈规律性差异。</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（5）不同供应商的投标文件相互混装。</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27.3 废标条款：</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（1）因“苏采云”系统故障原因造成开标不成功的。</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（2）评委会认定招标文件存在歧义、重大缺陷导致评标工作无法进行，或者招标文件内容违反国家有关强制性规定的。</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（3）符合专业条件的供应商或者对招标文件作实质响应的供应商不足三家的。</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（4）出现影响采购公正的违法、违规行为的。</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（5）因重大变故，采购任务取消的。</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27.4 出现投标截止时间结束后参加投标的供应商或者在评标期间对招标文件做出实质响应的供应商不足三家情况的，按照政府采购有关规定执行。</w:t>
      </w:r>
      <w:r>
        <w:rPr>
          <w:highlight w:val="none"/>
        </w:rPr>
      </w:r>
      <w:r/>
    </w:p>
    <w:p>
      <w:pPr>
        <w:pStyle w:val="934"/>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六、定标</w:t>
      </w:r>
      <w:r>
        <w:rPr>
          <w:highlight w:val="none"/>
        </w:rPr>
      </w:r>
      <w:r/>
    </w:p>
    <w:p>
      <w:pPr>
        <w:pStyle w:val="935"/>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28、确定中标单位</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28.1 中标候选人的选取原则和数量详见招标文件第五章规定。 </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28.2 采购人应根据评委会推荐的中标候选人确定中标人。</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28.3 采购代理机构将在江苏政府采购网发布中标公告，公告期限为1个工作日。</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28.4 若有充分证据证明，中标人存在下列情形之一的，一经查实，将被取消中标资格：</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（1）提供虚假材料谋取中标、成交的。</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（2）采取不正当手段诋毁、排挤其他供应商的。</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（3）与采购人、其他供应商或者采购代理机构恶意串通的。</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（4）向采购人、采购代理机构行贿或者提供其他不正当利益的。</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（5）在招标过程中与采购人进行协商谈判的。</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（6）属于本招标文件规定的无效情形，但在评标过程中又未被评委会发现的。</w:t>
      </w:r>
      <w:r>
        <w:rPr>
          <w:highlight w:val="none"/>
        </w:rPr>
      </w:r>
      <w:r/>
    </w:p>
    <w:p>
      <w:pPr>
        <w:pStyle w:val="935"/>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29、中标通知书</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29.2 中标通知书将作为政府采购合同的一个组成部分。对采购人和中标人均具有法律效力。中标通知书发出后，采购人改变中标结果的，或者中标人放弃中标项目的，应当依法承担法律责任。</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29.3 中标人应在中标后七个工作日内，向采购代理机构提供四份与电子投标文件一致的纸质打印胶装投标文件，封面、骑缝需加盖公章。</w:t>
      </w:r>
      <w:r>
        <w:rPr>
          <w:highlight w:val="none"/>
        </w:rPr>
      </w:r>
      <w:r/>
    </w:p>
    <w:p>
      <w:pPr>
        <w:pStyle w:val="934"/>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七、授予合同</w:t>
      </w:r>
      <w:r>
        <w:rPr>
          <w:highlight w:val="none"/>
        </w:rPr>
      </w:r>
      <w:r/>
    </w:p>
    <w:p>
      <w:pPr>
        <w:pStyle w:val="935"/>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30、履约保证金</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30.2 中标人违约的，采购人将按照合同约定扣除其全部或部分履约保证金。如中标人违约给采购人造成的损失超过履约保证金的，应当依法赔偿超过部分的损失。</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30.3 履约保证金自合同生效之日起至合同约定的中标人主要义务履行完毕止，采购人应当按合同约定及时退还履约保证金。</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30.4 逾期退还履约保证金的采购人承担违约责任，按照中国人民银行同期贷款基准利率向中标人支付超期资金占用费。</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30.5 本项目履约保证金要求详见招标文件第四章 采购需求。</w:t>
      </w:r>
      <w:r>
        <w:rPr>
          <w:highlight w:val="none"/>
        </w:rPr>
      </w:r>
      <w:r/>
    </w:p>
    <w:p>
      <w:pPr>
        <w:pStyle w:val="935"/>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31、签订合同</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31.1 中标人应当在中标通知书发出之日起三十日内，按照招标文件和中标人投标文件的规定，与采购人签订政府采购合同。</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31.2 招标文件、中标人的投标文件及招标过程中有关澄清、承诺等文件均应作为合同附件。</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31.3 签订合同后，中标人不得将合同标的转包。未经采购人同意，中标人也不得采用分包的形式履行合同，否则采购人有权终止合同。转包或分包造成采购人损失的，中标人应承担相应赔偿责任。</w:t>
      </w:r>
      <w:r>
        <w:rPr>
          <w:highlight w:val="none"/>
        </w:rPr>
      </w:r>
      <w:r/>
    </w:p>
    <w:p>
      <w:pPr>
        <w:pStyle w:val="935"/>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32、合同标的的追加</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highlight w:val="none"/>
        </w:rPr>
      </w:r>
      <w:r/>
    </w:p>
    <w:p>
      <w:pPr>
        <w:pStyle w:val="935"/>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33、政府采购履约资金扶持政策</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33.1 中标人可凭政府采购合同办理融资贷款，详情请见江苏政府采购网“政采贷”专栏。</w:t>
      </w:r>
      <w:r>
        <w:rPr>
          <w:highlight w:val="none"/>
        </w:rPr>
      </w:r>
      <w:r/>
    </w:p>
    <w:p>
      <w:pPr>
        <w:pStyle w:val="934"/>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八、询问与质疑</w:t>
      </w:r>
      <w:r>
        <w:rPr>
          <w:highlight w:val="none"/>
        </w:rPr>
      </w:r>
      <w:r/>
    </w:p>
    <w:p>
      <w:pPr>
        <w:pStyle w:val="935"/>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34、询问</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34.1 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其向采购人提出。</w:t>
      </w:r>
      <w:r>
        <w:rPr>
          <w:highlight w:val="none"/>
        </w:rPr>
      </w:r>
      <w:r/>
    </w:p>
    <w:p>
      <w:pPr>
        <w:pStyle w:val="935"/>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35、质疑提出</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35.1 提出质疑的供应商应当是参与所质疑项目采购活动的供应商。</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35.2 供应商认为采购文件、采购过程、采购结果使自己的权益受到损害的，可以在知道或者应知其权益受到损害之日（获取采购文件之日、中标公告发布之日）起七个工作日内以书面形式向采购人、采购代理机构提出质疑。</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未按照采购公告要求获取采购文件的供应商，视为未参与该项目采购活动，不具备对该采购文件提出质疑的法定权利。</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35.3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35.4 质疑函的接收方式为供应商书面原件提交。联系部门、联系电话和通讯地址详见招标文件第一章。质疑实行实名制，不得进行虚假、恶意质疑。</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35.5 质疑函应当使用范本，详见招标文件第六章。供应商提出质疑应当提交质疑函和必要的证明材料，应当包括下列内容：</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（1）供应商的姓名或者名称、地址、邮编、联系人及联系电话；</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（2）质疑项目的名称、编号；</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（3）具体、明确的质疑事项和与质疑事项相关的请求；</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（4）事实依据；</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（5）必要的法律依据；</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（6）提出质疑的日期；</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（7）必要的证明材料；</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（8）营业执照复印件及授权委托书原件、法定代表人（单位负责人）身份证复印件、委托代理人身份证复印件。</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供应商为自然人的，应当由本人签字；供应商为法人或者其他组织的，应当由法定代表人、主要负责人，或者其委托代理人签字或者盖章，并加盖单位公章。</w:t>
      </w:r>
      <w:r>
        <w:rPr>
          <w:highlight w:val="none"/>
        </w:rPr>
      </w:r>
      <w:r/>
    </w:p>
    <w:p>
      <w:pPr>
        <w:pStyle w:val="935"/>
        <w:ind w:firstLine="562"/>
        <w:jc w:val="left"/>
        <w:spacing w:before="0" w:after="0"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36、质疑函的受理和答复</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36.2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36.3 对不符合质疑要求的，采购人、采购代理机构有权要求其补充必要的证明材料，质疑供应商未在法定时间内补充必要的证明材料的，不利后果由质疑供应商自行承担。</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36.4 以下情形的质疑依法不予受理：</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（1）内容不符合《政府采购质疑和投诉办法》第十二条规定的质疑。</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（2）超出政府采购法定期限的质疑。</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（3）以传真、电子邮件等方式递交的非原件形式的质疑。</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（4）未参与采购活动或在采购活动中自身权益未受到损害的供应商提出的质疑。</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（5）供应商组成联合体，联合体中任何一方或多方未按要求签字（盖章）、加盖公章的质疑。</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36.5 采购人、采购代理机构依法受理的质疑，将按照政府采购有关规定，在法定期限内作出答复。</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36.6 因质疑供应商所留联系方式无效，或者无故不接收，导致质疑答复结果无法送达的，视为质疑供应商主动放弃知晓质疑答复结果的权利。</w:t>
      </w:r>
      <w:r>
        <w:rPr>
          <w:highlight w:val="none"/>
        </w:rPr>
      </w:r>
      <w:r/>
    </w:p>
    <w:p>
      <w:pPr>
        <w:pStyle w:val="935"/>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37、质疑处理</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37.1 质疑供应商未按照法定程序进行质疑投诉的，视为一般失信行为。</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37.2 质疑供应商不配合或者采取不正当手段干扰政府采购质疑、投诉处理工作的，视为一般失信行为。</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37.3 质疑供应商投诉受理期间，就同一事项多头举报，干扰财政部门投诉处理的，视为一般失信行为。</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37.4 质疑供应商在全国范围12个月内三次以上质疑查无实据的，视为一般失信行为。</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37.6 质疑供应商在全国范围12个月内三次以上投诉查无实据的，视为严重失信行为。</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37.7 未尽事宜，依照有关法律、法规执行。</w:t>
      </w:r>
      <w:r>
        <w:rPr>
          <w:highlight w:val="none"/>
        </w:rPr>
      </w:r>
      <w:r/>
    </w:p>
    <w:p>
      <w:pPr>
        <w:pStyle w:val="934"/>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九、政府采购政策功能</w:t>
      </w:r>
      <w:r>
        <w:rPr>
          <w:highlight w:val="none"/>
        </w:rPr>
      </w:r>
      <w:r/>
    </w:p>
    <w:p>
      <w:pPr>
        <w:pStyle w:val="935"/>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38、促进中小企业发展</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38.2 供应商提供的货物全部由小型企业、微型企业、残疾人福利性单位、监狱企业制造的，对其报价给予10%的扣除，用扣除后的价格参与评审。提供的货物既有小微型企业制造，也有大中型企业制造的，不享受该扶持政策。</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本项目价格扣除计算方法如下：参与报价得分计算的价格＝供应商的最后报价-小型企业、微型企业、监狱企业、残疾人福利性单位的最后报价×10%。</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38.3 参加本项目政府采购活动的供应商享受价格评审优惠的应当提供的材料： </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（1）供应商提供的货物全部由中型企业、小型企业、微型企业制造的，提供《中小企业声明函》（第六章 投标文件格式）。</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38.4 享受扶持政策获得政府采购合同的，小微型企业不得将合同分包给大中型企业，中型企业不得将合同分包给大型企业。</w:t>
      </w:r>
      <w:r>
        <w:rPr>
          <w:highlight w:val="none"/>
        </w:rPr>
      </w:r>
      <w:r/>
    </w:p>
    <w:p>
      <w:pPr>
        <w:pStyle w:val="935"/>
        <w:ind w:firstLine="562"/>
        <w:jc w:val="left"/>
        <w:spacing w:before="0" w:after="0" w:line="360" w:lineRule="auto"/>
        <w:rPr>
          <w:sz w:val="28"/>
          <w:szCs w:val="28"/>
          <w:highlight w:val="none"/>
        </w:rPr>
      </w:pPr>
      <w:r>
        <w:rPr>
          <w:rFonts w:hint="eastAsia"/>
          <w:sz w:val="28"/>
          <w:szCs w:val="28"/>
          <w:highlight w:val="none"/>
        </w:rPr>
        <w:t xml:space="preserve">39、政府采购中实施本国产品标准及相关政策</w:t>
      </w:r>
      <w:r>
        <w:rPr>
          <w:highlight w:val="none"/>
        </w:rPr>
      </w:r>
      <w:r/>
    </w:p>
    <w:p>
      <w:pPr>
        <w:ind w:firstLine="562"/>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39.1本项目政府采购活动中既有本国产品又有非本国产品参与竞争的，依法对本国产品给予价格评审优惠，对本国产品的报价给予20%的价格扣除，用扣除后的价格参与评审。</w:t>
      </w:r>
      <w:r>
        <w:rPr>
          <w:highlight w:val="none"/>
        </w:rPr>
      </w:r>
      <w:r/>
    </w:p>
    <w:p>
      <w:pPr>
        <w:ind w:firstLine="562"/>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39.2当采购项目或者采购包中含有多种产品，供应商为该采购项目或者采购包提供的符合本国产品标准的产品成本之和占该供应商提供的全部产品成本之和的比例达到80%以上时（供应商需在“第六章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highlight w:val="none"/>
        </w:rPr>
      </w:r>
      <w:r/>
    </w:p>
    <w:p>
      <w:pPr>
        <w:ind w:firstLine="562"/>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39.3供应商需按照招标文件的要求提供《关于符合本国产品标准的声明函》（以下简称《声明函》），如不提供将不享受本国产品价格评审优惠。</w:t>
      </w:r>
      <w:r>
        <w:rPr>
          <w:highlight w:val="none"/>
        </w:rPr>
      </w:r>
      <w:r/>
    </w:p>
    <w:p>
      <w:pPr>
        <w:ind w:firstLine="562"/>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39.4供应商需在《声明函》中逐一、准确填写产品名称、厂名、生产厂址三项信息（《声明函》中用斜线划除的地方无需填写），三项信息中任意一项未填写的视为该项产品不符合本国产品标准，不享受本国产品价格评审优惠。</w:t>
      </w:r>
      <w:r>
        <w:rPr>
          <w:highlight w:val="none"/>
        </w:rPr>
      </w:r>
      <w:r/>
    </w:p>
    <w:p>
      <w:pPr>
        <w:ind w:firstLine="562"/>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39.5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highlight w:val="none"/>
        </w:rPr>
      </w:r>
      <w:r/>
    </w:p>
    <w:p>
      <w:pPr>
        <w:ind w:firstLine="562"/>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39.6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highlight w:val="none"/>
        </w:rPr>
      </w:r>
      <w:r/>
    </w:p>
    <w:p>
      <w:pPr>
        <w:pStyle w:val="935"/>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cs="宋体"/>
          <w:b w:val="0"/>
          <w:sz w:val="24"/>
          <w:szCs w:val="24"/>
          <w:highlight w:val="none"/>
        </w:rPr>
        <w:t xml:space="preserve">39.7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highlight w:val="none"/>
        </w:rPr>
      </w:r>
      <w:r/>
    </w:p>
    <w:p>
      <w:pPr>
        <w:pStyle w:val="935"/>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40、支持绿色发展</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招标文件要求提供相关产品认证证书。</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40.2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40.3 为落实挥发性有机化合物（VOCs）治理要求，本项目采购标的如涉及涂料、胶黏剂、油墨、清洗剂等挥发性有机物产品的，供应商应当执行国家和我省VOCs含量限制标准，并优先使用低挥发性原辅材料。供应商使用低VOCs含量的涂料、胶黏剂等将纳入政府采购合同条款。</w:t>
      </w:r>
      <w:r>
        <w:rPr>
          <w:highlight w:val="none"/>
        </w:rPr>
      </w:r>
      <w:r/>
    </w:p>
    <w:p>
      <w:pPr>
        <w:pStyle w:val="935"/>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41、政府采购需求标准</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41.1 本项目执行《绿色数据中心政府采购需求</w:t>
      </w:r>
      <w:r>
        <w:rPr>
          <w:rFonts w:hint="eastAsia"/>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highlight w:val="none"/>
        </w:rPr>
      </w:r>
      <w:r/>
    </w:p>
    <w:p>
      <w:pPr>
        <w:jc w:val="left"/>
        <w:widowControl/>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br w:type="page" w:clear="all"/>
      </w:r>
      <w:r>
        <w:rPr>
          <w:highlight w:val="none"/>
        </w:rPr>
      </w:r>
      <w:r/>
    </w:p>
    <w:p>
      <w:pPr>
        <w:pStyle w:val="933"/>
        <w:jc w:val="center"/>
        <w:spacing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highlight w:val="none"/>
        </w:rPr>
      </w:r>
      <w:bookmarkStart w:id="2" w:name="_Toc165205796"/>
      <w:r>
        <w:rPr>
          <w:rFonts w:hint="eastAsia" w:ascii="黑体" w:hAnsi="黑体" w:eastAsia="黑体"/>
          <w:b w:val="0"/>
          <w:highlight w:val="none"/>
        </w:rPr>
        <w:t xml:space="preserve">第三章  合同文本</w:t>
      </w:r>
      <w:bookmarkEnd w:id="2"/>
      <w:r>
        <w:rPr>
          <w:highlight w:val="none"/>
        </w:rPr>
      </w:r>
      <w:r/>
    </w:p>
    <w:p>
      <w:pPr>
        <w:pStyle w:val="946"/>
        <w:jc w:val="center"/>
        <w:spacing w:after="0"/>
        <w:rPr>
          <w:rFonts w:ascii="宋体" w:hAnsi="宋体" w:cs="宋体"/>
          <w:b/>
          <w:bCs/>
          <w:spacing w:val="-20"/>
          <w:sz w:val="48"/>
          <w:szCs w:val="48"/>
          <w:highlight w:val="none"/>
        </w:rPr>
        <w:pBdr>
          <w:top w:val="none" w:color="auto" w:sz="0" w:space="1"/>
          <w:left w:val="none" w:color="auto" w:sz="0" w:space="4"/>
          <w:bottom w:val="none" w:color="auto" w:sz="0" w:space="1"/>
          <w:right w:val="none" w:color="auto" w:sz="0" w:space="4"/>
        </w:pBdr>
      </w:pPr>
      <w:r>
        <w:rPr>
          <w:highlight w:val="none"/>
        </w:rPr>
      </w:r>
      <w:bookmarkStart w:id="3" w:name="_Toc3995"/>
      <w:r>
        <w:rPr>
          <w:highlight w:val="none"/>
        </w:rPr>
      </w:r>
      <w:r/>
    </w:p>
    <w:p>
      <w:pPr>
        <w:pStyle w:val="946"/>
        <w:jc w:val="center"/>
        <w:spacing w:after="0"/>
        <w:rPr>
          <w:rFonts w:ascii="宋体" w:hAnsi="宋体" w:cs="宋体"/>
          <w:b/>
          <w:bCs/>
          <w:spacing w:val="-20"/>
          <w:sz w:val="48"/>
          <w:szCs w:val="48"/>
          <w:highlight w:val="none"/>
        </w:rPr>
        <w:pBdr>
          <w:top w:val="none" w:color="auto" w:sz="0" w:space="1"/>
          <w:left w:val="none" w:color="auto" w:sz="0" w:space="4"/>
          <w:bottom w:val="none" w:color="auto" w:sz="0" w:space="1"/>
          <w:right w:val="none" w:color="auto" w:sz="0" w:space="4"/>
        </w:pBdr>
      </w:pPr>
      <w:r>
        <w:rPr>
          <w:rFonts w:ascii="宋体" w:hAnsi="宋体" w:cs="宋体"/>
          <w:b/>
          <w:bCs/>
          <w:spacing w:val="-20"/>
          <w:sz w:val="48"/>
          <w:szCs w:val="48"/>
          <w:highlight w:val="none"/>
        </w:rPr>
      </w:r>
      <w:r>
        <w:rPr>
          <w:highlight w:val="none"/>
        </w:rPr>
      </w:r>
      <w:r/>
    </w:p>
    <w:p>
      <w:pPr>
        <w:pStyle w:val="946"/>
        <w:jc w:val="center"/>
        <w:spacing w:after="0"/>
        <w:rPr>
          <w:rFonts w:ascii="宋体" w:hAnsi="宋体" w:cs="宋体"/>
          <w:b/>
          <w:bCs/>
          <w:spacing w:val="-20"/>
          <w:sz w:val="48"/>
          <w:szCs w:val="48"/>
          <w:highlight w:val="none"/>
        </w:rPr>
        <w:pBdr>
          <w:top w:val="none" w:color="auto" w:sz="0" w:space="1"/>
          <w:left w:val="none" w:color="auto" w:sz="0" w:space="4"/>
          <w:bottom w:val="none" w:color="auto" w:sz="0" w:space="1"/>
          <w:right w:val="none" w:color="auto" w:sz="0" w:space="4"/>
        </w:pBdr>
      </w:pPr>
      <w:r>
        <w:rPr>
          <w:rFonts w:ascii="宋体" w:hAnsi="宋体" w:cs="宋体"/>
          <w:b/>
          <w:bCs/>
          <w:spacing w:val="-20"/>
          <w:sz w:val="48"/>
          <w:szCs w:val="48"/>
          <w:highlight w:val="none"/>
        </w:rPr>
      </w:r>
      <w:r>
        <w:rPr>
          <w:highlight w:val="none"/>
        </w:rPr>
      </w:r>
      <w:r/>
    </w:p>
    <w:p>
      <w:pPr>
        <w:pStyle w:val="946"/>
        <w:jc w:val="center"/>
        <w:spacing w:after="0"/>
        <w:rPr>
          <w:rFonts w:ascii="宋体" w:hAnsi="宋体" w:cs="宋体"/>
          <w:b/>
          <w:bCs/>
          <w:spacing w:val="-20"/>
          <w:sz w:val="48"/>
          <w:szCs w:val="48"/>
          <w:highlight w:val="none"/>
        </w:rPr>
        <w:pBdr>
          <w:top w:val="none" w:color="auto" w:sz="0" w:space="1"/>
          <w:left w:val="none" w:color="auto" w:sz="0" w:space="4"/>
          <w:bottom w:val="none" w:color="auto" w:sz="0" w:space="1"/>
          <w:right w:val="none" w:color="auto" w:sz="0" w:space="4"/>
        </w:pBdr>
      </w:pPr>
      <w:r>
        <w:rPr>
          <w:rFonts w:ascii="宋体" w:hAnsi="宋体" w:cs="宋体"/>
          <w:b/>
          <w:bCs/>
          <w:spacing w:val="-20"/>
          <w:sz w:val="48"/>
          <w:szCs w:val="48"/>
          <w:highlight w:val="none"/>
        </w:rPr>
      </w:r>
      <w:r>
        <w:rPr>
          <w:highlight w:val="none"/>
        </w:rPr>
      </w:r>
      <w:r/>
    </w:p>
    <w:p>
      <w:pPr>
        <w:pStyle w:val="946"/>
        <w:jc w:val="center"/>
        <w:spacing w:after="0"/>
        <w:rPr>
          <w:rFonts w:ascii="宋体" w:hAnsi="宋体" w:cs="宋体"/>
          <w:b/>
          <w:bCs/>
          <w:spacing w:val="-20"/>
          <w:sz w:val="48"/>
          <w:szCs w:val="48"/>
          <w:highlight w:val="none"/>
        </w:rPr>
        <w:pBdr>
          <w:top w:val="none" w:color="auto" w:sz="0" w:space="1"/>
          <w:left w:val="none" w:color="auto" w:sz="0" w:space="4"/>
          <w:bottom w:val="none" w:color="auto" w:sz="0" w:space="1"/>
          <w:right w:val="none" w:color="auto" w:sz="0" w:space="4"/>
        </w:pBdr>
      </w:pPr>
      <w:r>
        <w:rPr>
          <w:rFonts w:hint="eastAsia" w:ascii="宋体" w:hAnsi="宋体" w:cs="宋体"/>
          <w:b/>
          <w:bCs/>
          <w:spacing w:val="-20"/>
          <w:sz w:val="48"/>
          <w:szCs w:val="48"/>
          <w:highlight w:val="none"/>
        </w:rPr>
        <w:t xml:space="preserve">连云港市政府采购货物买卖合同</w:t>
      </w:r>
      <w:r>
        <w:rPr>
          <w:highlight w:val="none"/>
        </w:rPr>
      </w:r>
      <w:r/>
    </w:p>
    <w:p>
      <w:pPr>
        <w:rPr>
          <w:rFonts w:ascii="宋体" w:hAnsi="宋体" w:cs="宋体"/>
          <w:b/>
          <w:bCs/>
          <w:spacing w:val="-20"/>
          <w:sz w:val="40"/>
          <w:szCs w:val="40"/>
          <w:highlight w:val="none"/>
        </w:rPr>
        <w:pBdr>
          <w:top w:val="none" w:color="auto" w:sz="0" w:space="1"/>
          <w:left w:val="none" w:color="auto" w:sz="0" w:space="4"/>
          <w:bottom w:val="none" w:color="auto" w:sz="0" w:space="1"/>
          <w:right w:val="none" w:color="auto" w:sz="0" w:space="4"/>
        </w:pBdr>
      </w:pPr>
      <w:r>
        <w:rPr>
          <w:rFonts w:ascii="宋体" w:hAnsi="宋体" w:cs="宋体"/>
          <w:b/>
          <w:bCs/>
          <w:spacing w:val="-20"/>
          <w:sz w:val="40"/>
          <w:szCs w:val="40"/>
          <w:highlight w:val="none"/>
        </w:rPr>
      </w:r>
      <w:r>
        <w:rPr>
          <w:highlight w:val="none"/>
        </w:rPr>
      </w:r>
      <w:r/>
    </w:p>
    <w:p>
      <w:pPr>
        <w:rPr>
          <w:rFonts w:ascii="宋体" w:hAnsi="宋体" w:cs="宋体"/>
          <w:b/>
          <w:bCs/>
          <w:spacing w:val="-20"/>
          <w:sz w:val="40"/>
          <w:szCs w:val="40"/>
          <w:highlight w:val="none"/>
        </w:rPr>
        <w:pBdr>
          <w:top w:val="none" w:color="auto" w:sz="0" w:space="1"/>
          <w:left w:val="none" w:color="auto" w:sz="0" w:space="4"/>
          <w:bottom w:val="none" w:color="auto" w:sz="0" w:space="1"/>
          <w:right w:val="none" w:color="auto" w:sz="0" w:space="4"/>
        </w:pBdr>
      </w:pPr>
      <w:r>
        <w:rPr>
          <w:rFonts w:ascii="宋体" w:hAnsi="宋体" w:cs="宋体"/>
          <w:b/>
          <w:bCs/>
          <w:spacing w:val="-20"/>
          <w:sz w:val="40"/>
          <w:szCs w:val="40"/>
          <w:highlight w:val="none"/>
        </w:rPr>
      </w:r>
      <w:r>
        <w:rPr>
          <w:highlight w:val="none"/>
        </w:rPr>
      </w:r>
      <w:r/>
    </w:p>
    <w:p>
      <w:pPr>
        <w:rPr>
          <w:rFonts w:ascii="宋体" w:hAnsi="宋体" w:cs="宋体"/>
          <w:b/>
          <w:bCs/>
          <w:spacing w:val="-20"/>
          <w:sz w:val="40"/>
          <w:szCs w:val="40"/>
          <w:highlight w:val="none"/>
        </w:rPr>
        <w:pBdr>
          <w:top w:val="none" w:color="auto" w:sz="0" w:space="1"/>
          <w:left w:val="none" w:color="auto" w:sz="0" w:space="4"/>
          <w:bottom w:val="none" w:color="auto" w:sz="0" w:space="1"/>
          <w:right w:val="none" w:color="auto" w:sz="0" w:space="4"/>
        </w:pBdr>
      </w:pPr>
      <w:r>
        <w:rPr>
          <w:rFonts w:ascii="宋体" w:hAnsi="宋体" w:cs="宋体"/>
          <w:b/>
          <w:bCs/>
          <w:spacing w:val="-20"/>
          <w:sz w:val="40"/>
          <w:szCs w:val="40"/>
          <w:highlight w:val="none"/>
        </w:rPr>
      </w:r>
      <w:r>
        <w:rPr>
          <w:highlight w:val="none"/>
        </w:rPr>
      </w:r>
      <w:r/>
    </w:p>
    <w:p>
      <w:pPr>
        <w:ind w:left="420"/>
        <w:spacing w:line="360" w:lineRule="auto"/>
        <w:rPr>
          <w:sz w:val="32"/>
          <w:szCs w:val="32"/>
          <w:highlight w:val="none"/>
        </w:rPr>
        <w:pBdr>
          <w:top w:val="none" w:color="auto" w:sz="0" w:space="1"/>
          <w:left w:val="none" w:color="auto" w:sz="0" w:space="4"/>
          <w:bottom w:val="none" w:color="auto" w:sz="0" w:space="1"/>
          <w:right w:val="none" w:color="auto" w:sz="0" w:space="4"/>
        </w:pBdr>
      </w:pPr>
      <w:r>
        <w:rPr>
          <w:rFonts w:hint="eastAsia" w:ascii="宋体" w:hAnsi="宋体" w:cs="宋体"/>
          <w:sz w:val="32"/>
          <w:szCs w:val="32"/>
          <w:highlight w:val="none"/>
        </w:rPr>
        <w:t xml:space="preserve">项目名称：</w:t>
      </w:r>
      <w:r>
        <w:rPr>
          <w:highlight w:val="none"/>
        </w:rPr>
      </w:r>
      <w:r/>
    </w:p>
    <w:p>
      <w:pPr>
        <w:ind w:left="420"/>
        <w:spacing w:line="360" w:lineRule="auto"/>
        <w:rPr>
          <w:sz w:val="32"/>
          <w:szCs w:val="32"/>
          <w:highlight w:val="none"/>
          <w:u w:val="single"/>
        </w:rPr>
        <w:pBdr>
          <w:top w:val="none" w:color="auto" w:sz="0" w:space="1"/>
          <w:left w:val="none" w:color="auto" w:sz="0" w:space="4"/>
          <w:bottom w:val="none" w:color="auto" w:sz="0" w:space="1"/>
          <w:right w:val="none" w:color="auto" w:sz="0" w:space="4"/>
        </w:pBdr>
      </w:pPr>
      <w:r>
        <w:rPr>
          <w:rFonts w:hint="eastAsia"/>
          <w:sz w:val="32"/>
          <w:szCs w:val="32"/>
          <w:highlight w:val="none"/>
        </w:rPr>
        <w:t xml:space="preserve">合同编号：</w:t>
      </w:r>
      <w:r>
        <w:rPr>
          <w:highlight w:val="none"/>
        </w:rPr>
      </w:r>
      <w:r/>
    </w:p>
    <w:p>
      <w:pPr>
        <w:ind w:left="420"/>
        <w:spacing w:line="360" w:lineRule="auto"/>
        <w:rPr>
          <w:sz w:val="32"/>
          <w:szCs w:val="32"/>
          <w:highlight w:val="none"/>
        </w:rPr>
        <w:pBdr>
          <w:top w:val="none" w:color="auto" w:sz="0" w:space="1"/>
          <w:left w:val="none" w:color="auto" w:sz="0" w:space="4"/>
          <w:bottom w:val="none" w:color="auto" w:sz="0" w:space="1"/>
          <w:right w:val="none" w:color="auto" w:sz="0" w:space="4"/>
        </w:pBdr>
      </w:pPr>
      <w:r>
        <w:rPr>
          <w:rFonts w:hint="eastAsia"/>
          <w:sz w:val="32"/>
          <w:szCs w:val="32"/>
          <w:highlight w:val="none"/>
        </w:rPr>
        <w:t xml:space="preserve">甲    方：</w:t>
      </w:r>
      <w:r>
        <w:rPr>
          <w:highlight w:val="none"/>
        </w:rPr>
      </w:r>
      <w:r/>
    </w:p>
    <w:p>
      <w:pPr>
        <w:ind w:left="420"/>
        <w:spacing w:line="360" w:lineRule="auto"/>
        <w:rPr>
          <w:sz w:val="32"/>
          <w:szCs w:val="32"/>
          <w:highlight w:val="none"/>
          <w:u w:val="single"/>
        </w:rPr>
        <w:pBdr>
          <w:top w:val="none" w:color="auto" w:sz="0" w:space="1"/>
          <w:left w:val="none" w:color="auto" w:sz="0" w:space="4"/>
          <w:bottom w:val="none" w:color="auto" w:sz="0" w:space="1"/>
          <w:right w:val="none" w:color="auto" w:sz="0" w:space="4"/>
        </w:pBdr>
      </w:pPr>
      <w:r>
        <w:rPr>
          <w:rFonts w:hint="eastAsia"/>
          <w:sz w:val="32"/>
          <w:szCs w:val="32"/>
          <w:highlight w:val="none"/>
        </w:rPr>
        <w:t xml:space="preserve">乙    方：</w:t>
      </w:r>
      <w:r>
        <w:rPr>
          <w:highlight w:val="none"/>
        </w:rPr>
      </w:r>
      <w:r/>
    </w:p>
    <w:p>
      <w:pPr>
        <w:ind w:left="420"/>
        <w:spacing w:line="360" w:lineRule="auto"/>
        <w:rPr>
          <w:sz w:val="32"/>
          <w:szCs w:val="32"/>
          <w:highlight w:val="none"/>
        </w:rPr>
        <w:pBdr>
          <w:top w:val="none" w:color="auto" w:sz="0" w:space="1"/>
          <w:left w:val="none" w:color="auto" w:sz="0" w:space="4"/>
          <w:bottom w:val="none" w:color="auto" w:sz="0" w:space="1"/>
          <w:right w:val="none" w:color="auto" w:sz="0" w:space="4"/>
        </w:pBdr>
      </w:pPr>
      <w:r>
        <w:rPr>
          <w:rFonts w:hint="eastAsia"/>
          <w:sz w:val="32"/>
          <w:szCs w:val="32"/>
          <w:highlight w:val="none"/>
        </w:rPr>
        <w:t xml:space="preserve">签订时间：</w:t>
      </w:r>
      <w:r>
        <w:rPr>
          <w:highlight w:val="none"/>
        </w:rPr>
      </w:r>
      <w:r/>
    </w:p>
    <w:p>
      <w:pPr>
        <w:jc w:val="left"/>
        <w:widowControl/>
        <w:rPr>
          <w:rFonts w:eastAsia="黑体"/>
          <w:sz w:val="44"/>
          <w:szCs w:val="44"/>
          <w:highlight w:val="none"/>
        </w:rPr>
        <w:pBdr>
          <w:top w:val="none" w:color="auto" w:sz="0" w:space="1"/>
          <w:left w:val="none" w:color="auto" w:sz="0" w:space="4"/>
          <w:bottom w:val="none" w:color="auto" w:sz="0" w:space="1"/>
          <w:right w:val="none" w:color="auto" w:sz="0" w:space="4"/>
        </w:pBdr>
      </w:pPr>
      <w:r>
        <w:rPr>
          <w:rFonts w:eastAsia="黑体"/>
          <w:sz w:val="44"/>
          <w:szCs w:val="44"/>
          <w:highlight w:val="none"/>
        </w:rPr>
        <w:br w:type="page" w:clear="all"/>
      </w:r>
      <w:r>
        <w:rPr>
          <w:highlight w:val="none"/>
        </w:rPr>
      </w:r>
      <w:r/>
    </w:p>
    <w:p>
      <w:pPr>
        <w:jc w:val="center"/>
        <w:rPr>
          <w:rFonts w:ascii="黑体" w:hAnsi="黑体" w:eastAsia="黑体"/>
          <w:sz w:val="44"/>
          <w:szCs w:val="44"/>
          <w:highlight w:val="none"/>
        </w:rPr>
        <w:pBdr>
          <w:top w:val="none" w:color="auto" w:sz="0" w:space="1"/>
          <w:left w:val="none" w:color="auto" w:sz="0" w:space="4"/>
          <w:bottom w:val="none" w:color="auto" w:sz="0" w:space="1"/>
          <w:right w:val="none" w:color="auto" w:sz="0" w:space="4"/>
        </w:pBdr>
      </w:pPr>
      <w:r>
        <w:rPr>
          <w:rFonts w:hint="eastAsia" w:ascii="黑体" w:hAnsi="黑体" w:eastAsia="黑体"/>
          <w:sz w:val="44"/>
          <w:szCs w:val="44"/>
          <w:highlight w:val="none"/>
        </w:rPr>
        <w:t xml:space="preserve">使用说明</w:t>
      </w:r>
      <w:r>
        <w:rPr>
          <w:highlight w:val="none"/>
        </w:rPr>
      </w:r>
      <w:r/>
    </w:p>
    <w:p>
      <w:pPr>
        <w:ind w:firstLine="640"/>
        <w:rPr>
          <w:rFonts w:ascii="仿宋" w:hAnsi="仿宋" w:eastAsia="仿宋" w:cs="仿宋_GB2312"/>
          <w:sz w:val="32"/>
          <w:szCs w:val="32"/>
          <w:highlight w:val="none"/>
        </w:rPr>
        <w:pBdr>
          <w:top w:val="none" w:color="auto" w:sz="0" w:space="1"/>
          <w:left w:val="none" w:color="auto" w:sz="0" w:space="4"/>
          <w:bottom w:val="none" w:color="auto" w:sz="0" w:space="1"/>
          <w:right w:val="none" w:color="auto" w:sz="0" w:space="4"/>
        </w:pBdr>
      </w:pPr>
      <w:r>
        <w:rPr>
          <w:rFonts w:hint="eastAsia" w:ascii="仿宋" w:hAnsi="仿宋" w:eastAsia="仿宋" w:cs="仿宋_GB2312"/>
          <w:sz w:val="32"/>
          <w:szCs w:val="32"/>
          <w:highlight w:val="none"/>
        </w:rPr>
        <w:t xml:space="preserve">1.本合同标准文本适用于购买现成货物的采购项目，不包括需要供应商定制开发、创新研发的货物采购项目。</w:t>
      </w:r>
      <w:r>
        <w:rPr>
          <w:highlight w:val="none"/>
        </w:rPr>
      </w:r>
      <w:r/>
    </w:p>
    <w:p>
      <w:pPr>
        <w:ind w:firstLine="640"/>
        <w:rPr>
          <w:rFonts w:ascii="仿宋" w:hAnsi="仿宋" w:eastAsia="仿宋" w:cs="仿宋_GB2312"/>
          <w:sz w:val="32"/>
          <w:szCs w:val="32"/>
          <w:highlight w:val="none"/>
        </w:rPr>
        <w:pBdr>
          <w:top w:val="none" w:color="auto" w:sz="0" w:space="1"/>
          <w:left w:val="none" w:color="auto" w:sz="0" w:space="4"/>
          <w:bottom w:val="none" w:color="auto" w:sz="0" w:space="1"/>
          <w:right w:val="none" w:color="auto" w:sz="0" w:space="4"/>
        </w:pBdr>
      </w:pPr>
      <w:r>
        <w:rPr>
          <w:rFonts w:hint="eastAsia" w:ascii="仿宋" w:hAnsi="仿宋" w:eastAsia="仿宋" w:cs="仿宋_GB2312"/>
          <w:sz w:val="32"/>
          <w:szCs w:val="32"/>
          <w:highlight w:val="none"/>
        </w:rPr>
        <w:t xml:space="preserve">2.本合同标准文本为政府采购货物买卖合同编制提供参考，可以结合采购项目具体情况，对文本作必要的调整修订后使用。</w:t>
      </w:r>
      <w:r>
        <w:rPr>
          <w:highlight w:val="none"/>
        </w:rPr>
      </w:r>
      <w:r/>
    </w:p>
    <w:p>
      <w:pPr>
        <w:ind w:firstLine="640"/>
        <w:rPr>
          <w:rFonts w:ascii="仿宋" w:hAnsi="仿宋" w:eastAsia="仿宋" w:cs="仿宋_GB2312"/>
          <w:sz w:val="32"/>
          <w:szCs w:val="32"/>
          <w:highlight w:val="none"/>
        </w:rPr>
        <w:pBdr>
          <w:top w:val="none" w:color="auto" w:sz="0" w:space="1"/>
          <w:left w:val="none" w:color="auto" w:sz="0" w:space="4"/>
          <w:bottom w:val="none" w:color="auto" w:sz="0" w:space="1"/>
          <w:right w:val="none" w:color="auto" w:sz="0" w:space="4"/>
        </w:pBdr>
      </w:pPr>
      <w:r>
        <w:rPr>
          <w:rFonts w:hint="eastAsia" w:ascii="仿宋" w:hAnsi="仿宋" w:eastAsia="仿宋" w:cs="仿宋_GB2312"/>
          <w:sz w:val="32"/>
          <w:szCs w:val="32"/>
          <w:highlight w:val="none"/>
        </w:rPr>
        <w:t xml:space="preserve">3.本合同标准文本各条款中，如涉及填写多家供应商、制造商，多种采购标的、分包主要内容等信息的，可根据采购项目具体情况添加信息项。</w:t>
      </w:r>
      <w:bookmarkEnd w:id="3"/>
      <w:r>
        <w:rPr>
          <w:highlight w:val="none"/>
        </w:rPr>
      </w:r>
      <w:r/>
    </w:p>
    <w:p>
      <w:pPr>
        <w:jc w:val="left"/>
        <w:widowControl/>
        <w:rPr>
          <w:rFonts w:ascii="黑体" w:hAnsi="黑体" w:eastAsia="黑体"/>
          <w:sz w:val="28"/>
          <w:szCs w:val="28"/>
          <w:highlight w:val="none"/>
        </w:rPr>
        <w:pBdr>
          <w:top w:val="none" w:color="auto" w:sz="0" w:space="1"/>
          <w:left w:val="none" w:color="auto" w:sz="0" w:space="4"/>
          <w:bottom w:val="none" w:color="auto" w:sz="0" w:space="1"/>
          <w:right w:val="none" w:color="auto" w:sz="0" w:space="4"/>
        </w:pBdr>
      </w:pPr>
      <w:r>
        <w:rPr>
          <w:highlight w:val="none"/>
        </w:rPr>
      </w:r>
      <w:bookmarkStart w:id="4" w:name="_Toc22209"/>
      <w:r>
        <w:rPr>
          <w:rFonts w:ascii="黑体" w:hAnsi="黑体" w:eastAsia="黑体"/>
          <w:b/>
          <w:bCs/>
          <w:sz w:val="28"/>
          <w:szCs w:val="28"/>
          <w:highlight w:val="none"/>
        </w:rPr>
        <w:br w:type="page" w:clear="all"/>
      </w:r>
      <w:r>
        <w:rPr>
          <w:highlight w:val="none"/>
        </w:rPr>
      </w:r>
      <w:r/>
    </w:p>
    <w:p>
      <w:pPr>
        <w:pStyle w:val="934"/>
        <w:jc w:val="center"/>
        <w:spacing w:line="400" w:lineRule="exact"/>
        <w:rPr>
          <w:rFonts w:ascii="黑体" w:hAnsi="华文中宋" w:eastAsia="黑体"/>
          <w:b w:val="0"/>
          <w:bCs w:val="0"/>
          <w:sz w:val="28"/>
          <w:szCs w:val="28"/>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bCs w:val="0"/>
          <w:sz w:val="28"/>
          <w:szCs w:val="28"/>
          <w:highlight w:val="none"/>
        </w:rPr>
        <w:t xml:space="preserve">第一节 </w:t>
      </w:r>
      <w:r>
        <w:rPr>
          <w:rFonts w:hint="eastAsia" w:ascii="黑体" w:hAnsi="华文中宋" w:eastAsia="黑体"/>
          <w:b w:val="0"/>
          <w:bCs w:val="0"/>
          <w:sz w:val="28"/>
          <w:szCs w:val="28"/>
          <w:highlight w:val="none"/>
        </w:rPr>
        <w:t xml:space="preserve">政府采购合同协议书</w:t>
      </w:r>
      <w:bookmarkEnd w:id="4"/>
      <w:r>
        <w:rPr>
          <w:highlight w:val="none"/>
        </w:rPr>
      </w:r>
      <w:r/>
    </w:p>
    <w:p>
      <w:pPr>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甲方（全称）：（采购人、受采购人委托签订合同的单位或采购文件约定的合同甲方）</w:t>
      </w:r>
      <w:r>
        <w:rPr>
          <w:highlight w:val="none"/>
        </w:rPr>
      </w:r>
      <w:r/>
    </w:p>
    <w:p>
      <w:pPr>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乙方（全称）：（供应商）</w:t>
      </w:r>
      <w:r>
        <w:rPr>
          <w:highlight w:val="none"/>
        </w:rPr>
      </w:r>
      <w:r/>
    </w:p>
    <w:p>
      <w:pPr>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r>
      <w:r>
        <w:rPr>
          <w:highlight w:val="none"/>
        </w:rPr>
      </w:r>
      <w:r/>
    </w:p>
    <w:p>
      <w:pPr>
        <w:spacing w:line="400" w:lineRule="exact"/>
        <w:rPr>
          <w:rFonts w:ascii="宋体" w:hAnsi="宋体"/>
          <w:highlight w:val="none"/>
        </w:rPr>
        <w:pBdr>
          <w:top w:val="none" w:color="auto" w:sz="0" w:space="1"/>
          <w:left w:val="none" w:color="auto" w:sz="0" w:space="4"/>
          <w:bottom w:val="none" w:color="auto" w:sz="0" w:space="1"/>
          <w:right w:val="none" w:color="auto" w:sz="0" w:space="4"/>
        </w:pBdr>
      </w:pPr>
      <w:r>
        <w:rPr>
          <w:rFonts w:ascii="宋体" w:hAnsi="宋体"/>
          <w:highlight w:val="none"/>
        </w:rPr>
      </w:r>
      <w:r>
        <w:rPr>
          <w:highlight w:val="none"/>
        </w:rPr>
      </w:r>
      <w:r/>
    </w:p>
    <w:p>
      <w:pPr>
        <w:pStyle w:val="740"/>
        <w:ind w:left="0" w:firstLine="420"/>
        <w:spacing w:after="0"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highlight w:val="none"/>
        </w:rPr>
      </w:r>
      <w:r/>
    </w:p>
    <w:p>
      <w:pPr>
        <w:numPr>
          <w:ilvl w:val="0"/>
          <w:numId w:val="2"/>
        </w:numPr>
        <w:ind w:firstLine="422"/>
        <w:spacing w:line="400" w:lineRule="exact"/>
        <w:rPr>
          <w:rFonts w:ascii="宋体" w:hAnsi="宋体"/>
          <w:b/>
          <w:szCs w:val="21"/>
          <w:highlight w:val="none"/>
        </w:rPr>
        <w:pBdr>
          <w:top w:val="none" w:color="auto" w:sz="0" w:space="1"/>
          <w:left w:val="none" w:color="auto" w:sz="0" w:space="4"/>
          <w:bottom w:val="none" w:color="auto" w:sz="0" w:space="1"/>
          <w:right w:val="none" w:color="auto" w:sz="0" w:space="4"/>
        </w:pBdr>
      </w:pPr>
      <w:r>
        <w:rPr>
          <w:rFonts w:hint="eastAsia" w:ascii="宋体" w:hAnsi="宋体"/>
          <w:b/>
          <w:szCs w:val="21"/>
          <w:highlight w:val="none"/>
        </w:rPr>
        <w:t xml:space="preserve">项目信息</w:t>
      </w:r>
      <w:r>
        <w:rPr>
          <w:highlight w:val="none"/>
        </w:rPr>
      </w:r>
      <w:r/>
    </w:p>
    <w:p>
      <w:pPr>
        <w:pStyle w:val="740"/>
        <w:numPr>
          <w:ilvl w:val="0"/>
          <w:numId w:val="3"/>
        </w:numPr>
        <w:ind w:left="0" w:firstLine="420"/>
        <w:spacing w:after="0" w:line="400" w:lineRule="exac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采购项目名称：</w:t>
      </w:r>
      <w:r>
        <w:rPr>
          <w:rFonts w:ascii="宋体" w:hAnsi="宋体"/>
          <w:szCs w:val="21"/>
          <w:highlight w:val="none"/>
          <w:u w:val="single"/>
        </w:rPr>
        <w:t xml:space="preserve">                                          </w:t>
      </w:r>
      <w:r>
        <w:rPr>
          <w:highlight w:val="none"/>
        </w:rPr>
      </w:r>
      <w:r/>
    </w:p>
    <w:p>
      <w:pPr>
        <w:pStyle w:val="740"/>
        <w:numPr>
          <w:ilvl w:val="255"/>
          <w:numId w:val="0"/>
        </w:numPr>
        <w:spacing w:after="0" w:line="400" w:lineRule="exact"/>
        <w:tabs>
          <w:tab w:val="left" w:pos="999" w:leader="none"/>
        </w:tabs>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采购项目编号：</w:t>
      </w:r>
      <w:r>
        <w:rPr>
          <w:rFonts w:ascii="宋体" w:hAnsi="宋体"/>
          <w:szCs w:val="21"/>
          <w:highlight w:val="none"/>
          <w:u w:val="single"/>
        </w:rPr>
        <w:t xml:space="preserve">                                          </w:t>
      </w:r>
      <w:r>
        <w:rPr>
          <w:highlight w:val="none"/>
        </w:rPr>
      </w:r>
      <w:r/>
    </w:p>
    <w:p>
      <w:pPr>
        <w:pStyle w:val="740"/>
        <w:ind w:left="0" w:firstLine="420"/>
        <w:spacing w:after="0"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r>
        <w:rPr>
          <w:highlight w:val="none"/>
        </w:rPr>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（3）项目内容：</w:t>
      </w:r>
      <w:r>
        <w:rPr>
          <w:highlight w:val="none"/>
        </w:rPr>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采购标的及数量（台/套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rPr>
          <w:rFonts w:hint="eastAsia" w:ascii="宋体" w:hAnsi="宋体"/>
          <w:szCs w:val="21"/>
          <w:highlight w:val="none"/>
        </w:rPr>
        <w:t xml:space="preserve"> </w:t>
      </w:r>
      <w:r>
        <w:rPr>
          <w:highlight w:val="none"/>
        </w:rPr>
      </w:r>
      <w:r/>
    </w:p>
    <w:p>
      <w:pPr>
        <w:numPr>
          <w:ilvl w:val="255"/>
          <w:numId w:val="0"/>
        </w:numPr>
        <w:ind w:firstLine="420"/>
        <w:spacing w:line="400" w:lineRule="exact"/>
        <w:rPr>
          <w:rFonts w:ascii="宋体" w:hAnsi="宋体" w:cs="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highlight w:val="none"/>
        </w:rPr>
      </w:r>
      <w:r/>
    </w:p>
    <w:p>
      <w:pPr>
        <w:ind w:firstLine="945"/>
        <w:spacing w:line="400" w:lineRule="exac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采购标的的技术要求、商务要求具体见附件。</w:t>
      </w:r>
      <w:r>
        <w:rPr>
          <w:highlight w:val="none"/>
        </w:rPr>
      </w:r>
      <w:r/>
    </w:p>
    <w:p>
      <w:pPr>
        <w:numPr>
          <w:ilvl w:val="255"/>
          <w:numId w:val="0"/>
        </w:numPr>
        <w:ind w:firstLine="945"/>
        <w:spacing w:line="400" w:lineRule="exact"/>
        <w:rPr>
          <w:rFonts w:ascii="宋体" w:hAnsi="宋体" w:cs="宋体"/>
          <w:szCs w:val="21"/>
          <w:highlight w:val="none"/>
        </w:rPr>
        <w:pBdr>
          <w:top w:val="none" w:color="auto" w:sz="0" w:space="1"/>
          <w:left w:val="none" w:color="auto" w:sz="0" w:space="4"/>
          <w:bottom w:val="none" w:color="auto" w:sz="0" w:space="1"/>
          <w:right w:val="none" w:color="auto" w:sz="0" w:space="4"/>
        </w:pBd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rPr>
          <w:highlight w:val="none"/>
        </w:rPr>
      </w:r>
      <w:r/>
    </w:p>
    <w:p>
      <w:pPr>
        <w:numPr>
          <w:ilvl w:val="255"/>
          <w:numId w:val="0"/>
        </w:numPr>
        <w:ind w:firstLine="420"/>
        <w:spacing w:line="400" w:lineRule="exact"/>
        <w:rPr>
          <w:rFonts w:ascii="宋体" w:hAnsi="宋体" w:cs="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highlight w:val="none"/>
        </w:rPr>
      </w:r>
      <w:r/>
    </w:p>
    <w:p>
      <w:pPr>
        <w:numPr>
          <w:ilvl w:val="255"/>
          <w:numId w:val="0"/>
        </w:numPr>
        <w:ind w:firstLine="420"/>
        <w:spacing w:line="400" w:lineRule="exact"/>
        <w:rPr>
          <w:rFonts w:ascii="宋体" w:hAnsi="宋体" w:cs="宋体"/>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szCs w:val="21"/>
          <w:highlight w:val="none"/>
        </w:rPr>
        <w:t xml:space="preserve">     关键部件：</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highlight w:val="none"/>
        </w:rPr>
      </w:r>
      <w:r/>
    </w:p>
    <w:p>
      <w:pPr>
        <w:pStyle w:val="965"/>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     关键部件：</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r>
        <w:rPr>
          <w:highlight w:val="none"/>
        </w:rPr>
      </w:r>
      <w:r/>
    </w:p>
    <w:p>
      <w:pPr>
        <w:pStyle w:val="965"/>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     关键部件：</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rPr>
          <w:highlight w:val="none"/>
        </w:rPr>
      </w:r>
      <w:r/>
    </w:p>
    <w:p>
      <w:pPr>
        <w:pStyle w:val="965"/>
        <w:numPr>
          <w:ilvl w:val="255"/>
          <w:numId w:val="0"/>
        </w:numPr>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rPr>
          <w:highlight w:val="none"/>
        </w:rPr>
      </w:r>
      <w:r/>
    </w:p>
    <w:p>
      <w:pPr>
        <w:pStyle w:val="965"/>
        <w:numPr>
          <w:ilvl w:val="255"/>
          <w:numId w:val="0"/>
        </w:numPr>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rPr>
          <w:highlight w:val="none"/>
        </w:rPr>
      </w:r>
      <w:r/>
    </w:p>
    <w:p>
      <w:pPr>
        <w:pStyle w:val="965"/>
        <w:numPr>
          <w:ilvl w:val="255"/>
          <w:numId w:val="0"/>
        </w:numPr>
        <w:rPr>
          <w:rFonts w:asciiTheme="minorEastAsia" w:hAnsiTheme="minorEastAsia" w:eastAsiaTheme="minorEastAsia" w:cstheme="minorEastAsia"/>
          <w:sz w:val="21"/>
          <w:highlight w:val="none"/>
        </w:rPr>
        <w:pBdr>
          <w:top w:val="none" w:color="auto" w:sz="0" w:space="1"/>
          <w:left w:val="none" w:color="auto" w:sz="0" w:space="4"/>
          <w:bottom w:val="none" w:color="auto" w:sz="0" w:space="1"/>
          <w:right w:val="none" w:color="auto" w:sz="0" w:space="4"/>
        </w:pBdr>
      </w:pPr>
      <w:r>
        <w:rPr>
          <w:rFonts w:hint="eastAsia" w:asciiTheme="minorEastAsia" w:hAnsiTheme="minorEastAsia" w:eastAsiaTheme="minorEastAsia" w:cstheme="minorEastAsia"/>
          <w:sz w:val="21"/>
          <w:highlight w:val="none"/>
        </w:rPr>
        <w:t xml:space="preserve">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Theme="minorEastAsia" w:hAnsiTheme="minorEastAsia" w:eastAsiaTheme="minorEastAsia" w:cstheme="minorEastAsia"/>
          <w:sz w:val="21"/>
          <w:highlight w:val="none"/>
        </w:rPr>
        <w:t xml:space="preserve"> 数量：</w:t>
      </w:r>
      <w:r>
        <w:rPr>
          <w:rFonts w:hint="eastAsia" w:asciiTheme="minorEastAsia" w:hAnsiTheme="minorEastAsia" w:eastAsiaTheme="minorEastAsia" w:cstheme="minorEastAsia"/>
          <w:sz w:val="21"/>
          <w:highlight w:val="none"/>
          <w:u w:val="single"/>
        </w:rPr>
        <w:t xml:space="preserve"> </w:t>
      </w:r>
      <w:r>
        <w:rPr>
          <w:rFonts w:hint="eastAsia" w:ascii="宋体" w:hAnsi="宋体" w:eastAsia="宋体" w:cs="宋体"/>
          <w:sz w:val="21"/>
          <w:highlight w:val="none"/>
          <w:u w:val="single"/>
        </w:rPr>
        <w:t xml:space="preserve">   </w:t>
      </w:r>
      <w:r>
        <w:rPr>
          <w:rFonts w:hint="eastAsia" w:asciiTheme="minorEastAsia" w:hAnsiTheme="minorEastAsia" w:eastAsiaTheme="minorEastAsia" w:cstheme="minorEastAsia"/>
          <w:sz w:val="21"/>
          <w:highlight w:val="none"/>
        </w:rPr>
        <w:t xml:space="preserve"> 金额：</w:t>
      </w:r>
      <w:r>
        <w:rPr>
          <w:rFonts w:hint="eastAsia" w:ascii="宋体" w:hAnsi="宋体" w:eastAsia="宋体" w:cs="宋体"/>
          <w:sz w:val="21"/>
          <w:highlight w:val="none"/>
          <w:u w:val="single"/>
        </w:rPr>
        <w:t xml:space="preserve">     </w:t>
      </w:r>
      <w:r>
        <w:rPr>
          <w:rFonts w:hint="eastAsia" w:asciiTheme="minorEastAsia" w:hAnsiTheme="minorEastAsia" w:eastAsiaTheme="minorEastAsia" w:cstheme="minorEastAsia"/>
          <w:sz w:val="21"/>
          <w:highlight w:val="none"/>
        </w:rPr>
        <w:t xml:space="preserve"> </w:t>
      </w:r>
      <w:r>
        <w:rPr>
          <w:highlight w:val="none"/>
        </w:rPr>
      </w:r>
      <w:r/>
    </w:p>
    <w:p>
      <w:pPr>
        <w:pStyle w:val="965"/>
        <w:numPr>
          <w:ilvl w:val="255"/>
          <w:numId w:val="0"/>
        </w:numPr>
        <w:rPr>
          <w:rFonts w:asciiTheme="minorEastAsia" w:hAnsiTheme="minorEastAsia" w:eastAsiaTheme="minorEastAsia" w:cstheme="minorEastAsia"/>
          <w:sz w:val="21"/>
          <w:highlight w:val="none"/>
        </w:rPr>
        <w:pBdr>
          <w:top w:val="none" w:color="auto" w:sz="0" w:space="1"/>
          <w:left w:val="none" w:color="auto" w:sz="0" w:space="4"/>
          <w:bottom w:val="none" w:color="auto" w:sz="0" w:space="1"/>
          <w:right w:val="none" w:color="auto" w:sz="0" w:space="4"/>
        </w:pBdr>
      </w:pPr>
      <w:r>
        <w:rPr>
          <w:rFonts w:hint="eastAsia" w:asciiTheme="minorEastAsia" w:hAnsiTheme="minorEastAsia" w:eastAsiaTheme="minorEastAsia" w:cstheme="minorEastAsia"/>
          <w:sz w:val="21"/>
          <w:highlight w:val="none"/>
        </w:rPr>
        <w:t xml:space="preserve">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否</w:t>
      </w:r>
      <w:r>
        <w:rPr>
          <w:highlight w:val="none"/>
        </w:rPr>
      </w:r>
      <w:r/>
    </w:p>
    <w:p>
      <w:pPr>
        <w:pStyle w:val="965"/>
        <w:numPr>
          <w:ilvl w:val="255"/>
          <w:numId w:val="0"/>
        </w:numPr>
        <w:rPr>
          <w:rFonts w:asciiTheme="minorEastAsia" w:hAnsiTheme="minorEastAsia" w:eastAsiaTheme="minorEastAsia" w:cstheme="minorEastAsia"/>
          <w:sz w:val="21"/>
          <w:highlight w:val="none"/>
        </w:rPr>
        <w:pBdr>
          <w:top w:val="none" w:color="auto" w:sz="0" w:space="1"/>
          <w:left w:val="none" w:color="auto" w:sz="0" w:space="4"/>
          <w:bottom w:val="none" w:color="auto" w:sz="0" w:space="1"/>
          <w:right w:val="none" w:color="auto" w:sz="0" w:space="4"/>
        </w:pBdr>
      </w:pPr>
      <w:r>
        <w:rPr>
          <w:rFonts w:hint="eastAsia" w:asciiTheme="minorEastAsia" w:hAnsiTheme="minorEastAsia" w:eastAsiaTheme="minorEastAsia" w:cstheme="minorEastAsia"/>
          <w:sz w:val="21"/>
          <w:highlight w:val="none"/>
        </w:rPr>
        <w:t xml:space="preserve">    （</w:t>
      </w:r>
      <w:r>
        <w:rPr>
          <w:rFonts w:asciiTheme="minorEastAsia" w:hAnsiTheme="minorEastAsia" w:eastAsiaTheme="minorEastAsia" w:cstheme="minorEastAsia"/>
          <w:sz w:val="21"/>
          <w:highlight w:val="none"/>
          <w:lang w:val="en"/>
        </w:rPr>
        <w:t xml:space="preserve">4</w:t>
      </w:r>
      <w:r>
        <w:rPr>
          <w:rFonts w:hint="eastAsia" w:asciiTheme="minorEastAsia" w:hAnsiTheme="minorEastAsia" w:eastAsiaTheme="minorEastAsia" w:cstheme="minorEastAsia"/>
          <w:sz w:val="21"/>
          <w:highlight w:val="none"/>
        </w:rPr>
        <w:t xml:space="preserve">）政府采购组织形式：</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政府集中采购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部门集中采购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分散采购</w:t>
      </w:r>
      <w:r>
        <w:rPr>
          <w:highlight w:val="none"/>
        </w:rPr>
      </w:r>
      <w:r/>
    </w:p>
    <w:p>
      <w:pPr>
        <w:pStyle w:val="965"/>
        <w:numPr>
          <w:ilvl w:val="255"/>
          <w:numId w:val="0"/>
        </w:numPr>
        <w:ind w:firstLine="420"/>
        <w:rPr>
          <w:rFonts w:asciiTheme="minorEastAsia" w:hAnsiTheme="minorEastAsia" w:eastAsiaTheme="minorEastAsia" w:cstheme="minorEastAsia"/>
          <w:sz w:val="21"/>
          <w:highlight w:val="none"/>
        </w:rPr>
        <w:pBdr>
          <w:top w:val="none" w:color="auto" w:sz="0" w:space="1"/>
          <w:left w:val="none" w:color="auto" w:sz="0" w:space="4"/>
          <w:bottom w:val="none" w:color="auto" w:sz="0" w:space="1"/>
          <w:right w:val="none" w:color="auto" w:sz="0" w:space="4"/>
        </w:pBdr>
      </w:pPr>
      <w:r>
        <w:rPr>
          <w:rFonts w:hint="eastAsia" w:asciiTheme="minorEastAsia" w:hAnsiTheme="minorEastAsia" w:eastAsiaTheme="minorEastAsia" w:cstheme="minorEastAsia"/>
          <w:sz w:val="21"/>
          <w:highlight w:val="none"/>
        </w:rPr>
        <w:t xml:space="preserve">（</w:t>
      </w:r>
      <w:r>
        <w:rPr>
          <w:rFonts w:asciiTheme="minorEastAsia" w:hAnsiTheme="minorEastAsia" w:eastAsiaTheme="minorEastAsia" w:cstheme="minorEastAsia"/>
          <w:sz w:val="21"/>
          <w:highlight w:val="none"/>
          <w:lang w:val="en"/>
        </w:rPr>
        <w:t xml:space="preserve">5</w:t>
      </w:r>
      <w:r>
        <w:rPr>
          <w:rFonts w:hint="eastAsia" w:asciiTheme="minorEastAsia" w:hAnsiTheme="minorEastAsia" w:eastAsiaTheme="minorEastAsia" w:cstheme="minorEastAsia"/>
          <w:sz w:val="21"/>
          <w:highlight w:val="none"/>
        </w:rPr>
        <w:t xml:space="preserve">）政府采购方式：</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公开招标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邀请招标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竞争性谈判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竞争性磋商</w:t>
      </w:r>
      <w:r>
        <w:rPr>
          <w:highlight w:val="none"/>
        </w:rPr>
      </w:r>
      <w:r/>
    </w:p>
    <w:p>
      <w:pPr>
        <w:pStyle w:val="965"/>
        <w:numPr>
          <w:ilvl w:val="255"/>
          <w:numId w:val="0"/>
        </w:numPr>
        <w:ind w:firstLine="420"/>
        <w:rPr>
          <w:rFonts w:ascii="宋体" w:hAnsi="宋体" w:eastAsia="宋体" w:cs="宋体"/>
          <w:sz w:val="21"/>
          <w:highlight w:val="none"/>
          <w:u w:val="single"/>
        </w:rPr>
        <w:pBdr>
          <w:top w:val="none" w:color="auto" w:sz="0" w:space="1"/>
          <w:left w:val="none" w:color="auto" w:sz="0" w:space="4"/>
          <w:bottom w:val="none" w:color="auto" w:sz="0" w:space="1"/>
          <w:right w:val="none" w:color="auto" w:sz="0" w:space="4"/>
        </w:pBdr>
      </w:pPr>
      <w:r>
        <w:rPr>
          <w:rFonts w:hint="eastAsia" w:ascii="宋体" w:hAnsi="宋体" w:cs="宋体"/>
          <w:highlight w:val="none"/>
        </w:rPr>
        <w:t xml:space="preserve">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询价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单一来源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框架协议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其他：</w:t>
      </w:r>
      <w:r>
        <w:rPr>
          <w:rFonts w:hint="eastAsia" w:ascii="宋体" w:hAnsi="宋体" w:eastAsia="宋体" w:cs="宋体"/>
          <w:sz w:val="21"/>
          <w:highlight w:val="none"/>
          <w:u w:val="single"/>
        </w:rPr>
        <w:t xml:space="preserve">          </w:t>
      </w:r>
      <w:r>
        <w:rPr>
          <w:highlight w:val="none"/>
        </w:rPr>
      </w:r>
      <w:r/>
    </w:p>
    <w:p>
      <w:pPr>
        <w:pStyle w:val="965"/>
        <w:numPr>
          <w:ilvl w:val="255"/>
          <w:numId w:val="0"/>
        </w:numPr>
        <w:ind w:firstLine="420"/>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（注：在框架协议采购的第二阶段，可选择使用该合同文本）</w:t>
      </w:r>
      <w:r>
        <w:rPr>
          <w:highlight w:val="none"/>
        </w:rPr>
      </w:r>
      <w:r/>
    </w:p>
    <w:p>
      <w:pPr>
        <w:pStyle w:val="965"/>
        <w:numPr>
          <w:ilvl w:val="255"/>
          <w:numId w:val="0"/>
        </w:numPr>
        <w:ind w:firstLine="220"/>
        <w:rPr>
          <w:rFonts w:ascii="宋体" w:hAnsi="宋体" w:eastAsia="宋体" w:cs="Times New Roman"/>
          <w:sz w:val="21"/>
          <w:highlight w:val="none"/>
        </w:rPr>
        <w:pBdr>
          <w:top w:val="none" w:color="auto" w:sz="0" w:space="1"/>
          <w:left w:val="none" w:color="auto" w:sz="0" w:space="4"/>
          <w:bottom w:val="none" w:color="auto" w:sz="0" w:space="1"/>
          <w:right w:val="none" w:color="auto" w:sz="0" w:space="4"/>
        </w:pBdr>
      </w:pPr>
      <w:r>
        <w:rPr>
          <w:rFonts w:hint="eastAsia" w:ascii="宋体" w:hAnsi="宋体"/>
          <w:highlight w:val="none"/>
        </w:rPr>
        <w:t xml:space="preserve"> （</w:t>
      </w:r>
      <w:r>
        <w:rPr>
          <w:rFonts w:ascii="宋体" w:hAnsi="宋体"/>
          <w:highlight w:val="none"/>
          <w:lang w:val="en"/>
        </w:rPr>
        <w:t xml:space="preserve">6</w:t>
      </w:r>
      <w:r>
        <w:rPr>
          <w:rFonts w:hint="eastAsia" w:ascii="宋体" w:hAnsi="宋体"/>
          <w:highlight w:val="none"/>
        </w:rPr>
        <w:t xml:space="preserve">）</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highlight w:val="none"/>
        </w:rPr>
      </w:r>
      <w:r/>
    </w:p>
    <w:p>
      <w:pPr>
        <w:numPr>
          <w:ilvl w:val="255"/>
          <w:numId w:val="0"/>
        </w:numPr>
        <w:spacing w:line="400" w:lineRule="exact"/>
        <w:rPr>
          <w:rFonts w:ascii="宋体" w:hAnsi="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highlight w:val="none"/>
        </w:rPr>
      </w:r>
      <w:r/>
    </w:p>
    <w:p>
      <w:pPr>
        <w:numPr>
          <w:ilvl w:val="255"/>
          <w:numId w:val="0"/>
        </w:numPr>
        <w:spacing w:line="400" w:lineRule="exact"/>
        <w:rPr>
          <w:rFonts w:ascii="宋体" w:hAnsi="宋体"/>
          <w:iCs/>
          <w:szCs w:val="21"/>
          <w:highlight w:val="none"/>
        </w:rPr>
        <w:pBdr>
          <w:top w:val="none" w:color="auto" w:sz="0" w:space="1"/>
          <w:left w:val="none" w:color="auto" w:sz="0" w:space="4"/>
          <w:bottom w:val="none" w:color="auto" w:sz="0" w:space="1"/>
          <w:right w:val="none" w:color="auto" w:sz="0" w:space="4"/>
        </w:pBdr>
      </w:pPr>
      <w:r>
        <w:rPr>
          <w:rFonts w:hint="eastAsia"/>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highlight w:val="none"/>
        </w:rPr>
      </w:r>
      <w:r/>
    </w:p>
    <w:p>
      <w:pPr>
        <w:numPr>
          <w:ilvl w:val="255"/>
          <w:numId w:val="0"/>
        </w:numPr>
        <w:spacing w:line="400" w:lineRule="exact"/>
        <w:rPr>
          <w:rFonts w:ascii="宋体" w:hAnsi="宋体"/>
          <w:iCs/>
          <w:szCs w:val="21"/>
          <w:highlight w:val="none"/>
        </w:rPr>
        <w:pBdr>
          <w:top w:val="none" w:color="auto" w:sz="0" w:space="1"/>
          <w:left w:val="none" w:color="auto" w:sz="0" w:space="4"/>
          <w:bottom w:val="none" w:color="auto" w:sz="0" w:space="1"/>
          <w:right w:val="none" w:color="auto" w:sz="0" w:space="4"/>
        </w:pBdr>
      </w:pPr>
      <w:r>
        <w:rPr>
          <w:rFonts w:hint="eastAsia"/>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highlight w:val="none"/>
        </w:rPr>
      </w:r>
      <w:r/>
    </w:p>
    <w:p>
      <w:pPr>
        <w:spacing w:line="400" w:lineRule="exact"/>
        <w:rPr>
          <w:highlight w:val="none"/>
        </w:rPr>
        <w:pBdr>
          <w:top w:val="none" w:color="auto" w:sz="0" w:space="1"/>
          <w:left w:val="none" w:color="auto" w:sz="0" w:space="4"/>
          <w:bottom w:val="none" w:color="auto" w:sz="0" w:space="1"/>
          <w:right w:val="none" w:color="auto" w:sz="0" w:space="4"/>
        </w:pBdr>
      </w:pPr>
      <w:r>
        <w:rPr>
          <w:rFonts w:hint="eastAsia"/>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highlight w:val="none"/>
        </w:rPr>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w:t>
      </w:r>
      <w:r>
        <w:rPr>
          <w:rFonts w:ascii="宋体" w:hAnsi="宋体"/>
          <w:szCs w:val="21"/>
          <w:highlight w:val="none"/>
          <w:lang w:val="e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highlight w:val="none"/>
        </w:rPr>
      </w:r>
      <w:r/>
    </w:p>
    <w:p>
      <w:pPr>
        <w:ind w:firstLine="840"/>
        <w:spacing w:line="400" w:lineRule="exac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rPr>
          <w:highlight w:val="none"/>
        </w:rPr>
      </w:r>
      <w:r/>
    </w:p>
    <w:p>
      <w:pPr>
        <w:ind w:firstLine="84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分包供应商/制造商名称（如供应商和制造商不同，请分别填写）：</w:t>
      </w:r>
      <w:r>
        <w:rPr>
          <w:highlight w:val="none"/>
        </w:rPr>
      </w:r>
      <w:r/>
    </w:p>
    <w:p>
      <w:pPr>
        <w:ind w:firstLine="840"/>
        <w:spacing w:line="400" w:lineRule="exac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w:t>
      </w:r>
      <w:r>
        <w:rPr>
          <w:rFonts w:hint="eastAsia" w:ascii="宋体" w:hAnsi="宋体"/>
          <w:szCs w:val="21"/>
          <w:highlight w:val="none"/>
          <w:u w:val="single"/>
        </w:rPr>
        <w:t xml:space="preserve">                                                          </w:t>
      </w:r>
      <w:r>
        <w:rPr>
          <w:highlight w:val="none"/>
        </w:rPr>
      </w:r>
      <w:r/>
    </w:p>
    <w:p>
      <w:pPr>
        <w:ind w:firstLine="84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分包供应商/制造商类型（如果供应商和制造商不同，只填写制造商类型）：</w:t>
      </w:r>
      <w:r>
        <w:rPr>
          <w:highlight w:val="none"/>
        </w:rPr>
      </w:r>
      <w:r/>
    </w:p>
    <w:p>
      <w:pPr>
        <w:ind w:firstLine="840"/>
        <w:spacing w:line="400" w:lineRule="exact"/>
        <w:rPr>
          <w:rFonts w:ascii="宋体" w:hAnsi="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  </w:t>
      </w:r>
      <w:r>
        <w:rPr>
          <w:highlight w:val="none"/>
        </w:rPr>
      </w:r>
      <w:r/>
    </w:p>
    <w:p>
      <w:pPr>
        <w:ind w:firstLine="840"/>
        <w:spacing w:line="400" w:lineRule="exact"/>
        <w:rPr>
          <w:rFonts w:eastAsia="华文楷体"/>
          <w:highlight w:val="none"/>
        </w:rPr>
        <w:pBdr>
          <w:top w:val="none" w:color="auto" w:sz="0" w:space="1"/>
          <w:left w:val="none" w:color="auto" w:sz="0" w:space="4"/>
          <w:bottom w:val="none" w:color="auto" w:sz="0" w:space="1"/>
          <w:right w:val="none" w:color="auto" w:sz="0" w:space="4"/>
        </w:pBd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highlight w:val="none"/>
        </w:rPr>
      </w:r>
      <w:r/>
    </w:p>
    <w:p>
      <w:pPr>
        <w:numPr>
          <w:ilvl w:val="255"/>
          <w:numId w:val="0"/>
        </w:numPr>
        <w:spacing w:line="400" w:lineRule="exact"/>
        <w:rPr>
          <w:rFonts w:ascii="宋体" w:hAnsi="宋体" w:cs="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rPr>
          <w:highlight w:val="none"/>
        </w:rPr>
      </w:r>
      <w:r/>
    </w:p>
    <w:p>
      <w:pPr>
        <w:pStyle w:val="965"/>
        <w:tabs>
          <w:tab w:val="left" w:pos="1340" w:leader="none"/>
        </w:tabs>
        <w:rPr>
          <w:rFonts w:ascii="宋体" w:hAnsi="宋体" w:eastAsia="宋体" w:cs="宋体"/>
          <w:sz w:val="21"/>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rPr>
          <w:highlight w:val="none"/>
        </w:rPr>
      </w:r>
      <w:r/>
    </w:p>
    <w:p>
      <w:pPr>
        <w:numPr>
          <w:ilvl w:val="255"/>
          <w:numId w:val="0"/>
        </w:numPr>
        <w:ind w:firstLine="420"/>
        <w:spacing w:line="400" w:lineRule="exact"/>
        <w:rPr>
          <w:rFonts w:ascii="宋体" w:hAnsi="宋体" w:cs="宋体"/>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szCs w:val="21"/>
          <w:highlight w:val="none"/>
        </w:rPr>
        <w:t xml:space="preserve">（</w:t>
      </w:r>
      <w:r>
        <w:rPr>
          <w:rFonts w:ascii="宋体" w:hAnsi="宋体" w:cs="宋体"/>
          <w:szCs w:val="21"/>
          <w:highlight w:val="none"/>
          <w:lang w:val="en"/>
        </w:rPr>
        <w:t xml:space="preserve">9</w:t>
      </w:r>
      <w:r>
        <w:rPr>
          <w:rFonts w:hint="eastAsia" w:ascii="宋体" w:hAnsi="宋体" w:cs="宋体"/>
          <w:szCs w:val="21"/>
          <w:highlight w:val="none"/>
        </w:rPr>
        <w:t xml:space="preserve">）是否涉及进口产品：</w:t>
      </w:r>
      <w:r>
        <w:rPr>
          <w:highlight w:val="none"/>
        </w:rPr>
      </w:r>
      <w:r/>
    </w:p>
    <w:p>
      <w:pPr>
        <w:numPr>
          <w:ilvl w:val="255"/>
          <w:numId w:val="0"/>
        </w:numPr>
        <w:ind w:firstLine="840"/>
        <w:spacing w:line="400" w:lineRule="exact"/>
        <w:rPr>
          <w:rFonts w:ascii="宋体" w:hAnsi="宋体" w:cs="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rPr>
          <w:highlight w:val="none"/>
        </w:rPr>
      </w:r>
      <w:r/>
    </w:p>
    <w:p>
      <w:pPr>
        <w:numPr>
          <w:ilvl w:val="255"/>
          <w:numId w:val="0"/>
        </w:numPr>
        <w:ind w:firstLine="84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hint="eastAsia" w:ascii="宋体" w:hAnsi="宋体"/>
          <w:szCs w:val="21"/>
          <w:highlight w:val="none"/>
        </w:rPr>
        <w:t xml:space="preserve">      </w:t>
      </w:r>
      <w:r>
        <w:rPr>
          <w:highlight w:val="none"/>
        </w:rPr>
      </w:r>
      <w:r/>
    </w:p>
    <w:p>
      <w:pPr>
        <w:ind w:firstLine="84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rPr>
          <w:highlight w:val="none"/>
        </w:rPr>
      </w:r>
      <w:r/>
    </w:p>
    <w:p>
      <w:pPr>
        <w:numPr>
          <w:ilvl w:val="255"/>
          <w:numId w:val="0"/>
        </w:numPr>
        <w:spacing w:line="400" w:lineRule="exact"/>
        <w:tabs>
          <w:tab w:val="left" w:pos="740" w:leader="none"/>
        </w:tabs>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（1</w:t>
      </w:r>
      <w:r>
        <w:rPr>
          <w:rFonts w:ascii="宋体" w:hAnsi="宋体"/>
          <w:szCs w:val="21"/>
          <w:highlight w:val="none"/>
          <w:lang w:val="en"/>
        </w:rPr>
        <w:t xml:space="preserve">0</w:t>
      </w:r>
      <w:r>
        <w:rPr>
          <w:rFonts w:hint="eastAsia" w:ascii="宋体" w:hAnsi="宋体"/>
          <w:szCs w:val="21"/>
          <w:highlight w:val="none"/>
        </w:rPr>
        <w:t xml:space="preserve">）是否涉及节能产品：</w:t>
      </w:r>
      <w:r>
        <w:rPr>
          <w:highlight w:val="none"/>
        </w:rPr>
      </w:r>
      <w:r/>
    </w:p>
    <w:p>
      <w:pPr>
        <w:numPr>
          <w:ilvl w:val="255"/>
          <w:numId w:val="0"/>
        </w:numPr>
        <w:spacing w:line="400" w:lineRule="exact"/>
        <w:tabs>
          <w:tab w:val="left" w:pos="740" w:leader="none"/>
        </w:tabs>
        <w:rPr>
          <w:rFonts w:ascii="宋体" w:hAnsi="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hint="eastAsia" w:ascii="宋体" w:hAnsi="宋体"/>
          <w:iCs/>
          <w:szCs w:val="21"/>
          <w:highlight w:val="none"/>
        </w:rPr>
        <w:t xml:space="preserve">     </w:t>
      </w:r>
      <w:r>
        <w:rPr>
          <w:highlight w:val="none"/>
        </w:rPr>
      </w:r>
      <w:r/>
    </w:p>
    <w:p>
      <w:pPr>
        <w:numPr>
          <w:ilvl w:val="255"/>
          <w:numId w:val="0"/>
        </w:numPr>
        <w:spacing w:line="400" w:lineRule="exact"/>
        <w:tabs>
          <w:tab w:val="left" w:pos="740" w:leader="none"/>
        </w:tabs>
        <w:rPr>
          <w:rFonts w:ascii="宋体" w:hAnsi="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rPr>
          <w:highlight w:val="none"/>
        </w:rPr>
      </w:r>
      <w:r/>
    </w:p>
    <w:p>
      <w:pPr>
        <w:numPr>
          <w:ilvl w:val="255"/>
          <w:numId w:val="0"/>
        </w:numPr>
        <w:spacing w:line="400" w:lineRule="exact"/>
        <w:tabs>
          <w:tab w:val="left" w:pos="740" w:leader="none"/>
        </w:tabs>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rPr>
          <w:highlight w:val="none"/>
        </w:rPr>
      </w:r>
      <w:r/>
    </w:p>
    <w:p>
      <w:pPr>
        <w:numPr>
          <w:ilvl w:val="255"/>
          <w:numId w:val="0"/>
        </w:numPr>
        <w:spacing w:line="400" w:lineRule="exact"/>
        <w:tabs>
          <w:tab w:val="left" w:pos="740" w:leader="none"/>
        </w:tabs>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是否涉及环境标志产品：</w:t>
      </w:r>
      <w:r>
        <w:rPr>
          <w:highlight w:val="none"/>
        </w:rPr>
      </w:r>
      <w:r/>
    </w:p>
    <w:p>
      <w:pPr>
        <w:numPr>
          <w:ilvl w:val="255"/>
          <w:numId w:val="0"/>
        </w:numPr>
        <w:spacing w:line="400" w:lineRule="exact"/>
        <w:tabs>
          <w:tab w:val="left" w:pos="740" w:leader="none"/>
        </w:tabs>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hint="eastAsia" w:ascii="宋体" w:hAnsi="宋体"/>
          <w:iCs/>
          <w:szCs w:val="21"/>
          <w:highlight w:val="none"/>
        </w:rPr>
        <w:t xml:space="preserve"> </w:t>
      </w:r>
      <w:r>
        <w:rPr>
          <w:highlight w:val="none"/>
        </w:rPr>
      </w:r>
      <w:r/>
    </w:p>
    <w:p>
      <w:pPr>
        <w:numPr>
          <w:ilvl w:val="255"/>
          <w:numId w:val="0"/>
        </w:numPr>
        <w:spacing w:line="400" w:lineRule="exact"/>
        <w:tabs>
          <w:tab w:val="left" w:pos="740" w:leader="none"/>
        </w:tabs>
        <w:rPr>
          <w:rFonts w:ascii="宋体" w:hAnsi="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rPr>
          <w:highlight w:val="none"/>
        </w:rPr>
      </w:r>
      <w:r/>
    </w:p>
    <w:p>
      <w:pPr>
        <w:numPr>
          <w:ilvl w:val="255"/>
          <w:numId w:val="0"/>
        </w:numPr>
        <w:spacing w:line="400" w:lineRule="exact"/>
        <w:tabs>
          <w:tab w:val="left" w:pos="740" w:leader="none"/>
        </w:tabs>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rPr>
          <w:highlight w:val="none"/>
        </w:rPr>
      </w:r>
      <w:r/>
    </w:p>
    <w:p>
      <w:pPr>
        <w:pStyle w:val="965"/>
        <w:numPr>
          <w:ilvl w:val="255"/>
          <w:numId w:val="0"/>
        </w:numPr>
        <w:rPr>
          <w:rFonts w:ascii="宋体" w:hAnsi="宋体" w:eastAsia="宋体" w:cs="Times New Roman"/>
          <w:sz w:val="21"/>
          <w:highlight w:val="none"/>
        </w:rPr>
        <w:pBdr>
          <w:top w:val="none" w:color="auto" w:sz="0" w:space="1"/>
          <w:left w:val="none" w:color="auto" w:sz="0" w:space="4"/>
          <w:bottom w:val="none" w:color="auto" w:sz="0" w:space="1"/>
          <w:right w:val="none" w:color="auto" w:sz="0" w:space="4"/>
        </w:pBd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 </w:t>
      </w:r>
      <w:r>
        <w:rPr>
          <w:highlight w:val="none"/>
        </w:rPr>
      </w:r>
      <w:r/>
    </w:p>
    <w:p>
      <w:pPr>
        <w:pStyle w:val="965"/>
        <w:ind w:firstLine="420"/>
        <w:rPr>
          <w:rFonts w:ascii="宋体" w:hAnsi="宋体" w:eastAsia="宋体"/>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rPr>
          <w:highlight w:val="none"/>
        </w:rPr>
      </w:r>
      <w:r/>
    </w:p>
    <w:p>
      <w:pPr>
        <w:numPr>
          <w:ilvl w:val="255"/>
          <w:numId w:val="0"/>
        </w:numPr>
        <w:spacing w:line="400" w:lineRule="exact"/>
        <w:tabs>
          <w:tab w:val="left" w:pos="740" w:leader="none"/>
        </w:tabs>
        <w:rPr>
          <w:rFonts w:ascii="宋体" w:hAnsi="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rPr>
          <w:highlight w:val="none"/>
        </w:rPr>
      </w:r>
      <w:r/>
    </w:p>
    <w:p>
      <w:pPr>
        <w:pStyle w:val="965"/>
        <w:ind w:firstLine="420"/>
        <w:rPr>
          <w:rFonts w:ascii="宋体" w:hAnsi="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highlight w:val="none"/>
        </w:rPr>
      </w:r>
      <w:r/>
    </w:p>
    <w:p>
      <w:pPr>
        <w:numPr>
          <w:ilvl w:val="255"/>
          <w:numId w:val="0"/>
        </w:numPr>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（1</w:t>
      </w:r>
      <w:r>
        <w:rPr>
          <w:rFonts w:ascii="宋体" w:hAnsi="宋体"/>
          <w:szCs w:val="21"/>
          <w:highlight w:val="none"/>
          <w:lang w:val="en"/>
        </w:rPr>
        <w:t xml:space="preserve">1</w:t>
      </w:r>
      <w:r>
        <w:rPr>
          <w:rFonts w:hint="eastAsia" w:ascii="宋体" w:hAnsi="宋体"/>
          <w:szCs w:val="21"/>
          <w:highlight w:val="none"/>
        </w:rPr>
        <w:t xml:space="preserve">）涉及商品包装和快递包装的，是否参考《商品包装政府采购需求标准（试行）》、《快递包装政府采购需求标准（试行）》明确产品及相关快递服务的具体包装要求：</w:t>
      </w:r>
      <w:r>
        <w:rPr>
          <w:highlight w:val="none"/>
        </w:rPr>
      </w:r>
      <w:r/>
    </w:p>
    <w:p>
      <w:pPr>
        <w:numPr>
          <w:ilvl w:val="255"/>
          <w:numId w:val="0"/>
        </w:numPr>
        <w:ind w:firstLine="84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ascii="Wingdings" w:hAnsi="Wingdings" w:eastAsia="Wingdings" w:cs="Wingdings"/>
          <w:szCs w:val="21"/>
          <w:highlight w:val="none"/>
        </w:rPr>
        <w:t xml:space="preserve"></w:t>
      </w:r>
      <w:r>
        <w:rPr>
          <w:rFonts w:hint="eastAsia" w:ascii="宋体" w:hAnsi="宋体"/>
          <w:szCs w:val="21"/>
          <w:highlight w:val="none"/>
        </w:rPr>
        <w:t xml:space="preserve">是       </w:t>
      </w:r>
      <w:r>
        <w:rPr>
          <w:rFonts w:ascii="Wingdings" w:hAnsi="Wingdings" w:eastAsia="Wingdings" w:cs="Wingdings"/>
          <w:szCs w:val="21"/>
          <w:highlight w:val="none"/>
        </w:rPr>
        <w:t xml:space="preserve"></w:t>
      </w:r>
      <w:r>
        <w:rPr>
          <w:rFonts w:hint="eastAsia" w:ascii="宋体" w:hAnsi="宋体"/>
          <w:szCs w:val="21"/>
          <w:highlight w:val="none"/>
        </w:rPr>
        <w:t xml:space="preserve">否      </w:t>
      </w:r>
      <w:r>
        <w:rPr>
          <w:rFonts w:ascii="Wingdings" w:hAnsi="Wingdings" w:eastAsia="Wingdings" w:cs="Wingdings"/>
          <w:szCs w:val="21"/>
          <w:highlight w:val="none"/>
        </w:rPr>
        <w:t xml:space="preserve"></w:t>
      </w:r>
      <w:r>
        <w:rPr>
          <w:rFonts w:hint="eastAsia" w:ascii="宋体" w:hAnsi="宋体"/>
          <w:szCs w:val="21"/>
          <w:highlight w:val="none"/>
        </w:rPr>
        <w:t xml:space="preserve">不涉及</w:t>
      </w:r>
      <w:r>
        <w:rPr>
          <w:highlight w:val="none"/>
        </w:rPr>
      </w:r>
      <w:r/>
    </w:p>
    <w:p>
      <w:pPr>
        <w:numPr>
          <w:ilvl w:val="0"/>
          <w:numId w:val="2"/>
        </w:numPr>
        <w:ind w:firstLine="422"/>
        <w:spacing w:line="400" w:lineRule="exact"/>
        <w:rPr>
          <w:rFonts w:ascii="宋体" w:hAnsi="宋体"/>
          <w:b/>
          <w:szCs w:val="21"/>
          <w:highlight w:val="none"/>
        </w:rPr>
        <w:pBdr>
          <w:top w:val="none" w:color="auto" w:sz="0" w:space="1"/>
          <w:left w:val="none" w:color="auto" w:sz="0" w:space="4"/>
          <w:bottom w:val="none" w:color="auto" w:sz="0" w:space="1"/>
          <w:right w:val="none" w:color="auto" w:sz="0" w:space="4"/>
        </w:pBdr>
      </w:pPr>
      <w:r>
        <w:rPr>
          <w:rFonts w:hint="eastAsia" w:ascii="宋体" w:hAnsi="宋体"/>
          <w:b/>
          <w:szCs w:val="21"/>
          <w:highlight w:val="none"/>
        </w:rPr>
        <w:t xml:space="preserve">合同金额</w:t>
      </w:r>
      <w:r>
        <w:rPr>
          <w:highlight w:val="none"/>
        </w:rPr>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rPr>
          <w:highlight w:val="none"/>
        </w:rPr>
      </w:r>
      <w:r/>
    </w:p>
    <w:p>
      <w:pPr>
        <w:spacing w:line="400" w:lineRule="exac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大写：</w:t>
      </w:r>
      <w:r>
        <w:rPr>
          <w:rFonts w:hint="eastAsia" w:ascii="宋体" w:hAnsi="宋体"/>
          <w:szCs w:val="21"/>
          <w:highlight w:val="none"/>
          <w:u w:val="single"/>
        </w:rPr>
        <w:t xml:space="preserve">                           </w:t>
      </w:r>
      <w:r>
        <w:rPr>
          <w:highlight w:val="none"/>
        </w:rPr>
      </w:r>
      <w:r/>
    </w:p>
    <w:p>
      <w:pPr>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r>
        <w:rPr>
          <w:highlight w:val="none"/>
        </w:rPr>
      </w:r>
      <w:r/>
    </w:p>
    <w:p>
      <w:pPr>
        <w:spacing w:line="400" w:lineRule="exac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大写：</w:t>
      </w:r>
      <w:r>
        <w:rPr>
          <w:rFonts w:hint="eastAsia" w:ascii="宋体" w:hAnsi="宋体"/>
          <w:szCs w:val="21"/>
          <w:highlight w:val="none"/>
          <w:u w:val="single"/>
        </w:rPr>
        <w:t xml:space="preserve">                       </w:t>
      </w:r>
      <w:r>
        <w:rPr>
          <w:highlight w:val="none"/>
        </w:rPr>
      </w:r>
      <w:r/>
    </w:p>
    <w:p>
      <w:pPr>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（注：固定单价合同应填写单价和最高限价）</w:t>
      </w:r>
      <w:r>
        <w:rPr>
          <w:highlight w:val="none"/>
        </w:rPr>
      </w:r>
      <w:r/>
    </w:p>
    <w:p>
      <w:pPr>
        <w:numPr>
          <w:ilvl w:val="255"/>
          <w:numId w:val="0"/>
        </w:numPr>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（2）合同定价方式（采用组合定价方式的，可以勾选多项）：</w:t>
      </w:r>
      <w:r>
        <w:rPr>
          <w:highlight w:val="none"/>
        </w:rPr>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hint="eastAsia" w:ascii="宋体" w:hAnsi="宋体"/>
          <w:szCs w:val="21"/>
          <w:highlight w:val="none"/>
          <w:u w:val="single"/>
        </w:rPr>
        <w:t xml:space="preserve">       </w:t>
      </w:r>
      <w:r>
        <w:rPr>
          <w:highlight w:val="none"/>
        </w:rPr>
      </w:r>
      <w:r/>
    </w:p>
    <w:p>
      <w:pPr>
        <w:pStyle w:val="966"/>
        <w:spacing w:line="400" w:lineRule="exact"/>
        <w:rPr>
          <w:highlight w:val="none"/>
        </w:rPr>
        <w:pBdr>
          <w:top w:val="none" w:color="auto" w:sz="0" w:space="1"/>
          <w:left w:val="none" w:color="auto" w:sz="0" w:space="4"/>
          <w:bottom w:val="none" w:color="auto" w:sz="0" w:space="1"/>
          <w:right w:val="none" w:color="auto" w:sz="0" w:space="4"/>
        </w:pBdr>
      </w:pPr>
      <w:r>
        <w:rPr>
          <w:rFonts w:hint="eastAsia" w:ascii="宋体" w:hAnsi="宋体"/>
          <w:highlight w:val="none"/>
        </w:rPr>
        <w:t xml:space="preserve">（3）付款方式（按项目实际勾选填写）：</w:t>
      </w:r>
      <w:r>
        <w:rPr>
          <w:highlight w:val="none"/>
        </w:rPr>
      </w:r>
      <w:r/>
    </w:p>
    <w:p>
      <w:pPr>
        <w:ind w:firstLine="630"/>
        <w:spacing w:line="400" w:lineRule="exac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     （应明确一次性支付合同款项的条件）                    </w:t>
      </w:r>
      <w:r>
        <w:rPr>
          <w:highlight w:val="none"/>
        </w:rPr>
      </w:r>
      <w:r/>
    </w:p>
    <w:p>
      <w:pPr>
        <w:ind w:firstLine="630"/>
        <w:spacing w:line="400" w:lineRule="exact"/>
        <w:rPr>
          <w:highlight w:val="none"/>
        </w:rPr>
        <w:pBdr>
          <w:top w:val="none" w:color="auto" w:sz="0" w:space="1"/>
          <w:left w:val="none" w:color="auto" w:sz="0" w:space="4"/>
          <w:bottom w:val="none" w:color="auto" w:sz="0" w:space="1"/>
          <w:right w:val="none" w:color="auto" w:sz="0" w:space="4"/>
        </w:pBdr>
      </w:pPr>
      <w:r>
        <w:rPr>
          <w:rFonts w:ascii="Wingdings" w:hAnsi="Wingdings" w:eastAsia="Wingdings" w:cs="Wingdings"/>
          <w:szCs w:val="21"/>
          <w:highlight w:val="none"/>
        </w:rPr>
        <w:t xml:space="preserve"></w:t>
      </w:r>
      <w:r>
        <w:rPr>
          <w:rFonts w:hint="eastAsia" w:ascii="宋体" w:hAnsi="宋体"/>
          <w:szCs w:val="21"/>
          <w:highlight w:val="none"/>
        </w:rPr>
        <w:t xml:space="preserve">分期付款：</w:t>
      </w:r>
      <w:r>
        <w:rPr>
          <w:rFonts w:hint="eastAsia" w:ascii="宋体" w:hAnsi="宋体"/>
          <w:szCs w:val="21"/>
          <w:highlight w:val="none"/>
          <w:u w:val="single"/>
        </w:rPr>
        <w:t xml:space="preserve">  （应明确分期支付合同款项的各期比例和支付条件，各期支付条件应与分期履约验收情况挂钩） </w:t>
      </w:r>
      <w:r>
        <w:rPr>
          <w:rFonts w:hint="eastAsia" w:ascii="宋体" w:hAnsi="宋体"/>
          <w:szCs w:val="21"/>
          <w:highlight w:val="none"/>
        </w:rPr>
        <w:t xml:space="preserve">，其中涉及预付款的：</w:t>
      </w:r>
      <w:r>
        <w:rPr>
          <w:rFonts w:hint="eastAsia" w:ascii="宋体" w:hAnsi="宋体"/>
          <w:szCs w:val="21"/>
          <w:highlight w:val="none"/>
          <w:u w:val="single"/>
        </w:rPr>
        <w:t xml:space="preserve"> （应明确预付款的支付比例和支付条件） </w:t>
      </w:r>
      <w:r>
        <w:rPr>
          <w:highlight w:val="none"/>
        </w:rPr>
      </w:r>
      <w:r/>
    </w:p>
    <w:p>
      <w:pPr>
        <w:ind w:firstLine="630"/>
        <w:spacing w:line="400" w:lineRule="exac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      （应明确按照成本补偿方式的支付方式和支付条件）   </w:t>
      </w:r>
      <w:r>
        <w:rPr>
          <w:highlight w:val="none"/>
        </w:rPr>
      </w:r>
      <w:r/>
    </w:p>
    <w:p>
      <w:pPr>
        <w:ind w:firstLine="63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      （应明确按照绩效激励方式的支付方式和支付条件）   </w:t>
      </w:r>
      <w:r>
        <w:rPr>
          <w:highlight w:val="none"/>
        </w:rPr>
      </w:r>
      <w:r/>
    </w:p>
    <w:p>
      <w:pPr>
        <w:numPr>
          <w:ilvl w:val="0"/>
          <w:numId w:val="2"/>
        </w:numPr>
        <w:ind w:firstLine="422"/>
        <w:spacing w:line="400" w:lineRule="exact"/>
        <w:rPr>
          <w:rFonts w:ascii="宋体" w:hAnsi="宋体"/>
          <w:b/>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
          <w:szCs w:val="21"/>
          <w:highlight w:val="none"/>
        </w:rPr>
        <w:t xml:space="preserve">合同履行</w:t>
      </w:r>
      <w:r>
        <w:rPr>
          <w:highlight w:val="none"/>
        </w:rPr>
      </w:r>
      <w:r/>
    </w:p>
    <w:p>
      <w:pPr>
        <w:ind w:firstLine="420"/>
        <w:spacing w:line="400" w:lineRule="exact"/>
        <w:rPr>
          <w:rFonts w:ascii="宋体" w:hAnsi="宋体" w:cs="宋体"/>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rPr>
          <w:highlight w:val="none"/>
        </w:rPr>
      </w:r>
      <w:r/>
    </w:p>
    <w:p>
      <w:pPr>
        <w:ind w:firstLine="420"/>
        <w:spacing w:line="400" w:lineRule="exact"/>
        <w:rPr>
          <w:rFonts w:ascii="宋体" w:hAnsi="宋体" w:cs="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rPr>
          <w:highlight w:val="none"/>
        </w:rPr>
      </w:r>
      <w:r/>
    </w:p>
    <w:p>
      <w:pPr>
        <w:ind w:firstLine="420"/>
        <w:spacing w:line="400" w:lineRule="exact"/>
        <w:rPr>
          <w:rFonts w:ascii="宋体" w:hAnsi="宋体" w:cs="宋体"/>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rPr>
          <w:highlight w:val="none"/>
        </w:rPr>
      </w:r>
      <w:r/>
    </w:p>
    <w:p>
      <w:pPr>
        <w:pStyle w:val="965"/>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cs="宋体"/>
          <w:bCs/>
          <w:highlight w:val="none"/>
        </w:rPr>
        <w:t xml:space="preserve">  </w:t>
      </w:r>
      <w:r>
        <w:rPr>
          <w:rFonts w:hint="eastAsia" w:ascii="宋体" w:hAnsi="宋体" w:eastAsia="宋体" w:cs="宋体"/>
          <w:sz w:val="21"/>
          <w:highlight w:val="none"/>
        </w:rPr>
        <w:t xml:space="preserve">  收取履约保证金形式：</w:t>
      </w:r>
      <w:r>
        <w:rPr>
          <w:rFonts w:hint="eastAsia" w:ascii="宋体" w:hAnsi="宋体" w:eastAsia="宋体" w:cs="宋体"/>
          <w:bCs/>
          <w:sz w:val="21"/>
          <w:highlight w:val="none"/>
          <w:u w:val="single"/>
        </w:rPr>
        <w:t xml:space="preserve">                            </w:t>
      </w:r>
      <w:r>
        <w:rPr>
          <w:highlight w:val="none"/>
        </w:rPr>
      </w:r>
      <w:r/>
    </w:p>
    <w:p>
      <w:pPr>
        <w:pStyle w:val="965"/>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    收取履约保证金金额：</w:t>
      </w:r>
      <w:r>
        <w:rPr>
          <w:rFonts w:hint="eastAsia" w:ascii="宋体" w:hAnsi="宋体" w:eastAsia="宋体" w:cs="宋体"/>
          <w:bCs/>
          <w:sz w:val="21"/>
          <w:highlight w:val="none"/>
          <w:u w:val="single"/>
        </w:rPr>
        <w:t xml:space="preserve">                            </w:t>
      </w:r>
      <w:r>
        <w:rPr>
          <w:highlight w:val="none"/>
        </w:rPr>
      </w:r>
      <w:r/>
    </w:p>
    <w:p>
      <w:pPr>
        <w:ind w:firstLine="420"/>
        <w:spacing w:line="400" w:lineRule="exact"/>
        <w:rPr>
          <w:rFonts w:ascii="宋体" w:hAnsi="宋体" w:cs="宋体"/>
          <w:highlight w:val="none"/>
        </w:rPr>
        <w:pBdr>
          <w:top w:val="none" w:color="auto" w:sz="0" w:space="1"/>
          <w:left w:val="none" w:color="auto" w:sz="0" w:space="4"/>
          <w:bottom w:val="none" w:color="auto" w:sz="0" w:space="1"/>
          <w:right w:val="none" w:color="auto" w:sz="0" w:space="4"/>
        </w:pBdr>
      </w:pPr>
      <w:r>
        <w:rPr>
          <w:rFonts w:hint="eastAsia" w:ascii="宋体" w:hAnsi="宋体" w:cs="宋体"/>
          <w:bCs/>
          <w:szCs w:val="21"/>
          <w:highlight w:val="none"/>
        </w:rPr>
        <w:t xml:space="preserve">    履约担保期限：</w:t>
      </w:r>
      <w:r>
        <w:rPr>
          <w:rFonts w:hint="eastAsia" w:ascii="宋体" w:hAnsi="宋体" w:cs="宋体"/>
          <w:bCs/>
          <w:szCs w:val="21"/>
          <w:highlight w:val="none"/>
          <w:u w:val="single"/>
        </w:rPr>
        <w:t xml:space="preserve">                                  </w:t>
      </w:r>
      <w:r>
        <w:rPr>
          <w:highlight w:val="none"/>
        </w:rPr>
      </w:r>
      <w:r/>
    </w:p>
    <w:p>
      <w:pPr>
        <w:ind w:firstLine="420"/>
        <w:spacing w:line="400" w:lineRule="exact"/>
        <w:rPr>
          <w:rFonts w:ascii="宋体" w:hAnsi="宋体" w:cs="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rPr>
          <w:highlight w:val="none"/>
        </w:rPr>
      </w:r>
      <w:r/>
    </w:p>
    <w:p>
      <w:pPr>
        <w:ind w:firstLine="420"/>
        <w:spacing w:line="400" w:lineRule="exact"/>
        <w:rPr>
          <w:rFonts w:ascii="宋体" w:hAnsi="宋体" w:cs="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cs="宋体"/>
          <w:bCs/>
          <w:szCs w:val="21"/>
          <w:highlight w:val="none"/>
        </w:rPr>
        <w:t xml:space="preserve">（5）风险处置措施和替代方案：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szCs w:val="21"/>
          <w:highlight w:val="none"/>
          <w:u w:val="single"/>
        </w:rPr>
        <w:t xml:space="preserve">                                                </w:t>
      </w:r>
      <w:r>
        <w:rPr>
          <w:highlight w:val="none"/>
        </w:rPr>
      </w:r>
      <w:r/>
    </w:p>
    <w:p>
      <w:pPr>
        <w:numPr>
          <w:ilvl w:val="0"/>
          <w:numId w:val="2"/>
        </w:numPr>
        <w:ind w:firstLine="422"/>
        <w:spacing w:line="400" w:lineRule="exact"/>
        <w:rPr>
          <w:rFonts w:ascii="宋体" w:hAnsi="宋体"/>
          <w:b/>
          <w:szCs w:val="21"/>
          <w:highlight w:val="none"/>
        </w:rPr>
        <w:pBdr>
          <w:top w:val="none" w:color="auto" w:sz="0" w:space="1"/>
          <w:left w:val="none" w:color="auto" w:sz="0" w:space="4"/>
          <w:bottom w:val="none" w:color="auto" w:sz="0" w:space="1"/>
          <w:right w:val="none" w:color="auto" w:sz="0" w:space="4"/>
        </w:pBdr>
      </w:pPr>
      <w:r>
        <w:rPr>
          <w:rFonts w:hint="eastAsia" w:ascii="宋体" w:hAnsi="宋体"/>
          <w:b/>
          <w:szCs w:val="21"/>
          <w:highlight w:val="none"/>
        </w:rPr>
        <w:t xml:space="preserve">合同验收</w:t>
      </w:r>
      <w:r>
        <w:rPr>
          <w:highlight w:val="none"/>
        </w:rPr>
      </w:r>
      <w:r/>
    </w:p>
    <w:p>
      <w:pPr>
        <w:numPr>
          <w:ilvl w:val="0"/>
          <w:numId w:val="4"/>
        </w:numPr>
        <w:ind w:firstLine="420"/>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rPr>
          <w:highlight w:val="none"/>
        </w:rPr>
      </w:r>
      <w:r/>
    </w:p>
    <w:p>
      <w:pPr>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         验收主体：</w:t>
      </w:r>
      <w:r>
        <w:rPr>
          <w:rFonts w:hint="eastAsia" w:ascii="宋体" w:hAnsi="宋体"/>
          <w:bCs/>
          <w:szCs w:val="21"/>
          <w:highlight w:val="none"/>
          <w:u w:val="single"/>
        </w:rPr>
        <w:t xml:space="preserve">                  </w:t>
      </w:r>
      <w:r>
        <w:rPr>
          <w:highlight w:val="none"/>
        </w:rPr>
      </w:r>
      <w:r/>
    </w:p>
    <w:p>
      <w:pPr>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        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highlight w:val="none"/>
        </w:rPr>
      </w:r>
      <w:r/>
    </w:p>
    <w:p>
      <w:pPr>
        <w:ind w:firstLine="840"/>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highlight w:val="none"/>
        </w:rPr>
      </w:r>
      <w:r/>
    </w:p>
    <w:p>
      <w:pPr>
        <w:ind w:firstLine="840"/>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highlight w:val="none"/>
        </w:rPr>
      </w:r>
      <w:r/>
    </w:p>
    <w:p>
      <w:pPr>
        <w:ind w:firstLine="840"/>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highlight w:val="none"/>
        </w:rPr>
      </w:r>
      <w:r/>
    </w:p>
    <w:p>
      <w:pPr>
        <w:ind w:firstLine="840"/>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highlight w:val="none"/>
        </w:rPr>
      </w:r>
      <w:r/>
    </w:p>
    <w:p>
      <w:pPr>
        <w:ind w:firstLine="840"/>
        <w:spacing w:line="400" w:lineRule="exact"/>
        <w:rPr>
          <w:rFonts w:ascii="宋体" w:hAnsi="宋体"/>
          <w:bCs/>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rPr>
          <w:highlight w:val="none"/>
        </w:rPr>
      </w:r>
      <w:r/>
    </w:p>
    <w:p>
      <w:pPr>
        <w:ind w:firstLine="840"/>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highlight w:val="none"/>
        </w:rPr>
      </w:r>
      <w:r/>
    </w:p>
    <w:p>
      <w:pPr>
        <w:ind w:firstLine="840"/>
        <w:spacing w:line="400" w:lineRule="exact"/>
        <w:rPr>
          <w:rFonts w:ascii="宋体" w:hAnsi="宋体"/>
          <w:bCs/>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rPr>
          <w:highlight w:val="none"/>
        </w:rPr>
      </w:r>
      <w:r/>
    </w:p>
    <w:p>
      <w:pPr>
        <w:ind w:firstLine="420"/>
        <w:spacing w:line="400" w:lineRule="exact"/>
        <w:rPr>
          <w:rFonts w:ascii="宋体" w:hAnsi="宋体"/>
          <w:bCs/>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 </w:t>
      </w:r>
      <w:r>
        <w:rPr>
          <w:highlight w:val="none"/>
        </w:rPr>
      </w:r>
      <w:r/>
    </w:p>
    <w:p>
      <w:pPr>
        <w:ind w:firstLine="420"/>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         </w:t>
      </w:r>
      <w:r>
        <w:rPr>
          <w:highlight w:val="none"/>
        </w:rPr>
      </w:r>
      <w:r/>
    </w:p>
    <w:p>
      <w:pPr>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 xml:space="preserve">/</w:t>
      </w:r>
      <w:r>
        <w:rPr>
          <w:rFonts w:hint="eastAsia" w:ascii="宋体" w:hAnsi="宋体"/>
          <w:bCs/>
          <w:szCs w:val="21"/>
          <w:highlight w:val="none"/>
          <w:u w:val="single"/>
          <w:lang w:val="en"/>
        </w:rPr>
        <w:t xml:space="preserve">分项验收的工作安排</w:t>
      </w:r>
      <w:r>
        <w:rPr>
          <w:rFonts w:hint="eastAsia" w:ascii="宋体" w:hAnsi="宋体"/>
          <w:bCs/>
          <w:szCs w:val="21"/>
          <w:highlight w:val="none"/>
          <w:u w:val="single"/>
        </w:rPr>
        <w:t xml:space="preserve">）  </w:t>
      </w:r>
      <w:r>
        <w:rPr>
          <w:highlight w:val="none"/>
        </w:rPr>
      </w:r>
      <w:r/>
    </w:p>
    <w:p>
      <w:pPr>
        <w:ind w:firstLine="420"/>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rPr>
          <w:highlight w:val="none"/>
        </w:rPr>
      </w:r>
      <w:r/>
    </w:p>
    <w:p>
      <w:pPr>
        <w:ind w:firstLine="420"/>
        <w:spacing w:line="400" w:lineRule="exact"/>
        <w:rPr>
          <w:rFonts w:ascii="宋体" w:hAnsi="宋体"/>
          <w:bCs/>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r>
        <w:rPr>
          <w:highlight w:val="none"/>
        </w:rPr>
      </w:r>
      <w:r/>
    </w:p>
    <w:p>
      <w:pPr>
        <w:ind w:firstLine="420"/>
        <w:spacing w:line="400" w:lineRule="exact"/>
        <w:rPr>
          <w:rFonts w:ascii="宋体" w:hAnsi="宋体"/>
          <w:bCs/>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rPr>
          <w:highlight w:val="none"/>
        </w:rPr>
      </w:r>
      <w:r/>
    </w:p>
    <w:p>
      <w:pPr>
        <w:pStyle w:val="965"/>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rPr>
          <w:highlight w:val="none"/>
        </w:rPr>
      </w:r>
      <w:r/>
    </w:p>
    <w:p>
      <w:pPr>
        <w:ind w:firstLine="420"/>
        <w:spacing w:line="400" w:lineRule="exact"/>
        <w:rPr>
          <w:rFonts w:ascii="宋体" w:hAnsi="宋体" w:cs="宋体"/>
          <w:bCs/>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（产权过户登记等）          </w:t>
      </w:r>
      <w:r>
        <w:rPr>
          <w:highlight w:val="none"/>
        </w:rPr>
      </w:r>
      <w:r/>
    </w:p>
    <w:p>
      <w:pPr>
        <w:numPr>
          <w:ilvl w:val="0"/>
          <w:numId w:val="2"/>
        </w:numPr>
        <w:ind w:firstLine="422"/>
        <w:spacing w:line="400" w:lineRule="exact"/>
        <w:rPr>
          <w:rFonts w:ascii="宋体" w:hAnsi="宋体"/>
          <w:b/>
          <w:szCs w:val="21"/>
          <w:highlight w:val="none"/>
        </w:rPr>
        <w:pBdr>
          <w:top w:val="none" w:color="auto" w:sz="0" w:space="1"/>
          <w:left w:val="none" w:color="auto" w:sz="0" w:space="4"/>
          <w:bottom w:val="none" w:color="auto" w:sz="0" w:space="1"/>
          <w:right w:val="none" w:color="auto" w:sz="0" w:space="4"/>
        </w:pBdr>
      </w:pPr>
      <w:r>
        <w:rPr>
          <w:rFonts w:hint="eastAsia" w:ascii="宋体" w:hAnsi="宋体"/>
          <w:b/>
          <w:szCs w:val="21"/>
          <w:highlight w:val="none"/>
        </w:rPr>
        <w:t xml:space="preserve">组成合同的文件</w:t>
      </w:r>
      <w:r>
        <w:rPr>
          <w:highlight w:val="none"/>
        </w:rPr>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本协议书与下列文件一起构成合同文件，如下述文件之间有任何抵触、矛盾或歧义，应按以下顺序解释：</w:t>
      </w:r>
      <w:r>
        <w:rPr>
          <w:highlight w:val="none"/>
        </w:rPr>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（1）政府采购合同协议书及其变更、补充协议</w:t>
      </w:r>
      <w:r>
        <w:rPr>
          <w:highlight w:val="none"/>
        </w:rPr>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（2）政府采购合同专用条款</w:t>
      </w:r>
      <w:r>
        <w:rPr>
          <w:highlight w:val="none"/>
        </w:rPr>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（3）政府采购合同通用条款</w:t>
      </w:r>
      <w:r>
        <w:rPr>
          <w:highlight w:val="none"/>
        </w:rPr>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（4）中标（成交）通知书</w:t>
      </w:r>
      <w:r>
        <w:rPr>
          <w:highlight w:val="none"/>
        </w:rPr>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（5）投标（响应）文件</w:t>
      </w:r>
      <w:r>
        <w:rPr>
          <w:highlight w:val="none"/>
        </w:rPr>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（6）采购文件</w:t>
      </w:r>
      <w:r>
        <w:rPr>
          <w:highlight w:val="none"/>
        </w:rPr>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（7）有关技术文件，图纸</w:t>
      </w:r>
      <w:r>
        <w:rPr>
          <w:highlight w:val="none"/>
        </w:rPr>
      </w:r>
      <w:r/>
    </w:p>
    <w:p>
      <w:pPr>
        <w:pStyle w:val="965"/>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（8）</w:t>
      </w:r>
      <w:r>
        <w:rPr>
          <w:rFonts w:hint="eastAsia" w:ascii="宋体" w:hAnsi="宋体" w:eastAsia="宋体" w:cs="宋体"/>
          <w:color w:val="000000" w:themeColor="text1"/>
          <w:sz w:val="21"/>
          <w:highlight w:val="none"/>
          <w14:textFill>
            <w14:solidFill>
              <w14:schemeClr w14:val="tx1"/>
            </w14:solidFill>
          </w14:textFill>
        </w:rPr>
        <w:t xml:space="preserve">国家法律、行政法规和规章制度规定或合同约定的作为合同组成部分的其他文件</w:t>
      </w:r>
      <w:r>
        <w:rPr>
          <w:highlight w:val="none"/>
        </w:rPr>
      </w:r>
      <w:r/>
    </w:p>
    <w:p>
      <w:pPr>
        <w:numPr>
          <w:ilvl w:val="0"/>
          <w:numId w:val="2"/>
        </w:numPr>
        <w:ind w:firstLine="422"/>
        <w:spacing w:line="400" w:lineRule="exact"/>
        <w:rPr>
          <w:rFonts w:ascii="宋体" w:hAnsi="宋体"/>
          <w:b/>
          <w:szCs w:val="21"/>
          <w:highlight w:val="none"/>
        </w:rPr>
        <w:pBdr>
          <w:top w:val="none" w:color="auto" w:sz="0" w:space="1"/>
          <w:left w:val="none" w:color="auto" w:sz="0" w:space="4"/>
          <w:bottom w:val="none" w:color="auto" w:sz="0" w:space="1"/>
          <w:right w:val="none" w:color="auto" w:sz="0" w:space="4"/>
        </w:pBdr>
      </w:pPr>
      <w:r>
        <w:rPr>
          <w:rFonts w:hint="eastAsia" w:ascii="宋体" w:hAnsi="宋体"/>
          <w:b/>
          <w:szCs w:val="21"/>
          <w:highlight w:val="none"/>
        </w:rPr>
        <w:t xml:space="preserve">合同生效</w:t>
      </w:r>
      <w:r>
        <w:rPr>
          <w:highlight w:val="none"/>
        </w:rPr>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rPr>
          <w:highlight w:val="none"/>
        </w:rPr>
      </w:r>
      <w:r/>
    </w:p>
    <w:p>
      <w:pPr>
        <w:numPr>
          <w:ilvl w:val="0"/>
          <w:numId w:val="2"/>
        </w:numPr>
        <w:ind w:firstLine="422"/>
        <w:spacing w:line="400" w:lineRule="exact"/>
        <w:rPr>
          <w:rFonts w:ascii="宋体" w:hAnsi="宋体"/>
          <w:b/>
          <w:szCs w:val="21"/>
          <w:highlight w:val="none"/>
        </w:rPr>
        <w:pBdr>
          <w:top w:val="none" w:color="auto" w:sz="0" w:space="1"/>
          <w:left w:val="none" w:color="auto" w:sz="0" w:space="4"/>
          <w:bottom w:val="none" w:color="auto" w:sz="0" w:space="1"/>
          <w:right w:val="none" w:color="auto" w:sz="0" w:space="4"/>
        </w:pBdr>
      </w:pPr>
      <w:r>
        <w:rPr>
          <w:rFonts w:hint="eastAsia" w:ascii="宋体" w:hAnsi="宋体"/>
          <w:b/>
          <w:szCs w:val="21"/>
          <w:highlight w:val="none"/>
        </w:rPr>
        <w:t xml:space="preserve">合同份数</w:t>
      </w:r>
      <w:r>
        <w:rPr>
          <w:highlight w:val="none"/>
        </w:rPr>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w:t>
      </w:r>
      <w:r>
        <w:rPr>
          <w:rFonts w:hint="eastAsia" w:ascii="宋体" w:hAnsi="宋体"/>
          <w:szCs w:val="21"/>
          <w:highlight w:val="none"/>
        </w:rPr>
        <w:t xml:space="preserve">份，乙方执</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rPr>
          <w:highlight w:val="none"/>
        </w:rPr>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rPr>
          <w:highlight w:val="none"/>
        </w:rPr>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rPr>
          <w:highlight w:val="none"/>
        </w:rPr>
      </w:r>
      <w:r/>
    </w:p>
    <w:p>
      <w:pPr>
        <w:ind w:firstLine="420"/>
        <w:jc w:val="left"/>
        <w:spacing w:line="400" w:lineRule="exact"/>
        <w:rPr>
          <w:rFonts w:ascii="宋体" w:hAnsi="宋体"/>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附件：具体标的及其技术要求和商务要求、联合协议、分包意向协议等。</w:t>
      </w:r>
      <w:r>
        <w:rPr>
          <w:highlight w:val="none"/>
        </w:rPr>
      </w:r>
      <w:r/>
    </w:p>
    <w:p>
      <w:pPr>
        <w:rPr>
          <w:highlight w:val="none"/>
        </w:rPr>
        <w:pBdr>
          <w:top w:val="none" w:color="auto" w:sz="0" w:space="1"/>
          <w:left w:val="none" w:color="auto" w:sz="0" w:space="4"/>
          <w:bottom w:val="none" w:color="auto" w:sz="0" w:space="1"/>
          <w:right w:val="none" w:color="auto" w:sz="0" w:space="4"/>
        </w:pBdr>
      </w:pPr>
      <w:r>
        <w:rPr>
          <w:rFonts w:hint="eastAsia"/>
          <w:highlight w:val="none"/>
        </w:rPr>
        <w:br w:type="page" w:clear="all"/>
      </w:r>
      <w:r>
        <w:rPr>
          <w:highlight w:val="none"/>
        </w:rPr>
      </w:r>
      <w:r/>
    </w:p>
    <w:p>
      <w:pPr>
        <w:pStyle w:val="966"/>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tbl>
      <w:tblPr>
        <w:tblStyle w:val="734"/>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186"/>
        <w:gridCol w:w="2789"/>
        <w:gridCol w:w="2288"/>
        <w:gridCol w:w="2447"/>
      </w:tblGrid>
      <w:tr>
        <w:trPr>
          <w:jc w:val="center"/>
          <w:trHeight w:val="490"/>
        </w:trPr>
        <w:tc>
          <w:tcPr>
            <w:gridSpan w:val="2"/>
            <w:tcW w:w="4303" w:type="dxa"/>
            <w:vAlign w:val="center"/>
            <w:textDirection w:val="lrTb"/>
            <w:noWrap w:val="false"/>
          </w:tcPr>
          <w:p>
            <w:pPr>
              <w:jc w:val="center"/>
              <w:spacing w:line="300" w:lineRule="exact"/>
              <w:rPr>
                <w:highlight w:val="none"/>
              </w:rPr>
              <w:pBdr>
                <w:top w:val="none" w:color="auto" w:sz="0" w:space="1"/>
                <w:left w:val="none" w:color="auto" w:sz="0" w:space="4"/>
                <w:bottom w:val="none" w:color="auto" w:sz="0" w:space="1"/>
                <w:right w:val="none" w:color="auto" w:sz="0" w:space="4"/>
              </w:pBdr>
            </w:pP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rPr>
                <w:highlight w:val="none"/>
              </w:rPr>
            </w:r>
            <w:r/>
          </w:p>
        </w:tc>
        <w:tc>
          <w:tcPr>
            <w:gridSpan w:val="2"/>
            <w:tcW w:w="4095" w:type="dxa"/>
            <w:vAlign w:val="center"/>
            <w:textDirection w:val="lrTb"/>
            <w:noWrap w:val="false"/>
          </w:tcPr>
          <w:p>
            <w:pPr>
              <w:jc w:val="center"/>
              <w:spacing w:line="300" w:lineRule="exact"/>
              <w:rPr>
                <w:highlight w:val="none"/>
              </w:rPr>
              <w:pBdr>
                <w:top w:val="none" w:color="auto" w:sz="0" w:space="1"/>
                <w:left w:val="none" w:color="auto" w:sz="0" w:space="4"/>
                <w:bottom w:val="none" w:color="auto" w:sz="0" w:space="1"/>
                <w:right w:val="none" w:color="auto" w:sz="0" w:space="4"/>
              </w:pBdr>
            </w:pPr>
            <w:r>
              <w:rPr>
                <w:szCs w:val="21"/>
                <w:highlight w:val="none"/>
              </w:rPr>
              <w:t xml:space="preserve">乙方</w:t>
            </w:r>
            <w:r>
              <w:rPr>
                <w:rFonts w:hint="eastAsia"/>
                <w:szCs w:val="21"/>
                <w:highlight w:val="none"/>
              </w:rPr>
              <w:t xml:space="preserve">（供应商）</w:t>
            </w:r>
            <w:r>
              <w:rPr>
                <w:highlight w:val="none"/>
              </w:rPr>
            </w:r>
            <w:r/>
          </w:p>
        </w:tc>
      </w:tr>
      <w:tr>
        <w:trPr>
          <w:jc w:val="center"/>
          <w:trHeight w:val="917"/>
        </w:trPr>
        <w:tc>
          <w:tcPr>
            <w:tcW w:w="1891"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单位名称</w:t>
            </w:r>
            <w:r>
              <w:rPr>
                <w:rFonts w:hint="eastAsia"/>
                <w:szCs w:val="21"/>
                <w:highlight w:val="none"/>
              </w:rPr>
              <w:t xml:space="preserve">（公章或合同章）</w:t>
            </w:r>
            <w:r>
              <w:rPr>
                <w:highlight w:val="none"/>
              </w:rPr>
            </w:r>
            <w:r/>
          </w:p>
        </w:tc>
        <w:tc>
          <w:tcPr>
            <w:tcW w:w="2412"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rPr>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单位名称</w:t>
            </w:r>
            <w:r>
              <w:rPr>
                <w:rFonts w:hint="eastAsia"/>
                <w:szCs w:val="21"/>
                <w:highlight w:val="none"/>
              </w:rPr>
              <w:t xml:space="preserve">（公章或合同章）</w:t>
            </w:r>
            <w:r>
              <w:rPr>
                <w:highlight w:val="none"/>
              </w:rPr>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rPr>
                <w:highlight w:val="none"/>
              </w:rPr>
            </w:r>
            <w:r/>
          </w:p>
        </w:tc>
      </w:tr>
      <w:tr>
        <w:trPr>
          <w:jc w:val="center"/>
          <w:trHeight w:val="1171"/>
        </w:trPr>
        <w:tc>
          <w:tcPr>
            <w:tcW w:w="1891" w:type="dxa"/>
            <w:vAlign w:val="center"/>
            <w:vMerge w:val="restart"/>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法定代表人</w:t>
            </w:r>
            <w:r>
              <w:rPr>
                <w:highlight w:val="none"/>
              </w:rPr>
            </w:r>
            <w:r/>
          </w:p>
          <w:p>
            <w:pPr>
              <w:ind w:firstLine="100"/>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rPr>
                <w:highlight w:val="none"/>
              </w:rPr>
            </w:r>
            <w:r/>
          </w:p>
        </w:tc>
        <w:tc>
          <w:tcPr>
            <w:tcW w:w="2412" w:type="dxa"/>
            <w:vAlign w:val="center"/>
            <w:vMerge w:val="restart"/>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rPr>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法定代表人</w:t>
            </w:r>
            <w:r>
              <w:rPr>
                <w:highlight w:val="none"/>
              </w:rPr>
            </w:r>
            <w:r/>
          </w:p>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rPr>
                <w:highlight w:val="none"/>
              </w:rPr>
            </w:r>
            <w:r/>
          </w:p>
        </w:tc>
        <w:tc>
          <w:tcPr>
            <w:tcW w:w="2116"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rPr>
                <w:highlight w:val="none"/>
              </w:rPr>
            </w:r>
            <w:r/>
          </w:p>
        </w:tc>
      </w:tr>
      <w:tr>
        <w:trPr>
          <w:jc w:val="center"/>
          <w:trHeight w:val="483"/>
        </w:trPr>
        <w:tc>
          <w:tcPr>
            <w:tcW w:w="1891" w:type="dxa"/>
            <w:vAlign w:val="center"/>
            <w:vMerge w:val="continue"/>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2412" w:type="dxa"/>
            <w:vAlign w:val="center"/>
            <w:vMerge w:val="continue"/>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拥有者性别</w:t>
            </w:r>
            <w:r>
              <w:rPr>
                <w:highlight w:val="none"/>
              </w:rPr>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rPr>
                <w:highlight w:val="none"/>
              </w:rPr>
            </w:r>
            <w:r/>
          </w:p>
        </w:tc>
      </w:tr>
      <w:tr>
        <w:trPr>
          <w:jc w:val="center"/>
          <w:trHeight w:val="483"/>
        </w:trPr>
        <w:tc>
          <w:tcPr>
            <w:tcW w:w="1891"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住所</w:t>
            </w:r>
            <w:r>
              <w:rPr>
                <w:highlight w:val="none"/>
              </w:rPr>
            </w:r>
            <w:r/>
          </w:p>
        </w:tc>
        <w:tc>
          <w:tcPr>
            <w:tcW w:w="2412"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rPr>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住所</w:t>
            </w:r>
            <w:r>
              <w:rPr>
                <w:highlight w:val="none"/>
              </w:rPr>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rPr>
                <w:highlight w:val="none"/>
              </w:rPr>
            </w:r>
            <w:r/>
          </w:p>
        </w:tc>
      </w:tr>
      <w:tr>
        <w:trPr>
          <w:jc w:val="center"/>
          <w:trHeight w:val="483"/>
        </w:trPr>
        <w:tc>
          <w:tcPr>
            <w:tcW w:w="1891"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联 系 人</w:t>
            </w:r>
            <w:r>
              <w:rPr>
                <w:highlight w:val="none"/>
              </w:rPr>
            </w:r>
            <w:r/>
          </w:p>
        </w:tc>
        <w:tc>
          <w:tcPr>
            <w:tcW w:w="2412"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rPr>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联 系 人</w:t>
            </w:r>
            <w:r>
              <w:rPr>
                <w:highlight w:val="none"/>
              </w:rPr>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rPr>
                <w:highlight w:val="none"/>
              </w:rPr>
            </w:r>
            <w:r/>
          </w:p>
        </w:tc>
      </w:tr>
      <w:tr>
        <w:trPr>
          <w:jc w:val="center"/>
          <w:trHeight w:val="483"/>
        </w:trPr>
        <w:tc>
          <w:tcPr>
            <w:tcW w:w="1891"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联系电话</w:t>
            </w:r>
            <w:r>
              <w:rPr>
                <w:highlight w:val="none"/>
              </w:rPr>
            </w:r>
            <w:r/>
          </w:p>
        </w:tc>
        <w:tc>
          <w:tcPr>
            <w:tcW w:w="2412"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rPr>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联系电话</w:t>
            </w:r>
            <w:r>
              <w:rPr>
                <w:highlight w:val="none"/>
              </w:rPr>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rPr>
                <w:highlight w:val="none"/>
              </w:rPr>
            </w:r>
            <w:r/>
          </w:p>
        </w:tc>
      </w:tr>
      <w:tr>
        <w:trPr>
          <w:jc w:val="center"/>
          <w:trHeight w:val="483"/>
        </w:trPr>
        <w:tc>
          <w:tcPr>
            <w:tcW w:w="1891"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通信地址</w:t>
            </w:r>
            <w:r>
              <w:rPr>
                <w:highlight w:val="none"/>
              </w:rPr>
            </w:r>
            <w:r/>
          </w:p>
        </w:tc>
        <w:tc>
          <w:tcPr>
            <w:tcW w:w="2412"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rPr>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通信地址</w:t>
            </w:r>
            <w:r>
              <w:rPr>
                <w:highlight w:val="none"/>
              </w:rPr>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rPr>
                <w:highlight w:val="none"/>
              </w:rPr>
            </w:r>
            <w:r/>
          </w:p>
        </w:tc>
      </w:tr>
      <w:tr>
        <w:trPr>
          <w:jc w:val="center"/>
          <w:trHeight w:val="483"/>
        </w:trPr>
        <w:tc>
          <w:tcPr>
            <w:tcW w:w="1891"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邮政编码</w:t>
            </w:r>
            <w:r>
              <w:rPr>
                <w:highlight w:val="none"/>
              </w:rPr>
            </w:r>
            <w:r/>
          </w:p>
        </w:tc>
        <w:tc>
          <w:tcPr>
            <w:tcW w:w="2412"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rPr>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邮政编码</w:t>
            </w:r>
            <w:r>
              <w:rPr>
                <w:highlight w:val="none"/>
              </w:rPr>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rPr>
                <w:highlight w:val="none"/>
              </w:rPr>
            </w:r>
            <w:r/>
          </w:p>
        </w:tc>
      </w:tr>
      <w:tr>
        <w:trPr>
          <w:jc w:val="center"/>
          <w:trHeight w:val="483"/>
        </w:trPr>
        <w:tc>
          <w:tcPr>
            <w:tcW w:w="1891"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电子邮箱</w:t>
            </w:r>
            <w:r>
              <w:rPr>
                <w:highlight w:val="none"/>
              </w:rPr>
            </w:r>
            <w:r/>
          </w:p>
        </w:tc>
        <w:tc>
          <w:tcPr>
            <w:tcW w:w="2412"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rPr>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电子邮箱</w:t>
            </w:r>
            <w:r>
              <w:rPr>
                <w:highlight w:val="none"/>
              </w:rPr>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rPr>
                <w:highlight w:val="none"/>
              </w:rPr>
            </w:r>
            <w:r/>
          </w:p>
        </w:tc>
      </w:tr>
      <w:tr>
        <w:trPr>
          <w:jc w:val="center"/>
          <w:trHeight w:val="483"/>
        </w:trPr>
        <w:tc>
          <w:tcPr>
            <w:tcW w:w="1891"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统一社会信用代码</w:t>
            </w:r>
            <w:r>
              <w:rPr>
                <w:highlight w:val="none"/>
              </w:rPr>
            </w:r>
            <w:r/>
          </w:p>
        </w:tc>
        <w:tc>
          <w:tcPr>
            <w:tcW w:w="2412"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rPr>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统一社会信用代码</w:t>
            </w:r>
            <w:r>
              <w:rPr>
                <w:highlight w:val="none"/>
              </w:rPr>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rPr>
                <w:highlight w:val="none"/>
              </w:rPr>
            </w:r>
            <w:r/>
          </w:p>
        </w:tc>
      </w:tr>
      <w:tr>
        <w:trPr>
          <w:jc w:val="center"/>
          <w:trHeight w:val="483"/>
        </w:trPr>
        <w:tc>
          <w:tcPr>
            <w:gridSpan w:val="2"/>
            <w:tcW w:w="4303" w:type="dxa"/>
            <w:vAlign w:val="center"/>
            <w:vMerge w:val="restart"/>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rPr>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开户名称</w:t>
            </w:r>
            <w:r>
              <w:rPr>
                <w:highlight w:val="none"/>
              </w:rPr>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rPr>
                <w:highlight w:val="none"/>
              </w:rPr>
            </w:r>
            <w:r/>
          </w:p>
        </w:tc>
      </w:tr>
      <w:tr>
        <w:trPr>
          <w:jc w:val="center"/>
          <w:trHeight w:val="483"/>
        </w:trPr>
        <w:tc>
          <w:tcPr>
            <w:gridSpan w:val="2"/>
            <w:tcW w:w="4303" w:type="dxa"/>
            <w:vAlign w:val="center"/>
            <w:vMerge w:val="continue"/>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开户银行</w:t>
            </w:r>
            <w:r>
              <w:rPr>
                <w:highlight w:val="none"/>
              </w:rPr>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rPr>
                <w:highlight w:val="none"/>
              </w:rPr>
            </w:r>
            <w:r/>
          </w:p>
        </w:tc>
      </w:tr>
      <w:tr>
        <w:trPr>
          <w:jc w:val="center"/>
          <w:trHeight w:val="483"/>
        </w:trPr>
        <w:tc>
          <w:tcPr>
            <w:gridSpan w:val="2"/>
            <w:tcW w:w="4303" w:type="dxa"/>
            <w:vAlign w:val="center"/>
            <w:vMerge w:val="continue"/>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银行账号</w:t>
            </w:r>
            <w:r>
              <w:rPr>
                <w:highlight w:val="none"/>
              </w:rPr>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rPr>
                <w:highlight w:val="none"/>
              </w:rPr>
            </w:r>
            <w:r/>
          </w:p>
        </w:tc>
      </w:tr>
      <w:tr>
        <w:trPr>
          <w:jc w:val="center"/>
          <w:trHeight w:val="586"/>
        </w:trPr>
        <w:tc>
          <w:tcPr>
            <w:gridSpan w:val="4"/>
            <w:tcW w:w="8398" w:type="dxa"/>
            <w:vAlign w:val="center"/>
            <w:textDirection w:val="lrTb"/>
            <w:noWrap w:val="false"/>
          </w:tcPr>
          <w:p>
            <w:pPr>
              <w:pStyle w:val="948"/>
              <w:ind w:left="0"/>
              <w:jc w:val="left"/>
              <w:spacing w:after="0" w:line="360" w:lineRule="auto"/>
              <w:rPr>
                <w:spacing w:val="20"/>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注：涉及联合体或其他合同主体的信息应按上表格式加列。</w:t>
            </w:r>
            <w:r>
              <w:rPr>
                <w:highlight w:val="none"/>
              </w:rPr>
            </w:r>
            <w:r/>
          </w:p>
        </w:tc>
      </w:tr>
    </w:tbl>
    <w:p>
      <w:pPr>
        <w:pStyle w:val="934"/>
        <w:jc w:val="center"/>
        <w:spacing w:line="400" w:lineRule="exact"/>
        <w:rPr>
          <w:rFonts w:ascii="黑体" w:hAnsi="黑体" w:eastAsia="黑体"/>
          <w:sz w:val="28"/>
          <w:szCs w:val="28"/>
          <w:highlight w:val="none"/>
        </w:rPr>
        <w:pBdr>
          <w:top w:val="none" w:color="auto" w:sz="0" w:space="1"/>
          <w:left w:val="none" w:color="auto" w:sz="0" w:space="4"/>
          <w:bottom w:val="none" w:color="auto" w:sz="0" w:space="1"/>
          <w:right w:val="none" w:color="auto" w:sz="0" w:space="4"/>
        </w:pBdr>
      </w:pPr>
      <w:r>
        <w:rPr>
          <w:rFonts w:ascii="宋体" w:hAnsi="宋体"/>
          <w:sz w:val="21"/>
          <w:szCs w:val="21"/>
          <w:highlight w:val="none"/>
          <w:u w:val="single"/>
        </w:rPr>
        <w:br w:type="page" w:clear="all"/>
      </w:r>
      <w:bookmarkStart w:id="5" w:name="_Toc27624"/>
      <w:r>
        <w:rPr>
          <w:rFonts w:hint="eastAsia" w:ascii="黑体" w:hAnsi="黑体" w:eastAsia="黑体"/>
          <w:b w:val="0"/>
          <w:bCs w:val="0"/>
          <w:sz w:val="28"/>
          <w:szCs w:val="28"/>
          <w:highlight w:val="none"/>
        </w:rPr>
        <w:t xml:space="preserve">第二节 政府采购合同通用条款</w:t>
      </w:r>
      <w:bookmarkEnd w:id="5"/>
      <w:r>
        <w:rPr>
          <w:highlight w:val="none"/>
        </w:rPr>
      </w:r>
      <w:r/>
    </w:p>
    <w:p>
      <w:pPr>
        <w:jc w:val="left"/>
        <w:spacing w:line="400" w:lineRule="exact"/>
        <w:tabs>
          <w:tab w:val="left" w:pos="8820" w:leader="none"/>
          <w:tab w:val="left" w:pos="9345" w:leader="none"/>
          <w:tab w:val="left" w:pos="9765" w:leader="none"/>
        </w:tabs>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sz w:val="24"/>
          <w:highlight w:val="none"/>
        </w:rPr>
        <w:t xml:space="preserve">1.</w:t>
      </w:r>
      <w:r>
        <w:rPr>
          <w:rFonts w:hint="eastAsia" w:ascii="宋体" w:hAnsi="宋体"/>
          <w:b/>
          <w:bCs/>
          <w:sz w:val="24"/>
          <w:highlight w:val="none"/>
        </w:rPr>
        <w:t xml:space="preserve">定义</w:t>
      </w:r>
      <w:r>
        <w:rPr>
          <w:highlight w:val="none"/>
        </w:rPr>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1.1 合同当事人</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（1）采购人（以下称甲方）是指使用财政性资金，通过政府采购方式向供应商购买货物及其相关服务的国家机关、事业单位、团体组织。</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（2）供应商（以下称乙方）是指参加政府采购活动并且中标（成交），向采购人提供合同约定的货物及其相关服务的法人、非法人组织或者自然人。</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rPr>
          <w:highlight w:val="none"/>
        </w:rPr>
      </w:r>
      <w:r/>
    </w:p>
    <w:p>
      <w:pPr>
        <w:ind w:firstLine="420"/>
        <w:jc w:val="left"/>
        <w:spacing w:line="400" w:lineRule="exact"/>
        <w:tabs>
          <w:tab w:val="left" w:pos="570" w:leader="none"/>
          <w:tab w:val="left" w:pos="9240" w:leader="none"/>
          <w:tab w:val="left" w:pos="9555" w:leader="none"/>
        </w:tabs>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1.2 本合同下列术语应解释为：</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rPr>
          <w:highlight w:val="none"/>
        </w:rPr>
      </w:r>
      <w:r/>
    </w:p>
    <w:p>
      <w:pPr>
        <w:ind w:firstLine="420"/>
        <w:jc w:val="left"/>
        <w:spacing w:line="400" w:lineRule="exact"/>
        <w:tabs>
          <w:tab w:val="left" w:pos="570" w:leader="none"/>
          <w:tab w:val="left" w:pos="9240" w:leader="none"/>
          <w:tab w:val="left" w:pos="9555" w:leader="none"/>
        </w:tabs>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（2）“合同价款”系指根据本合同规定乙方在全面履行合同义务后甲方应支付给乙方的价款。</w:t>
      </w:r>
      <w:r>
        <w:rPr>
          <w:highlight w:val="none"/>
        </w:rPr>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包括软件）及相关的其备品备件、工具、手册及</w:t>
      </w:r>
      <w:r>
        <w:rPr>
          <w:rFonts w:ascii="宋体" w:hAnsi="宋体"/>
          <w:color w:val="000000"/>
          <w:szCs w:val="21"/>
          <w:highlight w:val="none"/>
        </w:rPr>
        <w:t xml:space="preserve">其他</w:t>
      </w:r>
      <w:r>
        <w:rPr>
          <w:rFonts w:hint="eastAsia" w:ascii="宋体" w:hAnsi="宋体"/>
          <w:color w:val="000000"/>
          <w:szCs w:val="21"/>
          <w:highlight w:val="none"/>
        </w:rPr>
        <w:t xml:space="preserve">技术资料和材料等。</w:t>
      </w:r>
      <w:r>
        <w:rPr>
          <w:highlight w:val="none"/>
        </w:rPr>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rPr>
        <w:t xml:space="preserve">其他</w:t>
      </w:r>
      <w:r>
        <w:rPr>
          <w:rFonts w:hint="eastAsia" w:ascii="宋体" w:hAnsi="宋体"/>
          <w:color w:val="000000"/>
          <w:szCs w:val="21"/>
          <w:highlight w:val="none"/>
        </w:rPr>
        <w:t xml:space="preserve">义务。</w:t>
      </w:r>
      <w:r>
        <w:rPr>
          <w:highlight w:val="none"/>
        </w:rPr>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rPr>
          <w:highlight w:val="none"/>
        </w:rPr>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highlight w:val="none"/>
        </w:rPr>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highlight w:val="none"/>
        </w:rPr>
      </w:r>
      <w:r/>
    </w:p>
    <w:p>
      <w:pPr>
        <w:numPr>
          <w:ilvl w:val="0"/>
          <w:numId w:val="5"/>
        </w:numPr>
        <w:jc w:val="left"/>
        <w:spacing w:line="400" w:lineRule="exact"/>
        <w:rPr>
          <w:rFonts w:ascii="宋体" w:hAnsi="宋体"/>
          <w:b/>
          <w:bCs/>
          <w:color w:val="000000"/>
          <w:sz w:val="24"/>
          <w:highlight w:val="none"/>
        </w:rPr>
        <w:pBdr>
          <w:top w:val="none" w:color="auto" w:sz="0" w:space="1"/>
          <w:left w:val="none" w:color="auto" w:sz="0" w:space="4"/>
          <w:bottom w:val="none" w:color="auto" w:sz="0" w:space="1"/>
          <w:right w:val="none" w:color="auto" w:sz="0" w:space="4"/>
        </w:pBdr>
      </w:pPr>
      <w:r>
        <w:rPr>
          <w:rFonts w:hint="eastAsia" w:ascii="宋体" w:hAnsi="宋体"/>
          <w:b/>
          <w:color w:val="000000"/>
          <w:sz w:val="24"/>
          <w:highlight w:val="none"/>
        </w:rPr>
        <w:t xml:space="preserve">合同标的及金额</w:t>
      </w:r>
      <w:r>
        <w:rPr>
          <w:highlight w:val="none"/>
        </w:rPr>
      </w:r>
      <w:r/>
    </w:p>
    <w:p>
      <w:pPr>
        <w:ind w:firstLine="420"/>
        <w:jc w:val="left"/>
        <w:spacing w:line="400" w:lineRule="exact"/>
        <w:rPr>
          <w:rFonts w:ascii="宋体" w:hAnsi="宋体"/>
          <w:b/>
          <w:bCs/>
          <w:i/>
          <w:iCs/>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2.1 合同标的及金额应与中标（成交）结果一致。乙方为履行本合同而发生的所有费用均应包含在合同价款中，甲方不再另行支付</w:t>
      </w:r>
      <w:r>
        <w:rPr>
          <w:rFonts w:ascii="宋体" w:hAnsi="宋体"/>
          <w:color w:val="000000"/>
          <w:szCs w:val="21"/>
          <w:highlight w:val="none"/>
        </w:rPr>
        <w:t xml:space="preserve">其他</w:t>
      </w:r>
      <w:r>
        <w:rPr>
          <w:rFonts w:hint="eastAsia" w:ascii="宋体" w:hAnsi="宋体"/>
          <w:color w:val="000000"/>
          <w:szCs w:val="21"/>
          <w:highlight w:val="none"/>
        </w:rPr>
        <w:t xml:space="preserve">任何费用。</w:t>
      </w:r>
      <w:r>
        <w:rPr>
          <w:highlight w:val="none"/>
        </w:rPr>
      </w:r>
      <w:r/>
    </w:p>
    <w:p>
      <w:pPr>
        <w:jc w:val="left"/>
        <w:spacing w:line="400" w:lineRule="exact"/>
        <w:rPr>
          <w:rFonts w:ascii="宋体" w:hAnsi="宋体"/>
          <w:b/>
          <w:color w:val="000000"/>
          <w:sz w:val="24"/>
          <w:highlight w:val="none"/>
        </w:rPr>
        <w:pBdr>
          <w:top w:val="none" w:color="auto" w:sz="0" w:space="1"/>
          <w:left w:val="none" w:color="auto" w:sz="0" w:space="4"/>
          <w:bottom w:val="none" w:color="auto" w:sz="0" w:space="1"/>
          <w:right w:val="none" w:color="auto" w:sz="0" w:space="4"/>
        </w:pBdr>
      </w:pPr>
      <w:r>
        <w:rPr>
          <w:rFonts w:hint="eastAsia" w:ascii="宋体" w:hAnsi="宋体"/>
          <w:b/>
          <w:color w:val="000000"/>
          <w:sz w:val="24"/>
          <w:highlight w:val="none"/>
        </w:rPr>
        <w:t xml:space="preserve">3. 履行合同的时间、地点和方式</w:t>
      </w:r>
      <w:r>
        <w:rPr>
          <w:highlight w:val="none"/>
        </w:rPr>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3.1 </w:t>
      </w:r>
      <w:r>
        <w:rPr>
          <w:rFonts w:hint="eastAsia" w:ascii="宋体" w:hAnsi="宋体" w:cs="宋体"/>
          <w:szCs w:val="21"/>
          <w:highlight w:val="none"/>
        </w:rPr>
        <w:t xml:space="preserve">乙方应当在约定的时间、地点，按照约定方式履行合同。</w:t>
      </w:r>
      <w:r>
        <w:rPr>
          <w:highlight w:val="none"/>
        </w:rPr>
      </w:r>
      <w:r/>
    </w:p>
    <w:p>
      <w:pPr>
        <w:jc w:val="left"/>
        <w:spacing w:line="400" w:lineRule="exact"/>
        <w:rPr>
          <w:rFonts w:ascii="宋体" w:hAnsi="宋体"/>
          <w:b/>
          <w:bCs/>
          <w:color w:val="000000"/>
          <w:sz w:val="24"/>
          <w:highlight w:val="none"/>
        </w:rPr>
        <w:pBdr>
          <w:top w:val="none" w:color="auto" w:sz="0" w:space="1"/>
          <w:left w:val="none" w:color="auto" w:sz="0" w:space="4"/>
          <w:bottom w:val="none" w:color="auto" w:sz="0" w:space="1"/>
          <w:right w:val="none" w:color="auto" w:sz="0" w:space="4"/>
        </w:pBdr>
      </w:pPr>
      <w:r>
        <w:rPr>
          <w:rFonts w:hint="eastAsia" w:ascii="宋体" w:hAnsi="宋体"/>
          <w:b/>
          <w:bCs/>
          <w:color w:val="000000"/>
          <w:sz w:val="24"/>
          <w:highlight w:val="none"/>
        </w:rPr>
        <w:t xml:space="preserve">4. 甲方的权利和义务</w:t>
      </w:r>
      <w:r>
        <w:rPr>
          <w:highlight w:val="none"/>
        </w:rPr>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4.1 </w:t>
      </w:r>
      <w:r>
        <w:rPr>
          <w:rFonts w:ascii="宋体" w:hAnsi="宋体"/>
          <w:color w:val="000000"/>
          <w:szCs w:val="21"/>
          <w:highlight w:val="none"/>
        </w:rPr>
        <w:t xml:space="preserve">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rPr>
          <w:highlight w:val="none"/>
        </w:rPr>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4.2 </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rPr>
          <w:highlight w:val="none"/>
        </w:rPr>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4.</w:t>
      </w:r>
      <w:r>
        <w:rPr>
          <w:rFonts w:ascii="宋体" w:hAnsi="宋体"/>
          <w:color w:val="000000"/>
          <w:szCs w:val="21"/>
          <w:highlight w:val="none"/>
        </w:rPr>
        <w:t xml:space="preserve">3甲方</w:t>
      </w:r>
      <w:r>
        <w:rPr>
          <w:rFonts w:hint="eastAsia" w:ascii="宋体" w:hAnsi="宋体"/>
          <w:color w:val="000000"/>
          <w:szCs w:val="21"/>
          <w:highlight w:val="none"/>
        </w:rPr>
        <w:t xml:space="preserve">有权要求乙方对缺陷部分予以修复，并按合同约定享有货物保修及其他合同约定的权利。</w:t>
      </w:r>
      <w:r>
        <w:rPr>
          <w:highlight w:val="none"/>
        </w:rPr>
      </w:r>
      <w:r/>
    </w:p>
    <w:p>
      <w:pPr>
        <w:ind w:firstLine="420"/>
        <w:spacing w:line="400" w:lineRule="exact"/>
        <w:rPr>
          <w:rFonts w:eastAsia="华文楷体"/>
          <w:highlight w:val="none"/>
        </w:rPr>
        <w:pBdr>
          <w:top w:val="none" w:color="auto" w:sz="0" w:space="1"/>
          <w:left w:val="none" w:color="auto" w:sz="0" w:space="4"/>
          <w:bottom w:val="none" w:color="auto" w:sz="0" w:space="1"/>
          <w:right w:val="none" w:color="auto" w:sz="0" w:space="4"/>
        </w:pBdr>
      </w:pPr>
      <w:r>
        <w:rPr>
          <w:rFonts w:ascii="宋体" w:hAnsi="宋体"/>
          <w:color w:val="000000"/>
          <w:szCs w:val="21"/>
          <w:highlight w:val="none"/>
        </w:rPr>
        <w:t xml:space="preserve">4.4甲方应当按照合同约定及时对交付的货物进行验收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rPr>
          <w:highlight w:val="none"/>
        </w:rPr>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 甲方应当根据合同约定及时向乙方支付合同价款</w:t>
      </w:r>
      <w:r>
        <w:rPr>
          <w:rFonts w:ascii="宋体" w:hAnsi="宋体"/>
          <w:color w:val="000000"/>
          <w:szCs w:val="21"/>
          <w:highlight w:val="none"/>
        </w:rPr>
        <w:t xml:space="preserve">，不得以内部人员变更、履行内部付款流程等为由，拒绝或迟延支付。</w:t>
      </w:r>
      <w:r>
        <w:rPr>
          <w:highlight w:val="none"/>
        </w:rPr>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4.6 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rPr>
          <w:highlight w:val="none"/>
        </w:rPr>
      </w:r>
      <w:r/>
    </w:p>
    <w:p>
      <w:pPr>
        <w:jc w:val="left"/>
        <w:spacing w:line="400" w:lineRule="exact"/>
        <w:rPr>
          <w:rFonts w:ascii="宋体" w:hAnsi="宋体"/>
          <w:b/>
          <w:bCs/>
          <w:color w:val="000000"/>
          <w:sz w:val="24"/>
          <w:highlight w:val="none"/>
        </w:rPr>
        <w:pBdr>
          <w:top w:val="none" w:color="auto" w:sz="0" w:space="1"/>
          <w:left w:val="none" w:color="auto" w:sz="0" w:space="4"/>
          <w:bottom w:val="none" w:color="auto" w:sz="0" w:space="1"/>
          <w:right w:val="none" w:color="auto" w:sz="0" w:space="4"/>
        </w:pBdr>
      </w:pPr>
      <w:r>
        <w:rPr>
          <w:rFonts w:hint="eastAsia" w:ascii="宋体" w:hAnsi="宋体"/>
          <w:b/>
          <w:bCs/>
          <w:color w:val="000000"/>
          <w:sz w:val="24"/>
          <w:highlight w:val="none"/>
        </w:rPr>
        <w:t xml:space="preserve">5. 乙方的权利和义务</w:t>
      </w:r>
      <w:r>
        <w:rPr>
          <w:highlight w:val="none"/>
        </w:rPr>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5.1 </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highlight w:val="none"/>
        </w:rPr>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5.</w:t>
      </w:r>
      <w:r>
        <w:rPr>
          <w:rFonts w:ascii="宋体" w:hAnsi="宋体"/>
          <w:color w:val="000000"/>
          <w:szCs w:val="21"/>
          <w:highlight w:val="none"/>
        </w:rPr>
        <w:t xml:space="preserve">2乙方应按照合同要求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rPr>
          <w:highlight w:val="none"/>
        </w:rPr>
      </w:r>
      <w:r/>
    </w:p>
    <w:p>
      <w:pPr>
        <w:pStyle w:val="946"/>
        <w:ind w:firstLine="369"/>
        <w:spacing w:after="0" w:line="400" w:lineRule="exact"/>
        <w:rPr>
          <w:rFonts w:ascii="宋体" w:hAnsi="宋体" w:cs="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5.</w:t>
      </w:r>
      <w:r>
        <w:rPr>
          <w:rFonts w:ascii="宋体" w:hAnsi="宋体"/>
          <w:color w:val="000000"/>
          <w:szCs w:val="21"/>
          <w:highlight w:val="none"/>
        </w:rPr>
        <w:t xml:space="preserve">3</w:t>
      </w:r>
      <w:r>
        <w:rPr>
          <w:rFonts w:hint="eastAsia" w:ascii="宋体" w:hAnsi="宋体"/>
          <w:color w:val="000000"/>
          <w:szCs w:val="21"/>
          <w:highlight w:val="none"/>
        </w:rPr>
        <w:t xml:space="preserve"> 乙方有权</w:t>
      </w:r>
      <w:r>
        <w:rPr>
          <w:rFonts w:hint="eastAsia" w:ascii="宋体" w:hAnsi="宋体" w:cs="宋体"/>
          <w:color w:val="000000"/>
          <w:szCs w:val="21"/>
          <w:highlight w:val="none"/>
        </w:rPr>
        <w:t xml:space="preserve">根据合同约定向甲方收取合同价款。</w:t>
      </w:r>
      <w:r>
        <w:rPr>
          <w:highlight w:val="none"/>
        </w:rPr>
      </w:r>
      <w:r/>
    </w:p>
    <w:p>
      <w:pPr>
        <w:pStyle w:val="946"/>
        <w:ind w:firstLine="369"/>
        <w:spacing w:after="0" w:line="400" w:lineRule="exact"/>
        <w:rPr>
          <w:rFonts w:ascii="宋体" w:hAnsi="宋体" w:cs="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5.</w:t>
      </w:r>
      <w:r>
        <w:rPr>
          <w:rFonts w:ascii="宋体" w:hAnsi="宋体"/>
          <w:color w:val="000000"/>
          <w:szCs w:val="21"/>
          <w:highlight w:val="none"/>
        </w:rPr>
        <w:t xml:space="preserve">4</w:t>
      </w:r>
      <w:r>
        <w:rPr>
          <w:rFonts w:hint="eastAsia" w:ascii="宋体" w:hAnsi="宋体" w:cs="宋体"/>
          <w:color w:val="000000"/>
          <w:szCs w:val="21"/>
          <w:highlight w:val="none"/>
        </w:rPr>
        <w:t xml:space="preserve">国家法律法规规定</w:t>
      </w:r>
      <w:r>
        <w:rPr>
          <w:rFonts w:hint="eastAsia" w:ascii="宋体" w:hAnsi="宋体"/>
          <w:color w:val="000000"/>
          <w:szCs w:val="21"/>
          <w:highlight w:val="none"/>
        </w:rPr>
        <w:t xml:space="preserve">及</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约定应</w:t>
      </w:r>
      <w:r>
        <w:rPr>
          <w:rFonts w:hint="eastAsia" w:ascii="宋体" w:hAnsi="宋体" w:cs="宋体"/>
          <w:color w:val="000000"/>
          <w:szCs w:val="21"/>
          <w:highlight w:val="none"/>
        </w:rPr>
        <w:t xml:space="preserve">由乙方承担的其他义务和责任。</w:t>
      </w:r>
      <w:r>
        <w:rPr>
          <w:highlight w:val="none"/>
        </w:rPr>
      </w:r>
      <w:r/>
    </w:p>
    <w:p>
      <w:pPr>
        <w:numPr>
          <w:ilvl w:val="0"/>
          <w:numId w:val="6"/>
        </w:numPr>
        <w:jc w:val="left"/>
        <w:spacing w:line="400" w:lineRule="exact"/>
        <w:rPr>
          <w:rFonts w:ascii="宋体" w:hAnsi="宋体"/>
          <w:b/>
          <w:bCs/>
          <w:color w:val="000000"/>
          <w:sz w:val="24"/>
          <w:highlight w:val="none"/>
        </w:rPr>
        <w:pBdr>
          <w:top w:val="none" w:color="auto" w:sz="0" w:space="1"/>
          <w:left w:val="none" w:color="auto" w:sz="0" w:space="4"/>
          <w:bottom w:val="none" w:color="auto" w:sz="0" w:space="1"/>
          <w:right w:val="none" w:color="auto" w:sz="0" w:space="4"/>
        </w:pBdr>
      </w:pPr>
      <w:r>
        <w:rPr>
          <w:rFonts w:hint="eastAsia" w:ascii="宋体" w:hAnsi="宋体"/>
          <w:b/>
          <w:bCs/>
          <w:color w:val="000000"/>
          <w:sz w:val="24"/>
          <w:highlight w:val="none"/>
        </w:rPr>
        <w:t xml:space="preserve">合同履行</w:t>
      </w:r>
      <w:r>
        <w:rPr>
          <w:highlight w:val="none"/>
        </w:rPr>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6.1 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rPr>
          <w:highlight w:val="none"/>
        </w:rPr>
      </w:r>
      <w:r/>
    </w:p>
    <w:p>
      <w:pPr>
        <w:ind w:firstLine="420"/>
        <w:jc w:val="left"/>
        <w:spacing w:line="400" w:lineRule="exact"/>
        <w:rPr>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highlight w:val="none"/>
        </w:rPr>
      </w:r>
      <w:r/>
    </w:p>
    <w:p>
      <w:pPr>
        <w:jc w:val="left"/>
        <w:spacing w:line="400" w:lineRule="exact"/>
        <w:rPr>
          <w:rFonts w:ascii="宋体" w:hAnsi="宋体"/>
          <w:b/>
          <w:bCs/>
          <w:color w:val="000000"/>
          <w:sz w:val="24"/>
          <w:highlight w:val="none"/>
        </w:rPr>
        <w:pBdr>
          <w:top w:val="none" w:color="auto" w:sz="0" w:space="1"/>
          <w:left w:val="none" w:color="auto" w:sz="0" w:space="4"/>
          <w:bottom w:val="none" w:color="auto" w:sz="0" w:space="1"/>
          <w:right w:val="none" w:color="auto" w:sz="0" w:space="4"/>
        </w:pBdr>
      </w:pPr>
      <w:r>
        <w:rPr>
          <w:rFonts w:hint="eastAsia" w:ascii="宋体" w:hAnsi="宋体"/>
          <w:b/>
          <w:bCs/>
          <w:color w:val="000000"/>
          <w:sz w:val="24"/>
          <w:highlight w:val="none"/>
        </w:rPr>
        <w:t xml:space="preserve">7. 货物包装、运输、保险和交付要求</w:t>
      </w:r>
      <w:r>
        <w:rPr>
          <w:highlight w:val="none"/>
        </w:rPr>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7.1 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rPr>
          <w:highlight w:val="none"/>
        </w:rPr>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7.2 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rPr>
          <w:highlight w:val="none"/>
        </w:rPr>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7.3 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rPr>
          <w:highlight w:val="none"/>
        </w:rPr>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highlight w:val="none"/>
        </w:rPr>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7.5 </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rPr>
          <w:highlight w:val="none"/>
        </w:rPr>
      </w:r>
      <w:r/>
    </w:p>
    <w:p>
      <w:pPr>
        <w:pStyle w:val="965"/>
        <w:ind w:firstLine="420"/>
        <w:rPr>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Times New Roman"/>
          <w:color w:val="000000"/>
          <w:sz w:val="21"/>
          <w:highlight w:val="none"/>
        </w:rPr>
        <w:t xml:space="preserve">7.6 如因包装、运输问题导致货物损毁、丢失或者品质下降，甲方有权要求降价、换货、拒收部分或整批货物，由此产生的费用和损失，均由乙方承担。</w:t>
      </w:r>
      <w:r>
        <w:rPr>
          <w:highlight w:val="none"/>
        </w:rPr>
      </w:r>
      <w:r/>
    </w:p>
    <w:p>
      <w:pPr>
        <w:jc w:val="left"/>
        <w:spacing w:line="400" w:lineRule="exact"/>
        <w:rPr>
          <w:rFonts w:ascii="宋体" w:hAnsi="宋体"/>
          <w:b/>
          <w:sz w:val="24"/>
          <w:highlight w:val="none"/>
        </w:rPr>
        <w:pBdr>
          <w:top w:val="none" w:color="auto" w:sz="0" w:space="1"/>
          <w:left w:val="none" w:color="auto" w:sz="0" w:space="4"/>
          <w:bottom w:val="none" w:color="auto" w:sz="0" w:space="1"/>
          <w:right w:val="none" w:color="auto" w:sz="0" w:space="4"/>
        </w:pBdr>
      </w:pPr>
      <w:r>
        <w:rPr>
          <w:rFonts w:hint="eastAsia" w:ascii="宋体" w:hAnsi="宋体"/>
          <w:b/>
          <w:color w:val="000000"/>
          <w:sz w:val="24"/>
          <w:highlight w:val="none"/>
        </w:rPr>
        <w:t xml:space="preserve">8. </w:t>
      </w:r>
      <w:r>
        <w:rPr>
          <w:rFonts w:hint="eastAsia" w:ascii="宋体" w:hAnsi="宋体"/>
          <w:b/>
          <w:sz w:val="24"/>
          <w:highlight w:val="none"/>
        </w:rPr>
        <w:t xml:space="preserve">质量标准和保证</w:t>
      </w:r>
      <w:r>
        <w:rPr>
          <w:highlight w:val="none"/>
        </w:rPr>
      </w:r>
      <w:r/>
    </w:p>
    <w:p>
      <w:pPr>
        <w:pStyle w:val="950"/>
        <w:ind w:firstLine="420"/>
        <w:jc w:val="left"/>
        <w:spacing w:line="400" w:lineRule="exact"/>
        <w:rPr>
          <w:rFonts w:hAnsi="宋体"/>
          <w:b/>
          <w:highlight w:val="none"/>
        </w:rPr>
        <w:pBdr>
          <w:top w:val="none" w:color="auto" w:sz="0" w:space="1"/>
          <w:left w:val="none" w:color="auto" w:sz="0" w:space="4"/>
          <w:bottom w:val="none" w:color="auto" w:sz="0" w:space="1"/>
          <w:right w:val="none" w:color="auto" w:sz="0" w:space="4"/>
        </w:pBdr>
      </w:pPr>
      <w:r>
        <w:rPr>
          <w:rFonts w:hint="eastAsia" w:hAnsi="宋体"/>
          <w:highlight w:val="none"/>
        </w:rPr>
        <w:t xml:space="preserve">8.1 质量标准</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highlight w:val="none"/>
        </w:rPr>
      </w:r>
      <w:r/>
    </w:p>
    <w:p>
      <w:pPr>
        <w:pStyle w:val="950"/>
        <w:ind w:firstLine="420"/>
        <w:jc w:val="left"/>
        <w:spacing w:line="400" w:lineRule="exact"/>
        <w:rPr>
          <w:rFonts w:hAnsi="宋体"/>
          <w:highlight w:val="none"/>
        </w:rPr>
        <w:pBdr>
          <w:top w:val="none" w:color="auto" w:sz="0" w:space="1"/>
          <w:left w:val="none" w:color="auto" w:sz="0" w:space="4"/>
          <w:bottom w:val="none" w:color="auto" w:sz="0" w:space="1"/>
          <w:right w:val="none" w:color="auto" w:sz="0" w:space="4"/>
        </w:pBdr>
      </w:pPr>
      <w:r>
        <w:rPr>
          <w:rFonts w:hint="eastAsia" w:hAnsi="宋体"/>
          <w:highlight w:val="none"/>
        </w:rPr>
        <w:t xml:space="preserve">（2）采用中华人民共和国法定计量单位。</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（3）乙方所提供的货物应符合国家有关安全、环保、卫生的规定。</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8.2 保证</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（2）在质量保证期内所发现的缺陷，甲方应尽快以书面形式通知乙方。</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rPr>
          <w:highlight w:val="none"/>
        </w:rPr>
      </w:r>
      <w:r/>
    </w:p>
    <w:p>
      <w:pPr>
        <w:ind w:firstLine="420"/>
        <w:jc w:val="left"/>
        <w:spacing w:line="400" w:lineRule="exact"/>
        <w:rPr>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rPr>
          <w:highlight w:val="none"/>
        </w:rPr>
      </w:r>
      <w:r/>
    </w:p>
    <w:p>
      <w:pPr>
        <w:jc w:val="left"/>
        <w:spacing w:line="400" w:lineRule="exact"/>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bCs/>
          <w:color w:val="000000"/>
          <w:sz w:val="24"/>
          <w:highlight w:val="none"/>
        </w:rPr>
        <w:t xml:space="preserve">9</w:t>
      </w:r>
      <w:r>
        <w:rPr>
          <w:rFonts w:hint="eastAsia" w:ascii="宋体" w:hAnsi="宋体"/>
          <w:b/>
          <w:bCs/>
          <w:sz w:val="24"/>
          <w:highlight w:val="none"/>
        </w:rPr>
        <w:t xml:space="preserve">.权利瑕疵担保</w:t>
      </w:r>
      <w:r>
        <w:rPr>
          <w:highlight w:val="none"/>
        </w:rPr>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9.1 乙方保证对其出售的货物享有合法的权利。</w:t>
      </w:r>
      <w:r>
        <w:rPr>
          <w:highlight w:val="none"/>
        </w:rPr>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9.2 </w:t>
      </w:r>
      <w:r>
        <w:rPr>
          <w:rFonts w:hint="eastAsia" w:ascii="宋体" w:hAnsi="宋体" w:cs="宋体"/>
          <w:szCs w:val="15"/>
          <w:highlight w:val="none"/>
        </w:rPr>
        <w:t xml:space="preserve">乙方保证在交付的货物上不存在抵押权等担保物权。</w:t>
      </w:r>
      <w:r>
        <w:rPr>
          <w:highlight w:val="none"/>
        </w:rPr>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9.3 如甲方使用上述货物构成对第三人侵权的，则由乙方承担全部责任。</w:t>
      </w:r>
      <w:r>
        <w:rPr>
          <w:highlight w:val="none"/>
        </w:rPr>
      </w:r>
      <w:r/>
    </w:p>
    <w:p>
      <w:pPr>
        <w:jc w:val="left"/>
        <w:spacing w:line="400" w:lineRule="exact"/>
        <w:rPr>
          <w:rFonts w:ascii="宋体" w:hAnsi="宋体"/>
          <w:b/>
          <w:bCs/>
          <w:color w:val="000000"/>
          <w:sz w:val="24"/>
          <w:highlight w:val="none"/>
        </w:rPr>
        <w:pBdr>
          <w:top w:val="none" w:color="auto" w:sz="0" w:space="1"/>
          <w:left w:val="none" w:color="auto" w:sz="0" w:space="4"/>
          <w:bottom w:val="none" w:color="auto" w:sz="0" w:space="1"/>
          <w:right w:val="none" w:color="auto" w:sz="0" w:space="4"/>
        </w:pBdr>
      </w:pPr>
      <w:r>
        <w:rPr>
          <w:rFonts w:hint="eastAsia" w:ascii="宋体" w:hAnsi="宋体"/>
          <w:b/>
          <w:bCs/>
          <w:color w:val="000000"/>
          <w:sz w:val="24"/>
          <w:highlight w:val="none"/>
        </w:rPr>
        <w:t xml:space="preserve">10.知识产权保护</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10.1 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6"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Cs w:val="21"/>
          <w:highlight w:val="none"/>
        </w:rPr>
        <w:t xml:space="preserve">。</w:t>
      </w:r>
      <w:r>
        <w:rPr>
          <w:highlight w:val="none"/>
        </w:rPr>
      </w:r>
      <w:r/>
    </w:p>
    <w:p>
      <w:pPr>
        <w:jc w:val="left"/>
        <w:spacing w:line="400" w:lineRule="exact"/>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highlight w:val="none"/>
        </w:rPr>
        <w:t xml:space="preserve">11.保密义务</w:t>
      </w:r>
      <w:r>
        <w:rPr>
          <w:highlight w:val="none"/>
        </w:rPr>
      </w:r>
      <w:r/>
    </w:p>
    <w:p>
      <w:pPr>
        <w:ind w:firstLine="420"/>
        <w:jc w:val="left"/>
        <w:spacing w:line="400" w:lineRule="exact"/>
        <w:rPr>
          <w:rFonts w:ascii="宋体" w:hAnsi="宋体" w:cs="宋体"/>
          <w:szCs w:val="15"/>
          <w:highlight w:val="none"/>
        </w:rPr>
        <w:pBdr>
          <w:top w:val="none" w:color="auto" w:sz="0" w:space="1"/>
          <w:left w:val="none" w:color="auto" w:sz="0" w:space="4"/>
          <w:bottom w:val="none" w:color="auto" w:sz="0" w:space="1"/>
          <w:right w:val="none" w:color="auto" w:sz="0" w:space="4"/>
        </w:pBdr>
      </w:pPr>
      <w:r>
        <w:rPr>
          <w:rFonts w:hint="eastAsia" w:ascii="宋体" w:hAnsi="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rPr>
          <w:highlight w:val="none"/>
        </w:rPr>
      </w:r>
      <w:r/>
    </w:p>
    <w:p>
      <w:pPr>
        <w:jc w:val="left"/>
        <w:spacing w:line="400" w:lineRule="exact"/>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highlight w:val="none"/>
        </w:rPr>
        <w:t xml:space="preserve">12.合同价款支付</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12.1 合同价款支付按照国库集中支付制度及财政管理相关规定执行。</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highlight w:val="none"/>
        </w:rPr>
      </w:r>
      <w:r/>
    </w:p>
    <w:p>
      <w:pPr>
        <w:pStyle w:val="946"/>
        <w:spacing w:after="0" w:line="400" w:lineRule="exact"/>
        <w:rPr>
          <w:rFonts w:ascii="宋体" w:hAnsi="宋体"/>
          <w:b/>
          <w:bCs/>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szCs w:val="24"/>
          <w:highlight w:val="none"/>
        </w:rPr>
        <w:t xml:space="preserve">13.履约保证金</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13.1 </w:t>
      </w:r>
      <w:r>
        <w:rPr>
          <w:rFonts w:hint="eastAsia" w:ascii="宋体" w:hAnsi="宋体" w:cs="宋体"/>
          <w:szCs w:val="15"/>
          <w:highlight w:val="none"/>
        </w:rPr>
        <w:t xml:space="preserve">乙方应当以支票、汇票、本票或者金融机构、担保机构出具的保函等非现金形式提交。</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13.2 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highlight w:val="none"/>
        </w:rPr>
      </w:r>
      <w:r/>
    </w:p>
    <w:p>
      <w:pPr>
        <w:ind w:firstLine="420"/>
        <w:spacing w:line="400" w:lineRule="exact"/>
        <w:rPr>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13.3 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rPr>
          <w:highlight w:val="none"/>
        </w:rPr>
      </w:r>
      <w:r/>
    </w:p>
    <w:p>
      <w:pPr>
        <w:jc w:val="left"/>
        <w:spacing w:line="400" w:lineRule="exact"/>
        <w:rPr>
          <w:rFonts w:ascii="宋体" w:hAnsi="宋体"/>
          <w:b/>
          <w:sz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highlight w:val="none"/>
        </w:rPr>
        <w:t xml:space="preserve">14.</w:t>
      </w:r>
      <w:r>
        <w:rPr>
          <w:rFonts w:hint="eastAsia"/>
          <w:b/>
          <w:sz w:val="24"/>
          <w:highlight w:val="none"/>
        </w:rPr>
        <w:t xml:space="preserve">售后</w:t>
      </w:r>
      <w:r>
        <w:rPr>
          <w:rFonts w:hint="eastAsia" w:ascii="宋体" w:hAnsi="宋体"/>
          <w:b/>
          <w:sz w:val="24"/>
          <w:highlight w:val="none"/>
        </w:rPr>
        <w:t xml:space="preserve">服务</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14.1 除项目不涉及或采购活动中明确约定无须承担外，乙方还应提供下列服务：</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（1）货物的现场移动、安装、调试、启动监督及技术支持；</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（2）提供货物组装和维修所需的专用工具和辅助材料；</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rPr>
          <w:highlight w:val="none"/>
        </w:rPr>
      </w:r>
      <w:r/>
    </w:p>
    <w:p>
      <w:pPr>
        <w:pStyle w:val="965"/>
        <w:ind w:firstLine="420"/>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14.2 乙方提供的售后服务的费用已包含在合同价款中，甲方不再另行支付。</w:t>
      </w:r>
      <w:r>
        <w:rPr>
          <w:highlight w:val="none"/>
        </w:rPr>
      </w:r>
      <w:r/>
    </w:p>
    <w:p>
      <w:pPr>
        <w:jc w:val="left"/>
        <w:spacing w:line="400" w:lineRule="exact"/>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highlight w:val="none"/>
        </w:rPr>
        <w:t xml:space="preserve">15.违约责任</w:t>
      </w:r>
      <w:r>
        <w:rPr>
          <w:highlight w:val="none"/>
        </w:rPr>
      </w:r>
      <w:r/>
    </w:p>
    <w:p>
      <w:pPr>
        <w:ind w:firstLine="420"/>
        <w:jc w:val="left"/>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15.1 质量瑕疵的违约责任</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rPr>
          <w:highlight w:val="none"/>
        </w:rPr>
      </w:r>
      <w:r/>
    </w:p>
    <w:p>
      <w:pPr>
        <w:ind w:firstLine="420"/>
        <w:jc w:val="left"/>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15.2 迟延交货的违约责任</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15.3 迟延支付的违约责任</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15.4 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rPr>
          <w:highlight w:val="none"/>
        </w:rPr>
      </w:r>
      <w:r/>
    </w:p>
    <w:p>
      <w:pPr>
        <w:numPr>
          <w:ilvl w:val="0"/>
          <w:numId w:val="7"/>
        </w:numPr>
        <w:jc w:val="left"/>
        <w:spacing w:line="400" w:lineRule="exact"/>
        <w:rPr>
          <w:rFonts w:ascii="宋体" w:hAnsi="宋体"/>
          <w:b/>
          <w:sz w:val="24"/>
          <w:highlight w:val="none"/>
        </w:rPr>
        <w:pBdr>
          <w:top w:val="none" w:color="auto" w:sz="0" w:space="1"/>
          <w:left w:val="none" w:color="auto" w:sz="0" w:space="4"/>
          <w:bottom w:val="none" w:color="auto" w:sz="0" w:space="1"/>
          <w:right w:val="none" w:color="auto" w:sz="0" w:space="4"/>
        </w:pBdr>
      </w:pPr>
      <w:r>
        <w:rPr>
          <w:rFonts w:hint="eastAsia" w:ascii="宋体" w:hAnsi="宋体"/>
          <w:b/>
          <w:sz w:val="24"/>
          <w:highlight w:val="none"/>
        </w:rPr>
        <w:t xml:space="preserve">合同变更、中止与终止</w:t>
      </w:r>
      <w:r>
        <w:rPr>
          <w:highlight w:val="none"/>
        </w:rPr>
      </w:r>
      <w:r/>
    </w:p>
    <w:p>
      <w:pPr>
        <w:ind w:firstLine="420"/>
        <w:jc w:val="left"/>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16.1 合同的变更</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16.2 合同的中止</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（1）合同履行过程中因供应商就采购文件、采购过程或结果提起投诉的，甲方认为有必要的，可以中止合同的履行。</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highlight w:val="none"/>
        </w:rPr>
      </w:r>
      <w:r/>
    </w:p>
    <w:p>
      <w:pPr>
        <w:pStyle w:val="965"/>
        <w:ind w:firstLine="420"/>
        <w:jc w:val="both"/>
        <w:rPr>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highlight w:val="none"/>
        </w:rPr>
      </w:r>
      <w:r/>
    </w:p>
    <w:p>
      <w:pPr>
        <w:ind w:firstLine="420"/>
        <w:jc w:val="left"/>
        <w:spacing w:line="400" w:lineRule="exact"/>
        <w:rPr>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（4）甲方不得以行政区划调整、政府换届、机构或者职能调整以及相关责任人更替为由中止合同。</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16.3 合同的终止</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（1）合同因有效期限届满而终止；</w:t>
      </w:r>
      <w:r>
        <w:rPr>
          <w:highlight w:val="none"/>
        </w:rPr>
      </w:r>
      <w:r/>
    </w:p>
    <w:p>
      <w:pPr>
        <w:ind w:firstLine="420"/>
        <w:spacing w:line="400" w:lineRule="exact"/>
        <w:rPr>
          <w:rFonts w:ascii="宋体" w:hAnsi="宋体" w:cs="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rPr>
          <w:highlight w:val="none"/>
        </w:rPr>
      </w:r>
      <w:r/>
    </w:p>
    <w:p>
      <w:pPr>
        <w:pStyle w:val="965"/>
        <w:rPr>
          <w:rFonts w:ascii="宋体" w:hAnsi="宋体"/>
          <w:highlight w:val="none"/>
        </w:rPr>
        <w:pBdr>
          <w:top w:val="none" w:color="auto" w:sz="0" w:space="1"/>
          <w:left w:val="none" w:color="auto" w:sz="0" w:space="4"/>
          <w:bottom w:val="none" w:color="auto" w:sz="0" w:space="1"/>
          <w:right w:val="none" w:color="auto" w:sz="0" w:space="4"/>
        </w:pBdr>
      </w:pPr>
      <w:r>
        <w:rPr>
          <w:rFonts w:hint="eastAsia" w:ascii="宋体" w:hAnsi="宋体"/>
          <w:highlight w:val="none"/>
        </w:rPr>
        <w:t xml:space="preserve">16.4 </w:t>
      </w:r>
      <w:r>
        <w:rPr>
          <w:rFonts w:hint="eastAsia" w:ascii="宋体" w:hAnsi="宋体" w:eastAsia="宋体" w:cs="Times New Roman"/>
          <w:sz w:val="21"/>
          <w:highlight w:val="none"/>
        </w:rPr>
        <w:t xml:space="preserve">涉及国家利益、社会公共利益的情形</w:t>
      </w:r>
      <w:r>
        <w:rPr>
          <w:highlight w:val="none"/>
        </w:rPr>
      </w:r>
      <w:r/>
    </w:p>
    <w:p>
      <w:pPr>
        <w:pStyle w:val="965"/>
        <w:ind w:firstLine="420"/>
        <w:jc w:val="both"/>
        <w:rPr>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highlight w:val="none"/>
        </w:rPr>
      </w:r>
      <w:r/>
    </w:p>
    <w:p>
      <w:pPr>
        <w:jc w:val="left"/>
        <w:spacing w:line="400" w:lineRule="exact"/>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highlight w:val="none"/>
        </w:rPr>
        <w:t xml:space="preserve">17.合同分包</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17.1 乙方不得将合同转包给其他供应商。涉及合同分包的，乙方应根据采购文件和投标（响应）文件规定进行合同分包。</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17.2 乙方执行政府采购政策向中小企业依法分包的，乙方应当按采购文件和投标（响应）文件签订分包意向协议，分包意向协议属于本合同组成部分。</w:t>
      </w:r>
      <w:r>
        <w:rPr>
          <w:highlight w:val="none"/>
        </w:rPr>
      </w:r>
      <w:r/>
    </w:p>
    <w:p>
      <w:pPr>
        <w:jc w:val="left"/>
        <w:spacing w:line="400" w:lineRule="exact"/>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highlight w:val="none"/>
        </w:rPr>
        <w:t xml:space="preserve">18.不可抗力</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18.1 不可抗力是指合同双方不能预见、不能避免且不能克服的客观情况。</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18.2 任何一方对由于不可抗力造成的部分或全部不能履行合同不承担违约责任。但迟延履行后发生不可抗力的，不能免除责任。</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highlight w:val="none"/>
        </w:rPr>
      </w:r>
      <w:r/>
    </w:p>
    <w:p>
      <w:pPr>
        <w:jc w:val="left"/>
        <w:spacing w:line="400" w:lineRule="exact"/>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highlight w:val="none"/>
        </w:rPr>
        <w:t xml:space="preserve">19.解决争议的方法</w:t>
      </w:r>
      <w:r>
        <w:rPr>
          <w:highlight w:val="none"/>
        </w:rPr>
      </w:r>
      <w:r/>
    </w:p>
    <w:p>
      <w:pPr>
        <w:pStyle w:val="965"/>
        <w:ind w:firstLine="420"/>
        <w:jc w:val="both"/>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highlight w:val="none"/>
        </w:rPr>
      </w:r>
      <w:r/>
    </w:p>
    <w:p>
      <w:pPr>
        <w:pStyle w:val="965"/>
        <w:ind w:firstLine="420"/>
        <w:jc w:val="both"/>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19.2 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rPr>
          <w:highlight w:val="none"/>
        </w:rPr>
      </w:r>
      <w:r/>
    </w:p>
    <w:p>
      <w:pPr>
        <w:pStyle w:val="965"/>
        <w:ind w:firstLine="420"/>
        <w:jc w:val="both"/>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19.3 如甲乙双方有争议的事项不影响合同其他部分的履行，在争议解决期间，合同其他部分应当继续履行。</w:t>
      </w:r>
      <w:r>
        <w:rPr>
          <w:highlight w:val="none"/>
        </w:rPr>
      </w:r>
      <w:r/>
    </w:p>
    <w:p>
      <w:pPr>
        <w:jc w:val="left"/>
        <w:spacing w:line="400" w:lineRule="exact"/>
        <w:rPr>
          <w:rFonts w:ascii="宋体" w:hAnsi="宋体"/>
          <w:sz w:val="24"/>
          <w:highlight w:val="none"/>
        </w:rPr>
        <w:pBdr>
          <w:top w:val="none" w:color="auto" w:sz="0" w:space="1"/>
          <w:left w:val="none" w:color="auto" w:sz="0" w:space="4"/>
          <w:bottom w:val="none" w:color="auto" w:sz="0" w:space="1"/>
          <w:right w:val="none" w:color="auto" w:sz="0" w:space="4"/>
        </w:pBdr>
      </w:pPr>
      <w:r>
        <w:rPr>
          <w:rFonts w:hint="eastAsia" w:ascii="宋体" w:hAnsi="宋体"/>
          <w:b/>
          <w:sz w:val="24"/>
          <w:highlight w:val="none"/>
        </w:rPr>
        <w:t xml:space="preserve">20.政府采购政策</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20.1 </w:t>
      </w:r>
      <w:r>
        <w:rPr>
          <w:rFonts w:hint="eastAsia" w:ascii="宋体" w:hAnsi="宋体" w:cs="宋体"/>
          <w:highlight w:val="none"/>
          <w:lang w:val="en-GB"/>
        </w:rPr>
        <w:t xml:space="preserve">本合同应当按照规定执行政府采购政策。</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t xml:space="preserve">2</w:t>
      </w:r>
      <w:r>
        <w:rPr>
          <w:rFonts w:hint="eastAsia" w:ascii="宋体" w:hAnsi="宋体"/>
          <w:szCs w:val="21"/>
          <w:highlight w:val="none"/>
        </w:rPr>
        <w:t xml:space="preserve">0.2 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rPr>
          <w:highlight w:val="none"/>
        </w:rPr>
      </w:r>
      <w:r/>
    </w:p>
    <w:p>
      <w:pPr>
        <w:pStyle w:val="946"/>
        <w:ind w:firstLine="420"/>
        <w:spacing w:after="0" w:line="400" w:lineRule="exact"/>
        <w:rPr>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t xml:space="preserve">2</w:t>
      </w:r>
      <w:r>
        <w:rPr>
          <w:rFonts w:hint="eastAsia" w:ascii="宋体" w:hAnsi="宋体"/>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highlight w:val="none"/>
        </w:rPr>
      </w:r>
      <w:r/>
    </w:p>
    <w:p>
      <w:pPr>
        <w:jc w:val="left"/>
        <w:spacing w:line="400" w:lineRule="exact"/>
        <w:rPr>
          <w:rFonts w:ascii="宋体" w:hAnsi="宋体"/>
          <w:b/>
          <w:sz w:val="24"/>
          <w:highlight w:val="none"/>
        </w:rPr>
        <w:pBdr>
          <w:top w:val="none" w:color="auto" w:sz="0" w:space="1"/>
          <w:left w:val="none" w:color="auto" w:sz="0" w:space="4"/>
          <w:bottom w:val="none" w:color="auto" w:sz="0" w:space="1"/>
          <w:right w:val="none" w:color="auto" w:sz="0" w:space="4"/>
        </w:pBdr>
      </w:pPr>
      <w:r>
        <w:rPr>
          <w:rFonts w:hint="eastAsia" w:ascii="宋体" w:hAnsi="宋体"/>
          <w:b/>
          <w:sz w:val="24"/>
          <w:highlight w:val="none"/>
        </w:rPr>
        <w:t xml:space="preserve">21.法律适用</w:t>
      </w:r>
      <w:r>
        <w:rPr>
          <w:highlight w:val="none"/>
        </w:rPr>
      </w:r>
      <w:r/>
    </w:p>
    <w:p>
      <w:pPr>
        <w:pStyle w:val="965"/>
        <w:ind w:firstLine="420"/>
        <w:jc w:val="both"/>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21.1 本合同的订立、生效、解释、履行及与本合同有关的争议解决，均适用法律、行政法规。</w:t>
      </w:r>
      <w:r>
        <w:rPr>
          <w:highlight w:val="none"/>
        </w:rPr>
      </w:r>
      <w:r/>
    </w:p>
    <w:p>
      <w:pPr>
        <w:pStyle w:val="965"/>
        <w:ind w:firstLine="420"/>
        <w:jc w:val="both"/>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21.2 本合同条款与法律、行政法规的强制性规定不一致的，双方当事人应按照法律、行政法规的强制性规定修改本合同的相关条款。</w:t>
      </w:r>
      <w:r>
        <w:rPr>
          <w:highlight w:val="none"/>
        </w:rPr>
      </w:r>
      <w:r/>
    </w:p>
    <w:p>
      <w:pPr>
        <w:jc w:val="left"/>
        <w:spacing w:line="400" w:lineRule="exact"/>
        <w:rPr>
          <w:rFonts w:ascii="宋体" w:hAnsi="宋体"/>
          <w:b/>
          <w:sz w:val="24"/>
          <w:highlight w:val="none"/>
        </w:rPr>
        <w:pBdr>
          <w:top w:val="none" w:color="auto" w:sz="0" w:space="1"/>
          <w:left w:val="none" w:color="auto" w:sz="0" w:space="4"/>
          <w:bottom w:val="none" w:color="auto" w:sz="0" w:space="1"/>
          <w:right w:val="none" w:color="auto" w:sz="0" w:space="4"/>
        </w:pBdr>
      </w:pPr>
      <w:r>
        <w:rPr>
          <w:rFonts w:hint="eastAsia" w:ascii="宋体" w:hAnsi="宋体"/>
          <w:b/>
          <w:sz w:val="24"/>
          <w:highlight w:val="none"/>
        </w:rPr>
        <w:t xml:space="preserve">22. 通知</w:t>
      </w:r>
      <w:r>
        <w:rPr>
          <w:highlight w:val="none"/>
        </w:rPr>
      </w:r>
      <w:r/>
    </w:p>
    <w:p>
      <w:pPr>
        <w:pStyle w:val="965"/>
        <w:ind w:firstLine="420"/>
        <w:jc w:val="both"/>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22.1 本合同任何一方向对方发出的通知、信件、数据电文等，应当发送至本合同第一部分《政府采购合同协议书》所约定的通讯地址、联系人、联系电话或电子邮箱。</w:t>
      </w:r>
      <w:r>
        <w:rPr>
          <w:highlight w:val="none"/>
        </w:rPr>
      </w:r>
      <w:r/>
    </w:p>
    <w:p>
      <w:pPr>
        <w:pStyle w:val="965"/>
        <w:ind w:firstLine="420"/>
        <w:jc w:val="both"/>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22.2 一方当事人变更名称、住所、联系人、联系电话或电子邮箱等信息的，应当在变更后3日内及时书面通知对方，对方实际收到变更通知前的送达仍为有效送达。</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22.3 本合同一方给另一方的通知均应采用书面形式，传真或快递送到本合同中规定的对方的地址和办理签收手续。</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22.4 通知以送达之日或通知书中规定的生效之日起生效，两者中以较迟之日为准。</w:t>
      </w:r>
      <w:r>
        <w:rPr>
          <w:highlight w:val="none"/>
        </w:rPr>
      </w:r>
      <w:r/>
    </w:p>
    <w:p>
      <w:pPr>
        <w:numPr>
          <w:ilvl w:val="0"/>
          <w:numId w:val="8"/>
        </w:numPr>
        <w:jc w:val="left"/>
        <w:spacing w:line="400" w:lineRule="exact"/>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highlight w:val="none"/>
        </w:rPr>
        <w:t xml:space="preserve">合同未尽事项</w:t>
      </w:r>
      <w:r>
        <w:rPr>
          <w:highlight w:val="none"/>
        </w:rPr>
      </w:r>
      <w:r/>
    </w:p>
    <w:p>
      <w:pPr>
        <w:ind w:firstLine="420"/>
        <w:jc w:val="left"/>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23.1 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rPr>
          <w:highlight w:val="none"/>
        </w:rPr>
      </w:r>
      <w:r/>
    </w:p>
    <w:p>
      <w:pPr>
        <w:jc w:val="left"/>
        <w:spacing w:line="400" w:lineRule="exact"/>
        <w:rPr>
          <w:rFonts w:ascii="黑体" w:hAnsi="华文中宋" w:eastAsia="黑体"/>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    23.2 合同附件与合同正文具有同等的法律效力。</w:t>
      </w:r>
      <w:bookmarkStart w:id="7" w:name="_Toc20313"/>
      <w:r>
        <w:rPr>
          <w:highlight w:val="none"/>
        </w:rPr>
      </w:r>
      <w:r/>
    </w:p>
    <w:p>
      <w:pPr>
        <w:jc w:val="center"/>
        <w:rPr>
          <w:rFonts w:ascii="黑体" w:hAnsi="华文中宋" w:eastAsia="黑体"/>
          <w:sz w:val="28"/>
          <w:szCs w:val="28"/>
          <w:highlight w:val="none"/>
        </w:rPr>
        <w:pBdr>
          <w:top w:val="none" w:color="auto" w:sz="0" w:space="1"/>
          <w:left w:val="none" w:color="auto" w:sz="0" w:space="4"/>
          <w:bottom w:val="none" w:color="auto" w:sz="0" w:space="1"/>
          <w:right w:val="none" w:color="auto" w:sz="0" w:space="4"/>
        </w:pBdr>
      </w:pPr>
      <w:r>
        <w:rPr>
          <w:rFonts w:hint="eastAsia" w:ascii="黑体" w:hAnsi="华文中宋" w:eastAsia="黑体"/>
          <w:sz w:val="28"/>
          <w:szCs w:val="28"/>
          <w:highlight w:val="none"/>
        </w:rPr>
        <w:br w:type="page" w:clear="all"/>
      </w:r>
      <w:r>
        <w:rPr>
          <w:highlight w:val="none"/>
        </w:rPr>
      </w:r>
      <w:r/>
    </w:p>
    <w:p>
      <w:pPr>
        <w:pStyle w:val="934"/>
        <w:jc w:val="center"/>
        <w:spacing w:line="400" w:lineRule="exact"/>
        <w:rPr>
          <w:rFonts w:ascii="黑体" w:hAnsi="华文中宋" w:eastAsia="黑体"/>
          <w:b w:val="0"/>
          <w:bCs w:val="0"/>
          <w:sz w:val="28"/>
          <w:szCs w:val="28"/>
          <w:highlight w:val="none"/>
        </w:rPr>
        <w:pBdr>
          <w:top w:val="none" w:color="auto" w:sz="0" w:space="1"/>
          <w:left w:val="none" w:color="auto" w:sz="0" w:space="4"/>
          <w:bottom w:val="none" w:color="auto" w:sz="0" w:space="1"/>
          <w:right w:val="none" w:color="auto" w:sz="0" w:space="4"/>
        </w:pBdr>
      </w:pPr>
      <w:r>
        <w:rPr>
          <w:rFonts w:hint="eastAsia" w:ascii="黑体" w:hAnsi="华文中宋" w:eastAsia="黑体"/>
          <w:b w:val="0"/>
          <w:bCs w:val="0"/>
          <w:sz w:val="28"/>
          <w:szCs w:val="28"/>
          <w:highlight w:val="none"/>
        </w:rPr>
        <w:t xml:space="preserve">第三节 政府采购合同专用条款</w:t>
      </w:r>
      <w:bookmarkEnd w:id="7"/>
      <w:r>
        <w:rPr>
          <w:highlight w:val="none"/>
        </w:rPr>
      </w:r>
      <w:r/>
    </w:p>
    <w:tbl>
      <w:tblPr>
        <w:tblStyle w:val="734"/>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第1.2（6）项</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联合体具体要求</w:t>
            </w:r>
            <w:r>
              <w:rPr>
                <w:highlight w:val="none"/>
              </w:rPr>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无</w:t>
            </w:r>
            <w:r>
              <w:rPr>
                <w:highlight w:val="none"/>
              </w:rPr>
            </w:r>
            <w:r/>
          </w:p>
        </w:tc>
      </w:tr>
      <w:tr>
        <w:trPr>
          <w:jc w:val="center"/>
          <w:trHeight w:val="604"/>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第1.2（7）项</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其他术语解释</w:t>
            </w:r>
            <w:r>
              <w:rPr>
                <w:highlight w:val="none"/>
              </w:rPr>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无</w:t>
            </w:r>
            <w:r>
              <w:rPr>
                <w:highlight w:val="none"/>
              </w:rPr>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第4.4款</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履约验收中甲方提出异议或作出说明的期限</w:t>
            </w:r>
            <w:r>
              <w:rPr>
                <w:highlight w:val="none"/>
              </w:rPr>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合同货物安装调试完毕后七日内。</w:t>
            </w:r>
            <w:r>
              <w:rPr>
                <w:highlight w:val="none"/>
              </w:rPr>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第4.6款</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约定甲方承担的其他义务和责任</w:t>
            </w:r>
            <w:r>
              <w:rPr>
                <w:highlight w:val="none"/>
              </w:rPr>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无</w:t>
            </w:r>
            <w:r>
              <w:rPr>
                <w:highlight w:val="none"/>
              </w:rPr>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第5.4款</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约定乙方承担的其他义务和责任</w:t>
            </w:r>
            <w:r>
              <w:rPr>
                <w:highlight w:val="none"/>
              </w:rPr>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无</w:t>
            </w:r>
            <w:r>
              <w:rPr>
                <w:highlight w:val="none"/>
              </w:rPr>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第6.1款</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履行合同义务的顺序</w:t>
            </w:r>
            <w:r>
              <w:rPr>
                <w:highlight w:val="none"/>
              </w:rPr>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无</w:t>
            </w:r>
            <w:r>
              <w:rPr>
                <w:highlight w:val="none"/>
              </w:rPr>
            </w:r>
            <w:r/>
          </w:p>
        </w:tc>
      </w:tr>
      <w:tr>
        <w:trPr>
          <w:jc w:val="center"/>
          <w:trHeight w:val="667"/>
        </w:trPr>
        <w:tc>
          <w:tcPr>
            <w:tcW w:w="1607" w:type="dxa"/>
            <w:vAlign w:val="center"/>
            <w:vMerge w:val="restart"/>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第7.1款</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包装特殊要求</w:t>
            </w:r>
            <w:r>
              <w:rPr>
                <w:highlight w:val="none"/>
              </w:rPr>
            </w:r>
            <w:r/>
          </w:p>
        </w:tc>
        <w:tc>
          <w:tcPr>
            <w:shd w:val="clear" w:color="auto" w:fill="auto"/>
            <w:tcW w:w="5170" w:type="dxa"/>
            <w:vAlign w:val="center"/>
            <w:textDirection w:val="lrTb"/>
            <w:noWrap w:val="false"/>
          </w:tcPr>
          <w:p>
            <w:pPr>
              <w:jc w:val="center"/>
              <w:rPr>
                <w:highlight w:val="none"/>
              </w:rPr>
              <w:pBdr>
                <w:top w:val="none" w:color="auto" w:sz="0" w:space="1"/>
                <w:left w:val="none" w:color="auto" w:sz="0" w:space="4"/>
                <w:bottom w:val="none" w:color="auto" w:sz="0" w:space="1"/>
                <w:right w:val="none" w:color="auto" w:sz="0" w:space="4"/>
              </w:pBdr>
            </w:pPr>
            <w:r>
              <w:rPr>
                <w:rFonts w:hint="eastAsia"/>
                <w:highlight w:val="none"/>
              </w:rPr>
              <w:t xml:space="preserve">无</w:t>
            </w:r>
            <w:r>
              <w:rPr>
                <w:highlight w:val="none"/>
              </w:rPr>
            </w:r>
            <w:r/>
          </w:p>
        </w:tc>
      </w:tr>
      <w:tr>
        <w:trPr>
          <w:jc w:val="center"/>
          <w:trHeight w:val="667"/>
        </w:trPr>
        <w:tc>
          <w:tcPr>
            <w:tcW w:w="1607" w:type="dxa"/>
            <w:vAlign w:val="center"/>
            <w:vMerge w:val="continue"/>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ascii="宋体" w:hAnsi="宋体"/>
                <w:szCs w:val="21"/>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指定现场</w:t>
            </w:r>
            <w:r>
              <w:rPr>
                <w:highlight w:val="none"/>
              </w:rPr>
            </w:r>
            <w:r/>
          </w:p>
        </w:tc>
        <w:tc>
          <w:tcPr>
            <w:shd w:val="clear" w:color="auto" w:fill="auto"/>
            <w:tcW w:w="5170" w:type="dxa"/>
            <w:vAlign w:val="center"/>
            <w:textDirection w:val="lrTb"/>
            <w:noWrap w:val="false"/>
          </w:tcPr>
          <w:p>
            <w:pPr>
              <w:jc w:val="center"/>
              <w:rPr>
                <w:highlight w:val="none"/>
              </w:rPr>
              <w:pBdr>
                <w:top w:val="none" w:color="auto" w:sz="0" w:space="1"/>
                <w:left w:val="none" w:color="auto" w:sz="0" w:space="4"/>
                <w:bottom w:val="none" w:color="auto" w:sz="0" w:space="1"/>
                <w:right w:val="none" w:color="auto" w:sz="0" w:space="4"/>
              </w:pBdr>
            </w:pPr>
            <w:r>
              <w:rPr>
                <w:rFonts w:hint="eastAsia"/>
                <w:highlight w:val="none"/>
              </w:rPr>
              <w:t xml:space="preserve">连云港市疾病预防控制中心</w:t>
            </w:r>
            <w:r>
              <w:rPr>
                <w:highlight w:val="none"/>
              </w:rPr>
            </w:r>
            <w:r/>
          </w:p>
        </w:tc>
      </w:tr>
      <w:tr>
        <w:trPr>
          <w:jc w:val="center"/>
          <w:trHeight w:val="772"/>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第7.2款</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运输特殊要求</w:t>
            </w:r>
            <w:r>
              <w:rPr>
                <w:highlight w:val="none"/>
              </w:rPr>
            </w:r>
            <w:r/>
          </w:p>
        </w:tc>
        <w:tc>
          <w:tcPr>
            <w:shd w:val="clear" w:color="auto" w:fill="auto"/>
            <w:tcW w:w="5170" w:type="dxa"/>
            <w:vAlign w:val="center"/>
            <w:textDirection w:val="lrTb"/>
            <w:noWrap w:val="false"/>
          </w:tcPr>
          <w:p>
            <w:pPr>
              <w:jc w:val="center"/>
              <w:rPr>
                <w:highlight w:val="none"/>
              </w:rPr>
              <w:pBdr>
                <w:top w:val="none" w:color="auto" w:sz="0" w:space="1"/>
                <w:left w:val="none" w:color="auto" w:sz="0" w:space="4"/>
                <w:bottom w:val="none" w:color="auto" w:sz="0" w:space="1"/>
                <w:right w:val="none" w:color="auto" w:sz="0" w:space="4"/>
              </w:pBdr>
            </w:pPr>
            <w:r>
              <w:rPr>
                <w:rFonts w:hint="eastAsia"/>
                <w:highlight w:val="none"/>
              </w:rPr>
              <w:t xml:space="preserve">无</w:t>
            </w:r>
            <w:r>
              <w:rPr>
                <w:highlight w:val="none"/>
              </w:rPr>
            </w:r>
            <w:r/>
          </w:p>
        </w:tc>
      </w:tr>
      <w:tr>
        <w:trPr>
          <w:jc w:val="center"/>
          <w:trHeight w:val="667"/>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第7.3款</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保险要求</w:t>
            </w:r>
            <w:r>
              <w:rPr>
                <w:highlight w:val="none"/>
              </w:rPr>
            </w:r>
            <w:r/>
          </w:p>
        </w:tc>
        <w:tc>
          <w:tcPr>
            <w:shd w:val="clear" w:color="auto" w:fill="auto"/>
            <w:tcW w:w="5170" w:type="dxa"/>
            <w:vAlign w:val="center"/>
            <w:textDirection w:val="lrTb"/>
            <w:noWrap w:val="false"/>
          </w:tcPr>
          <w:p>
            <w:pPr>
              <w:jc w:val="center"/>
              <w:rPr>
                <w:highlight w:val="none"/>
              </w:rPr>
              <w:pBdr>
                <w:top w:val="none" w:color="auto" w:sz="0" w:space="1"/>
                <w:left w:val="none" w:color="auto" w:sz="0" w:space="4"/>
                <w:bottom w:val="none" w:color="auto" w:sz="0" w:space="1"/>
                <w:right w:val="none" w:color="auto" w:sz="0" w:space="4"/>
              </w:pBdr>
            </w:pPr>
            <w:r>
              <w:rPr>
                <w:rFonts w:hint="eastAsia"/>
                <w:highlight w:val="none"/>
              </w:rPr>
              <w:t xml:space="preserve">无</w:t>
            </w:r>
            <w:r>
              <w:rPr>
                <w:highlight w:val="none"/>
              </w:rPr>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第8.2（1）项</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质量保证期</w:t>
            </w:r>
            <w:r>
              <w:rPr>
                <w:highlight w:val="none"/>
              </w:rPr>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r>
            <w:r>
              <w:rPr>
                <w:highlight w:val="none"/>
              </w:rPr>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第8.2（3）项</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货物质量缺陷</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响应时间</w:t>
            </w:r>
            <w:r>
              <w:rPr>
                <w:highlight w:val="none"/>
              </w:rPr>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t xml:space="preserve">乙方在接到甲方通知后在24小时内到达甲方现场</w:t>
            </w:r>
            <w:r>
              <w:rPr>
                <w:rFonts w:hint="eastAsia" w:ascii="宋体" w:hAnsi="宋体"/>
                <w:szCs w:val="21"/>
                <w:highlight w:val="none"/>
              </w:rPr>
              <w:t xml:space="preserve">。</w:t>
            </w:r>
            <w:r>
              <w:rPr>
                <w:highlight w:val="none"/>
              </w:rPr>
            </w:r>
            <w:r/>
          </w:p>
        </w:tc>
      </w:tr>
      <w:tr>
        <w:trPr>
          <w:jc w:val="center"/>
          <w:trHeight w:val="736"/>
        </w:trPr>
        <w:tc>
          <w:tcPr>
            <w:tcW w:w="1607" w:type="dxa"/>
            <w:vAlign w:val="center"/>
            <w:textDirection w:val="lrTb"/>
            <w:noWrap w:val="false"/>
          </w:tcPr>
          <w:p>
            <w:pPr>
              <w:jc w:val="center"/>
              <w:rPr>
                <w:rFonts w:ascii="宋体" w:hAnsi="宋体" w:cs="宋体"/>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szCs w:val="21"/>
                <w:highlight w:val="none"/>
              </w:rPr>
              <w:t xml:space="preserve">第二节</w:t>
            </w:r>
            <w:r>
              <w:rPr>
                <w:highlight w:val="none"/>
              </w:rPr>
            </w:r>
            <w:r/>
          </w:p>
          <w:p>
            <w:pPr>
              <w:pStyle w:val="965"/>
              <w:ind w:firstLine="0"/>
              <w:jc w:val="center"/>
              <w:rPr>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highlight w:val="none"/>
              </w:rPr>
              <w:t xml:space="preserve">第11.1款</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其他应当保密的信息</w:t>
            </w:r>
            <w:r>
              <w:rPr>
                <w:highlight w:val="none"/>
              </w:rPr>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无</w:t>
            </w:r>
            <w:r>
              <w:rPr>
                <w:highlight w:val="none"/>
              </w:rPr>
            </w:r>
            <w:r/>
          </w:p>
        </w:tc>
      </w:tr>
      <w:tr>
        <w:trPr>
          <w:jc w:val="center"/>
          <w:trHeight w:val="697"/>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第12.2款</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合同价款支付时间</w:t>
            </w:r>
            <w:r>
              <w:rPr>
                <w:highlight w:val="none"/>
              </w:rPr>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t xml:space="preserve">设备安装调试经验收合格后，经审计票据齐全后采购人一次性支付至审计金额的100%。</w:t>
            </w:r>
            <w:r>
              <w:rPr>
                <w:highlight w:val="none"/>
              </w:rPr>
            </w:r>
            <w:r/>
          </w:p>
        </w:tc>
      </w:tr>
      <w:tr>
        <w:trPr>
          <w:jc w:val="center"/>
          <w:trHeight w:val="697"/>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第13.2款</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履约保证金不予退还的情形</w:t>
            </w:r>
            <w:r>
              <w:rPr>
                <w:highlight w:val="none"/>
              </w:rPr>
            </w:r>
            <w:r/>
          </w:p>
        </w:tc>
        <w:tc>
          <w:tcPr>
            <w:shd w:val="clear" w:color="auto" w:fill="auto"/>
            <w:tcW w:w="5170" w:type="dxa"/>
            <w:vAlign w:val="center"/>
            <w:textDirection w:val="lrTb"/>
            <w:noWrap w:val="false"/>
          </w:tcPr>
          <w:p>
            <w:pPr>
              <w:numPr>
                <w:ilvl w:val="0"/>
                <w:numId w:val="9"/>
              </w:numPr>
              <w:rPr>
                <w:rFonts w:ascii="Times New Roman" w:hAnsi="Times New Roman"/>
                <w:szCs w:val="21"/>
                <w:highlight w:val="none"/>
              </w:rPr>
              <w:pBdr>
                <w:top w:val="none" w:color="auto" w:sz="0" w:space="1"/>
                <w:left w:val="none" w:color="auto" w:sz="0" w:space="4"/>
                <w:bottom w:val="none" w:color="auto" w:sz="0" w:space="1"/>
                <w:right w:val="none" w:color="auto" w:sz="0" w:space="4"/>
              </w:pBdr>
            </w:pPr>
            <w:r>
              <w:rPr>
                <w:rFonts w:hint="eastAsia" w:ascii="Times New Roman" w:hAnsi="Times New Roman"/>
                <w:szCs w:val="21"/>
                <w:highlight w:val="none"/>
              </w:rPr>
              <w:t xml:space="preserve">所供货物不符合合同约定的质量标准、品牌、规格或等级的。</w:t>
            </w:r>
            <w:r>
              <w:rPr>
                <w:highlight w:val="none"/>
              </w:rPr>
            </w:r>
            <w:r/>
          </w:p>
          <w:p>
            <w:pPr>
              <w:numPr>
                <w:ilvl w:val="0"/>
                <w:numId w:val="9"/>
              </w:numPr>
              <w:jc w:val="left"/>
              <w:rPr>
                <w:rFonts w:ascii="Times New Roman" w:hAnsi="Times New Roman"/>
                <w:szCs w:val="21"/>
                <w:highlight w:val="none"/>
              </w:rPr>
              <w:pBdr>
                <w:top w:val="none" w:color="auto" w:sz="0" w:space="1"/>
                <w:left w:val="none" w:color="auto" w:sz="0" w:space="4"/>
                <w:bottom w:val="none" w:color="auto" w:sz="0" w:space="1"/>
                <w:right w:val="none" w:color="auto" w:sz="0" w:space="4"/>
              </w:pBdr>
            </w:pPr>
            <w:r>
              <w:rPr>
                <w:rFonts w:hint="eastAsia" w:ascii="Times New Roman" w:hAnsi="Times New Roman"/>
                <w:szCs w:val="21"/>
                <w:highlight w:val="none"/>
              </w:rPr>
              <w:t xml:space="preserve">未按合同约定的时间供货的。</w:t>
            </w:r>
            <w:r>
              <w:rPr>
                <w:highlight w:val="none"/>
              </w:rPr>
            </w:r>
            <w:r/>
          </w:p>
          <w:p>
            <w:pPr>
              <w:numPr>
                <w:ilvl w:val="0"/>
                <w:numId w:val="9"/>
              </w:numPr>
              <w:jc w:val="left"/>
              <w:rPr>
                <w:rFonts w:ascii="Times New Roman" w:hAnsi="Times New Roman"/>
                <w:szCs w:val="21"/>
                <w:highlight w:val="none"/>
              </w:rPr>
              <w:pBdr>
                <w:top w:val="none" w:color="auto" w:sz="0" w:space="1"/>
                <w:left w:val="none" w:color="auto" w:sz="0" w:space="4"/>
                <w:bottom w:val="none" w:color="auto" w:sz="0" w:space="1"/>
                <w:right w:val="none" w:color="auto" w:sz="0" w:space="4"/>
              </w:pBdr>
            </w:pPr>
            <w:r>
              <w:rPr>
                <w:rFonts w:hint="eastAsia" w:ascii="Times New Roman" w:hAnsi="Times New Roman"/>
                <w:szCs w:val="21"/>
                <w:highlight w:val="none"/>
              </w:rPr>
              <w:t xml:space="preserve">乙方无正当理由拒绝签订合同，或在签订时提出附加条件的。</w:t>
            </w:r>
            <w:r>
              <w:rPr>
                <w:highlight w:val="none"/>
              </w:rPr>
            </w:r>
            <w:r/>
          </w:p>
          <w:p>
            <w:pPr>
              <w:numPr>
                <w:ilvl w:val="0"/>
                <w:numId w:val="9"/>
              </w:numPr>
              <w:jc w:val="left"/>
              <w:rPr>
                <w:rFonts w:ascii="Times New Roman" w:hAnsi="Times New Roman"/>
                <w:szCs w:val="21"/>
                <w:highlight w:val="none"/>
              </w:rPr>
              <w:pBdr>
                <w:top w:val="none" w:color="auto" w:sz="0" w:space="1"/>
                <w:left w:val="none" w:color="auto" w:sz="0" w:space="4"/>
                <w:bottom w:val="none" w:color="auto" w:sz="0" w:space="1"/>
                <w:right w:val="none" w:color="auto" w:sz="0" w:space="4"/>
              </w:pBdr>
            </w:pPr>
            <w:r>
              <w:rPr>
                <w:rFonts w:hint="eastAsia" w:ascii="Times New Roman" w:hAnsi="Times New Roman"/>
                <w:szCs w:val="21"/>
                <w:highlight w:val="none"/>
              </w:rPr>
              <w:t xml:space="preserve">乙方将政府采购合同转包或违法分包的</w:t>
            </w:r>
            <w:r>
              <w:rPr>
                <w:highlight w:val="none"/>
              </w:rPr>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第13.3款</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履约保证金退还时间及逾期退还的违约金</w:t>
            </w:r>
            <w:r>
              <w:rPr>
                <w:highlight w:val="none"/>
              </w:rPr>
            </w:r>
            <w:r/>
          </w:p>
        </w:tc>
        <w:tc>
          <w:tcPr>
            <w:shd w:val="clear" w:color="auto" w:fill="auto"/>
            <w:tcW w:w="5170" w:type="dxa"/>
            <w:vAlign w:val="center"/>
            <w:textDirection w:val="lrTb"/>
            <w:noWrap w:val="false"/>
          </w:tcPr>
          <w:p>
            <w:pPr>
              <w:rPr>
                <w:rFonts w:ascii="Times New Roman" w:hAnsi="Times New Roman"/>
                <w:szCs w:val="21"/>
                <w:highlight w:val="none"/>
              </w:rPr>
              <w:pBdr>
                <w:top w:val="none" w:color="auto" w:sz="0" w:space="1"/>
                <w:left w:val="none" w:color="auto" w:sz="0" w:space="4"/>
                <w:bottom w:val="none" w:color="auto" w:sz="0" w:space="1"/>
                <w:right w:val="none" w:color="auto" w:sz="0" w:space="4"/>
              </w:pBdr>
            </w:pPr>
            <w:r>
              <w:rPr>
                <w:rFonts w:hint="eastAsia" w:ascii="Times New Roman" w:hAnsi="Times New Roman"/>
                <w:szCs w:val="21"/>
                <w:highlight w:val="none"/>
              </w:rPr>
              <w:t xml:space="preserve">1、乙方违约的，甲方将根据违约责任条款扣除其全部或部分履约保证金。如乙方违约给甲方造成的损失超过履约保证金的，应当依法赔偿超过部分的损失。</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Times New Roman" w:hAnsi="Times New Roman"/>
                <w:szCs w:val="21"/>
                <w:highlight w:val="none"/>
              </w:rPr>
              <w:t xml:space="preserve">2、逾期退还履约保证金的甲方承担违约责任，按照中国人民银行同期贷款基准利率支付超期资金占用费。</w:t>
            </w:r>
            <w:r>
              <w:rPr>
                <w:highlight w:val="none"/>
              </w:rPr>
            </w:r>
            <w:r/>
          </w:p>
        </w:tc>
      </w:tr>
      <w:tr>
        <w:trPr>
          <w:jc w:val="center"/>
          <w:trHeight w:val="784"/>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第14.1（3）项</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运行监督、维修期限</w:t>
            </w:r>
            <w:r>
              <w:rPr>
                <w:highlight w:val="none"/>
              </w:rPr>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详见第四章采购需求</w:t>
            </w:r>
            <w:r>
              <w:rPr>
                <w:highlight w:val="none"/>
              </w:rPr>
            </w:r>
            <w:r/>
          </w:p>
        </w:tc>
      </w:tr>
      <w:tr>
        <w:trPr>
          <w:jc w:val="center"/>
          <w:trHeight w:val="784"/>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第14.1（5）项</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货物回收的约定</w:t>
            </w:r>
            <w:r>
              <w:rPr>
                <w:highlight w:val="none"/>
              </w:rPr>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无</w:t>
            </w:r>
            <w:r>
              <w:rPr>
                <w:highlight w:val="none"/>
              </w:rPr>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第14.1（6）项</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乙方提供的其他服务</w:t>
            </w:r>
            <w:r>
              <w:rPr>
                <w:highlight w:val="none"/>
              </w:rPr>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无</w:t>
            </w:r>
            <w:r>
              <w:rPr>
                <w:highlight w:val="none"/>
              </w:rPr>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第15.1款</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修理、重作、更换相关具体规定</w:t>
            </w:r>
            <w:r>
              <w:rPr>
                <w:highlight w:val="none"/>
              </w:rPr>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t xml:space="preserve">《中华人民共和国产品质量法》第四十条</w:t>
            </w:r>
            <w:r>
              <w:rPr>
                <w:highlight w:val="none"/>
              </w:rPr>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第15.2（2）项</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迟延交货赔偿费</w:t>
            </w:r>
            <w:r>
              <w:rPr>
                <w:highlight w:val="none"/>
              </w:rPr>
            </w:r>
            <w:r/>
          </w:p>
        </w:tc>
        <w:tc>
          <w:tcPr>
            <w:shd w:val="clear" w:color="auto" w:fill="auto"/>
            <w:tcW w:w="5170" w:type="dxa"/>
            <w:vAlign w:val="center"/>
            <w:textDirection w:val="lrTb"/>
            <w:noWrap w:val="false"/>
          </w:tcPr>
          <w:p>
            <w:pPr>
              <w:jc w:val="lef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ascii="宋体" w:hAnsi="宋体"/>
                <w:szCs w:val="21"/>
                <w:highlight w:val="none"/>
              </w:rPr>
              <w:t xml:space="preserve">每延迟一天交付，按照合同金额1‰向甲方支付逾期交付违约金，违约金总额不超过合同总额的1%。（因甲方原因，逾期交付违约金不予计算）</w:t>
            </w:r>
            <w:r>
              <w:rPr>
                <w:highlight w:val="none"/>
              </w:rPr>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第15.3款</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逾期付款利息</w:t>
            </w:r>
            <w:r>
              <w:rPr>
                <w:highlight w:val="none"/>
              </w:rPr>
            </w:r>
            <w:r/>
          </w:p>
        </w:tc>
        <w:tc>
          <w:tcPr>
            <w:shd w:val="clear" w:color="auto" w:fill="auto"/>
            <w:tcW w:w="5170" w:type="dxa"/>
            <w:vAlign w:val="center"/>
            <w:textDirection w:val="lrTb"/>
            <w:noWrap w:val="false"/>
          </w:tcPr>
          <w:p>
            <w:pPr>
              <w:jc w:val="center"/>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在逾期</w:t>
            </w:r>
            <w:r>
              <w:rPr>
                <w:rFonts w:ascii="宋体" w:hAnsi="宋体"/>
                <w:szCs w:val="21"/>
                <w:highlight w:val="none"/>
              </w:rPr>
              <w:t xml:space="preserve">时段按月息2%计息</w:t>
            </w:r>
            <w:r>
              <w:rPr>
                <w:highlight w:val="none"/>
              </w:rPr>
            </w:r>
            <w:r/>
          </w:p>
        </w:tc>
      </w:tr>
      <w:tr>
        <w:trPr>
          <w:jc w:val="center"/>
          <w:trHeight w:val="87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第15.4款</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其他违约责任</w:t>
            </w:r>
            <w:r>
              <w:rPr>
                <w:highlight w:val="none"/>
              </w:rPr>
            </w:r>
            <w:r/>
          </w:p>
        </w:tc>
        <w:tc>
          <w:tcPr>
            <w:shd w:val="clear" w:color="auto" w:fill="auto"/>
            <w:tcW w:w="5170" w:type="dxa"/>
            <w:vAlign w:val="center"/>
            <w:textDirection w:val="lrTb"/>
            <w:noWrap w:val="false"/>
          </w:tcPr>
          <w:p>
            <w:pPr>
              <w:jc w:val="center"/>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如乙方无法提供制造商质保承诺或协议的，甲方有权单方面解除合同、扣除履约保证金、将乙方清退出场，同时报政府采购监督管理部门</w:t>
            </w:r>
            <w:r>
              <w:rPr>
                <w:highlight w:val="none"/>
              </w:rPr>
            </w:r>
            <w:r/>
          </w:p>
        </w:tc>
      </w:tr>
      <w:tr>
        <w:trPr>
          <w:jc w:val="center"/>
          <w:trHeight w:val="90"/>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第19.2款</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解决争议的方法</w:t>
            </w:r>
            <w:r>
              <w:rPr>
                <w:highlight w:val="none"/>
              </w:rPr>
            </w:r>
            <w:r/>
          </w:p>
        </w:tc>
        <w:tc>
          <w:tcPr>
            <w:tcW w:w="5170" w:type="dxa"/>
            <w:vAlign w:val="center"/>
            <w:textDirection w:val="lrTb"/>
            <w:noWrap w:val="false"/>
          </w:tcPr>
          <w:p>
            <w:pPr>
              <w:jc w:val="left"/>
              <w:spacing w:line="400" w:lineRule="exact"/>
              <w:rPr>
                <w:rFonts w:ascii="宋体" w:hAnsi="宋体" w:cs="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iCs/>
                <w:szCs w:val="21"/>
                <w:highlight w:val="none"/>
              </w:rPr>
              <w:t xml:space="preserve">因本合同及合同有关事项发生的争议，按下列第（2）种方式解决：</w:t>
            </w:r>
            <w:r>
              <w:rPr>
                <w:highlight w:val="none"/>
              </w:rPr>
            </w:r>
            <w:r/>
          </w:p>
          <w:p>
            <w:pPr>
              <w:jc w:val="left"/>
              <w:spacing w:line="400" w:lineRule="exact"/>
              <w:rPr>
                <w:rFonts w:ascii="宋体" w:hAnsi="宋体" w:cs="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iCs/>
                <w:szCs w:val="21"/>
                <w:highlight w:val="none"/>
              </w:rPr>
              <w:t xml:space="preserve">（1）向仲裁委员会申请仲裁，仲裁地点为        ；</w:t>
            </w:r>
            <w:r>
              <w:rPr>
                <w:highlight w:val="none"/>
              </w:rPr>
            </w:r>
            <w:r/>
          </w:p>
          <w:p>
            <w:pPr>
              <w:jc w:val="lef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cs="宋体"/>
                <w:iCs/>
                <w:szCs w:val="21"/>
                <w:highlight w:val="none"/>
              </w:rPr>
              <w:t xml:space="preserve">（2）向连云港市人民法院起诉。</w:t>
            </w:r>
            <w:r>
              <w:rPr>
                <w:highlight w:val="none"/>
              </w:rPr>
            </w:r>
            <w:r/>
          </w:p>
        </w:tc>
      </w:tr>
      <w:tr>
        <w:trPr>
          <w:jc w:val="center"/>
          <w:trHeight w:val="770"/>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第23.1款</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其他专用条款</w:t>
            </w:r>
            <w:r>
              <w:rPr>
                <w:highlight w:val="none"/>
              </w:rPr>
            </w:r>
            <w:r/>
          </w:p>
        </w:tc>
        <w:tc>
          <w:tcPr>
            <w:tcW w:w="5170" w:type="dxa"/>
            <w:vAlign w:val="center"/>
            <w:textDirection w:val="lrTb"/>
            <w:noWrap w:val="false"/>
          </w:tcPr>
          <w:p>
            <w:pPr>
              <w:jc w:val="left"/>
              <w:rPr>
                <w:rFonts w:ascii="宋体" w:hAnsi="宋体"/>
                <w:szCs w:val="21"/>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r>
            <w:r>
              <w:rPr>
                <w:highlight w:val="none"/>
              </w:rPr>
            </w:r>
            <w:r/>
          </w:p>
        </w:tc>
      </w:tr>
    </w:tbl>
    <w:p>
      <w:pPr>
        <w:jc w:val="left"/>
        <w:widowControl/>
        <w:rPr>
          <w:rFonts w:ascii="宋体" w:hAnsi="宋体"/>
          <w:szCs w:val="21"/>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br w:type="page" w:clear="all"/>
      </w:r>
      <w:r>
        <w:rPr>
          <w:highlight w:val="none"/>
        </w:rPr>
      </w:r>
      <w:r/>
    </w:p>
    <w:p>
      <w:pPr>
        <w:pStyle w:val="933"/>
        <w:jc w:val="center"/>
        <w:spacing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highlight w:val="none"/>
        </w:rPr>
      </w:r>
      <w:bookmarkStart w:id="8" w:name="_Toc165205797"/>
      <w:r>
        <w:rPr>
          <w:rFonts w:hint="eastAsia" w:ascii="黑体" w:hAnsi="黑体" w:eastAsia="黑体"/>
          <w:b w:val="0"/>
          <w:highlight w:val="none"/>
        </w:rPr>
        <w:t xml:space="preserve">第四章  采购需求</w:t>
      </w:r>
      <w:bookmarkEnd w:id="8"/>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说明：本项目属性为</w:t>
      </w:r>
      <w:r>
        <w:rPr>
          <w:rFonts w:hint="eastAsia"/>
          <w:b/>
          <w:sz w:val="24"/>
          <w:szCs w:val="24"/>
          <w:highlight w:val="none"/>
        </w:rPr>
        <w:t xml:space="preserve">货物</w:t>
      </w:r>
      <w:r>
        <w:rPr>
          <w:rFonts w:hint="eastAsia"/>
          <w:sz w:val="24"/>
          <w:szCs w:val="24"/>
          <w:highlight w:val="none"/>
        </w:rPr>
        <w:t xml:space="preserve">，采购标的对应的中小企业划分标准所属行业详见货物（标的）采购清单。</w:t>
      </w:r>
      <w:r>
        <w:rPr>
          <w:highlight w:val="none"/>
        </w:rPr>
      </w:r>
      <w:r/>
    </w:p>
    <w:p>
      <w:pPr>
        <w:ind w:firstLine="480"/>
        <w:jc w:val="left"/>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1、根据《政府采购需求管理办法》等有关规定，采购人确定采购需求。</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w:t>
      </w:r>
      <w:r>
        <w:rPr>
          <w:rFonts w:hint="eastAsia"/>
          <w:b/>
          <w:sz w:val="24"/>
          <w:szCs w:val="24"/>
          <w:highlight w:val="none"/>
        </w:rPr>
        <w:t xml:space="preserve">本招标文件中</w:t>
      </w:r>
      <w:r>
        <w:rPr>
          <w:rFonts w:hint="eastAsia"/>
          <w:b/>
          <w:i/>
          <w:color w:val="c00000"/>
          <w:sz w:val="24"/>
          <w:szCs w:val="24"/>
          <w:highlight w:val="none"/>
          <w:u w:val="single"/>
        </w:rPr>
        <w:t xml:space="preserve">斜体且有下划线部分</w:t>
      </w:r>
      <w:r>
        <w:rPr>
          <w:rFonts w:hint="eastAsia"/>
          <w:b/>
          <w:sz w:val="24"/>
          <w:szCs w:val="24"/>
          <w:highlight w:val="none"/>
        </w:rPr>
        <w:t xml:space="preserve">为实质性要求和条件</w:t>
      </w:r>
      <w:r>
        <w:rPr>
          <w:rFonts w:hint="eastAsia"/>
          <w:sz w:val="24"/>
          <w:szCs w:val="24"/>
          <w:highlight w:val="none"/>
        </w:rPr>
        <w:t xml:space="preserve">，由采购人根据实际情况设置，供应商须逐条明确作出满足实质性要求和条件的响应，否则将按无效响应处理。</w:t>
      </w:r>
      <w:r>
        <w:rPr>
          <w:highlight w:val="none"/>
        </w:rPr>
      </w:r>
      <w:r/>
    </w:p>
    <w:tbl>
      <w:tblPr>
        <w:tblStyle w:val="759"/>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黑体" w:hAnsi="黑体" w:eastAsia="黑体"/>
                <w:sz w:val="24"/>
                <w:szCs w:val="24"/>
                <w:highlight w:val="none"/>
              </w:rPr>
              <w:pBdr>
                <w:top w:val="none" w:color="auto" w:sz="0" w:space="1"/>
                <w:left w:val="none" w:color="auto" w:sz="0" w:space="4"/>
                <w:bottom w:val="none" w:color="auto" w:sz="0" w:space="1"/>
                <w:right w:val="none" w:color="auto" w:sz="0" w:space="4"/>
              </w:pBdr>
            </w:pPr>
            <w:r>
              <w:rPr>
                <w:rFonts w:ascii="黑体" w:hAnsi="黑体" w:eastAsia="黑体"/>
                <w:sz w:val="24"/>
                <w:szCs w:val="24"/>
                <w:highlight w:val="none"/>
              </w:rPr>
              <w:t xml:space="preserve">采购需求中须满足的实质性要求和条件</w:t>
            </w:r>
            <w:r>
              <w:rPr>
                <w:highlight w:val="none"/>
              </w:rPr>
            </w:r>
            <w:r/>
          </w:p>
        </w:tc>
      </w:tr>
      <w:tr>
        <w:trPr>
          <w:jc w:val="center"/>
        </w:trPr>
        <w:tc>
          <w:tcPr>
            <w:tcBorders>
              <w:top w:val="single" w:color="auto" w:sz="4" w:space="0"/>
            </w:tcBorders>
            <w:tcW w:w="816" w:type="dxa"/>
            <w:textDirection w:val="lrTb"/>
            <w:noWrap w:val="false"/>
          </w:tcPr>
          <w:p>
            <w:pPr>
              <w:jc w:val="center"/>
              <w:spacing w:line="500" w:lineRule="exact"/>
              <w:rPr>
                <w:b/>
                <w:sz w:val="24"/>
                <w:szCs w:val="24"/>
                <w:highlight w:val="none"/>
              </w:rPr>
              <w:pBdr>
                <w:top w:val="none" w:color="auto" w:sz="0" w:space="1"/>
                <w:left w:val="none" w:color="auto" w:sz="0" w:space="4"/>
                <w:bottom w:val="none" w:color="auto" w:sz="0" w:space="1"/>
                <w:right w:val="none" w:color="auto" w:sz="0" w:space="4"/>
              </w:pBdr>
            </w:pPr>
            <w:r>
              <w:rPr>
                <w:b/>
                <w:sz w:val="24"/>
                <w:szCs w:val="24"/>
                <w:highlight w:val="none"/>
              </w:rPr>
              <w:t xml:space="preserve">序号</w:t>
            </w:r>
            <w:r>
              <w:rPr>
                <w:highlight w:val="none"/>
              </w:rPr>
            </w:r>
            <w:r/>
          </w:p>
        </w:tc>
        <w:tc>
          <w:tcPr>
            <w:tcBorders>
              <w:top w:val="single" w:color="auto" w:sz="4" w:space="0"/>
            </w:tcBorders>
            <w:tcW w:w="7689" w:type="dxa"/>
            <w:textDirection w:val="lrTb"/>
            <w:noWrap w:val="false"/>
          </w:tcPr>
          <w:p>
            <w:pPr>
              <w:jc w:val="center"/>
              <w:spacing w:line="500" w:lineRule="exact"/>
              <w:rPr>
                <w:b/>
                <w:sz w:val="24"/>
                <w:szCs w:val="24"/>
                <w:highlight w:val="none"/>
              </w:rPr>
              <w:pBdr>
                <w:top w:val="none" w:color="auto" w:sz="0" w:space="1"/>
                <w:left w:val="none" w:color="auto" w:sz="0" w:space="4"/>
                <w:bottom w:val="none" w:color="auto" w:sz="0" w:space="1"/>
                <w:right w:val="none" w:color="auto" w:sz="0" w:space="4"/>
              </w:pBdr>
            </w:pPr>
            <w:r>
              <w:rPr>
                <w:b/>
                <w:sz w:val="24"/>
                <w:szCs w:val="24"/>
                <w:highlight w:val="none"/>
              </w:rPr>
              <w:t xml:space="preserve">实质性要求和条件</w:t>
            </w:r>
            <w:r>
              <w:rPr>
                <w:highlight w:val="none"/>
              </w:rPr>
            </w:r>
            <w:r/>
          </w:p>
        </w:tc>
      </w:tr>
      <w:tr>
        <w:trPr>
          <w:jc w:val="center"/>
        </w:trPr>
        <w:tc>
          <w:tcPr>
            <w:shd w:val="clear" w:color="auto" w:fill="auto"/>
            <w:tcBorders>
              <w:top w:val="single" w:color="auto" w:sz="4" w:space="0"/>
            </w:tcBorders>
            <w:tcW w:w="816" w:type="dxa"/>
            <w:vAlign w:val="center"/>
            <w:textDirection w:val="lrTb"/>
            <w:noWrap w:val="false"/>
          </w:tcPr>
          <w:p>
            <w:pPr>
              <w:jc w:val="center"/>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w:t>
            </w:r>
            <w:r>
              <w:rPr>
                <w:highlight w:val="none"/>
              </w:rPr>
            </w:r>
            <w:r/>
          </w:p>
        </w:tc>
        <w:tc>
          <w:tcPr>
            <w:tcBorders>
              <w:top w:val="single" w:color="auto" w:sz="4" w:space="0"/>
            </w:tcBorders>
            <w:tcW w:w="7689" w:type="dxa"/>
            <w:textDirection w:val="lrTb"/>
            <w:noWrap w:val="false"/>
          </w:tcPr>
          <w:p>
            <w:pPr>
              <w:spacing w:line="360" w:lineRule="auto"/>
              <w:rPr>
                <w:rFonts w:ascii="宋体" w:hAnsi="宋体" w:cs="宋体"/>
                <w:b/>
                <w:i/>
                <w:iCs/>
                <w:sz w:val="24"/>
                <w:szCs w:val="24"/>
                <w:highlight w:val="none"/>
                <w:u w:val="single"/>
              </w:rPr>
              <w:outlineLvl w:val="0"/>
            </w:pPr>
            <w:r>
              <w:rPr>
                <w:rFonts w:hint="eastAsia" w:ascii="宋体" w:hAnsi="宋体" w:cs="宋体"/>
                <w:b/>
                <w:i/>
                <w:iCs/>
                <w:sz w:val="24"/>
                <w:szCs w:val="24"/>
                <w:highlight w:val="none"/>
                <w:u w:val="single"/>
              </w:rPr>
              <w:t xml:space="preserve">3.4温度设定范围：-10℃至+40℃；</w:t>
            </w:r>
            <w:r>
              <w:rPr>
                <w:highlight w:val="none"/>
              </w:rPr>
            </w:r>
            <w:r/>
          </w:p>
        </w:tc>
      </w:tr>
      <w:tr>
        <w:trPr>
          <w:jc w:val="center"/>
        </w:trPr>
        <w:tc>
          <w:tcPr>
            <w:shd w:val="clear" w:color="auto" w:fill="auto"/>
            <w:tcW w:w="816" w:type="dxa"/>
            <w:vAlign w:val="center"/>
            <w:textDirection w:val="lrTb"/>
            <w:noWrap w:val="false"/>
          </w:tcPr>
          <w:p>
            <w:pPr>
              <w:jc w:val="center"/>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w:t>
            </w:r>
            <w:r>
              <w:rPr>
                <w:highlight w:val="none"/>
              </w:rPr>
            </w:r>
            <w:r/>
          </w:p>
        </w:tc>
        <w:tc>
          <w:tcPr>
            <w:tcW w:w="7689" w:type="dxa"/>
            <w:textDirection w:val="lrTb"/>
            <w:noWrap w:val="false"/>
          </w:tcPr>
          <w:p>
            <w:pPr>
              <w:jc w:val="left"/>
              <w:spacing w:line="360" w:lineRule="auto"/>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2.5.3材料：06Cr19Ni10（SUS304）级不锈钢外壳，022Cr17Ni12Mo2（SUS316L）级8K镜面不锈钢内胆，具有强防腐蚀功能。（提供相关材料证明）</w:t>
            </w:r>
            <w:r>
              <w:rPr>
                <w:highlight w:val="none"/>
              </w:rPr>
            </w:r>
            <w:r/>
          </w:p>
          <w:p>
            <w:pPr>
              <w:jc w:val="left"/>
              <w:spacing w:line="360" w:lineRule="auto"/>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2.5.6喷淋系统：标配上中下旋转喷淋臂，采用扇形喷嘴和非对称设计，保证清洗的覆盖率更广；（提供腔体内装载上中下旋转喷淋臂实物图和喷淋臂细节实物图）</w:t>
            </w:r>
            <w:r>
              <w:rPr>
                <w:highlight w:val="none"/>
              </w:rPr>
            </w:r>
            <w:r/>
          </w:p>
          <w:p>
            <w:pPr>
              <w:jc w:val="left"/>
              <w:spacing w:line="360" w:lineRule="auto"/>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2.5.7</w:t>
            </w:r>
            <w:r>
              <w:rPr>
                <w:rFonts w:hint="eastAsia" w:ascii="宋体" w:hAnsi="宋体" w:cs="宋体"/>
                <w:b/>
                <w:bCs/>
                <w:i/>
                <w:iCs/>
                <w:sz w:val="24"/>
                <w:szCs w:val="24"/>
                <w:highlight w:val="none"/>
                <w:u w:val="single"/>
              </w:rPr>
              <w:t xml:space="preserve">装载篮架：设备内置4个进水口，四层导轨，实现高度任意调节，可同时放置3层篮架，篮架为模块设计，灵活搭配、任意组合使用，每层放置2个模块篮架，每次可最多放置6个模块篮架，满足更多器皿的兼容性清洗，不接受整体篮架，上、下篮架使用互不干涉；（提供相关证明材料和实物图）</w:t>
            </w:r>
            <w:r>
              <w:rPr>
                <w:highlight w:val="none"/>
              </w:rPr>
            </w:r>
            <w:r/>
          </w:p>
          <w:p>
            <w:pPr>
              <w:jc w:val="left"/>
              <w:spacing w:line="360" w:lineRule="auto"/>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2.5.8设备尺寸：内腔容积不小于300L；</w:t>
            </w:r>
            <w:r>
              <w:rPr>
                <w:highlight w:val="none"/>
              </w:rPr>
            </w:r>
            <w:r/>
          </w:p>
          <w:p>
            <w:pPr>
              <w:jc w:val="left"/>
              <w:spacing w:line="360" w:lineRule="auto"/>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2.6.3具有蒸汽冷凝功能，将干燥过程中水蒸气转换为液体排放掉，避免增加房间的湿度，同时保护电子器元件不受损坏；（提供证明材料）</w:t>
            </w:r>
            <w:r>
              <w:rPr>
                <w:highlight w:val="none"/>
              </w:rPr>
            </w:r>
            <w:r/>
          </w:p>
          <w:p>
            <w:pPr>
              <w:jc w:val="left"/>
              <w:spacing w:line="360" w:lineRule="auto"/>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2.7清洗需求：可清洗2000mL内烧杯、陶瓷坩埚、三角漏斗、称量皿、玻璃棒、100mL内单标移液管、25mL内刻度吸管、试管、500mL内三角烧瓶、1000mL内蓝盖试剂瓶、1000mL内容量瓶、100mL内比色管、4mL内色谱进样瓶、流动分析样品管、样品杯、1000mL内磨口试剂瓶、500mL内锥形瓶、200mL内蒸发皿等；（提供清洗篮架实物图）</w:t>
            </w:r>
            <w:r>
              <w:rPr>
                <w:highlight w:val="none"/>
              </w:rPr>
            </w:r>
            <w:r/>
          </w:p>
        </w:tc>
      </w:tr>
      <w:tr>
        <w:trPr>
          <w:jc w:val="center"/>
        </w:trPr>
        <w:tc>
          <w:tcPr>
            <w:shd w:val="clear" w:color="auto" w:fill="auto"/>
            <w:tcW w:w="816" w:type="dxa"/>
            <w:vAlign w:val="center"/>
            <w:textDirection w:val="lrTb"/>
            <w:noWrap w:val="false"/>
          </w:tcPr>
          <w:p>
            <w:pPr>
              <w:jc w:val="center"/>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w:t>
            </w:r>
            <w:r>
              <w:rPr>
                <w:highlight w:val="none"/>
              </w:rPr>
            </w:r>
            <w:r/>
          </w:p>
        </w:tc>
        <w:tc>
          <w:tcPr>
            <w:shd w:val="clear" w:color="auto" w:fill="auto"/>
            <w:tcW w:w="7689" w:type="dxa"/>
            <w:textDirection w:val="lrTb"/>
            <w:noWrap w:val="false"/>
          </w:tcPr>
          <w:p>
            <w:pPr>
              <w:jc w:val="left"/>
              <w:spacing w:line="360" w:lineRule="auto"/>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2.1 采用国家标准的凯氏定氮方法：浓硫酸环境消解样品、碱性环境蒸汽蒸馏、硼酸吸收、指示剂滴定终点颜色判定法；</w:t>
            </w:r>
            <w:r>
              <w:rPr>
                <w:highlight w:val="none"/>
              </w:rPr>
            </w:r>
            <w:r/>
          </w:p>
          <w:p>
            <w:pPr>
              <w:jc w:val="left"/>
              <w:spacing w:line="360" w:lineRule="auto"/>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2.7 全自动加碱加酸加稀释剂、全自动蒸馏滴定、全自动排废、全自动清洗、全自动校正、全自动消化管排空、全自动故障检测、全自动溶液液位监测、全自动超温监测、全自动计算结果、输出、打印；</w:t>
            </w:r>
            <w:r>
              <w:rPr>
                <w:highlight w:val="none"/>
              </w:rPr>
            </w:r>
            <w:r/>
          </w:p>
        </w:tc>
      </w:tr>
      <w:tr>
        <w:trPr>
          <w:jc w:val="center"/>
        </w:trPr>
        <w:tc>
          <w:tcPr>
            <w:shd w:val="clear" w:color="auto" w:fill="auto"/>
            <w:tcW w:w="816" w:type="dxa"/>
            <w:vAlign w:val="center"/>
            <w:textDirection w:val="lrTb"/>
            <w:noWrap w:val="false"/>
          </w:tcPr>
          <w:p>
            <w:pPr>
              <w:jc w:val="center"/>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w:t>
            </w:r>
            <w:r>
              <w:rPr>
                <w:highlight w:val="none"/>
              </w:rPr>
            </w:r>
            <w:r/>
          </w:p>
        </w:tc>
        <w:tc>
          <w:tcPr>
            <w:shd w:val="clear" w:color="auto" w:fill="auto"/>
            <w:tcW w:w="7689" w:type="dxa"/>
            <w:textDirection w:val="lrTb"/>
            <w:noWrap w:val="false"/>
          </w:tcPr>
          <w:p>
            <w:pPr>
              <w:jc w:val="left"/>
              <w:spacing w:line="360" w:lineRule="auto"/>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合同履行期限（交货期）：合同签订后60天内完成安装调试，达到预期效果。</w:t>
            </w:r>
            <w:r>
              <w:rPr>
                <w:highlight w:val="none"/>
              </w:rPr>
            </w:r>
            <w:r/>
          </w:p>
          <w:p>
            <w:pPr>
              <w:jc w:val="left"/>
              <w:spacing w:line="360" w:lineRule="auto"/>
              <w:rPr>
                <w:rFonts w:hint="eastAsia" w:ascii="宋体" w:hAnsi="宋体" w:eastAsia="宋体" w:cs="宋体"/>
                <w:b/>
                <w:bCs/>
                <w:i/>
                <w:iCs/>
                <w:sz w:val="24"/>
                <w:szCs w:val="24"/>
                <w:highlight w:val="none"/>
                <w:u w:val="single"/>
              </w:rPr>
            </w:pPr>
            <w:r>
              <w:rPr>
                <w:rFonts w:hint="eastAsia" w:ascii="宋体" w:hAnsi="宋体" w:cs="宋体"/>
                <w:b/>
                <w:bCs/>
                <w:i/>
                <w:iCs/>
                <w:sz w:val="24"/>
                <w:szCs w:val="24"/>
                <w:highlight w:val="none"/>
                <w:u w:val="single"/>
              </w:rPr>
              <w:t xml:space="preserve">液相色谱仪整套设备保修≥24个月，保修期外优惠收取零配件费用与上门维修服务费用（投标时提供承诺书，合同签订后7个工作日提供制造商加盖公章的质保承诺或协议，无法提供的，采购人有权单方面解除合同、扣除履约保证金、成交供应商清退出场，同时报政府采购监督管理部门）。</w:t>
            </w:r>
            <w:r>
              <w:rPr>
                <w:highlight w:val="none"/>
              </w:rPr>
            </w:r>
            <w:r/>
          </w:p>
          <w:p>
            <w:pPr>
              <w:jc w:val="left"/>
              <w:spacing w:line="360" w:lineRule="auto"/>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实验室洗瓶机提供≥36个月以上洗瓶机整机和配套纯水系统保修服务（采购人不另行付费），质保期内所有配置清洗篮架可根据实际使用情况调整更换1次（采购人不另行付费），终身维护</w:t>
            </w:r>
            <w:r>
              <w:rPr>
                <w:rFonts w:hint="eastAsia" w:ascii="宋体" w:hAnsi="宋体" w:cs="宋体"/>
                <w:b/>
                <w:bCs/>
                <w:i/>
                <w:iCs/>
                <w:sz w:val="24"/>
                <w:szCs w:val="24"/>
                <w:highlight w:val="none"/>
                <w:u w:val="single"/>
              </w:rPr>
              <w:t xml:space="preserve">。</w:t>
            </w:r>
            <w:r>
              <w:rPr>
                <w:highlight w:val="none"/>
              </w:rPr>
            </w:r>
            <w:r/>
          </w:p>
          <w:p>
            <w:pPr>
              <w:jc w:val="left"/>
              <w:spacing w:line="360" w:lineRule="auto"/>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设备安装调试经验收合格后，经审计票据齐全后一次性支付至审计金额的100%。</w:t>
            </w:r>
            <w:r>
              <w:rPr>
                <w:highlight w:val="none"/>
              </w:rPr>
            </w:r>
            <w:r/>
          </w:p>
        </w:tc>
      </w:tr>
    </w:tbl>
    <w:p>
      <w:pPr>
        <w:ind w:firstLine="480"/>
        <w:jc w:val="left"/>
        <w:spacing w:line="500" w:lineRule="exact"/>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3、本项目核心产品为：</w:t>
      </w:r>
      <w:r>
        <w:rPr>
          <w:rFonts w:hint="eastAsia" w:ascii="宋体" w:hAnsi="宋体"/>
          <w:b/>
          <w:color w:val="000000"/>
          <w:sz w:val="24"/>
          <w:highlight w:val="none"/>
          <w:u w:val="single"/>
        </w:rPr>
        <w:t xml:space="preserve"> 液相色谱仪 </w:t>
      </w:r>
      <w:r>
        <w:rPr>
          <w:rFonts w:hint="eastAsia"/>
          <w:sz w:val="24"/>
          <w:szCs w:val="24"/>
          <w:highlight w:val="none"/>
        </w:rPr>
        <w:t xml:space="preserve">。</w:t>
      </w:r>
      <w:r>
        <w:rPr>
          <w:highlight w:val="none"/>
        </w:rPr>
      </w:r>
      <w:r/>
    </w:p>
    <w:p>
      <w:pPr>
        <w:ind w:firstLine="562"/>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一、项目概况</w:t>
      </w:r>
      <w:r>
        <w:rPr>
          <w:highlight w:val="none"/>
        </w:rPr>
      </w:r>
      <w:r/>
    </w:p>
    <w:p>
      <w:pPr>
        <w:ind w:firstLine="480"/>
        <w:jc w:val="left"/>
        <w:spacing w:line="360" w:lineRule="auto"/>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连云港市疾病预防控制中心因实验室建</w:t>
      </w:r>
      <w:r>
        <w:rPr>
          <w:rFonts w:hint="eastAsia"/>
          <w:sz w:val="24"/>
          <w:szCs w:val="24"/>
          <w:highlight w:val="none"/>
        </w:rPr>
        <w:t xml:space="preserve">设与工作需求，采购</w:t>
      </w:r>
      <w:r>
        <w:rPr>
          <w:rFonts w:hint="eastAsia" w:ascii="宋体" w:hAnsi="宋体"/>
          <w:sz w:val="24"/>
          <w:szCs w:val="24"/>
          <w:highlight w:val="none"/>
        </w:rPr>
        <w:t xml:space="preserve">液相色谱仪、实验室洗瓶机、全自动凯氏定氮仪</w:t>
      </w:r>
      <w:r>
        <w:rPr>
          <w:rFonts w:hint="eastAsia" w:ascii="宋体" w:hAnsi="宋体" w:cs="宋体"/>
          <w:color w:val="000000"/>
          <w:sz w:val="24"/>
          <w:szCs w:val="24"/>
          <w:highlight w:val="none"/>
          <w:lang w:bidi="ar"/>
        </w:rPr>
        <w:t xml:space="preserve">。</w:t>
      </w:r>
      <w:r>
        <w:rPr>
          <w:highlight w:val="none"/>
        </w:rPr>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二、货物（标的）采购清单</w:t>
      </w:r>
      <w:r>
        <w:rPr>
          <w:highlight w:val="none"/>
        </w:rPr>
      </w:r>
      <w:r/>
    </w:p>
    <w:tbl>
      <w:tblPr>
        <w:tblStyle w:val="734"/>
        <w:tblW w:w="498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5"/>
        <w:gridCol w:w="3559"/>
        <w:gridCol w:w="1250"/>
        <w:gridCol w:w="1657"/>
        <w:gridCol w:w="2477"/>
      </w:tblGrid>
      <w:tr>
        <w:trPr>
          <w:jc w:val="center"/>
        </w:trPr>
        <w:tc>
          <w:tcPr>
            <w:tcW w:w="885" w:type="dxa"/>
            <w:vAlign w:val="center"/>
            <w:textDirection w:val="lrTb"/>
            <w:noWrap w:val="false"/>
          </w:tcPr>
          <w:p>
            <w:pPr>
              <w:jc w:val="center"/>
              <w:spacing w:line="360" w:lineRule="auto"/>
              <w:widowControl/>
              <w:rPr>
                <w:rFonts w:ascii="宋体" w:hAnsi="宋体" w:cs="Helvetica"/>
                <w:sz w:val="24"/>
                <w:szCs w:val="32"/>
                <w:highlight w:val="none"/>
              </w:rPr>
              <w:pBdr>
                <w:top w:val="none" w:color="auto" w:sz="0" w:space="1"/>
                <w:left w:val="none" w:color="auto" w:sz="0" w:space="4"/>
                <w:bottom w:val="none" w:color="auto" w:sz="0" w:space="1"/>
                <w:right w:val="none" w:color="auto" w:sz="0" w:space="4"/>
              </w:pBdr>
            </w:pPr>
            <w:r>
              <w:rPr>
                <w:highlight w:val="none"/>
              </w:rPr>
            </w:r>
            <w:bookmarkStart w:id="9" w:name="_Toc139967216"/>
            <w:r>
              <w:rPr>
                <w:highlight w:val="none"/>
              </w:rPr>
            </w:r>
            <w:bookmarkStart w:id="10" w:name="_Toc139966432"/>
            <w:r>
              <w:rPr>
                <w:rFonts w:hint="eastAsia" w:ascii="宋体" w:hAnsi="宋体" w:cs="Helvetica"/>
                <w:sz w:val="24"/>
                <w:szCs w:val="32"/>
                <w:highlight w:val="none"/>
              </w:rPr>
              <w:t xml:space="preserve">序号</w:t>
            </w:r>
            <w:r>
              <w:rPr>
                <w:highlight w:val="none"/>
              </w:rPr>
            </w:r>
            <w:r/>
          </w:p>
        </w:tc>
        <w:tc>
          <w:tcPr>
            <w:tcW w:w="3560" w:type="dxa"/>
            <w:vAlign w:val="center"/>
            <w:textDirection w:val="lrTb"/>
            <w:noWrap w:val="false"/>
          </w:tcPr>
          <w:p>
            <w:pPr>
              <w:jc w:val="center"/>
              <w:spacing w:line="360" w:lineRule="auto"/>
              <w:widowControl/>
              <w:rPr>
                <w:rFonts w:ascii="宋体" w:hAnsi="宋体" w:cs="Helvetica"/>
                <w:sz w:val="24"/>
                <w:szCs w:val="32"/>
                <w:highlight w:val="none"/>
              </w:rPr>
              <w:pBdr>
                <w:top w:val="none" w:color="auto" w:sz="0" w:space="1"/>
                <w:left w:val="none" w:color="auto" w:sz="0" w:space="4"/>
                <w:bottom w:val="none" w:color="auto" w:sz="0" w:space="1"/>
                <w:right w:val="none" w:color="auto" w:sz="0" w:space="4"/>
              </w:pBdr>
            </w:pPr>
            <w:r>
              <w:rPr>
                <w:rFonts w:hint="eastAsia" w:ascii="宋体" w:hAnsi="宋体" w:cs="Helvetica"/>
                <w:sz w:val="24"/>
                <w:szCs w:val="32"/>
                <w:highlight w:val="none"/>
              </w:rPr>
              <w:t xml:space="preserve">货物（标的）名称</w:t>
            </w:r>
            <w:r>
              <w:rPr>
                <w:highlight w:val="none"/>
              </w:rPr>
            </w:r>
            <w:r/>
          </w:p>
        </w:tc>
        <w:tc>
          <w:tcPr>
            <w:tcW w:w="1250" w:type="dxa"/>
            <w:vAlign w:val="center"/>
            <w:textDirection w:val="lrTb"/>
            <w:noWrap w:val="false"/>
          </w:tcPr>
          <w:p>
            <w:pPr>
              <w:jc w:val="center"/>
              <w:spacing w:line="360" w:lineRule="auto"/>
              <w:widowControl/>
              <w:rPr>
                <w:rFonts w:ascii="宋体" w:hAnsi="Times New Roman"/>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highlight w:val="none"/>
              </w:rPr>
              <w:t xml:space="preserve">数量</w:t>
            </w:r>
            <w:r>
              <w:rPr>
                <w:highlight w:val="none"/>
              </w:rPr>
            </w:r>
            <w:r/>
          </w:p>
        </w:tc>
        <w:tc>
          <w:tcPr>
            <w:tcW w:w="1657" w:type="dxa"/>
            <w:vAlign w:val="center"/>
            <w:textDirection w:val="lrTb"/>
            <w:noWrap w:val="false"/>
          </w:tcPr>
          <w:p>
            <w:pPr>
              <w:jc w:val="center"/>
              <w:spacing w:line="360" w:lineRule="auto"/>
              <w:widowControl/>
              <w:rPr>
                <w:rFonts w:ascii="Times New Roman" w:hAnsi="Times New Roman"/>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highlight w:val="none"/>
              </w:rPr>
              <w:t xml:space="preserve">单位</w:t>
            </w:r>
            <w:r>
              <w:rPr>
                <w:highlight w:val="none"/>
              </w:rPr>
            </w:r>
            <w:r/>
          </w:p>
        </w:tc>
        <w:tc>
          <w:tcPr>
            <w:tcW w:w="2478" w:type="dxa"/>
            <w:vAlign w:val="center"/>
            <w:textDirection w:val="lrTb"/>
            <w:noWrap w:val="false"/>
          </w:tcPr>
          <w:p>
            <w:pPr>
              <w:jc w:val="center"/>
              <w:widowControl/>
              <w:rPr>
                <w:rFonts w:ascii="Times New Roman" w:hAnsi="Times New Roman"/>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highlight w:val="none"/>
              </w:rPr>
              <w:t xml:space="preserve">中小企业划分标准所属行业</w:t>
            </w:r>
            <w:r>
              <w:rPr>
                <w:highlight w:val="none"/>
              </w:rPr>
            </w:r>
            <w:r/>
          </w:p>
        </w:tc>
      </w:tr>
      <w:tr>
        <w:trPr>
          <w:jc w:val="center"/>
          <w:trHeight w:val="567"/>
        </w:trPr>
        <w:tc>
          <w:tcPr>
            <w:tcW w:w="885" w:type="dxa"/>
            <w:vAlign w:val="center"/>
            <w:textDirection w:val="lrTb"/>
            <w:noWrap w:val="false"/>
          </w:tcPr>
          <w:p>
            <w:pPr>
              <w:jc w:val="center"/>
              <w:widowControl/>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1</w:t>
            </w:r>
            <w:r>
              <w:rPr>
                <w:highlight w:val="none"/>
              </w:rPr>
            </w:r>
            <w:r/>
          </w:p>
        </w:tc>
        <w:tc>
          <w:tcPr>
            <w:shd w:val="clear" w:color="auto" w:fill="auto"/>
            <w:tcW w:w="3560" w:type="dxa"/>
            <w:vAlign w:val="center"/>
            <w:textDirection w:val="lrTb"/>
            <w:noWrap w:val="false"/>
          </w:tcPr>
          <w:p>
            <w:pPr>
              <w:jc w:val="center"/>
              <w:widowControl/>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液相色谱仪</w:t>
            </w:r>
            <w:r>
              <w:rPr>
                <w:highlight w:val="none"/>
              </w:rPr>
            </w:r>
            <w:r/>
          </w:p>
        </w:tc>
        <w:tc>
          <w:tcPr>
            <w:tcW w:w="1250" w:type="dxa"/>
            <w:vAlign w:val="center"/>
            <w:textDirection w:val="lrTb"/>
            <w:noWrap w:val="false"/>
          </w:tcPr>
          <w:p>
            <w:pPr>
              <w:jc w:val="center"/>
              <w:widowControl/>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1</w:t>
            </w:r>
            <w:r>
              <w:rPr>
                <w:highlight w:val="none"/>
              </w:rPr>
            </w:r>
            <w:r/>
          </w:p>
        </w:tc>
        <w:tc>
          <w:tcPr>
            <w:tcW w:w="1657" w:type="dxa"/>
            <w:vAlign w:val="center"/>
            <w:textDirection w:val="lrTb"/>
            <w:noWrap w:val="false"/>
          </w:tcPr>
          <w:p>
            <w:pPr>
              <w:jc w:val="center"/>
              <w:widowControl/>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台</w:t>
            </w:r>
            <w:r>
              <w:rPr>
                <w:highlight w:val="none"/>
              </w:rPr>
            </w:r>
            <w:r/>
          </w:p>
        </w:tc>
        <w:tc>
          <w:tcPr>
            <w:tcW w:w="2478" w:type="dxa"/>
            <w:vAlign w:val="center"/>
            <w:textDirection w:val="lrTb"/>
            <w:noWrap w:val="false"/>
          </w:tcPr>
          <w:p>
            <w:pPr>
              <w:jc w:val="center"/>
              <w:widowControl/>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工业</w:t>
            </w:r>
            <w:r>
              <w:rPr>
                <w:highlight w:val="none"/>
              </w:rPr>
            </w:r>
            <w:r/>
          </w:p>
        </w:tc>
      </w:tr>
      <w:tr>
        <w:trPr>
          <w:jc w:val="center"/>
          <w:trHeight w:val="567"/>
        </w:trPr>
        <w:tc>
          <w:tcPr>
            <w:tcW w:w="885" w:type="dxa"/>
            <w:vAlign w:val="center"/>
            <w:textDirection w:val="lrTb"/>
            <w:noWrap w:val="false"/>
          </w:tcPr>
          <w:p>
            <w:pPr>
              <w:jc w:val="center"/>
              <w:widowControl/>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2</w:t>
            </w:r>
            <w:r>
              <w:rPr>
                <w:highlight w:val="none"/>
              </w:rPr>
            </w:r>
            <w:r/>
          </w:p>
        </w:tc>
        <w:tc>
          <w:tcPr>
            <w:shd w:val="clear" w:color="auto" w:fill="auto"/>
            <w:tcW w:w="3560" w:type="dxa"/>
            <w:vAlign w:val="center"/>
            <w:textDirection w:val="lrTb"/>
            <w:noWrap w:val="false"/>
          </w:tcPr>
          <w:p>
            <w:pPr>
              <w:jc w:val="center"/>
              <w:widowControl/>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实验室洗瓶机</w:t>
            </w:r>
            <w:r>
              <w:rPr>
                <w:highlight w:val="none"/>
              </w:rPr>
            </w:r>
            <w:r/>
          </w:p>
        </w:tc>
        <w:tc>
          <w:tcPr>
            <w:tcW w:w="1250" w:type="dxa"/>
            <w:vAlign w:val="center"/>
            <w:textDirection w:val="lrTb"/>
            <w:noWrap w:val="false"/>
          </w:tcPr>
          <w:p>
            <w:pPr>
              <w:jc w:val="center"/>
              <w:widowControl/>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2</w:t>
            </w:r>
            <w:r>
              <w:rPr>
                <w:highlight w:val="none"/>
              </w:rPr>
            </w:r>
            <w:r/>
          </w:p>
        </w:tc>
        <w:tc>
          <w:tcPr>
            <w:tcW w:w="1657" w:type="dxa"/>
            <w:vAlign w:val="center"/>
            <w:textDirection w:val="lrTb"/>
            <w:noWrap w:val="false"/>
          </w:tcPr>
          <w:p>
            <w:pPr>
              <w:jc w:val="center"/>
              <w:widowControl/>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台</w:t>
            </w:r>
            <w:r>
              <w:rPr>
                <w:highlight w:val="none"/>
              </w:rPr>
            </w:r>
            <w:r/>
          </w:p>
        </w:tc>
        <w:tc>
          <w:tcPr>
            <w:tcW w:w="2478" w:type="dxa"/>
            <w:vAlign w:val="center"/>
            <w:textDirection w:val="lrTb"/>
            <w:noWrap w:val="false"/>
          </w:tcPr>
          <w:p>
            <w:pPr>
              <w:jc w:val="center"/>
              <w:widowControl/>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工业</w:t>
            </w:r>
            <w:r>
              <w:rPr>
                <w:highlight w:val="none"/>
              </w:rPr>
            </w:r>
            <w:r/>
          </w:p>
        </w:tc>
      </w:tr>
      <w:tr>
        <w:trPr>
          <w:jc w:val="center"/>
          <w:trHeight w:val="567"/>
        </w:trPr>
        <w:tc>
          <w:tcPr>
            <w:tcW w:w="885" w:type="dxa"/>
            <w:vAlign w:val="center"/>
            <w:textDirection w:val="lrTb"/>
            <w:noWrap w:val="false"/>
          </w:tcPr>
          <w:p>
            <w:pPr>
              <w:jc w:val="center"/>
              <w:widowControl/>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3</w:t>
            </w:r>
            <w:r>
              <w:rPr>
                <w:highlight w:val="none"/>
              </w:rPr>
            </w:r>
            <w:r/>
          </w:p>
        </w:tc>
        <w:tc>
          <w:tcPr>
            <w:shd w:val="clear" w:color="auto" w:fill="auto"/>
            <w:tcW w:w="3560" w:type="dxa"/>
            <w:vAlign w:val="center"/>
            <w:textDirection w:val="lrTb"/>
            <w:noWrap w:val="false"/>
          </w:tcPr>
          <w:p>
            <w:pPr>
              <w:jc w:val="center"/>
              <w:widowControl/>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全自动凯氏定氮仪</w:t>
            </w:r>
            <w:r>
              <w:rPr>
                <w:highlight w:val="none"/>
              </w:rPr>
            </w:r>
            <w:r/>
          </w:p>
        </w:tc>
        <w:tc>
          <w:tcPr>
            <w:tcW w:w="1250" w:type="dxa"/>
            <w:vAlign w:val="center"/>
            <w:textDirection w:val="lrTb"/>
            <w:noWrap w:val="false"/>
          </w:tcPr>
          <w:p>
            <w:pPr>
              <w:jc w:val="center"/>
              <w:widowControl/>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1</w:t>
            </w:r>
            <w:r>
              <w:rPr>
                <w:highlight w:val="none"/>
              </w:rPr>
            </w:r>
            <w:r/>
          </w:p>
        </w:tc>
        <w:tc>
          <w:tcPr>
            <w:tcW w:w="1657" w:type="dxa"/>
            <w:vAlign w:val="center"/>
            <w:textDirection w:val="lrTb"/>
            <w:noWrap w:val="false"/>
          </w:tcPr>
          <w:p>
            <w:pPr>
              <w:jc w:val="center"/>
              <w:widowControl/>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台</w:t>
            </w:r>
            <w:r>
              <w:rPr>
                <w:highlight w:val="none"/>
              </w:rPr>
            </w:r>
            <w:r/>
          </w:p>
        </w:tc>
        <w:tc>
          <w:tcPr>
            <w:tcW w:w="2478" w:type="dxa"/>
            <w:vAlign w:val="center"/>
            <w:textDirection w:val="lrTb"/>
            <w:noWrap w:val="false"/>
          </w:tcPr>
          <w:p>
            <w:pPr>
              <w:jc w:val="center"/>
              <w:widowControl/>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工业</w:t>
            </w:r>
            <w:r>
              <w:rPr>
                <w:highlight w:val="none"/>
              </w:rPr>
            </w:r>
            <w:r/>
          </w:p>
        </w:tc>
      </w:tr>
    </w:tbl>
    <w:p>
      <w:pPr>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ascii="Times New Roman" w:hAnsi="Times New Roman"/>
          <w:b/>
          <w:sz w:val="28"/>
          <w:szCs w:val="28"/>
          <w:highlight w:val="none"/>
        </w:rPr>
      </w:r>
      <w:r>
        <w:rPr>
          <w:highlight w:val="none"/>
        </w:rPr>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三、货物（标的）技术参数及功能指标</w:t>
      </w:r>
      <w:r>
        <w:rPr>
          <w:highlight w:val="none"/>
        </w:rPr>
      </w:r>
      <w:r/>
    </w:p>
    <w:tbl>
      <w:tblPr>
        <w:tblStyle w:val="73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2160"/>
        <w:gridCol w:w="6994"/>
      </w:tblGrid>
      <w:tr>
        <w:trPr>
          <w:jc w:val="center"/>
        </w:trPr>
        <w:tc>
          <w:tcPr>
            <w:shd w:val="clear" w:color="auto" w:fill="auto"/>
            <w:tcW w:w="355" w:type="pct"/>
            <w:vAlign w:val="center"/>
            <w:textDirection w:val="lrTb"/>
            <w:noWrap w:val="false"/>
          </w:tcPr>
          <w:p>
            <w:pPr>
              <w:jc w:val="center"/>
              <w:spacing w:line="360" w:lineRule="auto"/>
              <w:widowControl/>
              <w:rPr>
                <w:rFonts w:ascii="宋体" w:hAnsi="宋体" w:cs="Helvetica"/>
                <w:sz w:val="24"/>
                <w:szCs w:val="32"/>
                <w:highlight w:val="none"/>
              </w:rPr>
              <w:pBdr>
                <w:top w:val="none" w:color="auto" w:sz="0" w:space="1"/>
                <w:left w:val="none" w:color="auto" w:sz="0" w:space="4"/>
                <w:bottom w:val="none" w:color="auto" w:sz="0" w:space="1"/>
                <w:right w:val="none" w:color="auto" w:sz="0" w:space="4"/>
              </w:pBdr>
            </w:pPr>
            <w:r>
              <w:rPr>
                <w:rFonts w:hint="eastAsia" w:ascii="宋体" w:hAnsi="宋体" w:cs="Helvetica"/>
                <w:sz w:val="24"/>
                <w:szCs w:val="32"/>
                <w:highlight w:val="none"/>
              </w:rPr>
              <w:t xml:space="preserve">序号</w:t>
            </w:r>
            <w:r>
              <w:rPr>
                <w:highlight w:val="none"/>
              </w:rPr>
            </w:r>
            <w:r/>
          </w:p>
        </w:tc>
        <w:tc>
          <w:tcPr>
            <w:shd w:val="clear" w:color="auto" w:fill="auto"/>
            <w:tcW w:w="1096" w:type="pct"/>
            <w:vAlign w:val="center"/>
            <w:textDirection w:val="lrTb"/>
            <w:noWrap w:val="false"/>
          </w:tcPr>
          <w:p>
            <w:pPr>
              <w:jc w:val="center"/>
              <w:spacing w:line="360" w:lineRule="auto"/>
              <w:widowControl/>
              <w:rPr>
                <w:rFonts w:ascii="宋体" w:hAnsi="宋体" w:cs="Helvetica"/>
                <w:sz w:val="24"/>
                <w:szCs w:val="32"/>
                <w:highlight w:val="none"/>
              </w:rPr>
              <w:pBdr>
                <w:top w:val="none" w:color="auto" w:sz="0" w:space="1"/>
                <w:left w:val="none" w:color="auto" w:sz="0" w:space="4"/>
                <w:bottom w:val="none" w:color="auto" w:sz="0" w:space="1"/>
                <w:right w:val="none" w:color="auto" w:sz="0" w:space="4"/>
              </w:pBdr>
            </w:pPr>
            <w:r>
              <w:rPr>
                <w:rFonts w:hint="eastAsia" w:ascii="宋体" w:hAnsi="宋体" w:cs="Helvetica"/>
                <w:sz w:val="24"/>
                <w:szCs w:val="32"/>
                <w:highlight w:val="none"/>
              </w:rPr>
              <w:t xml:space="preserve">货物（标的）名称</w:t>
            </w:r>
            <w:r>
              <w:rPr>
                <w:highlight w:val="none"/>
              </w:rPr>
            </w:r>
            <w:r/>
          </w:p>
        </w:tc>
        <w:tc>
          <w:tcPr>
            <w:shd w:val="clear" w:color="auto" w:fill="auto"/>
            <w:tcW w:w="3548" w:type="pct"/>
            <w:vAlign w:val="center"/>
            <w:textDirection w:val="lrTb"/>
            <w:noWrap w:val="false"/>
          </w:tcPr>
          <w:p>
            <w:pPr>
              <w:jc w:val="center"/>
              <w:spacing w:line="360" w:lineRule="auto"/>
              <w:widowControl/>
              <w:rPr>
                <w:rFonts w:ascii="宋体" w:hAnsi="宋体" w:cs="Helvetica"/>
                <w:sz w:val="24"/>
                <w:szCs w:val="32"/>
                <w:highlight w:val="none"/>
              </w:rPr>
              <w:pBdr>
                <w:top w:val="none" w:color="auto" w:sz="0" w:space="1"/>
                <w:left w:val="none" w:color="auto" w:sz="0" w:space="4"/>
                <w:bottom w:val="none" w:color="auto" w:sz="0" w:space="1"/>
                <w:right w:val="none" w:color="auto" w:sz="0" w:space="4"/>
              </w:pBdr>
            </w:pPr>
            <w:r>
              <w:rPr>
                <w:rFonts w:hint="eastAsia" w:ascii="宋体" w:hAnsi="宋体" w:cs="Helvetica"/>
                <w:sz w:val="24"/>
                <w:szCs w:val="32"/>
                <w:highlight w:val="none"/>
              </w:rPr>
              <w:t xml:space="preserve">技术参数及功能指标</w:t>
            </w:r>
            <w:r>
              <w:rPr>
                <w:highlight w:val="none"/>
              </w:rPr>
            </w:r>
            <w:r/>
          </w:p>
        </w:tc>
      </w:tr>
      <w:tr>
        <w:trPr>
          <w:jc w:val="center"/>
        </w:trPr>
        <w:tc>
          <w:tcPr>
            <w:shd w:val="clear" w:color="auto" w:fill="auto"/>
            <w:tcW w:w="355" w:type="pct"/>
            <w:vAlign w:val="center"/>
            <w:textDirection w:val="lrTb"/>
            <w:noWrap w:val="false"/>
          </w:tcPr>
          <w:p>
            <w:pPr>
              <w:jc w:val="center"/>
              <w:spacing w:line="360" w:lineRule="auto"/>
              <w:widowControl/>
              <w:rPr>
                <w:rFonts w:ascii="宋体" w:hAnsi="宋体" w:cs="Helvetica"/>
                <w:sz w:val="24"/>
                <w:szCs w:val="32"/>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rPr>
              <w:t xml:space="preserve">1</w:t>
            </w:r>
            <w:r>
              <w:rPr>
                <w:highlight w:val="none"/>
              </w:rPr>
            </w:r>
            <w:r/>
          </w:p>
        </w:tc>
        <w:tc>
          <w:tcPr>
            <w:shd w:val="clear" w:color="auto" w:fill="auto"/>
            <w:tcW w:w="1096" w:type="pct"/>
            <w:vAlign w:val="center"/>
            <w:textDirection w:val="lrTb"/>
            <w:noWrap w:val="false"/>
          </w:tcPr>
          <w:p>
            <w:pPr>
              <w:jc w:val="center"/>
              <w:spacing w:line="360" w:lineRule="auto"/>
              <w:widowControl/>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液相色谱仪</w:t>
            </w:r>
            <w:r>
              <w:rPr>
                <w:highlight w:val="none"/>
              </w:rPr>
            </w:r>
            <w:r/>
          </w:p>
        </w:tc>
        <w:tc>
          <w:tcPr>
            <w:shd w:val="clear" w:color="auto" w:fill="auto"/>
            <w:tcW w:w="3548" w:type="pct"/>
            <w:vAlign w:val="center"/>
            <w:textDirection w:val="lrTb"/>
            <w:noWrap w:val="false"/>
          </w:tcPr>
          <w:p>
            <w:pPr>
              <w:spacing w:line="360" w:lineRule="auto"/>
              <w:tabs>
                <w:tab w:val="left" w:pos="851" w:leader="none"/>
              </w:tabs>
              <w:rPr>
                <w:rFonts w:ascii="宋体" w:hAnsi="宋体"/>
                <w:color w:val="0d0d0d"/>
                <w:sz w:val="24"/>
                <w:szCs w:val="24"/>
                <w:highlight w:val="none"/>
              </w:rPr>
            </w:pPr>
            <w:r>
              <w:rPr>
                <w:rFonts w:hint="eastAsia" w:ascii="宋体" w:hAnsi="宋体"/>
                <w:color w:val="0d0d0d"/>
                <w:sz w:val="24"/>
                <w:szCs w:val="24"/>
                <w:highlight w:val="none"/>
              </w:rPr>
              <w:t xml:space="preserve">1工作条件</w:t>
            </w:r>
            <w:r>
              <w:rPr>
                <w:highlight w:val="none"/>
              </w:rPr>
            </w:r>
            <w:r/>
          </w:p>
          <w:p>
            <w:pPr>
              <w:spacing w:line="360" w:lineRule="auto"/>
              <w:tabs>
                <w:tab w:val="left" w:pos="851" w:leader="none"/>
              </w:tabs>
              <w:rPr>
                <w:rFonts w:ascii="宋体" w:hAnsi="宋体"/>
                <w:color w:val="0d0d0d"/>
                <w:sz w:val="24"/>
                <w:szCs w:val="24"/>
                <w:highlight w:val="none"/>
              </w:rPr>
            </w:pPr>
            <w:r>
              <w:rPr>
                <w:rFonts w:hint="eastAsia" w:ascii="宋体" w:hAnsi="宋体"/>
                <w:color w:val="0d0d0d"/>
                <w:sz w:val="24"/>
                <w:szCs w:val="24"/>
                <w:highlight w:val="none"/>
              </w:rPr>
              <w:t xml:space="preserve">1.1 电源：220V，50Hz电源；</w:t>
            </w:r>
            <w:r>
              <w:rPr>
                <w:highlight w:val="none"/>
              </w:rPr>
            </w:r>
            <w:r/>
          </w:p>
          <w:p>
            <w:pPr>
              <w:spacing w:line="360" w:lineRule="auto"/>
              <w:tabs>
                <w:tab w:val="left" w:pos="851" w:leader="none"/>
              </w:tabs>
              <w:rPr>
                <w:rFonts w:ascii="宋体" w:hAnsi="宋体"/>
                <w:color w:val="0d0d0d"/>
                <w:sz w:val="24"/>
                <w:szCs w:val="24"/>
                <w:highlight w:val="none"/>
              </w:rPr>
            </w:pPr>
            <w:r>
              <w:rPr>
                <w:rFonts w:hint="eastAsia" w:ascii="宋体" w:hAnsi="宋体"/>
                <w:color w:val="0d0d0d"/>
                <w:sz w:val="24"/>
                <w:szCs w:val="24"/>
                <w:highlight w:val="none"/>
              </w:rPr>
              <w:t xml:space="preserve">1.2 环境温度：4-55</w:t>
            </w:r>
            <w:r>
              <w:rPr>
                <w:rFonts w:hint="eastAsia" w:ascii="微软雅黑" w:hAnsi="微软雅黑" w:eastAsia="微软雅黑" w:cs="微软雅黑"/>
                <w:color w:val="0d0d0d"/>
                <w:sz w:val="24"/>
                <w:szCs w:val="24"/>
                <w:highlight w:val="none"/>
              </w:rPr>
              <w:t xml:space="preserve">˚</w:t>
            </w:r>
            <w:r>
              <w:rPr>
                <w:rFonts w:hint="eastAsia" w:ascii="宋体" w:hAnsi="宋体"/>
                <w:color w:val="0d0d0d"/>
                <w:sz w:val="24"/>
                <w:szCs w:val="24"/>
                <w:highlight w:val="none"/>
              </w:rPr>
              <w:t xml:space="preserve">C；</w:t>
            </w:r>
            <w:r>
              <w:rPr>
                <w:highlight w:val="none"/>
              </w:rPr>
            </w:r>
            <w:r/>
          </w:p>
          <w:p>
            <w:pPr>
              <w:spacing w:line="360" w:lineRule="auto"/>
              <w:tabs>
                <w:tab w:val="left" w:pos="851" w:leader="none"/>
              </w:tabs>
              <w:rPr>
                <w:rFonts w:ascii="宋体" w:hAnsi="宋体"/>
                <w:color w:val="0d0d0d"/>
                <w:sz w:val="24"/>
                <w:szCs w:val="24"/>
                <w:highlight w:val="none"/>
              </w:rPr>
            </w:pPr>
            <w:r>
              <w:rPr>
                <w:rFonts w:hint="eastAsia" w:ascii="宋体" w:hAnsi="宋体"/>
                <w:color w:val="0d0d0d"/>
                <w:sz w:val="24"/>
                <w:szCs w:val="24"/>
                <w:highlight w:val="none"/>
              </w:rPr>
              <w:t xml:space="preserve">1.3 环境湿度：</w:t>
            </w:r>
            <w:r>
              <w:rPr>
                <w:rFonts w:ascii="宋体" w:hAnsi="宋体"/>
                <w:color w:val="0d0d0d"/>
                <w:sz w:val="24"/>
                <w:szCs w:val="24"/>
                <w:highlight w:val="none"/>
              </w:rPr>
              <w:t xml:space="preserve">&lt;</w:t>
            </w:r>
            <w:r>
              <w:rPr>
                <w:rFonts w:hint="eastAsia" w:ascii="宋体" w:hAnsi="宋体"/>
                <w:color w:val="0d0d0d"/>
                <w:sz w:val="24"/>
                <w:szCs w:val="24"/>
                <w:highlight w:val="none"/>
              </w:rPr>
              <w:t xml:space="preserve">95%；</w:t>
            </w:r>
            <w:r>
              <w:rPr>
                <w:highlight w:val="none"/>
              </w:rPr>
            </w:r>
            <w:r/>
          </w:p>
          <w:p>
            <w:pPr>
              <w:spacing w:line="360" w:lineRule="auto"/>
              <w:tabs>
                <w:tab w:val="left" w:pos="851" w:leader="none"/>
              </w:tabs>
              <w:rPr>
                <w:rFonts w:ascii="宋体" w:hAnsi="宋体"/>
                <w:color w:val="0d0d0d"/>
                <w:sz w:val="24"/>
                <w:szCs w:val="24"/>
                <w:highlight w:val="none"/>
              </w:rPr>
            </w:pPr>
            <w:r>
              <w:rPr>
                <w:rFonts w:hint="eastAsia" w:ascii="宋体" w:hAnsi="宋体"/>
                <w:color w:val="0d0d0d"/>
                <w:sz w:val="24"/>
                <w:szCs w:val="24"/>
                <w:highlight w:val="none"/>
              </w:rPr>
              <w:t xml:space="preserve">2技术性能</w:t>
            </w:r>
            <w:r>
              <w:rPr>
                <w:highlight w:val="none"/>
              </w:rPr>
            </w:r>
            <w:r/>
          </w:p>
          <w:p>
            <w:pPr>
              <w:spacing w:line="360" w:lineRule="auto"/>
              <w:tabs>
                <w:tab w:val="left" w:pos="851" w:leader="none"/>
              </w:tabs>
              <w:rPr>
                <w:rFonts w:ascii="宋体" w:hAnsi="宋体"/>
                <w:color w:val="0d0d0d"/>
                <w:sz w:val="24"/>
                <w:szCs w:val="24"/>
                <w:highlight w:val="none"/>
              </w:rPr>
            </w:pPr>
            <w:r>
              <w:rPr>
                <w:rFonts w:hint="eastAsia" w:ascii="宋体" w:hAnsi="宋体"/>
                <w:color w:val="0d0d0d"/>
                <w:sz w:val="24"/>
                <w:szCs w:val="24"/>
                <w:highlight w:val="none"/>
              </w:rPr>
              <w:t xml:space="preserve">液相色谱仪采用积木组合结构，组合方便，配套性强，全套方案由二元梯度泵、自动进样器、二极管检测器、荧光检测器，液相色谱工作站系统组成；</w:t>
            </w:r>
            <w:r>
              <w:rPr>
                <w:highlight w:val="none"/>
              </w:rPr>
            </w:r>
            <w:r/>
          </w:p>
          <w:p>
            <w:pPr>
              <w:spacing w:line="360" w:lineRule="auto"/>
              <w:tabs>
                <w:tab w:val="left" w:pos="851" w:leader="none"/>
              </w:tabs>
              <w:rPr>
                <w:rFonts w:ascii="宋体" w:hAnsi="宋体"/>
                <w:sz w:val="24"/>
                <w:szCs w:val="24"/>
                <w:highlight w:val="none"/>
              </w:rPr>
            </w:pPr>
            <w:r>
              <w:rPr>
                <w:rFonts w:hint="eastAsia" w:ascii="宋体" w:hAnsi="宋体"/>
                <w:sz w:val="24"/>
                <w:szCs w:val="24"/>
                <w:highlight w:val="none"/>
              </w:rPr>
              <w:t xml:space="preserve">2.1 二元梯度泵</w:t>
            </w:r>
            <w:r>
              <w:rPr>
                <w:highlight w:val="none"/>
              </w:rPr>
            </w:r>
            <w:r/>
          </w:p>
          <w:p>
            <w:pPr>
              <w:spacing w:line="360" w:lineRule="auto"/>
              <w:rPr>
                <w:rFonts w:ascii="宋体" w:hAnsi="宋体"/>
                <w:sz w:val="24"/>
                <w:szCs w:val="24"/>
                <w:highlight w:val="none"/>
              </w:rPr>
            </w:pPr>
            <w:r>
              <w:rPr>
                <w:rFonts w:hint="eastAsia" w:ascii="宋体" w:hAnsi="宋体"/>
                <w:sz w:val="24"/>
                <w:szCs w:val="24"/>
                <w:highlight w:val="none"/>
              </w:rPr>
              <w:t xml:space="preserve">2.1.1泵设计：串联式双柱塞往复泵，泵传动采用齿轮传动，非皮带传动，保证泵的可靠性</w:t>
            </w:r>
            <w:r>
              <w:rPr>
                <w:highlight w:val="none"/>
              </w:rPr>
            </w:r>
            <w:r/>
          </w:p>
          <w:p>
            <w:pPr>
              <w:spacing w:line="360" w:lineRule="auto"/>
              <w:tabs>
                <w:tab w:val="left" w:pos="851" w:leader="none"/>
              </w:tabs>
              <w:rPr>
                <w:rFonts w:ascii="宋体" w:hAnsi="宋体"/>
                <w:b/>
                <w:bCs/>
                <w:sz w:val="24"/>
                <w:szCs w:val="24"/>
                <w:highlight w:val="none"/>
              </w:rPr>
            </w:pPr>
            <w:r>
              <w:rPr>
                <w:rFonts w:ascii="仿宋" w:hAnsi="仿宋" w:eastAsia="仿宋" w:cs="仿宋"/>
                <w:sz w:val="24"/>
                <w:szCs w:val="24"/>
                <w:highlight w:val="none"/>
              </w:rPr>
              <w:t xml:space="preserve">▲</w:t>
            </w:r>
            <w:r>
              <w:rPr>
                <w:rFonts w:ascii="宋体" w:hAnsi="宋体"/>
                <w:sz w:val="24"/>
                <w:szCs w:val="24"/>
                <w:highlight w:val="none"/>
              </w:rPr>
              <w:t xml:space="preserve">2.</w:t>
            </w:r>
            <w:r>
              <w:rPr>
                <w:rFonts w:hint="eastAsia" w:ascii="宋体" w:hAnsi="宋体"/>
                <w:sz w:val="24"/>
                <w:szCs w:val="24"/>
                <w:highlight w:val="none"/>
              </w:rPr>
              <w:t xml:space="preserve">1.2</w:t>
            </w:r>
            <w:r>
              <w:rPr>
                <w:rFonts w:ascii="宋体" w:hAnsi="宋体"/>
                <w:sz w:val="24"/>
                <w:szCs w:val="24"/>
                <w:highlight w:val="none"/>
              </w:rPr>
              <w:t xml:space="preserve"> 冲程范围：</w:t>
            </w:r>
            <w:r>
              <w:rPr>
                <w:rFonts w:hint="eastAsia" w:ascii="宋体" w:hAnsi="宋体"/>
                <w:sz w:val="24"/>
                <w:szCs w:val="24"/>
                <w:highlight w:val="none"/>
              </w:rPr>
              <w:t xml:space="preserve">自动连续可变冲程，最小冲程可至20μL以减小流动相输出的压力波动；最大冲程可至100μL，以减少柱塞杆密封垫磨损；</w:t>
            </w:r>
            <w:r>
              <w:rPr>
                <w:rFonts w:hint="eastAsia" w:ascii="宋体" w:hAnsi="宋体"/>
                <w:b/>
                <w:bCs/>
                <w:sz w:val="24"/>
                <w:szCs w:val="24"/>
                <w:highlight w:val="none"/>
              </w:rPr>
              <w:t xml:space="preserve">(提供软件截图作为证明材料）</w:t>
            </w:r>
            <w:r>
              <w:rPr>
                <w:highlight w:val="none"/>
              </w:rPr>
            </w:r>
            <w:r/>
          </w:p>
          <w:p>
            <w:pPr>
              <w:spacing w:line="360" w:lineRule="auto"/>
              <w:tabs>
                <w:tab w:val="left" w:pos="851" w:leader="none"/>
              </w:tabs>
              <w:rPr>
                <w:rFonts w:ascii="宋体" w:hAnsi="宋体"/>
                <w:sz w:val="24"/>
                <w:szCs w:val="24"/>
                <w:highlight w:val="none"/>
              </w:rPr>
            </w:pPr>
            <w:r>
              <w:rPr>
                <w:rFonts w:hint="eastAsia" w:ascii="宋体" w:hAnsi="宋体"/>
                <w:sz w:val="24"/>
                <w:szCs w:val="24"/>
                <w:highlight w:val="none"/>
              </w:rPr>
              <w:t xml:space="preserve">2.1.3 流量范围：0.001mL/min~10.0mL/min，递增率0.001mL/min；</w:t>
            </w:r>
            <w:r>
              <w:rPr>
                <w:highlight w:val="none"/>
              </w:rPr>
            </w:r>
            <w:r/>
          </w:p>
          <w:p>
            <w:pPr>
              <w:spacing w:line="360" w:lineRule="auto"/>
              <w:tabs>
                <w:tab w:val="left" w:pos="851" w:leader="none"/>
              </w:tabs>
              <w:rPr>
                <w:rFonts w:ascii="宋体" w:hAnsi="宋体"/>
                <w:sz w:val="24"/>
                <w:szCs w:val="24"/>
                <w:highlight w:val="none"/>
              </w:rPr>
            </w:pPr>
            <w:r>
              <w:rPr>
                <w:rFonts w:hint="eastAsia" w:ascii="宋体" w:hAnsi="宋体"/>
                <w:sz w:val="24"/>
                <w:szCs w:val="24"/>
                <w:highlight w:val="none"/>
              </w:rPr>
              <w:t xml:space="preserve">2.1.4 流量精度：≤0.07%RSD；</w:t>
            </w:r>
            <w:r>
              <w:rPr>
                <w:highlight w:val="none"/>
              </w:rPr>
            </w:r>
            <w:r/>
          </w:p>
          <w:p>
            <w:pPr>
              <w:spacing w:line="360" w:lineRule="auto"/>
              <w:tabs>
                <w:tab w:val="left" w:pos="851" w:leader="none"/>
              </w:tabs>
              <w:rPr>
                <w:rFonts w:ascii="宋体" w:hAnsi="宋体"/>
                <w:sz w:val="24"/>
                <w:szCs w:val="24"/>
                <w:highlight w:val="none"/>
              </w:rPr>
            </w:pPr>
            <w:r>
              <w:rPr>
                <w:rFonts w:ascii="仿宋" w:hAnsi="仿宋" w:eastAsia="仿宋" w:cs="仿宋"/>
                <w:sz w:val="24"/>
                <w:szCs w:val="24"/>
                <w:highlight w:val="none"/>
              </w:rPr>
              <w:t xml:space="preserve">▲</w:t>
            </w:r>
            <w:r>
              <w:rPr>
                <w:rFonts w:hint="eastAsia" w:ascii="宋体" w:hAnsi="宋体"/>
                <w:sz w:val="24"/>
                <w:szCs w:val="24"/>
                <w:highlight w:val="none"/>
              </w:rPr>
              <w:t xml:space="preserve">2.1.5 压力范围：</w:t>
            </w:r>
            <w:r>
              <w:rPr>
                <w:rFonts w:ascii="宋体" w:hAnsi="宋体"/>
                <w:sz w:val="24"/>
                <w:szCs w:val="24"/>
                <w:highlight w:val="none"/>
              </w:rPr>
              <w:t xml:space="preserve">≥</w:t>
            </w:r>
            <w:r>
              <w:rPr>
                <w:rFonts w:hint="eastAsia" w:ascii="宋体" w:hAnsi="宋体"/>
                <w:sz w:val="24"/>
                <w:szCs w:val="24"/>
                <w:highlight w:val="none"/>
              </w:rPr>
              <w:t xml:space="preserve">590bar；</w:t>
            </w:r>
            <w:r>
              <w:rPr>
                <w:highlight w:val="none"/>
              </w:rPr>
            </w:r>
            <w:r/>
          </w:p>
          <w:p>
            <w:pPr>
              <w:spacing w:line="360" w:lineRule="auto"/>
              <w:tabs>
                <w:tab w:val="left" w:pos="851" w:leader="none"/>
              </w:tabs>
              <w:rPr>
                <w:rFonts w:ascii="宋体" w:hAnsi="宋体"/>
                <w:sz w:val="24"/>
                <w:szCs w:val="24"/>
                <w:highlight w:val="none"/>
              </w:rPr>
            </w:pPr>
            <w:r>
              <w:rPr>
                <w:rFonts w:hint="eastAsia" w:ascii="宋体" w:hAnsi="宋体"/>
                <w:sz w:val="24"/>
                <w:szCs w:val="24"/>
                <w:highlight w:val="none"/>
              </w:rPr>
              <w:t xml:space="preserve">2.1.6 压力脉动：在整个压力范围内，1mL/min流量时，&lt;1%；</w:t>
            </w:r>
            <w:r>
              <w:rPr>
                <w:highlight w:val="none"/>
              </w:rPr>
            </w:r>
            <w:r/>
          </w:p>
          <w:p>
            <w:pPr>
              <w:spacing w:line="360" w:lineRule="auto"/>
              <w:tabs>
                <w:tab w:val="left" w:pos="851" w:leader="none"/>
              </w:tabs>
              <w:rPr>
                <w:rFonts w:ascii="宋体" w:hAnsi="宋体"/>
                <w:sz w:val="24"/>
                <w:szCs w:val="24"/>
                <w:highlight w:val="none"/>
              </w:rPr>
            </w:pPr>
            <w:r>
              <w:rPr>
                <w:rFonts w:hint="eastAsia" w:ascii="宋体" w:hAnsi="宋体"/>
                <w:sz w:val="24"/>
                <w:szCs w:val="24"/>
                <w:highlight w:val="none"/>
              </w:rPr>
              <w:t xml:space="preserve">2.1.7 可压缩性补偿：根据流动相自动调节或用户选择；</w:t>
            </w:r>
            <w:r>
              <w:rPr>
                <w:highlight w:val="none"/>
              </w:rPr>
            </w:r>
            <w:r/>
          </w:p>
          <w:p>
            <w:pPr>
              <w:spacing w:line="360" w:lineRule="auto"/>
              <w:tabs>
                <w:tab w:val="left" w:pos="851" w:leader="none"/>
              </w:tabs>
              <w:rPr>
                <w:rFonts w:ascii="宋体" w:hAnsi="宋体"/>
                <w:sz w:val="24"/>
                <w:szCs w:val="24"/>
                <w:highlight w:val="none"/>
              </w:rPr>
            </w:pPr>
            <w:r>
              <w:rPr>
                <w:rFonts w:ascii="仿宋" w:hAnsi="仿宋" w:eastAsia="仿宋" w:cs="仿宋"/>
                <w:sz w:val="24"/>
                <w:szCs w:val="24"/>
                <w:highlight w:val="none"/>
              </w:rPr>
              <w:t xml:space="preserve">▲</w:t>
            </w:r>
            <w:r>
              <w:rPr>
                <w:rFonts w:hint="eastAsia" w:ascii="宋体" w:hAnsi="宋体"/>
                <w:sz w:val="24"/>
                <w:szCs w:val="24"/>
                <w:highlight w:val="none"/>
              </w:rPr>
              <w:t xml:space="preserve">2.1.8 梯度洗脱：0-100%，最小递增率为0.1%；</w:t>
            </w:r>
            <w:r>
              <w:rPr>
                <w:highlight w:val="none"/>
              </w:rPr>
            </w:r>
            <w:r/>
          </w:p>
          <w:p>
            <w:pPr>
              <w:spacing w:line="360" w:lineRule="auto"/>
              <w:tabs>
                <w:tab w:val="left" w:pos="851" w:leader="none"/>
              </w:tabs>
              <w:rPr>
                <w:rFonts w:ascii="宋体" w:hAnsi="宋体"/>
                <w:sz w:val="24"/>
                <w:szCs w:val="24"/>
                <w:highlight w:val="none"/>
              </w:rPr>
            </w:pPr>
            <w:r>
              <w:rPr>
                <w:rFonts w:hint="eastAsia" w:ascii="宋体" w:hAnsi="宋体"/>
                <w:sz w:val="24"/>
                <w:szCs w:val="24"/>
                <w:highlight w:val="none"/>
              </w:rPr>
              <w:t xml:space="preserve">2.1.9 混合精度：±0.20%RSD；</w:t>
            </w:r>
            <w:r>
              <w:rPr>
                <w:highlight w:val="none"/>
              </w:rPr>
            </w:r>
            <w:r/>
          </w:p>
          <w:p>
            <w:pPr>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2、柱温箱</w:t>
            </w:r>
            <w:r>
              <w:rPr>
                <w:highlight w:val="none"/>
              </w:rPr>
            </w:r>
            <w:r/>
          </w:p>
          <w:p>
            <w:pPr>
              <w:spacing w:line="360" w:lineRule="auto"/>
              <w:tabs>
                <w:tab w:val="left" w:pos="851" w:leader="none"/>
              </w:tabs>
              <w:rPr>
                <w:rFonts w:ascii="宋体" w:hAnsi="宋体"/>
                <w:color w:val="0d0d0d"/>
                <w:sz w:val="24"/>
                <w:szCs w:val="24"/>
                <w:highlight w:val="none"/>
              </w:rPr>
            </w:pPr>
            <w:r>
              <w:rPr>
                <w:rFonts w:hint="eastAsia" w:ascii="宋体" w:hAnsi="宋体"/>
                <w:sz w:val="24"/>
                <w:szCs w:val="24"/>
                <w:highlight w:val="none"/>
              </w:rPr>
              <w:t xml:space="preserve">2</w:t>
            </w:r>
            <w:r>
              <w:rPr>
                <w:rFonts w:hint="eastAsia" w:ascii="宋体" w:hAnsi="宋体"/>
                <w:color w:val="0d0d0d"/>
                <w:sz w:val="24"/>
                <w:szCs w:val="24"/>
                <w:highlight w:val="none"/>
              </w:rPr>
              <w:t xml:space="preserve">.</w:t>
            </w:r>
            <w:r>
              <w:rPr>
                <w:rFonts w:ascii="宋体" w:hAnsi="宋体"/>
                <w:color w:val="0d0d0d"/>
                <w:sz w:val="24"/>
                <w:szCs w:val="24"/>
                <w:highlight w:val="none"/>
              </w:rPr>
              <w:t xml:space="preserve">2.</w:t>
            </w:r>
            <w:r>
              <w:rPr>
                <w:rFonts w:hint="eastAsia" w:ascii="宋体" w:hAnsi="宋体"/>
                <w:color w:val="0d0d0d"/>
                <w:sz w:val="24"/>
                <w:szCs w:val="24"/>
                <w:highlight w:val="none"/>
              </w:rPr>
              <w:t xml:space="preserve">1</w:t>
            </w:r>
            <w:r>
              <w:rPr>
                <w:rFonts w:ascii="宋体" w:hAnsi="宋体"/>
                <w:color w:val="0d0d0d"/>
                <w:sz w:val="24"/>
                <w:szCs w:val="24"/>
                <w:highlight w:val="none"/>
              </w:rPr>
              <w:t xml:space="preserve">柱温范围:</w:t>
            </w:r>
            <w:r>
              <w:rPr>
                <w:rFonts w:hint="eastAsia" w:ascii="宋体" w:hAnsi="宋体"/>
                <w:color w:val="0d0d0d"/>
                <w:sz w:val="24"/>
                <w:szCs w:val="24"/>
                <w:highlight w:val="none"/>
              </w:rPr>
              <w:t xml:space="preserve">室温上5</w:t>
            </w:r>
            <w:r>
              <w:rPr>
                <w:rFonts w:ascii="宋体" w:hAnsi="宋体"/>
                <w:color w:val="0d0d0d"/>
                <w:sz w:val="24"/>
                <w:szCs w:val="24"/>
                <w:highlight w:val="none"/>
              </w:rPr>
              <w:t xml:space="preserve">~8</w:t>
            </w:r>
            <w:r>
              <w:rPr>
                <w:rFonts w:hint="eastAsia" w:ascii="宋体" w:hAnsi="宋体"/>
                <w:color w:val="0d0d0d"/>
                <w:sz w:val="24"/>
                <w:szCs w:val="24"/>
                <w:highlight w:val="none"/>
              </w:rPr>
              <w:t xml:space="preserve">5</w:t>
            </w:r>
            <w:r>
              <w:rPr>
                <w:rFonts w:ascii="宋体" w:hAnsi="宋体"/>
                <w:color w:val="0d0d0d"/>
                <w:sz w:val="24"/>
                <w:szCs w:val="24"/>
                <w:highlight w:val="none"/>
              </w:rPr>
              <w:t xml:space="preserve">℃</w:t>
            </w:r>
            <w:r>
              <w:rPr>
                <w:rFonts w:hint="eastAsia" w:ascii="宋体" w:hAnsi="宋体"/>
                <w:color w:val="0d0d0d"/>
                <w:sz w:val="24"/>
                <w:szCs w:val="24"/>
                <w:highlight w:val="none"/>
              </w:rPr>
              <w:t xml:space="preserve">；</w:t>
            </w:r>
            <w:r>
              <w:rPr>
                <w:highlight w:val="none"/>
              </w:rPr>
            </w:r>
            <w:r/>
          </w:p>
          <w:p>
            <w:pPr>
              <w:spacing w:line="360" w:lineRule="auto"/>
              <w:tabs>
                <w:tab w:val="left" w:pos="851" w:leader="none"/>
              </w:tabs>
              <w:rPr>
                <w:rFonts w:ascii="宋体" w:hAnsi="宋体"/>
                <w:color w:val="0d0d0d"/>
                <w:sz w:val="24"/>
                <w:szCs w:val="24"/>
                <w:highlight w:val="none"/>
              </w:rPr>
            </w:pPr>
            <w:r>
              <w:rPr>
                <w:rFonts w:hint="eastAsia" w:ascii="宋体" w:hAnsi="宋体"/>
                <w:color w:val="0d0d0d"/>
                <w:sz w:val="24"/>
                <w:szCs w:val="24"/>
                <w:highlight w:val="none"/>
              </w:rPr>
              <w:t xml:space="preserve">2.</w:t>
            </w:r>
            <w:r>
              <w:rPr>
                <w:rFonts w:ascii="宋体" w:hAnsi="宋体"/>
                <w:color w:val="0d0d0d"/>
                <w:sz w:val="24"/>
                <w:szCs w:val="24"/>
                <w:highlight w:val="none"/>
              </w:rPr>
              <w:t xml:space="preserve">2.2柱容量：</w:t>
            </w:r>
            <w:r>
              <w:rPr>
                <w:rFonts w:hint="eastAsia" w:ascii="宋体" w:hAnsi="宋体"/>
                <w:color w:val="0d0d0d"/>
                <w:sz w:val="24"/>
                <w:szCs w:val="24"/>
                <w:highlight w:val="none"/>
              </w:rPr>
              <w:t xml:space="preserve">4</w:t>
            </w:r>
            <w:r>
              <w:rPr>
                <w:rFonts w:ascii="宋体" w:hAnsi="宋体"/>
                <w:color w:val="0d0d0d"/>
                <w:sz w:val="24"/>
                <w:szCs w:val="24"/>
                <w:highlight w:val="none"/>
              </w:rPr>
              <w:t xml:space="preserve">根30cm色谱柱</w:t>
            </w:r>
            <w:r>
              <w:rPr>
                <w:rFonts w:hint="eastAsia" w:ascii="宋体" w:hAnsi="宋体"/>
                <w:color w:val="0d0d0d"/>
                <w:sz w:val="24"/>
                <w:szCs w:val="24"/>
                <w:highlight w:val="none"/>
              </w:rPr>
              <w:t xml:space="preserve">，8根10cm色谱柱，同时两端可放预柱，后期可配置4柱选择阀在色谱柱间切换，而无需重新连接管线；</w:t>
            </w:r>
            <w:r>
              <w:rPr>
                <w:rFonts w:hint="eastAsia" w:ascii="宋体" w:hAnsi="宋体"/>
                <w:b/>
                <w:bCs/>
                <w:color w:val="0d0d0d"/>
                <w:sz w:val="24"/>
                <w:szCs w:val="24"/>
                <w:highlight w:val="none"/>
              </w:rPr>
              <w:t xml:space="preserve">（提供性能参数及网页截图作为证明材料)</w:t>
            </w:r>
            <w:r>
              <w:rPr>
                <w:highlight w:val="none"/>
              </w:rPr>
            </w:r>
            <w:r/>
          </w:p>
          <w:p>
            <w:pPr>
              <w:spacing w:line="360" w:lineRule="auto"/>
              <w:tabs>
                <w:tab w:val="left" w:pos="851" w:leader="none"/>
              </w:tabs>
              <w:rPr>
                <w:rFonts w:ascii="宋体" w:hAnsi="宋体"/>
                <w:color w:val="0d0d0d"/>
                <w:sz w:val="24"/>
                <w:szCs w:val="24"/>
                <w:highlight w:val="none"/>
              </w:rPr>
            </w:pPr>
            <w:r>
              <w:rPr>
                <w:rFonts w:hint="eastAsia" w:ascii="宋体" w:hAnsi="宋体"/>
                <w:color w:val="0d0d0d"/>
                <w:sz w:val="24"/>
                <w:szCs w:val="24"/>
                <w:highlight w:val="none"/>
              </w:rPr>
              <w:t xml:space="preserve">2.</w:t>
            </w:r>
            <w:r>
              <w:rPr>
                <w:rFonts w:ascii="宋体" w:hAnsi="宋体"/>
                <w:color w:val="0d0d0d"/>
                <w:sz w:val="24"/>
                <w:szCs w:val="24"/>
                <w:highlight w:val="none"/>
              </w:rPr>
              <w:t xml:space="preserve">3、自动进样器</w:t>
            </w:r>
            <w:r>
              <w:rPr>
                <w:highlight w:val="none"/>
              </w:rPr>
            </w:r>
            <w:r/>
          </w:p>
          <w:p>
            <w:pPr>
              <w:spacing w:line="360" w:lineRule="auto"/>
              <w:tabs>
                <w:tab w:val="left" w:pos="851" w:leader="none"/>
              </w:tabs>
              <w:rPr>
                <w:rFonts w:ascii="宋体" w:hAnsi="宋体"/>
                <w:b/>
                <w:bCs/>
                <w:color w:val="ff0000"/>
                <w:sz w:val="24"/>
                <w:szCs w:val="24"/>
                <w:highlight w:val="none"/>
              </w:rPr>
            </w:pPr>
            <w:r>
              <w:rPr>
                <w:rFonts w:ascii="仿宋" w:hAnsi="仿宋" w:eastAsia="仿宋" w:cs="仿宋"/>
                <w:sz w:val="24"/>
                <w:szCs w:val="24"/>
                <w:highlight w:val="none"/>
              </w:rPr>
              <w:t xml:space="preserve">▲</w:t>
            </w:r>
            <w:r>
              <w:rPr>
                <w:rFonts w:hint="eastAsia" w:ascii="宋体" w:hAnsi="宋体"/>
                <w:color w:val="0d0d0d"/>
                <w:sz w:val="24"/>
                <w:szCs w:val="24"/>
                <w:highlight w:val="none"/>
              </w:rPr>
              <w:t xml:space="preserve">2.</w:t>
            </w:r>
            <w:r>
              <w:rPr>
                <w:rFonts w:ascii="宋体" w:hAnsi="宋体"/>
                <w:color w:val="0d0d0d"/>
                <w:sz w:val="24"/>
                <w:szCs w:val="24"/>
                <w:highlight w:val="none"/>
              </w:rPr>
              <w:t xml:space="preserve">3.1 2ml样品位≥13</w:t>
            </w:r>
            <w:r>
              <w:rPr>
                <w:rFonts w:hint="eastAsia" w:ascii="宋体" w:hAnsi="宋体"/>
                <w:color w:val="0d0d0d"/>
                <w:sz w:val="24"/>
                <w:szCs w:val="24"/>
                <w:highlight w:val="none"/>
              </w:rPr>
              <w:t xml:space="preserve">0</w:t>
            </w:r>
            <w:r>
              <w:rPr>
                <w:rFonts w:ascii="宋体" w:hAnsi="宋体"/>
                <w:color w:val="0d0d0d"/>
                <w:sz w:val="24"/>
                <w:szCs w:val="24"/>
                <w:highlight w:val="none"/>
              </w:rPr>
              <w:t xml:space="preserve">位</w:t>
            </w:r>
            <w:r>
              <w:rPr>
                <w:rFonts w:hint="eastAsia"/>
                <w:highlight w:val="none"/>
              </w:rPr>
              <w:t xml:space="preserve">；</w:t>
            </w:r>
            <w:r>
              <w:rPr>
                <w:rFonts w:hint="eastAsia" w:ascii="宋体" w:hAnsi="宋体"/>
                <w:b/>
                <w:bCs/>
                <w:color w:val="0d0d0d"/>
                <w:sz w:val="24"/>
                <w:szCs w:val="24"/>
                <w:highlight w:val="none"/>
              </w:rPr>
              <w:t xml:space="preserve">（</w:t>
            </w:r>
            <w:r>
              <w:rPr>
                <w:rFonts w:hint="eastAsia" w:ascii="宋体" w:hAnsi="宋体"/>
                <w:b/>
                <w:bCs/>
                <w:sz w:val="24"/>
                <w:szCs w:val="24"/>
                <w:highlight w:val="none"/>
              </w:rPr>
              <w:t xml:space="preserve">提供性能参数及网页截图作为证明材料)</w:t>
            </w:r>
            <w:r>
              <w:rPr>
                <w:highlight w:val="none"/>
              </w:rPr>
            </w:r>
            <w:r/>
          </w:p>
          <w:p>
            <w:pPr>
              <w:spacing w:line="360" w:lineRule="auto"/>
              <w:rPr>
                <w:rFonts w:ascii="宋体" w:hAnsi="宋体"/>
                <w:color w:val="0d0d0d"/>
                <w:sz w:val="24"/>
                <w:szCs w:val="24"/>
                <w:highlight w:val="none"/>
              </w:rPr>
            </w:pPr>
            <w:r>
              <w:rPr>
                <w:rFonts w:hint="eastAsia" w:ascii="宋体" w:hAnsi="宋体"/>
                <w:color w:val="0d0d0d"/>
                <w:sz w:val="24"/>
                <w:szCs w:val="24"/>
                <w:highlight w:val="none"/>
              </w:rPr>
              <w:t xml:space="preserve">2.</w:t>
            </w:r>
            <w:r>
              <w:rPr>
                <w:rFonts w:ascii="宋体" w:hAnsi="宋体"/>
                <w:color w:val="0d0d0d"/>
                <w:sz w:val="24"/>
                <w:szCs w:val="24"/>
                <w:highlight w:val="none"/>
              </w:rPr>
              <w:t xml:space="preserve">3.2进样范围:0.1~100ul，增量为0.1ul</w:t>
            </w:r>
            <w:r>
              <w:rPr>
                <w:rFonts w:hint="eastAsia" w:ascii="宋体" w:hAnsi="宋体"/>
                <w:color w:val="0d0d0d"/>
                <w:sz w:val="24"/>
                <w:szCs w:val="24"/>
                <w:highlight w:val="none"/>
              </w:rPr>
              <w:t xml:space="preserve">；</w:t>
            </w:r>
            <w:r>
              <w:rPr>
                <w:highlight w:val="none"/>
              </w:rPr>
            </w:r>
            <w:r/>
          </w:p>
          <w:p>
            <w:pPr>
              <w:spacing w:line="360" w:lineRule="auto"/>
              <w:rPr>
                <w:rFonts w:ascii="宋体" w:hAnsi="宋体"/>
                <w:color w:val="0d0d0d"/>
                <w:sz w:val="24"/>
                <w:szCs w:val="24"/>
                <w:highlight w:val="none"/>
              </w:rPr>
            </w:pPr>
            <w:r>
              <w:rPr>
                <w:rFonts w:hint="eastAsia" w:ascii="宋体" w:hAnsi="宋体"/>
                <w:color w:val="0d0d0d"/>
                <w:sz w:val="24"/>
                <w:szCs w:val="24"/>
                <w:highlight w:val="none"/>
              </w:rPr>
              <w:t xml:space="preserve">2.</w:t>
            </w:r>
            <w:r>
              <w:rPr>
                <w:rFonts w:ascii="宋体" w:hAnsi="宋体"/>
                <w:color w:val="0d0d0d"/>
                <w:sz w:val="24"/>
                <w:szCs w:val="24"/>
                <w:highlight w:val="none"/>
              </w:rPr>
              <w:t xml:space="preserve">3.3进样精度:&lt; 0.25% RSD</w:t>
            </w:r>
            <w:r>
              <w:rPr>
                <w:rFonts w:hint="eastAsia" w:ascii="宋体" w:hAnsi="宋体"/>
                <w:color w:val="0d0d0d"/>
                <w:sz w:val="24"/>
                <w:szCs w:val="24"/>
                <w:highlight w:val="none"/>
              </w:rPr>
              <w:t xml:space="preserve">；</w:t>
            </w:r>
            <w:r>
              <w:rPr>
                <w:highlight w:val="none"/>
              </w:rPr>
            </w:r>
            <w:r/>
          </w:p>
          <w:p>
            <w:pPr>
              <w:spacing w:line="360" w:lineRule="auto"/>
              <w:rPr>
                <w:rFonts w:ascii="宋体" w:hAnsi="宋体"/>
                <w:color w:val="0d0d0d"/>
                <w:sz w:val="24"/>
                <w:szCs w:val="24"/>
                <w:highlight w:val="none"/>
              </w:rPr>
            </w:pPr>
            <w:r>
              <w:rPr>
                <w:rFonts w:hint="eastAsia" w:ascii="宋体" w:hAnsi="宋体"/>
                <w:color w:val="0d0d0d"/>
                <w:sz w:val="24"/>
                <w:szCs w:val="24"/>
                <w:highlight w:val="none"/>
              </w:rPr>
              <w:t xml:space="preserve">2.</w:t>
            </w:r>
            <w:r>
              <w:rPr>
                <w:rFonts w:ascii="宋体" w:hAnsi="宋体"/>
                <w:color w:val="0d0d0d"/>
                <w:sz w:val="24"/>
                <w:szCs w:val="24"/>
                <w:highlight w:val="none"/>
              </w:rPr>
              <w:t xml:space="preserve">3.4交叉污染:&lt; 0.004% RSD</w:t>
            </w:r>
            <w:r>
              <w:rPr>
                <w:rFonts w:hint="eastAsia" w:ascii="宋体" w:hAnsi="宋体"/>
                <w:color w:val="0d0d0d"/>
                <w:sz w:val="24"/>
                <w:szCs w:val="24"/>
                <w:highlight w:val="none"/>
              </w:rPr>
              <w:t xml:space="preserve">；</w:t>
            </w:r>
            <w:r>
              <w:rPr>
                <w:highlight w:val="none"/>
              </w:rPr>
            </w:r>
            <w:r/>
          </w:p>
          <w:p>
            <w:pPr>
              <w:spacing w:line="360" w:lineRule="auto"/>
              <w:tabs>
                <w:tab w:val="left" w:pos="851" w:leader="none"/>
              </w:tabs>
              <w:rPr>
                <w:rFonts w:ascii="宋体" w:hAnsi="宋体"/>
                <w:color w:val="0d0d0d"/>
                <w:sz w:val="24"/>
                <w:szCs w:val="24"/>
                <w:highlight w:val="none"/>
              </w:rPr>
            </w:pPr>
            <w:r>
              <w:rPr>
                <w:rFonts w:hint="eastAsia" w:ascii="宋体" w:hAnsi="宋体"/>
                <w:color w:val="0d0d0d"/>
                <w:sz w:val="24"/>
                <w:szCs w:val="24"/>
                <w:highlight w:val="none"/>
              </w:rPr>
              <w:t xml:space="preserve">2.4.5 重复进样次数：1~99次/样品；</w:t>
            </w:r>
            <w:r>
              <w:rPr>
                <w:highlight w:val="none"/>
              </w:rPr>
            </w:r>
            <w:r/>
          </w:p>
          <w:p>
            <w:pPr>
              <w:spacing w:line="360" w:lineRule="auto"/>
              <w:tabs>
                <w:tab w:val="left" w:pos="851" w:leader="none"/>
              </w:tabs>
              <w:rPr>
                <w:rFonts w:ascii="宋体" w:hAnsi="宋体"/>
                <w:color w:val="0d0d0d"/>
                <w:sz w:val="24"/>
                <w:szCs w:val="24"/>
                <w:highlight w:val="none"/>
              </w:rPr>
            </w:pPr>
            <w:r>
              <w:rPr>
                <w:rFonts w:hint="eastAsia" w:ascii="宋体" w:hAnsi="宋体"/>
                <w:color w:val="0d0d0d"/>
                <w:sz w:val="24"/>
                <w:szCs w:val="24"/>
                <w:highlight w:val="none"/>
              </w:rPr>
              <w:t xml:space="preserve">2.4.</w:t>
            </w:r>
            <w:r>
              <w:rPr>
                <w:rFonts w:ascii="宋体" w:hAnsi="宋体"/>
                <w:color w:val="0d0d0d"/>
                <w:sz w:val="24"/>
                <w:szCs w:val="24"/>
                <w:highlight w:val="none"/>
              </w:rPr>
              <w:t xml:space="preserve">6</w:t>
            </w:r>
            <w:r>
              <w:rPr>
                <w:rFonts w:hint="eastAsia" w:ascii="宋体" w:hAnsi="宋体"/>
                <w:color w:val="0d0d0d"/>
                <w:sz w:val="24"/>
                <w:szCs w:val="24"/>
                <w:highlight w:val="none"/>
              </w:rPr>
              <w:t xml:space="preserve"> 自动进样器均采用深色避光盖板，便于光敏感样品的长时间放置；同时进样器内安装有照明装置，便于用户操作；</w:t>
            </w:r>
            <w:r>
              <w:rPr>
                <w:highlight w:val="none"/>
              </w:rPr>
            </w:r>
            <w:r/>
          </w:p>
          <w:p>
            <w:pPr>
              <w:spacing w:line="360" w:lineRule="auto"/>
              <w:tabs>
                <w:tab w:val="left" w:pos="851" w:leader="none"/>
              </w:tabs>
              <w:rPr>
                <w:rFonts w:ascii="宋体" w:hAnsi="宋体"/>
                <w:color w:val="0d0d0d"/>
                <w:sz w:val="24"/>
                <w:szCs w:val="24"/>
                <w:highlight w:val="none"/>
              </w:rPr>
            </w:pPr>
            <w:r>
              <w:rPr>
                <w:rFonts w:hint="eastAsia" w:ascii="宋体" w:hAnsi="宋体"/>
                <w:color w:val="0d0d0d"/>
                <w:sz w:val="24"/>
                <w:szCs w:val="24"/>
                <w:highlight w:val="none"/>
              </w:rPr>
              <w:t xml:space="preserve">2.4.7自动进样器控温要求</w:t>
            </w:r>
            <w:r>
              <w:rPr>
                <w:rFonts w:hint="eastAsia" w:ascii="宋体" w:hAnsi="宋体"/>
                <w:sz w:val="24"/>
                <w:szCs w:val="24"/>
                <w:highlight w:val="none"/>
              </w:rPr>
              <w:t xml:space="preserve">4</w:t>
            </w:r>
            <w:r>
              <w:rPr>
                <w:rFonts w:ascii="宋体" w:hAnsi="宋体"/>
                <w:sz w:val="24"/>
                <w:szCs w:val="24"/>
                <w:highlight w:val="none"/>
              </w:rPr>
              <w:t xml:space="preserve">~</w:t>
            </w:r>
            <w:r>
              <w:rPr>
                <w:rFonts w:hint="eastAsia" w:ascii="宋体" w:hAnsi="宋体"/>
                <w:sz w:val="24"/>
                <w:szCs w:val="24"/>
                <w:highlight w:val="none"/>
              </w:rPr>
              <w:t xml:space="preserve">40</w:t>
            </w:r>
            <w:r>
              <w:rPr>
                <w:rFonts w:ascii="宋体" w:hAnsi="宋体"/>
                <w:sz w:val="24"/>
                <w:szCs w:val="24"/>
                <w:highlight w:val="none"/>
              </w:rPr>
              <w:t xml:space="preserve">℃</w:t>
            </w:r>
            <w:r>
              <w:rPr>
                <w:rFonts w:hint="eastAsia" w:ascii="宋体" w:hAnsi="宋体"/>
                <w:sz w:val="24"/>
                <w:szCs w:val="24"/>
                <w:highlight w:val="none"/>
              </w:rPr>
              <w:t xml:space="preserve">；</w:t>
            </w:r>
            <w:r>
              <w:rPr>
                <w:highlight w:val="none"/>
              </w:rPr>
            </w:r>
            <w:r/>
          </w:p>
          <w:p>
            <w:pPr>
              <w:spacing w:line="360" w:lineRule="auto"/>
              <w:tabs>
                <w:tab w:val="left" w:pos="851" w:leader="none"/>
              </w:tabs>
              <w:rPr>
                <w:rFonts w:ascii="宋体" w:hAnsi="宋体"/>
                <w:color w:val="ff0000"/>
                <w:sz w:val="24"/>
                <w:szCs w:val="24"/>
                <w:highlight w:val="none"/>
              </w:rPr>
            </w:pPr>
            <w:r>
              <w:rPr>
                <w:rFonts w:hint="eastAsia" w:ascii="宋体" w:hAnsi="宋体"/>
                <w:color w:val="0d0d0d"/>
                <w:sz w:val="24"/>
                <w:szCs w:val="24"/>
                <w:highlight w:val="none"/>
              </w:rPr>
              <w:t xml:space="preserve">2.4.8</w:t>
            </w:r>
            <w:r>
              <w:rPr>
                <w:rFonts w:ascii="宋体" w:hAnsi="宋体"/>
                <w:color w:val="0d0d0d"/>
                <w:sz w:val="24"/>
                <w:szCs w:val="24"/>
                <w:highlight w:val="none"/>
              </w:rPr>
              <w:t xml:space="preserve"> </w:t>
            </w:r>
            <w:r>
              <w:rPr>
                <w:rFonts w:hint="eastAsia" w:ascii="宋体" w:hAnsi="宋体"/>
                <w:color w:val="0d0d0d"/>
                <w:sz w:val="24"/>
                <w:szCs w:val="24"/>
                <w:highlight w:val="none"/>
              </w:rPr>
              <w:t xml:space="preserve">自动进样器压力要</w:t>
            </w:r>
            <w:r>
              <w:rPr>
                <w:rFonts w:ascii="宋体" w:hAnsi="宋体"/>
                <w:color w:val="0d0d0d"/>
                <w:sz w:val="24"/>
                <w:szCs w:val="24"/>
                <w:highlight w:val="none"/>
              </w:rPr>
              <w:t xml:space="preserve">≥</w:t>
            </w:r>
            <w:r>
              <w:rPr>
                <w:rFonts w:hint="eastAsia" w:ascii="宋体" w:hAnsi="宋体"/>
                <w:color w:val="0d0d0d"/>
                <w:sz w:val="24"/>
                <w:szCs w:val="24"/>
                <w:highlight w:val="none"/>
              </w:rPr>
              <w:t xml:space="preserve">600</w:t>
            </w:r>
            <w:r>
              <w:rPr>
                <w:rFonts w:ascii="宋体" w:hAnsi="宋体"/>
                <w:color w:val="0d0d0d"/>
                <w:sz w:val="24"/>
                <w:szCs w:val="24"/>
                <w:highlight w:val="none"/>
              </w:rPr>
              <w:t xml:space="preserve"> </w:t>
            </w:r>
            <w:r>
              <w:rPr>
                <w:rFonts w:hint="eastAsia" w:ascii="宋体" w:hAnsi="宋体"/>
                <w:color w:val="0d0d0d"/>
                <w:sz w:val="24"/>
                <w:szCs w:val="24"/>
                <w:highlight w:val="none"/>
              </w:rPr>
              <w:t xml:space="preserve">b</w:t>
            </w:r>
            <w:r>
              <w:rPr>
                <w:rFonts w:ascii="宋体" w:hAnsi="宋体"/>
                <w:color w:val="0d0d0d"/>
                <w:sz w:val="24"/>
                <w:szCs w:val="24"/>
                <w:highlight w:val="none"/>
              </w:rPr>
              <w:t xml:space="preserve">ar</w:t>
            </w:r>
            <w:r>
              <w:rPr>
                <w:rFonts w:hint="eastAsia" w:ascii="宋体" w:hAnsi="宋体"/>
                <w:color w:val="0d0d0d"/>
                <w:sz w:val="24"/>
                <w:szCs w:val="24"/>
                <w:highlight w:val="none"/>
              </w:rPr>
              <w:t xml:space="preserve">；</w:t>
            </w:r>
            <w:r>
              <w:rPr>
                <w:highlight w:val="none"/>
              </w:rPr>
            </w:r>
            <w:r/>
          </w:p>
          <w:p>
            <w:pPr>
              <w:spacing w:line="360" w:lineRule="auto"/>
              <w:tabs>
                <w:tab w:val="left" w:pos="851" w:leader="none"/>
              </w:tabs>
              <w:rPr>
                <w:rFonts w:ascii="宋体" w:hAnsi="宋体"/>
                <w:color w:val="0d0d0d"/>
                <w:sz w:val="24"/>
                <w:szCs w:val="24"/>
                <w:highlight w:val="none"/>
              </w:rPr>
            </w:pPr>
            <w:r>
              <w:rPr>
                <w:rFonts w:ascii="宋体" w:hAnsi="宋体"/>
                <w:color w:val="0d0d0d"/>
                <w:sz w:val="24"/>
                <w:szCs w:val="24"/>
                <w:highlight w:val="none"/>
              </w:rPr>
              <w:t xml:space="preserve">2.</w:t>
            </w:r>
            <w:r>
              <w:rPr>
                <w:rFonts w:hint="eastAsia" w:ascii="宋体" w:hAnsi="宋体"/>
                <w:color w:val="0d0d0d"/>
                <w:sz w:val="24"/>
                <w:szCs w:val="24"/>
                <w:highlight w:val="none"/>
              </w:rPr>
              <w:t xml:space="preserve">5</w:t>
            </w:r>
            <w:r>
              <w:rPr>
                <w:rFonts w:ascii="宋体" w:hAnsi="宋体"/>
                <w:color w:val="0d0d0d"/>
                <w:sz w:val="24"/>
                <w:szCs w:val="24"/>
                <w:highlight w:val="none"/>
              </w:rPr>
              <w:t xml:space="preserve"> </w:t>
            </w:r>
            <w:r>
              <w:rPr>
                <w:rFonts w:hint="eastAsia" w:ascii="宋体" w:hAnsi="宋体"/>
                <w:color w:val="0d0d0d"/>
                <w:sz w:val="24"/>
                <w:szCs w:val="24"/>
                <w:highlight w:val="none"/>
              </w:rPr>
              <w:t xml:space="preserve">多波长紫外</w:t>
            </w:r>
            <w:r>
              <w:rPr>
                <w:rFonts w:ascii="宋体" w:hAnsi="宋体"/>
                <w:color w:val="0d0d0d"/>
                <w:sz w:val="24"/>
                <w:szCs w:val="24"/>
                <w:highlight w:val="none"/>
              </w:rPr>
              <w:t xml:space="preserve">检测器</w:t>
            </w:r>
            <w:r>
              <w:rPr>
                <w:rFonts w:hint="eastAsia" w:ascii="宋体" w:hAnsi="宋体"/>
                <w:color w:val="0d0d0d"/>
                <w:sz w:val="24"/>
                <w:szCs w:val="24"/>
                <w:highlight w:val="none"/>
              </w:rPr>
              <w:t xml:space="preserve">；</w:t>
            </w:r>
            <w:r>
              <w:rPr>
                <w:rFonts w:ascii="宋体" w:hAnsi="宋体"/>
                <w:color w:val="0d0d0d"/>
                <w:sz w:val="24"/>
                <w:szCs w:val="24"/>
                <w:highlight w:val="none"/>
              </w:rPr>
              <w:t xml:space="preserve">      </w:t>
            </w:r>
            <w:r>
              <w:rPr>
                <w:highlight w:val="none"/>
              </w:rPr>
            </w:r>
            <w:r/>
          </w:p>
          <w:p>
            <w:pPr>
              <w:spacing w:line="360" w:lineRule="auto"/>
              <w:tabs>
                <w:tab w:val="left" w:pos="851" w:leader="none"/>
              </w:tabs>
              <w:rPr>
                <w:rFonts w:ascii="宋体" w:hAnsi="宋体"/>
                <w:color w:val="ff0000"/>
                <w:sz w:val="24"/>
                <w:szCs w:val="24"/>
                <w:highlight w:val="none"/>
              </w:rPr>
            </w:pPr>
            <w:r>
              <w:rPr>
                <w:rFonts w:hint="eastAsia" w:ascii="宋体" w:hAnsi="宋体"/>
                <w:color w:val="0d0d0d"/>
                <w:sz w:val="24"/>
                <w:szCs w:val="24"/>
                <w:highlight w:val="none"/>
              </w:rPr>
              <w:t xml:space="preserve">2.5.1检测器类型：</w:t>
            </w:r>
            <w:r>
              <w:rPr>
                <w:rFonts w:ascii="宋体" w:hAnsi="宋体"/>
                <w:color w:val="0d0d0d"/>
                <w:sz w:val="24"/>
                <w:szCs w:val="24"/>
                <w:highlight w:val="none"/>
              </w:rPr>
              <w:t xml:space="preserve">1024</w:t>
            </w:r>
            <w:r>
              <w:rPr>
                <w:rFonts w:hint="eastAsia" w:ascii="宋体" w:hAnsi="宋体"/>
                <w:color w:val="0d0d0d"/>
                <w:sz w:val="24"/>
                <w:szCs w:val="24"/>
                <w:highlight w:val="none"/>
              </w:rPr>
              <w:t xml:space="preserve">单元二极管阵列；</w:t>
            </w:r>
            <w:r>
              <w:rPr>
                <w:highlight w:val="none"/>
              </w:rPr>
            </w:r>
            <w:r/>
          </w:p>
          <w:p>
            <w:pPr>
              <w:spacing w:line="360" w:lineRule="auto"/>
              <w:tabs>
                <w:tab w:val="left" w:pos="851" w:leader="none"/>
              </w:tabs>
              <w:rPr>
                <w:rFonts w:ascii="宋体" w:hAnsi="宋体"/>
                <w:b/>
                <w:bCs/>
                <w:sz w:val="24"/>
                <w:szCs w:val="24"/>
                <w:highlight w:val="none"/>
              </w:rPr>
            </w:pPr>
            <w:r>
              <w:rPr>
                <w:rFonts w:ascii="仿宋" w:hAnsi="仿宋" w:eastAsia="仿宋" w:cs="仿宋"/>
                <w:sz w:val="24"/>
                <w:szCs w:val="24"/>
                <w:highlight w:val="none"/>
              </w:rPr>
              <w:t xml:space="preserve">▲</w:t>
            </w:r>
            <w:r>
              <w:rPr>
                <w:rFonts w:hint="eastAsia" w:ascii="宋体" w:hAnsi="宋体"/>
                <w:color w:val="0d0d0d"/>
                <w:sz w:val="24"/>
                <w:szCs w:val="24"/>
                <w:highlight w:val="none"/>
              </w:rPr>
              <w:t xml:space="preserve">2.5.2</w:t>
            </w:r>
            <w:r>
              <w:rPr>
                <w:rFonts w:ascii="宋体" w:hAnsi="宋体"/>
                <w:color w:val="0d0d0d"/>
                <w:sz w:val="24"/>
                <w:szCs w:val="24"/>
                <w:highlight w:val="none"/>
              </w:rPr>
              <w:t xml:space="preserve">波长范围: 190-</w:t>
            </w:r>
            <w:r>
              <w:rPr>
                <w:rFonts w:hint="eastAsia" w:ascii="宋体" w:hAnsi="宋体"/>
                <w:color w:val="0d0d0d"/>
                <w:sz w:val="24"/>
                <w:szCs w:val="24"/>
                <w:highlight w:val="none"/>
              </w:rPr>
              <w:t xml:space="preserve">95</w:t>
            </w:r>
            <w:r>
              <w:rPr>
                <w:rFonts w:ascii="宋体" w:hAnsi="宋体"/>
                <w:color w:val="0d0d0d"/>
                <w:sz w:val="24"/>
                <w:szCs w:val="24"/>
                <w:highlight w:val="none"/>
              </w:rPr>
              <w:t xml:space="preserve">0nm</w:t>
            </w:r>
            <w:r>
              <w:rPr>
                <w:rFonts w:hint="eastAsia"/>
                <w:highlight w:val="none"/>
              </w:rPr>
              <w:t xml:space="preserve">；</w:t>
            </w:r>
            <w:r>
              <w:rPr>
                <w:rFonts w:hint="eastAsia" w:ascii="宋体" w:hAnsi="宋体"/>
                <w:color w:val="0d0d0d"/>
                <w:sz w:val="24"/>
                <w:szCs w:val="24"/>
                <w:highlight w:val="none"/>
              </w:rPr>
              <w:t xml:space="preserve">（</w:t>
            </w:r>
            <w:r>
              <w:rPr>
                <w:rFonts w:hint="eastAsia" w:ascii="宋体" w:hAnsi="宋体"/>
                <w:b/>
                <w:bCs/>
                <w:sz w:val="24"/>
                <w:szCs w:val="24"/>
                <w:highlight w:val="none"/>
              </w:rPr>
              <w:t xml:space="preserve">提供性能参数及网页截图作为证明材料)</w:t>
            </w:r>
            <w:r>
              <w:rPr>
                <w:highlight w:val="none"/>
              </w:rPr>
            </w:r>
            <w:r/>
          </w:p>
          <w:p>
            <w:pPr>
              <w:spacing w:line="360" w:lineRule="auto"/>
              <w:tabs>
                <w:tab w:val="left" w:pos="851" w:leader="none"/>
              </w:tabs>
              <w:rPr>
                <w:rFonts w:ascii="宋体" w:hAnsi="宋体"/>
                <w:color w:val="0d0d0d"/>
                <w:sz w:val="24"/>
                <w:szCs w:val="24"/>
                <w:highlight w:val="none"/>
              </w:rPr>
            </w:pPr>
            <w:r>
              <w:rPr>
                <w:rFonts w:hint="eastAsia" w:ascii="宋体" w:hAnsi="宋体"/>
                <w:color w:val="0d0d0d"/>
                <w:sz w:val="24"/>
                <w:szCs w:val="24"/>
                <w:highlight w:val="none"/>
              </w:rPr>
              <w:t xml:space="preserve">2.5.3</w:t>
            </w:r>
            <w:r>
              <w:rPr>
                <w:rFonts w:ascii="宋体" w:hAnsi="宋体"/>
                <w:color w:val="0d0d0d"/>
                <w:sz w:val="24"/>
                <w:szCs w:val="24"/>
                <w:highlight w:val="none"/>
              </w:rPr>
              <w:t xml:space="preserve">波长准确度: ±1nm</w:t>
            </w:r>
            <w:r>
              <w:rPr>
                <w:rFonts w:hint="eastAsia" w:ascii="宋体" w:hAnsi="宋体"/>
                <w:color w:val="0d0d0d"/>
                <w:sz w:val="24"/>
                <w:szCs w:val="24"/>
                <w:highlight w:val="none"/>
              </w:rPr>
              <w:t xml:space="preserve">；</w:t>
            </w:r>
            <w:r>
              <w:rPr>
                <w:highlight w:val="none"/>
              </w:rPr>
            </w:r>
            <w:r/>
          </w:p>
          <w:p>
            <w:pPr>
              <w:spacing w:line="360" w:lineRule="auto"/>
              <w:tabs>
                <w:tab w:val="left" w:pos="851" w:leader="none"/>
              </w:tabs>
              <w:rPr>
                <w:rFonts w:ascii="宋体" w:hAnsi="宋体"/>
                <w:color w:val="0d0d0d"/>
                <w:sz w:val="24"/>
                <w:szCs w:val="24"/>
                <w:highlight w:val="none"/>
              </w:rPr>
            </w:pPr>
            <w:r>
              <w:rPr>
                <w:rFonts w:hint="eastAsia" w:ascii="宋体" w:hAnsi="宋体"/>
                <w:color w:val="0d0d0d"/>
                <w:sz w:val="24"/>
                <w:szCs w:val="24"/>
                <w:highlight w:val="none"/>
              </w:rPr>
              <w:t xml:space="preserve">2.5.4噪音:&lt; ± 0.7 x 10</w:t>
            </w:r>
            <w:r>
              <w:rPr>
                <w:rFonts w:hint="eastAsia" w:ascii="宋体" w:hAnsi="宋体"/>
                <w:color w:val="0d0d0d"/>
                <w:sz w:val="24"/>
                <w:szCs w:val="24"/>
                <w:highlight w:val="none"/>
                <w:vertAlign w:val="superscript"/>
              </w:rPr>
              <w:t xml:space="preserve">-5</w:t>
            </w:r>
            <w:r>
              <w:rPr>
                <w:rFonts w:hint="eastAsia" w:ascii="宋体" w:hAnsi="宋体"/>
                <w:color w:val="0d0d0d"/>
                <w:sz w:val="24"/>
                <w:szCs w:val="24"/>
                <w:highlight w:val="none"/>
              </w:rPr>
              <w:t xml:space="preserve"> AU /cm at 230 nm；</w:t>
            </w:r>
            <w:r>
              <w:rPr>
                <w:highlight w:val="none"/>
              </w:rPr>
            </w:r>
            <w:r/>
          </w:p>
          <w:p>
            <w:pPr>
              <w:spacing w:line="360" w:lineRule="auto"/>
              <w:tabs>
                <w:tab w:val="left" w:pos="851" w:leader="none"/>
              </w:tabs>
              <w:rPr>
                <w:rFonts w:ascii="宋体" w:hAnsi="宋体"/>
                <w:color w:val="0d0d0d"/>
                <w:sz w:val="24"/>
                <w:szCs w:val="24"/>
                <w:highlight w:val="none"/>
              </w:rPr>
            </w:pPr>
            <w:r>
              <w:rPr>
                <w:rFonts w:hint="eastAsia" w:ascii="宋体" w:hAnsi="宋体"/>
                <w:color w:val="0d0d0d"/>
                <w:sz w:val="24"/>
                <w:szCs w:val="24"/>
                <w:highlight w:val="none"/>
              </w:rPr>
              <w:t xml:space="preserve">2.5.5漂移:&lt; 0.9 x10</w:t>
            </w:r>
            <w:r>
              <w:rPr>
                <w:rFonts w:hint="eastAsia" w:ascii="宋体" w:hAnsi="宋体"/>
                <w:color w:val="0d0d0d"/>
                <w:sz w:val="24"/>
                <w:szCs w:val="24"/>
                <w:highlight w:val="none"/>
                <w:vertAlign w:val="superscript"/>
              </w:rPr>
              <w:t xml:space="preserve">-3</w:t>
            </w:r>
            <w:r>
              <w:rPr>
                <w:rFonts w:hint="eastAsia" w:ascii="宋体" w:hAnsi="宋体"/>
                <w:color w:val="0d0d0d"/>
                <w:sz w:val="24"/>
                <w:szCs w:val="24"/>
                <w:highlight w:val="none"/>
              </w:rPr>
              <w:t xml:space="preserve">AU/小时（在254 nm 处）</w:t>
            </w:r>
            <w:r>
              <w:rPr>
                <w:rFonts w:hint="eastAsia"/>
                <w:highlight w:val="none"/>
              </w:rPr>
              <w:t xml:space="preserve">；</w:t>
            </w:r>
            <w:r>
              <w:rPr>
                <w:highlight w:val="none"/>
              </w:rPr>
            </w:r>
            <w:r/>
          </w:p>
          <w:p>
            <w:pPr>
              <w:spacing w:line="360" w:lineRule="auto"/>
              <w:tabs>
                <w:tab w:val="left" w:pos="851" w:leader="none"/>
              </w:tabs>
              <w:rPr>
                <w:rFonts w:ascii="宋体" w:hAnsi="宋体"/>
                <w:color w:val="0d0d0d"/>
                <w:sz w:val="24"/>
                <w:szCs w:val="24"/>
                <w:highlight w:val="none"/>
              </w:rPr>
            </w:pPr>
            <w:r>
              <w:rPr>
                <w:rFonts w:hint="eastAsia" w:ascii="宋体" w:hAnsi="宋体"/>
                <w:color w:val="0d0d0d"/>
                <w:sz w:val="24"/>
                <w:szCs w:val="24"/>
                <w:highlight w:val="none"/>
              </w:rPr>
              <w:t xml:space="preserve">2.5.6采样频率:120 Hz；</w:t>
            </w:r>
            <w:r>
              <w:rPr>
                <w:highlight w:val="none"/>
              </w:rPr>
            </w:r>
            <w:r/>
          </w:p>
          <w:p>
            <w:pPr>
              <w:spacing w:line="360" w:lineRule="auto"/>
              <w:tabs>
                <w:tab w:val="left" w:pos="851" w:leader="none"/>
              </w:tabs>
              <w:rPr>
                <w:rFonts w:ascii="宋体" w:hAnsi="宋体"/>
                <w:color w:val="0d0d0d"/>
                <w:sz w:val="24"/>
                <w:szCs w:val="24"/>
                <w:highlight w:val="none"/>
              </w:rPr>
            </w:pPr>
            <w:r>
              <w:rPr>
                <w:rFonts w:hint="eastAsia" w:ascii="宋体" w:hAnsi="宋体"/>
                <w:color w:val="0d0d0d"/>
                <w:sz w:val="24"/>
                <w:szCs w:val="24"/>
                <w:highlight w:val="none"/>
              </w:rPr>
              <w:t xml:space="preserve">2.6</w:t>
            </w:r>
            <w:r>
              <w:rPr>
                <w:rFonts w:ascii="宋体" w:hAnsi="宋体"/>
                <w:color w:val="0d0d0d"/>
                <w:sz w:val="24"/>
                <w:szCs w:val="24"/>
                <w:highlight w:val="none"/>
              </w:rPr>
              <w:t xml:space="preserve">荧光检测器</w:t>
            </w:r>
            <w:r>
              <w:rPr>
                <w:rFonts w:hint="eastAsia" w:ascii="宋体" w:hAnsi="宋体"/>
                <w:color w:val="0d0d0d"/>
                <w:sz w:val="24"/>
                <w:szCs w:val="24"/>
                <w:highlight w:val="none"/>
              </w:rPr>
              <w:t xml:space="preserve">；</w:t>
            </w:r>
            <w:r>
              <w:rPr>
                <w:highlight w:val="none"/>
              </w:rPr>
            </w:r>
            <w:r/>
          </w:p>
          <w:p>
            <w:pPr>
              <w:spacing w:line="360" w:lineRule="auto"/>
              <w:tabs>
                <w:tab w:val="left" w:pos="851" w:leader="none"/>
              </w:tabs>
              <w:rPr>
                <w:rFonts w:ascii="宋体" w:hAnsi="宋体"/>
                <w:color w:val="0d0d0d"/>
                <w:sz w:val="24"/>
                <w:szCs w:val="24"/>
                <w:highlight w:val="none"/>
              </w:rPr>
            </w:pPr>
            <w:r>
              <w:rPr>
                <w:rFonts w:hint="eastAsia" w:ascii="宋体" w:hAnsi="宋体"/>
                <w:color w:val="0d0d0d"/>
                <w:sz w:val="24"/>
                <w:szCs w:val="24"/>
                <w:highlight w:val="none"/>
              </w:rPr>
              <w:t xml:space="preserve">2.6</w:t>
            </w:r>
            <w:r>
              <w:rPr>
                <w:rFonts w:ascii="宋体" w:hAnsi="宋体"/>
                <w:color w:val="0d0d0d"/>
                <w:sz w:val="24"/>
                <w:szCs w:val="24"/>
                <w:highlight w:val="none"/>
              </w:rPr>
              <w:t xml:space="preserve">.1光源：氙灯</w:t>
            </w:r>
            <w:r>
              <w:rPr>
                <w:rFonts w:hint="eastAsia" w:ascii="宋体" w:hAnsi="宋体"/>
                <w:color w:val="0d0d0d"/>
                <w:sz w:val="24"/>
                <w:szCs w:val="24"/>
                <w:highlight w:val="none"/>
              </w:rPr>
              <w:t xml:space="preserve">；</w:t>
            </w:r>
            <w:r>
              <w:rPr>
                <w:highlight w:val="none"/>
              </w:rPr>
            </w:r>
            <w:r/>
          </w:p>
          <w:p>
            <w:pPr>
              <w:spacing w:line="360" w:lineRule="auto"/>
              <w:tabs>
                <w:tab w:val="left" w:pos="851" w:leader="none"/>
              </w:tabs>
              <w:rPr>
                <w:rFonts w:ascii="宋体" w:hAnsi="宋体"/>
                <w:b/>
                <w:bCs/>
                <w:sz w:val="24"/>
                <w:szCs w:val="24"/>
                <w:highlight w:val="none"/>
              </w:rPr>
            </w:pPr>
            <w:r>
              <w:rPr>
                <w:rFonts w:ascii="仿宋" w:hAnsi="仿宋" w:eastAsia="仿宋" w:cs="仿宋"/>
                <w:sz w:val="24"/>
                <w:szCs w:val="24"/>
                <w:highlight w:val="none"/>
              </w:rPr>
              <w:t xml:space="preserve">▲</w:t>
            </w:r>
            <w:r>
              <w:rPr>
                <w:rFonts w:hint="eastAsia" w:ascii="宋体" w:hAnsi="宋体"/>
                <w:color w:val="0d0d0d"/>
                <w:sz w:val="24"/>
                <w:szCs w:val="24"/>
                <w:highlight w:val="none"/>
              </w:rPr>
              <w:t xml:space="preserve">2.6</w:t>
            </w:r>
            <w:r>
              <w:rPr>
                <w:rFonts w:ascii="宋体" w:hAnsi="宋体"/>
                <w:color w:val="0d0d0d"/>
                <w:sz w:val="24"/>
                <w:szCs w:val="24"/>
                <w:highlight w:val="none"/>
              </w:rPr>
              <w:t xml:space="preserve">.2激发波长：200-1200nm 发射波长：200-1200nm</w:t>
            </w:r>
            <w:r>
              <w:rPr>
                <w:rFonts w:hint="eastAsia" w:ascii="宋体" w:hAnsi="宋体"/>
                <w:color w:val="0d0d0d"/>
                <w:sz w:val="24"/>
                <w:szCs w:val="24"/>
                <w:highlight w:val="none"/>
              </w:rPr>
              <w:t xml:space="preserve">；</w:t>
            </w:r>
            <w:r>
              <w:rPr>
                <w:rFonts w:hint="eastAsia" w:ascii="宋体" w:hAnsi="宋体"/>
                <w:b/>
                <w:bCs/>
                <w:color w:val="0d0d0d"/>
                <w:sz w:val="24"/>
                <w:szCs w:val="24"/>
                <w:highlight w:val="none"/>
              </w:rPr>
              <w:t xml:space="preserve">（</w:t>
            </w:r>
            <w:r>
              <w:rPr>
                <w:rFonts w:hint="eastAsia" w:ascii="宋体" w:hAnsi="宋体"/>
                <w:b/>
                <w:bCs/>
                <w:sz w:val="24"/>
                <w:szCs w:val="24"/>
                <w:highlight w:val="none"/>
              </w:rPr>
              <w:t xml:space="preserve">提供性能参数及网页截图作为证明材料)</w:t>
            </w:r>
            <w:r>
              <w:rPr>
                <w:highlight w:val="none"/>
              </w:rPr>
            </w:r>
            <w:r/>
          </w:p>
          <w:p>
            <w:pPr>
              <w:spacing w:line="360" w:lineRule="auto"/>
              <w:tabs>
                <w:tab w:val="left" w:pos="851" w:leader="none"/>
              </w:tabs>
              <w:rPr>
                <w:rFonts w:ascii="宋体" w:hAnsi="宋体"/>
                <w:b/>
                <w:bCs/>
                <w:sz w:val="24"/>
                <w:szCs w:val="24"/>
                <w:highlight w:val="none"/>
              </w:rPr>
            </w:pPr>
            <w:r>
              <w:rPr>
                <w:rFonts w:ascii="仿宋" w:hAnsi="仿宋" w:eastAsia="仿宋" w:cs="仿宋"/>
                <w:sz w:val="24"/>
                <w:szCs w:val="24"/>
                <w:highlight w:val="none"/>
              </w:rPr>
              <w:t xml:space="preserve">▲</w:t>
            </w:r>
            <w:r>
              <w:rPr>
                <w:rFonts w:hint="eastAsia" w:ascii="宋体" w:hAnsi="宋体"/>
                <w:color w:val="0d0d0d"/>
                <w:sz w:val="24"/>
                <w:szCs w:val="24"/>
                <w:highlight w:val="none"/>
              </w:rPr>
              <w:t xml:space="preserve">2.6</w:t>
            </w:r>
            <w:r>
              <w:rPr>
                <w:rFonts w:ascii="宋体" w:hAnsi="宋体"/>
                <w:color w:val="0d0d0d"/>
                <w:sz w:val="24"/>
                <w:szCs w:val="24"/>
                <w:highlight w:val="none"/>
              </w:rPr>
              <w:t xml:space="preserve">.3 灵敏度：水拉曼峰的信噪比≥3000：1</w:t>
            </w:r>
            <w:r>
              <w:rPr>
                <w:rFonts w:hint="eastAsia" w:ascii="宋体" w:hAnsi="宋体"/>
                <w:color w:val="0d0d0d"/>
                <w:sz w:val="24"/>
                <w:szCs w:val="24"/>
                <w:highlight w:val="none"/>
              </w:rPr>
              <w:t xml:space="preserve">；</w:t>
            </w:r>
            <w:r>
              <w:rPr>
                <w:rFonts w:hint="eastAsia" w:ascii="宋体" w:hAnsi="宋体"/>
                <w:b/>
                <w:bCs/>
                <w:color w:val="0d0d0d"/>
                <w:sz w:val="24"/>
                <w:szCs w:val="24"/>
                <w:highlight w:val="none"/>
              </w:rPr>
              <w:t xml:space="preserve">（</w:t>
            </w:r>
            <w:r>
              <w:rPr>
                <w:rFonts w:hint="eastAsia" w:ascii="宋体" w:hAnsi="宋体"/>
                <w:b/>
                <w:bCs/>
                <w:sz w:val="24"/>
                <w:szCs w:val="24"/>
                <w:highlight w:val="none"/>
              </w:rPr>
              <w:t xml:space="preserve">提供性能参数及网页截图作为证明材料)</w:t>
            </w:r>
            <w:r>
              <w:rPr>
                <w:highlight w:val="none"/>
              </w:rPr>
            </w:r>
            <w:r/>
          </w:p>
          <w:p>
            <w:pPr>
              <w:spacing w:line="360" w:lineRule="auto"/>
              <w:tabs>
                <w:tab w:val="left" w:pos="851" w:leader="none"/>
              </w:tabs>
              <w:rPr>
                <w:rFonts w:ascii="宋体" w:hAnsi="宋体"/>
                <w:color w:val="0d0d0d"/>
                <w:sz w:val="24"/>
                <w:szCs w:val="24"/>
                <w:highlight w:val="none"/>
              </w:rPr>
            </w:pPr>
            <w:r>
              <w:rPr>
                <w:rFonts w:hint="eastAsia" w:ascii="宋体" w:hAnsi="宋体"/>
                <w:color w:val="0d0d0d"/>
                <w:sz w:val="24"/>
                <w:szCs w:val="24"/>
                <w:highlight w:val="none"/>
              </w:rPr>
              <w:t xml:space="preserve">2.6</w:t>
            </w:r>
            <w:r>
              <w:rPr>
                <w:rFonts w:ascii="宋体" w:hAnsi="宋体"/>
                <w:color w:val="0d0d0d"/>
                <w:sz w:val="24"/>
                <w:szCs w:val="24"/>
                <w:highlight w:val="none"/>
              </w:rPr>
              <w:t xml:space="preserve">.4波长重现性：≤±0.20nm</w:t>
            </w:r>
            <w:r>
              <w:rPr>
                <w:rFonts w:hint="eastAsia" w:ascii="宋体" w:hAnsi="宋体"/>
                <w:color w:val="0d0d0d"/>
                <w:sz w:val="24"/>
                <w:szCs w:val="24"/>
                <w:highlight w:val="none"/>
              </w:rPr>
              <w:t xml:space="preserve">；</w:t>
            </w:r>
            <w:r>
              <w:rPr>
                <w:highlight w:val="none"/>
              </w:rPr>
            </w:r>
            <w:r/>
          </w:p>
          <w:p>
            <w:pPr>
              <w:spacing w:line="360" w:lineRule="auto"/>
              <w:rPr>
                <w:rFonts w:ascii="宋体" w:hAnsi="宋体"/>
                <w:color w:val="0d0d0d"/>
                <w:sz w:val="24"/>
                <w:szCs w:val="24"/>
                <w:highlight w:val="none"/>
              </w:rPr>
            </w:pPr>
            <w:r>
              <w:rPr>
                <w:rFonts w:hint="eastAsia" w:ascii="宋体" w:hAnsi="宋体"/>
                <w:color w:val="0d0d0d"/>
                <w:sz w:val="24"/>
                <w:szCs w:val="24"/>
                <w:highlight w:val="none"/>
              </w:rPr>
              <w:t xml:space="preserve">2.6</w:t>
            </w:r>
            <w:r>
              <w:rPr>
                <w:rFonts w:ascii="宋体" w:hAnsi="宋体"/>
                <w:color w:val="0d0d0d"/>
                <w:sz w:val="24"/>
                <w:szCs w:val="24"/>
                <w:highlight w:val="none"/>
              </w:rPr>
              <w:t xml:space="preserve">.5波长准确度：≤±3nm</w:t>
            </w:r>
            <w:r>
              <w:rPr>
                <w:rFonts w:hint="eastAsia" w:ascii="宋体" w:hAnsi="宋体"/>
                <w:color w:val="0d0d0d"/>
                <w:sz w:val="24"/>
                <w:szCs w:val="24"/>
                <w:highlight w:val="none"/>
              </w:rPr>
              <w:t xml:space="preserve">；</w:t>
            </w:r>
            <w:r>
              <w:rPr>
                <w:highlight w:val="none"/>
              </w:rPr>
            </w:r>
            <w:r/>
          </w:p>
          <w:p>
            <w:pPr>
              <w:spacing w:line="360" w:lineRule="auto"/>
              <w:rPr>
                <w:rFonts w:ascii="宋体" w:hAnsi="宋体"/>
                <w:color w:val="0d0d0d"/>
                <w:sz w:val="24"/>
                <w:szCs w:val="24"/>
                <w:highlight w:val="none"/>
              </w:rPr>
            </w:pPr>
            <w:r>
              <w:rPr>
                <w:rFonts w:hint="eastAsia" w:ascii="宋体" w:hAnsi="宋体"/>
                <w:color w:val="0d0d0d"/>
                <w:sz w:val="24"/>
                <w:szCs w:val="24"/>
                <w:highlight w:val="none"/>
              </w:rPr>
              <w:t xml:space="preserve">2.7</w:t>
            </w:r>
            <w:r>
              <w:rPr>
                <w:rFonts w:ascii="宋体" w:hAnsi="宋体"/>
                <w:color w:val="0d0d0d"/>
                <w:sz w:val="24"/>
                <w:szCs w:val="24"/>
                <w:highlight w:val="none"/>
              </w:rPr>
              <w:t xml:space="preserve">软件</w:t>
            </w:r>
            <w:r>
              <w:rPr>
                <w:rFonts w:hint="eastAsia" w:ascii="宋体" w:hAnsi="宋体"/>
                <w:color w:val="0d0d0d"/>
                <w:sz w:val="24"/>
                <w:szCs w:val="24"/>
                <w:highlight w:val="none"/>
              </w:rPr>
              <w:t xml:space="preserve">功能</w:t>
            </w:r>
            <w:r>
              <w:rPr>
                <w:highlight w:val="none"/>
              </w:rPr>
            </w:r>
            <w:r/>
          </w:p>
          <w:p>
            <w:pPr>
              <w:spacing w:line="360" w:lineRule="auto"/>
              <w:rPr>
                <w:rFonts w:ascii="宋体" w:hAnsi="宋体"/>
                <w:color w:val="0d0d0d"/>
                <w:sz w:val="24"/>
                <w:szCs w:val="24"/>
                <w:highlight w:val="none"/>
              </w:rPr>
            </w:pPr>
            <w:r>
              <w:rPr>
                <w:rFonts w:hint="eastAsia" w:ascii="宋体" w:hAnsi="宋体"/>
                <w:color w:val="0d0d0d"/>
                <w:sz w:val="24"/>
                <w:szCs w:val="24"/>
                <w:highlight w:val="none"/>
              </w:rPr>
              <w:t xml:space="preserve">2.7</w:t>
            </w:r>
            <w:r>
              <w:rPr>
                <w:rFonts w:ascii="宋体" w:hAnsi="宋体"/>
                <w:color w:val="0d0d0d"/>
                <w:sz w:val="24"/>
                <w:szCs w:val="24"/>
                <w:highlight w:val="none"/>
              </w:rPr>
              <w:t xml:space="preserve">.1具有审计跟踪功能并且能对审计跟踪的结果电子签名</w:t>
            </w:r>
            <w:r>
              <w:rPr>
                <w:rFonts w:hint="eastAsia" w:ascii="宋体" w:hAnsi="宋体"/>
                <w:color w:val="0d0d0d"/>
                <w:sz w:val="24"/>
                <w:szCs w:val="24"/>
                <w:highlight w:val="none"/>
              </w:rPr>
              <w:t xml:space="preserve">；</w:t>
            </w:r>
            <w:r>
              <w:rPr>
                <w:highlight w:val="none"/>
              </w:rPr>
            </w:r>
            <w:r/>
          </w:p>
          <w:p>
            <w:pPr>
              <w:spacing w:line="360" w:lineRule="auto"/>
              <w:rPr>
                <w:rFonts w:ascii="宋体" w:hAnsi="宋体"/>
                <w:color w:val="0d0d0d"/>
                <w:sz w:val="24"/>
                <w:szCs w:val="24"/>
                <w:highlight w:val="none"/>
              </w:rPr>
            </w:pPr>
            <w:r>
              <w:rPr>
                <w:rFonts w:hint="eastAsia" w:ascii="宋体" w:hAnsi="宋体"/>
                <w:color w:val="0d0d0d"/>
                <w:sz w:val="24"/>
                <w:szCs w:val="24"/>
                <w:highlight w:val="none"/>
              </w:rPr>
              <w:t xml:space="preserve">2.7</w:t>
            </w:r>
            <w:r>
              <w:rPr>
                <w:rFonts w:ascii="宋体" w:hAnsi="宋体"/>
                <w:color w:val="0d0d0d"/>
                <w:sz w:val="24"/>
                <w:szCs w:val="24"/>
                <w:highlight w:val="none"/>
              </w:rPr>
              <w:t xml:space="preserve">.2具有5级权限管理</w:t>
            </w:r>
            <w:r>
              <w:rPr>
                <w:rFonts w:hint="eastAsia" w:ascii="宋体" w:hAnsi="宋体"/>
                <w:color w:val="0d0d0d"/>
                <w:sz w:val="24"/>
                <w:szCs w:val="24"/>
                <w:highlight w:val="none"/>
              </w:rPr>
              <w:t xml:space="preserve">；</w:t>
            </w:r>
            <w:r>
              <w:rPr>
                <w:highlight w:val="none"/>
              </w:rPr>
            </w:r>
            <w:r/>
          </w:p>
          <w:p>
            <w:pPr>
              <w:spacing w:line="360" w:lineRule="auto"/>
              <w:rPr>
                <w:rFonts w:ascii="宋体" w:hAnsi="宋体"/>
                <w:color w:val="0d0d0d"/>
                <w:sz w:val="24"/>
                <w:szCs w:val="24"/>
                <w:highlight w:val="none"/>
              </w:rPr>
            </w:pPr>
            <w:r>
              <w:rPr>
                <w:rFonts w:hint="eastAsia" w:ascii="宋体" w:hAnsi="宋体"/>
                <w:color w:val="0d0d0d"/>
                <w:sz w:val="24"/>
                <w:szCs w:val="24"/>
                <w:highlight w:val="none"/>
              </w:rPr>
              <w:t xml:space="preserve">2.7</w:t>
            </w:r>
            <w:r>
              <w:rPr>
                <w:rFonts w:ascii="宋体" w:hAnsi="宋体"/>
                <w:color w:val="0d0d0d"/>
                <w:sz w:val="24"/>
                <w:szCs w:val="24"/>
                <w:highlight w:val="none"/>
              </w:rPr>
              <w:t xml:space="preserve">.3采用LAN通讯方式，保证数据真正意义的数字化和网络化，可连接单元数量不受控制，充分满足设备对升级的需要</w:t>
            </w:r>
            <w:r>
              <w:rPr>
                <w:rFonts w:hint="eastAsia" w:ascii="宋体" w:hAnsi="宋体"/>
                <w:color w:val="0d0d0d"/>
                <w:sz w:val="24"/>
                <w:szCs w:val="24"/>
                <w:highlight w:val="none"/>
              </w:rPr>
              <w:t xml:space="preserve">；</w:t>
            </w:r>
            <w:r>
              <w:rPr>
                <w:highlight w:val="none"/>
              </w:rPr>
            </w:r>
            <w:r/>
          </w:p>
          <w:p>
            <w:pPr>
              <w:spacing w:line="360" w:lineRule="auto"/>
              <w:rPr>
                <w:rFonts w:ascii="宋体" w:hAnsi="宋体"/>
                <w:color w:val="0d0d0d"/>
                <w:sz w:val="24"/>
                <w:szCs w:val="24"/>
                <w:highlight w:val="none"/>
              </w:rPr>
            </w:pPr>
            <w:r>
              <w:rPr>
                <w:rFonts w:hint="eastAsia" w:ascii="宋体" w:hAnsi="宋体"/>
                <w:color w:val="0d0d0d"/>
                <w:sz w:val="24"/>
                <w:szCs w:val="24"/>
                <w:highlight w:val="none"/>
              </w:rPr>
              <w:t xml:space="preserve">2.7</w:t>
            </w:r>
            <w:r>
              <w:rPr>
                <w:rFonts w:ascii="宋体" w:hAnsi="宋体"/>
                <w:color w:val="0d0d0d"/>
                <w:sz w:val="24"/>
                <w:szCs w:val="24"/>
                <w:highlight w:val="none"/>
              </w:rPr>
              <w:t xml:space="preserve">.4报告：内置多种报告格式，可自动生成系统适应性报告，峰纯度报告，光谱检索报告等，用户可编辑个性化的报告模板</w:t>
            </w:r>
            <w:r>
              <w:rPr>
                <w:rFonts w:hint="eastAsia" w:ascii="宋体" w:hAnsi="宋体"/>
                <w:color w:val="0d0d0d"/>
                <w:sz w:val="24"/>
                <w:szCs w:val="24"/>
                <w:highlight w:val="none"/>
              </w:rPr>
              <w:t xml:space="preserve">；</w:t>
            </w:r>
            <w:r>
              <w:rPr>
                <w:highlight w:val="none"/>
              </w:rPr>
            </w:r>
            <w:r/>
          </w:p>
          <w:p>
            <w:pPr>
              <w:spacing w:line="360" w:lineRule="auto"/>
              <w:rPr>
                <w:rFonts w:ascii="宋体" w:hAnsi="宋体"/>
                <w:color w:val="0d0d0d"/>
                <w:sz w:val="24"/>
                <w:szCs w:val="24"/>
                <w:highlight w:val="none"/>
              </w:rPr>
            </w:pPr>
            <w:r>
              <w:rPr>
                <w:rFonts w:hint="eastAsia" w:ascii="宋体" w:hAnsi="宋体"/>
                <w:color w:val="0d0d0d"/>
                <w:sz w:val="24"/>
                <w:szCs w:val="24"/>
                <w:highlight w:val="none"/>
              </w:rPr>
              <w:t xml:space="preserve">2.7</w:t>
            </w:r>
            <w:r>
              <w:rPr>
                <w:rFonts w:ascii="宋体" w:hAnsi="宋体"/>
                <w:color w:val="0d0d0d"/>
                <w:sz w:val="24"/>
                <w:szCs w:val="24"/>
                <w:highlight w:val="none"/>
              </w:rPr>
              <w:t xml:space="preserve">.5维护信息预报系统（EMF）：提供消耗元件累计使用情况，以便及时进行系统预防性维护</w:t>
            </w:r>
            <w:r>
              <w:rPr>
                <w:rFonts w:hint="eastAsia" w:ascii="宋体" w:hAnsi="宋体"/>
                <w:color w:val="0d0d0d"/>
                <w:sz w:val="24"/>
                <w:szCs w:val="24"/>
                <w:highlight w:val="none"/>
              </w:rPr>
              <w:t xml:space="preserve">；</w:t>
            </w:r>
            <w:r>
              <w:rPr>
                <w:highlight w:val="none"/>
              </w:rPr>
            </w:r>
            <w:r/>
          </w:p>
          <w:p>
            <w:pPr>
              <w:spacing w:line="360" w:lineRule="auto"/>
              <w:rPr>
                <w:rFonts w:ascii="宋体" w:hAnsi="宋体"/>
                <w:color w:val="0d0d0d"/>
                <w:sz w:val="24"/>
                <w:szCs w:val="24"/>
                <w:highlight w:val="none"/>
              </w:rPr>
            </w:pPr>
            <w:r>
              <w:rPr>
                <w:rFonts w:hint="eastAsia" w:ascii="宋体" w:hAnsi="宋体"/>
                <w:color w:val="0d0d0d"/>
                <w:sz w:val="24"/>
                <w:szCs w:val="24"/>
                <w:highlight w:val="none"/>
              </w:rPr>
              <w:t xml:space="preserve">2.7.6</w:t>
            </w:r>
            <w:r>
              <w:rPr>
                <w:rFonts w:ascii="宋体" w:hAnsi="宋体"/>
                <w:color w:val="0d0d0d"/>
                <w:sz w:val="24"/>
                <w:szCs w:val="24"/>
                <w:highlight w:val="none"/>
              </w:rPr>
              <w:t xml:space="preserve">机载触摸屏</w:t>
            </w:r>
            <w:r>
              <w:rPr>
                <w:rFonts w:hint="eastAsia" w:ascii="宋体" w:hAnsi="宋体"/>
                <w:color w:val="0d0d0d"/>
                <w:sz w:val="24"/>
                <w:szCs w:val="24"/>
                <w:highlight w:val="none"/>
              </w:rPr>
              <w:t xml:space="preserve">（可拆卸，随意移动等功能）</w:t>
            </w:r>
            <w:r>
              <w:rPr>
                <w:rFonts w:ascii="宋体" w:hAnsi="宋体"/>
                <w:color w:val="0d0d0d"/>
                <w:sz w:val="24"/>
                <w:szCs w:val="24"/>
                <w:highlight w:val="none"/>
              </w:rPr>
              <w:t xml:space="preserve"> 可简化</w:t>
            </w:r>
            <w:r>
              <w:rPr>
                <w:rFonts w:hint="eastAsia" w:ascii="宋体" w:hAnsi="宋体"/>
                <w:color w:val="0d0d0d"/>
                <w:sz w:val="24"/>
                <w:szCs w:val="24"/>
                <w:highlight w:val="none"/>
              </w:rPr>
              <w:t xml:space="preserve">高效液相色谱仪</w:t>
            </w:r>
            <w:r>
              <w:rPr>
                <w:rFonts w:ascii="宋体" w:hAnsi="宋体"/>
                <w:color w:val="0d0d0d"/>
                <w:sz w:val="24"/>
                <w:szCs w:val="24"/>
                <w:highlight w:val="none"/>
              </w:rPr>
              <w:t xml:space="preserve">常规任务，缩短操作人员所需的分析时间，</w:t>
            </w:r>
            <w:r>
              <w:rPr>
                <w:rFonts w:hint="eastAsia" w:ascii="宋体" w:hAnsi="宋体"/>
                <w:color w:val="0d0d0d"/>
                <w:sz w:val="24"/>
                <w:szCs w:val="24"/>
                <w:highlight w:val="none"/>
              </w:rPr>
              <w:t xml:space="preserve">提高工作效率；</w:t>
            </w:r>
            <w:r>
              <w:rPr>
                <w:highlight w:val="none"/>
              </w:rPr>
            </w:r>
            <w:r/>
          </w:p>
          <w:p>
            <w:pPr>
              <w:spacing w:line="360" w:lineRule="auto"/>
              <w:rPr>
                <w:rFonts w:ascii="宋体" w:hAnsi="宋体"/>
                <w:color w:val="0d0d0d"/>
                <w:sz w:val="24"/>
                <w:szCs w:val="24"/>
                <w:highlight w:val="none"/>
              </w:rPr>
            </w:pPr>
            <w:r>
              <w:rPr>
                <w:rFonts w:hint="eastAsia" w:ascii="宋体" w:hAnsi="宋体"/>
                <w:color w:val="0d0d0d"/>
                <w:sz w:val="24"/>
                <w:szCs w:val="24"/>
                <w:highlight w:val="none"/>
              </w:rPr>
              <w:t xml:space="preserve">2.7.7</w:t>
            </w:r>
            <w:r>
              <w:rPr>
                <w:rFonts w:ascii="宋体" w:hAnsi="宋体"/>
                <w:color w:val="0d0d0d"/>
                <w:sz w:val="24"/>
                <w:szCs w:val="24"/>
                <w:highlight w:val="none"/>
              </w:rPr>
              <w:t xml:space="preserve">机载触摸屏自动化</w:t>
            </w:r>
            <w:r>
              <w:rPr>
                <w:rFonts w:hint="eastAsia" w:ascii="宋体" w:hAnsi="宋体"/>
                <w:color w:val="0d0d0d"/>
                <w:sz w:val="24"/>
                <w:szCs w:val="24"/>
                <w:highlight w:val="none"/>
              </w:rPr>
              <w:t xml:space="preserve">高效液相色谱仪</w:t>
            </w:r>
            <w:r>
              <w:rPr>
                <w:rFonts w:ascii="宋体" w:hAnsi="宋体"/>
                <w:color w:val="0d0d0d"/>
                <w:sz w:val="24"/>
                <w:szCs w:val="24"/>
                <w:highlight w:val="none"/>
              </w:rPr>
              <w:t xml:space="preserve">工作流程、实时数据显示和辅助故障排除确保无缝操作</w:t>
            </w:r>
            <w:r>
              <w:rPr>
                <w:rFonts w:hint="eastAsia" w:ascii="宋体" w:hAnsi="宋体"/>
                <w:color w:val="0d0d0d"/>
                <w:sz w:val="24"/>
                <w:szCs w:val="24"/>
                <w:highlight w:val="none"/>
              </w:rPr>
              <w:t xml:space="preserve">；</w:t>
            </w:r>
            <w:r>
              <w:rPr>
                <w:highlight w:val="none"/>
              </w:rPr>
            </w:r>
            <w:r/>
          </w:p>
          <w:p>
            <w:pPr>
              <w:spacing w:line="360" w:lineRule="auto"/>
              <w:rPr>
                <w:rFonts w:ascii="宋体" w:hAnsi="宋体"/>
                <w:color w:val="0d0d0d"/>
                <w:sz w:val="24"/>
                <w:szCs w:val="24"/>
                <w:highlight w:val="none"/>
              </w:rPr>
            </w:pPr>
            <w:r>
              <w:rPr>
                <w:rFonts w:hint="eastAsia" w:ascii="宋体" w:hAnsi="宋体"/>
                <w:color w:val="0d0d0d"/>
                <w:sz w:val="24"/>
                <w:szCs w:val="24"/>
                <w:highlight w:val="none"/>
              </w:rPr>
              <w:t xml:space="preserve">2.7.8</w:t>
            </w:r>
            <w:r>
              <w:rPr>
                <w:rFonts w:ascii="宋体" w:hAnsi="宋体"/>
                <w:color w:val="0d0d0d"/>
                <w:sz w:val="24"/>
                <w:szCs w:val="24"/>
                <w:highlight w:val="none"/>
              </w:rPr>
              <w:t xml:space="preserve">通过机载触摸屏或远程访问，用户可以将关注点从手动任务转移到改善</w:t>
            </w:r>
            <w:r>
              <w:rPr>
                <w:rFonts w:hint="eastAsia" w:ascii="宋体" w:hAnsi="宋体"/>
                <w:color w:val="0d0d0d"/>
                <w:sz w:val="24"/>
                <w:szCs w:val="24"/>
                <w:highlight w:val="none"/>
              </w:rPr>
              <w:t xml:space="preserve">高效液相色谱仪</w:t>
            </w:r>
            <w:r>
              <w:rPr>
                <w:rFonts w:ascii="宋体" w:hAnsi="宋体"/>
                <w:color w:val="0d0d0d"/>
                <w:sz w:val="24"/>
                <w:szCs w:val="24"/>
                <w:highlight w:val="none"/>
              </w:rPr>
              <w:t xml:space="preserve">结果上</w:t>
            </w:r>
            <w:r>
              <w:rPr>
                <w:rFonts w:hint="eastAsia" w:ascii="宋体" w:hAnsi="宋体"/>
                <w:color w:val="0d0d0d"/>
                <w:sz w:val="24"/>
                <w:szCs w:val="24"/>
                <w:highlight w:val="none"/>
              </w:rPr>
              <w:t xml:space="preserve">。同时可</w:t>
            </w:r>
            <w:r>
              <w:rPr>
                <w:rFonts w:ascii="宋体" w:hAnsi="宋体"/>
                <w:color w:val="0d0d0d"/>
                <w:sz w:val="24"/>
                <w:szCs w:val="24"/>
                <w:highlight w:val="none"/>
              </w:rPr>
              <w:t xml:space="preserve">实时数据显示为用户提供即时系统信息、趋势以及故障排除和维护任务的辅助指导</w:t>
            </w:r>
            <w:r>
              <w:rPr>
                <w:rFonts w:hint="eastAsia" w:ascii="宋体" w:hAnsi="宋体"/>
                <w:color w:val="0d0d0d"/>
                <w:sz w:val="24"/>
                <w:szCs w:val="24"/>
                <w:highlight w:val="none"/>
              </w:rPr>
              <w:t xml:space="preserve">；</w:t>
            </w:r>
            <w:r>
              <w:rPr>
                <w:highlight w:val="none"/>
              </w:rPr>
            </w:r>
            <w:r/>
          </w:p>
          <w:p>
            <w:pPr>
              <w:spacing w:line="360" w:lineRule="auto"/>
              <w:rPr>
                <w:rFonts w:ascii="宋体" w:hAnsi="宋体" w:cs="宋体"/>
                <w:sz w:val="24"/>
                <w:szCs w:val="24"/>
                <w:highlight w:val="none"/>
              </w:rPr>
            </w:pPr>
            <w:r>
              <w:rPr>
                <w:rFonts w:hint="eastAsia" w:ascii="宋体" w:hAnsi="宋体"/>
                <w:color w:val="0d0d0d"/>
                <w:sz w:val="24"/>
                <w:szCs w:val="24"/>
                <w:highlight w:val="none"/>
              </w:rPr>
              <w:t xml:space="preserve">3、台式冷冻型离心机</w:t>
            </w:r>
            <w:r>
              <w:rPr>
                <w:highlight w:val="none"/>
              </w:rPr>
            </w:r>
            <w:r/>
          </w:p>
          <w:p>
            <w:pPr>
              <w:spacing w:line="360" w:lineRule="auto"/>
              <w:rPr>
                <w:rFonts w:ascii="宋体" w:hAnsi="宋体" w:cs="宋体"/>
                <w:bCs/>
                <w:sz w:val="24"/>
                <w:szCs w:val="24"/>
                <w:highlight w:val="none"/>
              </w:rPr>
              <w:outlineLvl w:val="0"/>
            </w:pPr>
            <w:r>
              <w:rPr>
                <w:rFonts w:ascii="仿宋" w:hAnsi="仿宋" w:eastAsia="仿宋" w:cs="仿宋"/>
                <w:bCs/>
                <w:sz w:val="24"/>
                <w:szCs w:val="44"/>
                <w:highlight w:val="none"/>
              </w:rPr>
              <w:t xml:space="preserve">▲</w:t>
            </w:r>
            <w:r>
              <w:rPr>
                <w:rFonts w:hint="eastAsia" w:ascii="宋体" w:hAnsi="宋体" w:cs="宋体"/>
                <w:bCs/>
                <w:sz w:val="24"/>
                <w:szCs w:val="24"/>
                <w:highlight w:val="none"/>
              </w:rPr>
              <w:t xml:space="preserve">3.1最高转速： ≥15200rpm ； </w:t>
            </w:r>
            <w:r>
              <w:rPr>
                <w:highlight w:val="none"/>
              </w:rPr>
            </w:r>
            <w:r/>
          </w:p>
          <w:p>
            <w:pPr>
              <w:spacing w:line="360" w:lineRule="auto"/>
              <w:rPr>
                <w:rFonts w:ascii="宋体" w:hAnsi="宋体" w:cs="宋体"/>
                <w:bCs/>
                <w:sz w:val="24"/>
                <w:szCs w:val="24"/>
                <w:highlight w:val="none"/>
              </w:rPr>
              <w:outlineLvl w:val="0"/>
            </w:pPr>
            <w:r>
              <w:rPr>
                <w:rFonts w:hint="eastAsia" w:ascii="宋体" w:hAnsi="宋体" w:cs="宋体"/>
                <w:bCs/>
                <w:sz w:val="24"/>
                <w:szCs w:val="24"/>
                <w:highlight w:val="none"/>
              </w:rPr>
              <w:t xml:space="preserve">3.2最大离心力：≥25830xg ；</w:t>
            </w:r>
            <w:r>
              <w:rPr>
                <w:highlight w:val="none"/>
              </w:rPr>
            </w:r>
            <w:r/>
          </w:p>
          <w:p>
            <w:pPr>
              <w:spacing w:line="360" w:lineRule="auto"/>
              <w:rPr>
                <w:rFonts w:ascii="宋体" w:hAnsi="宋体" w:cs="宋体"/>
                <w:bCs/>
                <w:sz w:val="24"/>
                <w:szCs w:val="24"/>
                <w:highlight w:val="none"/>
              </w:rPr>
              <w:outlineLvl w:val="0"/>
            </w:pPr>
            <w:r>
              <w:rPr>
                <w:rFonts w:hint="eastAsia" w:ascii="宋体" w:hAnsi="宋体" w:cs="宋体"/>
                <w:bCs/>
                <w:sz w:val="24"/>
                <w:szCs w:val="24"/>
                <w:highlight w:val="none"/>
              </w:rPr>
              <w:t xml:space="preserve">3.3最大容量:≥ 4×400mL；</w:t>
            </w:r>
            <w:r>
              <w:rPr>
                <w:highlight w:val="none"/>
              </w:rPr>
            </w:r>
            <w:r/>
          </w:p>
          <w:p>
            <w:pPr>
              <w:spacing w:line="360" w:lineRule="auto"/>
              <w:rPr>
                <w:rFonts w:ascii="宋体" w:hAnsi="宋体" w:cs="宋体"/>
                <w:bCs/>
                <w:sz w:val="24"/>
                <w:szCs w:val="24"/>
                <w:highlight w:val="none"/>
              </w:rPr>
              <w:outlineLvl w:val="0"/>
            </w:pPr>
            <w:r>
              <w:rPr>
                <w:rFonts w:hint="eastAsia" w:ascii="宋体" w:hAnsi="宋体" w:cs="宋体"/>
                <w:b/>
                <w:i/>
                <w:iCs/>
                <w:sz w:val="24"/>
                <w:szCs w:val="24"/>
                <w:highlight w:val="none"/>
                <w:u w:val="single"/>
              </w:rPr>
              <w:t xml:space="preserve">3.4温度设定范围：-10℃至+40℃；</w:t>
            </w:r>
            <w:r>
              <w:rPr>
                <w:highlight w:val="none"/>
              </w:rPr>
            </w:r>
            <w:r/>
          </w:p>
          <w:p>
            <w:pPr>
              <w:spacing w:line="360" w:lineRule="auto"/>
              <w:rPr>
                <w:rFonts w:ascii="宋体" w:hAnsi="宋体" w:cs="宋体"/>
                <w:bCs/>
                <w:sz w:val="24"/>
                <w:szCs w:val="24"/>
                <w:highlight w:val="none"/>
              </w:rPr>
              <w:outlineLvl w:val="0"/>
            </w:pPr>
            <w:r>
              <w:rPr>
                <w:rFonts w:hint="eastAsia" w:ascii="宋体" w:hAnsi="宋体" w:cs="宋体"/>
                <w:bCs/>
                <w:sz w:val="24"/>
                <w:szCs w:val="24"/>
                <w:highlight w:val="none"/>
              </w:rPr>
              <w:t xml:space="preserve">3.5加减速控制：9级加速,10级减速；</w:t>
            </w:r>
            <w:r>
              <w:rPr>
                <w:highlight w:val="none"/>
              </w:rPr>
            </w:r>
            <w:r/>
          </w:p>
          <w:p>
            <w:pPr>
              <w:spacing w:line="360" w:lineRule="auto"/>
              <w:rPr>
                <w:rFonts w:ascii="宋体" w:hAnsi="宋体" w:cs="宋体"/>
                <w:bCs/>
                <w:sz w:val="24"/>
                <w:szCs w:val="24"/>
                <w:highlight w:val="none"/>
              </w:rPr>
              <w:outlineLvl w:val="0"/>
            </w:pPr>
            <w:r>
              <w:rPr>
                <w:rFonts w:hint="eastAsia" w:ascii="宋体" w:hAnsi="宋体" w:cs="宋体"/>
                <w:bCs/>
                <w:sz w:val="24"/>
                <w:szCs w:val="24"/>
                <w:highlight w:val="none"/>
              </w:rPr>
              <w:t xml:space="preserve">3.6转头锁定系统：Auto-Lock转头自锁，具有转头自动锁定装置，可以在3秒内实现转头的安全锁定&amp;转头更换；</w:t>
            </w:r>
            <w:r>
              <w:rPr>
                <w:highlight w:val="none"/>
              </w:rPr>
            </w:r>
            <w:r/>
          </w:p>
          <w:p>
            <w:pPr>
              <w:spacing w:line="360" w:lineRule="auto"/>
              <w:rPr>
                <w:rFonts w:ascii="宋体" w:hAnsi="宋体" w:cs="宋体"/>
                <w:bCs/>
                <w:sz w:val="24"/>
                <w:szCs w:val="24"/>
                <w:highlight w:val="none"/>
              </w:rPr>
              <w:outlineLvl w:val="0"/>
            </w:pPr>
            <w:r>
              <w:rPr>
                <w:rFonts w:hint="eastAsia" w:ascii="宋体" w:hAnsi="宋体" w:cs="宋体"/>
                <w:bCs/>
                <w:sz w:val="24"/>
                <w:szCs w:val="24"/>
                <w:highlight w:val="none"/>
              </w:rPr>
              <w:t xml:space="preserve">3.7生物安全性保证：提供所有转子的防生物污染密封盖</w:t>
            </w:r>
            <w:r>
              <w:rPr>
                <w:rFonts w:hint="eastAsia" w:ascii="宋体" w:hAnsi="宋体" w:cs="宋体"/>
                <w:b/>
                <w:sz w:val="24"/>
                <w:szCs w:val="24"/>
                <w:highlight w:val="none"/>
              </w:rPr>
              <w:t xml:space="preserve">（每个转头盖子提供经第三方认证的证书）</w:t>
            </w:r>
            <w:r>
              <w:rPr>
                <w:rFonts w:hint="eastAsia" w:ascii="宋体" w:hAnsi="宋体" w:cs="宋体"/>
                <w:bCs/>
                <w:sz w:val="24"/>
                <w:szCs w:val="24"/>
                <w:highlight w:val="none"/>
              </w:rPr>
              <w:t xml:space="preserve">。可以单手操作，无需旋盖及搭扣，并可以确保密封；</w:t>
            </w:r>
            <w:r>
              <w:rPr>
                <w:highlight w:val="none"/>
              </w:rPr>
            </w:r>
            <w:r/>
          </w:p>
          <w:p>
            <w:pPr>
              <w:spacing w:line="360" w:lineRule="auto"/>
              <w:rPr>
                <w:rFonts w:ascii="宋体" w:hAnsi="宋体" w:cs="宋体"/>
                <w:bCs/>
                <w:sz w:val="24"/>
                <w:szCs w:val="24"/>
                <w:highlight w:val="none"/>
              </w:rPr>
              <w:outlineLvl w:val="0"/>
            </w:pPr>
            <w:r>
              <w:rPr>
                <w:rFonts w:hint="eastAsia" w:ascii="宋体" w:hAnsi="宋体" w:cs="宋体"/>
                <w:bCs/>
                <w:sz w:val="24"/>
                <w:szCs w:val="24"/>
                <w:highlight w:val="none"/>
              </w:rPr>
              <w:t xml:space="preserve">3.8驱动系统：无碳刷大力矩电机直接驱动；</w:t>
            </w:r>
            <w:r>
              <w:rPr>
                <w:highlight w:val="none"/>
              </w:rPr>
            </w:r>
            <w:r/>
          </w:p>
          <w:p>
            <w:pPr>
              <w:spacing w:line="360" w:lineRule="auto"/>
              <w:rPr>
                <w:rFonts w:ascii="宋体" w:hAnsi="宋体" w:cs="宋体"/>
                <w:bCs/>
                <w:sz w:val="24"/>
                <w:szCs w:val="24"/>
                <w:highlight w:val="none"/>
              </w:rPr>
              <w:outlineLvl w:val="0"/>
            </w:pPr>
            <w:r>
              <w:rPr>
                <w:rFonts w:hint="eastAsia" w:ascii="宋体" w:hAnsi="宋体" w:cs="宋体"/>
                <w:bCs/>
                <w:sz w:val="24"/>
                <w:szCs w:val="24"/>
                <w:highlight w:val="none"/>
              </w:rPr>
              <w:t xml:space="preserve">3.9程序：6个快捷程序可一键调用，并具有1个快捷预冷程序</w:t>
            </w:r>
            <w:r>
              <w:rPr>
                <w:highlight w:val="none"/>
              </w:rPr>
            </w:r>
            <w:r/>
          </w:p>
          <w:p>
            <w:pPr>
              <w:spacing w:line="360" w:lineRule="auto"/>
              <w:rPr>
                <w:rFonts w:ascii="宋体" w:hAnsi="宋体" w:cs="宋体"/>
                <w:bCs/>
                <w:sz w:val="24"/>
                <w:szCs w:val="24"/>
                <w:highlight w:val="none"/>
              </w:rPr>
              <w:outlineLvl w:val="0"/>
            </w:pPr>
            <w:r>
              <w:rPr>
                <w:rFonts w:hint="eastAsia" w:ascii="宋体" w:hAnsi="宋体" w:cs="宋体"/>
                <w:bCs/>
                <w:sz w:val="24"/>
                <w:szCs w:val="24"/>
                <w:highlight w:val="none"/>
              </w:rPr>
              <w:t xml:space="preserve">3.10运行时间控制: 0-9小时59分钟；并具有瞬时离心及连续离心方式；</w:t>
            </w:r>
            <w:r>
              <w:rPr>
                <w:highlight w:val="none"/>
              </w:rPr>
            </w:r>
            <w:r/>
          </w:p>
          <w:p>
            <w:pPr>
              <w:spacing w:line="360" w:lineRule="auto"/>
              <w:rPr>
                <w:rFonts w:ascii="宋体" w:hAnsi="宋体" w:cs="宋体"/>
                <w:bCs/>
                <w:sz w:val="24"/>
                <w:szCs w:val="24"/>
                <w:highlight w:val="none"/>
              </w:rPr>
              <w:outlineLvl w:val="0"/>
            </w:pPr>
            <w:r>
              <w:rPr>
                <w:rFonts w:hint="eastAsia" w:ascii="宋体" w:hAnsi="宋体" w:cs="宋体"/>
                <w:bCs/>
                <w:sz w:val="24"/>
                <w:szCs w:val="24"/>
                <w:highlight w:val="none"/>
              </w:rPr>
              <w:t xml:space="preserve">3.11控制系统：微电脑控制, 数字液晶显示；可以同时显示设定和实际温度、速度、时间；可简单快捷设定运行条件和运行参数；</w:t>
            </w:r>
            <w:r>
              <w:rPr>
                <w:highlight w:val="none"/>
              </w:rPr>
            </w:r>
            <w:r/>
          </w:p>
          <w:p>
            <w:pPr>
              <w:spacing w:line="360" w:lineRule="auto"/>
              <w:rPr>
                <w:rFonts w:ascii="宋体" w:hAnsi="宋体" w:cs="宋体"/>
                <w:bCs/>
                <w:sz w:val="24"/>
                <w:szCs w:val="24"/>
                <w:highlight w:val="none"/>
              </w:rPr>
              <w:outlineLvl w:val="0"/>
            </w:pPr>
            <w:r>
              <w:rPr>
                <w:rFonts w:hint="eastAsia" w:ascii="宋体" w:hAnsi="宋体" w:cs="宋体"/>
                <w:bCs/>
                <w:sz w:val="24"/>
                <w:szCs w:val="24"/>
                <w:highlight w:val="none"/>
              </w:rPr>
              <w:t xml:space="preserve">3.12 自动性能：可选择在离心结束之后自动开盖；可选择在离心结束时声音提醒功能；</w:t>
            </w:r>
            <w:r>
              <w:rPr>
                <w:highlight w:val="none"/>
              </w:rPr>
            </w:r>
            <w:r/>
          </w:p>
          <w:p>
            <w:pPr>
              <w:spacing w:line="360" w:lineRule="auto"/>
              <w:rPr>
                <w:rFonts w:ascii="宋体" w:hAnsi="宋体" w:cs="宋体"/>
                <w:bCs/>
                <w:sz w:val="24"/>
                <w:szCs w:val="24"/>
                <w:highlight w:val="none"/>
              </w:rPr>
              <w:outlineLvl w:val="0"/>
            </w:pPr>
            <w:r>
              <w:rPr>
                <w:rFonts w:hint="eastAsia" w:ascii="宋体" w:hAnsi="宋体" w:cs="宋体"/>
                <w:bCs/>
                <w:sz w:val="24"/>
                <w:szCs w:val="24"/>
                <w:highlight w:val="none"/>
              </w:rPr>
              <w:t xml:space="preserve">3.13可选配转子数量: ≥15个，并且有非金属转头可供选配；</w:t>
            </w:r>
            <w:r>
              <w:rPr>
                <w:highlight w:val="none"/>
              </w:rPr>
            </w:r>
            <w:r/>
          </w:p>
          <w:p>
            <w:pPr>
              <w:spacing w:line="360" w:lineRule="auto"/>
              <w:rPr>
                <w:rFonts w:ascii="仿宋_GB2312" w:eastAsia="仿宋_GB2312"/>
                <w:bCs/>
                <w:sz w:val="28"/>
                <w:szCs w:val="44"/>
                <w:highlight w:val="none"/>
              </w:rPr>
              <w:outlineLvl w:val="0"/>
            </w:pPr>
            <w:r>
              <w:rPr>
                <w:rFonts w:hint="eastAsia" w:ascii="宋体" w:hAnsi="宋体" w:cs="宋体"/>
                <w:bCs/>
                <w:sz w:val="24"/>
                <w:szCs w:val="24"/>
                <w:highlight w:val="none"/>
              </w:rPr>
              <w:t xml:space="preserve">3.14配置： 主机1台、碳纤角转头1个、50ml 尖底管适配器1个、15ml尖底管适配器1个；</w:t>
            </w:r>
            <w:r>
              <w:rPr>
                <w:highlight w:val="none"/>
              </w:rPr>
            </w:r>
            <w:r/>
          </w:p>
          <w:p>
            <w:pPr>
              <w:spacing w:line="360" w:lineRule="auto"/>
              <w:widowControl/>
              <w:rPr>
                <w:rFonts w:ascii="宋体" w:hAnsi="宋体" w:cs="宋体"/>
                <w:bCs/>
                <w:color w:val="000000"/>
                <w:sz w:val="24"/>
                <w:szCs w:val="24"/>
                <w:highlight w:val="none"/>
              </w:rPr>
            </w:pPr>
            <w:r>
              <w:rPr>
                <w:rFonts w:hint="eastAsia" w:ascii="宋体" w:hAnsi="宋体" w:cs="宋体"/>
                <w:bCs/>
                <w:color w:val="000000"/>
                <w:sz w:val="24"/>
                <w:szCs w:val="24"/>
                <w:highlight w:val="none"/>
                <w:lang w:bidi="ar"/>
              </w:rPr>
              <w:t xml:space="preserve">4恒温数控超声波清洗器</w:t>
            </w:r>
            <w:r>
              <w:rPr>
                <w:highlight w:val="none"/>
              </w:rPr>
            </w:r>
            <w:r/>
          </w:p>
          <w:p>
            <w:pPr>
              <w:spacing w:line="360" w:lineRule="auto"/>
              <w:rPr>
                <w:rFonts w:ascii="宋体" w:hAnsi="宋体" w:cs="宋体"/>
                <w:bCs/>
                <w:sz w:val="24"/>
                <w:szCs w:val="24"/>
                <w:highlight w:val="none"/>
              </w:rPr>
              <w:outlineLvl w:val="0"/>
            </w:pPr>
            <w:r>
              <w:rPr>
                <w:rFonts w:hint="eastAsia" w:ascii="宋体" w:hAnsi="宋体" w:cs="宋体"/>
                <w:bCs/>
                <w:sz w:val="24"/>
                <w:szCs w:val="24"/>
                <w:highlight w:val="none"/>
                <w:lang w:bidi="ar"/>
              </w:rPr>
              <w:t xml:space="preserve">4.1电源：AC220V/50Hz；</w:t>
            </w:r>
            <w:r>
              <w:rPr>
                <w:highlight w:val="none"/>
              </w:rPr>
            </w:r>
            <w:r/>
          </w:p>
          <w:p>
            <w:pPr>
              <w:spacing w:line="360" w:lineRule="auto"/>
              <w:rPr>
                <w:rFonts w:ascii="宋体" w:hAnsi="宋体" w:cs="宋体"/>
                <w:bCs/>
                <w:sz w:val="24"/>
                <w:szCs w:val="24"/>
                <w:highlight w:val="none"/>
              </w:rPr>
              <w:outlineLvl w:val="0"/>
            </w:pPr>
            <w:r>
              <w:rPr>
                <w:rFonts w:hint="eastAsia" w:ascii="宋体" w:hAnsi="宋体" w:cs="宋体"/>
                <w:bCs/>
                <w:sz w:val="24"/>
                <w:szCs w:val="24"/>
                <w:highlight w:val="none"/>
                <w:lang w:bidi="ar"/>
              </w:rPr>
              <w:t xml:space="preserve">4.2容量：≥25L；</w:t>
            </w:r>
            <w:r>
              <w:rPr>
                <w:highlight w:val="none"/>
              </w:rPr>
            </w:r>
            <w:r/>
          </w:p>
          <w:p>
            <w:pPr>
              <w:spacing w:line="360" w:lineRule="auto"/>
              <w:rPr>
                <w:rFonts w:ascii="宋体" w:hAnsi="宋体" w:cs="宋体"/>
                <w:bCs/>
                <w:sz w:val="24"/>
                <w:szCs w:val="24"/>
                <w:highlight w:val="none"/>
              </w:rPr>
              <w:outlineLvl w:val="0"/>
            </w:pPr>
            <w:r>
              <w:rPr>
                <w:rFonts w:hint="eastAsia" w:ascii="宋体" w:hAnsi="宋体" w:cs="宋体"/>
                <w:bCs/>
                <w:sz w:val="24"/>
                <w:szCs w:val="24"/>
                <w:highlight w:val="none"/>
                <w:lang w:bidi="ar"/>
              </w:rPr>
              <w:t xml:space="preserve">4.3具备数显超温度、超电压、低水位、无溶液保护指示功能；</w:t>
            </w:r>
            <w:r>
              <w:rPr>
                <w:highlight w:val="none"/>
              </w:rPr>
            </w:r>
            <w:r/>
          </w:p>
          <w:p>
            <w:pPr>
              <w:spacing w:line="360" w:lineRule="auto"/>
              <w:rPr>
                <w:rFonts w:ascii="宋体" w:hAnsi="宋体" w:cs="宋体"/>
                <w:bCs/>
                <w:sz w:val="24"/>
                <w:szCs w:val="24"/>
                <w:highlight w:val="none"/>
              </w:rPr>
              <w:outlineLvl w:val="0"/>
            </w:pPr>
            <w:r>
              <w:rPr>
                <w:rFonts w:hint="eastAsia" w:ascii="宋体" w:hAnsi="宋体" w:cs="宋体"/>
                <w:bCs/>
                <w:sz w:val="24"/>
                <w:szCs w:val="24"/>
                <w:highlight w:val="none"/>
                <w:lang w:bidi="ar"/>
              </w:rPr>
              <w:t xml:space="preserve">4.4超声频率：40kHz；</w:t>
            </w:r>
            <w:r>
              <w:rPr>
                <w:highlight w:val="none"/>
              </w:rPr>
            </w:r>
            <w:r/>
          </w:p>
          <w:p>
            <w:pPr>
              <w:spacing w:line="360" w:lineRule="auto"/>
              <w:rPr>
                <w:rFonts w:ascii="宋体" w:hAnsi="宋体" w:cs="宋体"/>
                <w:bCs/>
                <w:sz w:val="24"/>
                <w:szCs w:val="24"/>
                <w:highlight w:val="none"/>
              </w:rPr>
              <w:outlineLvl w:val="0"/>
            </w:pPr>
            <w:r>
              <w:rPr>
                <w:rFonts w:hint="eastAsia" w:ascii="宋体" w:hAnsi="宋体" w:cs="宋体"/>
                <w:bCs/>
                <w:sz w:val="24"/>
                <w:szCs w:val="24"/>
                <w:highlight w:val="none"/>
                <w:lang w:bidi="ar"/>
              </w:rPr>
              <w:t xml:space="preserve">4.5超声功率：600-1000W；</w:t>
            </w:r>
            <w:r>
              <w:rPr>
                <w:highlight w:val="none"/>
              </w:rPr>
            </w:r>
            <w:r/>
          </w:p>
          <w:p>
            <w:pPr>
              <w:spacing w:line="360" w:lineRule="auto"/>
              <w:rPr>
                <w:rFonts w:ascii="宋体" w:hAnsi="宋体" w:cs="宋体"/>
                <w:bCs/>
                <w:sz w:val="24"/>
                <w:szCs w:val="24"/>
                <w:highlight w:val="none"/>
              </w:rPr>
              <w:outlineLvl w:val="0"/>
            </w:pPr>
            <w:r>
              <w:rPr>
                <w:rFonts w:hint="eastAsia" w:ascii="宋体" w:hAnsi="宋体" w:cs="宋体"/>
                <w:bCs/>
                <w:sz w:val="24"/>
                <w:szCs w:val="24"/>
                <w:highlight w:val="none"/>
                <w:lang w:bidi="ar"/>
              </w:rPr>
              <w:t xml:space="preserve">4.6超声功率可调范围：40-100%；</w:t>
            </w:r>
            <w:r>
              <w:rPr>
                <w:highlight w:val="none"/>
              </w:rPr>
            </w:r>
            <w:r/>
          </w:p>
          <w:p>
            <w:pPr>
              <w:spacing w:line="360" w:lineRule="auto"/>
              <w:rPr>
                <w:rFonts w:ascii="宋体" w:hAnsi="宋体" w:cs="宋体"/>
                <w:bCs/>
                <w:sz w:val="24"/>
                <w:szCs w:val="24"/>
                <w:highlight w:val="none"/>
              </w:rPr>
              <w:outlineLvl w:val="0"/>
            </w:pPr>
            <w:r>
              <w:rPr>
                <w:rFonts w:hint="eastAsia" w:ascii="宋体" w:hAnsi="宋体" w:cs="宋体"/>
                <w:bCs/>
                <w:sz w:val="24"/>
                <w:szCs w:val="24"/>
                <w:highlight w:val="none"/>
                <w:lang w:bidi="ar"/>
              </w:rPr>
              <w:t xml:space="preserve">4.7加热功率：800W-1000W；</w:t>
            </w:r>
            <w:r>
              <w:rPr>
                <w:highlight w:val="none"/>
              </w:rPr>
            </w:r>
            <w:r/>
          </w:p>
          <w:p>
            <w:pPr>
              <w:spacing w:line="360" w:lineRule="auto"/>
              <w:rPr>
                <w:rFonts w:ascii="宋体" w:hAnsi="宋体" w:cs="宋体"/>
                <w:bCs/>
                <w:sz w:val="24"/>
                <w:szCs w:val="24"/>
                <w:highlight w:val="none"/>
              </w:rPr>
              <w:outlineLvl w:val="0"/>
            </w:pPr>
            <w:r>
              <w:rPr>
                <w:rFonts w:hint="eastAsia" w:ascii="宋体" w:hAnsi="宋体" w:cs="宋体"/>
                <w:bCs/>
                <w:sz w:val="24"/>
                <w:szCs w:val="24"/>
                <w:highlight w:val="none"/>
                <w:lang w:bidi="ar"/>
              </w:rPr>
              <w:t xml:space="preserve">4.8制冷功率：≥300W；</w:t>
            </w:r>
            <w:r>
              <w:rPr>
                <w:highlight w:val="none"/>
              </w:rPr>
            </w:r>
            <w:r/>
          </w:p>
          <w:p>
            <w:pPr>
              <w:spacing w:line="360" w:lineRule="auto"/>
              <w:rPr>
                <w:rFonts w:ascii="宋体" w:hAnsi="宋体" w:cs="宋体"/>
                <w:bCs/>
                <w:sz w:val="24"/>
                <w:szCs w:val="24"/>
                <w:highlight w:val="none"/>
              </w:rPr>
              <w:outlineLvl w:val="0"/>
            </w:pPr>
            <w:r>
              <w:rPr>
                <w:rFonts w:hint="eastAsia" w:ascii="宋体" w:hAnsi="宋体" w:cs="宋体"/>
                <w:bCs/>
                <w:sz w:val="24"/>
                <w:szCs w:val="24"/>
                <w:highlight w:val="none"/>
                <w:lang w:bidi="ar"/>
              </w:rPr>
              <w:t xml:space="preserve">4.9温度设定范围：0-80℃，数显记忆、设定显示清洗机槽内恒定温度，温度误差±2℃；</w:t>
            </w:r>
            <w:r>
              <w:rPr>
                <w:highlight w:val="none"/>
              </w:rPr>
            </w:r>
            <w:r/>
          </w:p>
          <w:p>
            <w:pPr>
              <w:spacing w:line="360" w:lineRule="auto"/>
              <w:rPr>
                <w:rFonts w:ascii="宋体" w:hAnsi="宋体" w:cs="宋体"/>
                <w:bCs/>
                <w:sz w:val="24"/>
                <w:szCs w:val="24"/>
                <w:highlight w:val="none"/>
              </w:rPr>
              <w:outlineLvl w:val="0"/>
            </w:pPr>
            <w:r>
              <w:rPr>
                <w:rFonts w:hint="eastAsia" w:ascii="宋体" w:hAnsi="宋体" w:cs="宋体"/>
                <w:bCs/>
                <w:sz w:val="24"/>
                <w:szCs w:val="24"/>
                <w:highlight w:val="none"/>
                <w:lang w:bidi="ar"/>
              </w:rPr>
              <w:t xml:space="preserve">4.10工作时间可调：1-450min；</w:t>
            </w:r>
            <w:r>
              <w:rPr>
                <w:highlight w:val="none"/>
              </w:rPr>
            </w:r>
            <w:r/>
          </w:p>
          <w:p>
            <w:pPr>
              <w:spacing w:line="360" w:lineRule="auto"/>
              <w:rPr>
                <w:rFonts w:ascii="宋体" w:hAnsi="宋体" w:cs="宋体"/>
                <w:bCs/>
                <w:sz w:val="24"/>
                <w:szCs w:val="24"/>
                <w:highlight w:val="none"/>
              </w:rPr>
              <w:outlineLvl w:val="0"/>
            </w:pPr>
            <w:r>
              <w:rPr>
                <w:rFonts w:hint="eastAsia" w:ascii="宋体" w:hAnsi="宋体" w:cs="宋体"/>
                <w:bCs/>
                <w:sz w:val="24"/>
                <w:szCs w:val="24"/>
                <w:highlight w:val="none"/>
                <w:lang w:bidi="ar"/>
              </w:rPr>
              <w:t xml:space="preserve">4.11配置：清洗器1台，降音盖1个、不锈钢网架1个、不锈钢托架1个、电控进排水系统1个；</w:t>
            </w:r>
            <w:r>
              <w:rPr>
                <w:highlight w:val="none"/>
              </w:rPr>
            </w:r>
            <w:r/>
          </w:p>
          <w:p>
            <w:pPr>
              <w:spacing w:line="360" w:lineRule="auto"/>
              <w:widowControl/>
              <w:rPr>
                <w:rFonts w:ascii="宋体" w:hAnsi="宋体" w:cs="宋体"/>
                <w:bCs/>
                <w:color w:val="000000"/>
                <w:sz w:val="24"/>
                <w:szCs w:val="24"/>
                <w:highlight w:val="none"/>
              </w:rPr>
            </w:pPr>
            <w:r>
              <w:rPr>
                <w:rFonts w:hint="eastAsia" w:ascii="宋体" w:hAnsi="宋体" w:cs="宋体"/>
                <w:bCs/>
                <w:color w:val="000000"/>
                <w:sz w:val="24"/>
                <w:szCs w:val="24"/>
                <w:highlight w:val="none"/>
                <w:lang w:bidi="ar"/>
              </w:rPr>
              <w:t xml:space="preserve">5旋转蒸发仪</w:t>
            </w:r>
            <w:r>
              <w:rPr>
                <w:highlight w:val="none"/>
              </w:rPr>
            </w:r>
            <w:r/>
          </w:p>
          <w:p>
            <w:pPr>
              <w:spacing w:line="360" w:lineRule="auto"/>
              <w:rPr>
                <w:rFonts w:ascii="宋体" w:hAnsi="宋体" w:cs="宋体"/>
                <w:bCs/>
                <w:sz w:val="24"/>
                <w:szCs w:val="24"/>
                <w:highlight w:val="none"/>
              </w:rPr>
              <w:outlineLvl w:val="0"/>
            </w:pPr>
            <w:r>
              <w:rPr>
                <w:rFonts w:hint="eastAsia" w:ascii="宋体" w:hAnsi="宋体" w:cs="宋体"/>
                <w:bCs/>
                <w:sz w:val="24"/>
                <w:szCs w:val="24"/>
                <w:highlight w:val="none"/>
                <w:lang w:bidi="ar"/>
              </w:rPr>
              <w:t xml:space="preserve">5.1工作环境：5-31℃，80%相对湿度；220V，50Hz；</w:t>
            </w:r>
            <w:r>
              <w:rPr>
                <w:highlight w:val="none"/>
              </w:rPr>
            </w:r>
            <w:r/>
          </w:p>
          <w:p>
            <w:pPr>
              <w:spacing w:line="360" w:lineRule="auto"/>
              <w:rPr>
                <w:rFonts w:ascii="宋体" w:hAnsi="宋体" w:cs="宋体"/>
                <w:bCs/>
                <w:sz w:val="24"/>
                <w:szCs w:val="24"/>
                <w:highlight w:val="none"/>
              </w:rPr>
              <w:outlineLvl w:val="0"/>
            </w:pPr>
            <w:r>
              <w:rPr>
                <w:rFonts w:hint="eastAsia" w:ascii="宋体" w:hAnsi="宋体" w:cs="宋体"/>
                <w:bCs/>
                <w:sz w:val="24"/>
                <w:szCs w:val="24"/>
                <w:highlight w:val="none"/>
                <w:lang w:bidi="ar"/>
              </w:rPr>
              <w:t xml:space="preserve">5.2升降方式：电动；</w:t>
            </w:r>
            <w:r>
              <w:rPr>
                <w:highlight w:val="none"/>
              </w:rPr>
            </w:r>
            <w:r/>
          </w:p>
          <w:p>
            <w:pPr>
              <w:spacing w:line="360" w:lineRule="auto"/>
              <w:rPr>
                <w:rFonts w:ascii="宋体" w:hAnsi="宋体" w:cs="宋体"/>
                <w:bCs/>
                <w:sz w:val="24"/>
                <w:szCs w:val="24"/>
                <w:highlight w:val="none"/>
              </w:rPr>
              <w:outlineLvl w:val="0"/>
            </w:pPr>
            <w:r>
              <w:rPr>
                <w:rFonts w:hint="eastAsia" w:ascii="宋体" w:hAnsi="宋体" w:cs="宋体"/>
                <w:bCs/>
                <w:sz w:val="24"/>
                <w:szCs w:val="24"/>
                <w:highlight w:val="none"/>
                <w:lang w:bidi="ar"/>
              </w:rPr>
              <w:t xml:space="preserve">5.3高度调节速度(mm/s)：≥20；</w:t>
            </w:r>
            <w:r>
              <w:rPr>
                <w:highlight w:val="none"/>
              </w:rPr>
            </w:r>
            <w:r/>
          </w:p>
          <w:p>
            <w:pPr>
              <w:spacing w:line="360" w:lineRule="auto"/>
              <w:rPr>
                <w:rFonts w:ascii="宋体" w:hAnsi="宋体" w:cs="宋体"/>
                <w:bCs/>
                <w:sz w:val="24"/>
                <w:szCs w:val="24"/>
                <w:highlight w:val="none"/>
              </w:rPr>
              <w:outlineLvl w:val="0"/>
            </w:pPr>
            <w:r>
              <w:rPr>
                <w:rFonts w:hint="eastAsia" w:ascii="宋体" w:hAnsi="宋体" w:cs="宋体"/>
                <w:bCs/>
                <w:sz w:val="24"/>
                <w:szCs w:val="24"/>
                <w:highlight w:val="none"/>
                <w:lang w:bidi="ar"/>
              </w:rPr>
              <w:t xml:space="preserve">5.4高度调节行程(mm)：0-155；</w:t>
            </w:r>
            <w:r>
              <w:rPr>
                <w:highlight w:val="none"/>
              </w:rPr>
            </w:r>
            <w:r/>
          </w:p>
          <w:p>
            <w:pPr>
              <w:spacing w:line="360" w:lineRule="auto"/>
              <w:rPr>
                <w:rFonts w:ascii="宋体" w:hAnsi="宋体" w:cs="宋体"/>
                <w:bCs/>
                <w:sz w:val="24"/>
                <w:szCs w:val="24"/>
                <w:highlight w:val="none"/>
              </w:rPr>
              <w:outlineLvl w:val="0"/>
            </w:pPr>
            <w:r>
              <w:rPr>
                <w:rFonts w:hint="eastAsia" w:ascii="宋体" w:hAnsi="宋体" w:cs="宋体"/>
                <w:bCs/>
                <w:sz w:val="24"/>
                <w:szCs w:val="24"/>
                <w:highlight w:val="none"/>
                <w:lang w:bidi="ar"/>
              </w:rPr>
              <w:t xml:space="preserve">5.5旋转速度 (rpm)：10~280；</w:t>
            </w:r>
            <w:r>
              <w:rPr>
                <w:highlight w:val="none"/>
              </w:rPr>
            </w:r>
            <w:r/>
          </w:p>
          <w:p>
            <w:pPr>
              <w:spacing w:line="360" w:lineRule="auto"/>
              <w:rPr>
                <w:rFonts w:ascii="宋体" w:hAnsi="宋体" w:cs="宋体"/>
                <w:bCs/>
                <w:sz w:val="24"/>
                <w:szCs w:val="24"/>
                <w:highlight w:val="none"/>
              </w:rPr>
              <w:outlineLvl w:val="0"/>
            </w:pPr>
            <w:r>
              <w:rPr>
                <w:rFonts w:hint="eastAsia" w:ascii="宋体" w:hAnsi="宋体" w:cs="宋体"/>
                <w:bCs/>
                <w:sz w:val="24"/>
                <w:szCs w:val="24"/>
                <w:highlight w:val="none"/>
                <w:lang w:bidi="ar"/>
              </w:rPr>
              <w:t xml:space="preserve">5.6加热功率(W)：≥1200；</w:t>
            </w:r>
            <w:r>
              <w:rPr>
                <w:highlight w:val="none"/>
              </w:rPr>
            </w:r>
            <w:r/>
          </w:p>
          <w:p>
            <w:pPr>
              <w:spacing w:line="360" w:lineRule="auto"/>
              <w:rPr>
                <w:rFonts w:ascii="宋体" w:hAnsi="宋体" w:cs="宋体"/>
                <w:bCs/>
                <w:sz w:val="24"/>
                <w:szCs w:val="24"/>
                <w:highlight w:val="none"/>
              </w:rPr>
              <w:outlineLvl w:val="0"/>
            </w:pPr>
            <w:r>
              <w:rPr>
                <w:rFonts w:hint="eastAsia" w:ascii="宋体" w:hAnsi="宋体" w:cs="宋体"/>
                <w:bCs/>
                <w:sz w:val="24"/>
                <w:szCs w:val="24"/>
                <w:highlight w:val="none"/>
                <w:lang w:bidi="ar"/>
              </w:rPr>
              <w:t xml:space="preserve">5.7加热温度范围 (°C)：20~210，加热精度±1°C；</w:t>
            </w:r>
            <w:r>
              <w:rPr>
                <w:highlight w:val="none"/>
              </w:rPr>
            </w:r>
            <w:r/>
          </w:p>
          <w:p>
            <w:pPr>
              <w:spacing w:line="360" w:lineRule="auto"/>
              <w:rPr>
                <w:rFonts w:ascii="宋体" w:hAnsi="宋体" w:cs="宋体"/>
                <w:bCs/>
                <w:sz w:val="24"/>
                <w:szCs w:val="24"/>
                <w:highlight w:val="none"/>
              </w:rPr>
              <w:outlineLvl w:val="0"/>
            </w:pPr>
            <w:r>
              <w:rPr>
                <w:rFonts w:hint="eastAsia" w:ascii="宋体" w:hAnsi="宋体" w:cs="宋体"/>
                <w:bCs/>
                <w:sz w:val="24"/>
                <w:szCs w:val="24"/>
                <w:highlight w:val="none"/>
                <w:lang w:bidi="ar"/>
              </w:rPr>
              <w:t xml:space="preserve">5.8过热保护 (°C)：250；</w:t>
            </w:r>
            <w:r>
              <w:rPr>
                <w:rFonts w:hint="eastAsia" w:ascii="宋体" w:hAnsi="宋体" w:cs="宋体"/>
                <w:bCs/>
                <w:sz w:val="24"/>
                <w:szCs w:val="24"/>
                <w:highlight w:val="none"/>
                <w:lang w:bidi="ar"/>
              </w:rPr>
              <w:tab/>
            </w:r>
            <w:r>
              <w:rPr>
                <w:rFonts w:hint="eastAsia" w:ascii="宋体" w:hAnsi="宋体" w:cs="宋体"/>
                <w:bCs/>
                <w:sz w:val="24"/>
                <w:szCs w:val="24"/>
                <w:highlight w:val="none"/>
                <w:lang w:bidi="ar"/>
              </w:rPr>
              <w:tab/>
            </w:r>
            <w:r>
              <w:rPr>
                <w:rFonts w:hint="eastAsia" w:ascii="宋体" w:hAnsi="宋体" w:cs="宋体"/>
                <w:bCs/>
                <w:sz w:val="24"/>
                <w:szCs w:val="24"/>
                <w:highlight w:val="none"/>
                <w:lang w:bidi="ar"/>
              </w:rPr>
              <w:tab/>
            </w:r>
            <w:r>
              <w:rPr>
                <w:highlight w:val="none"/>
              </w:rPr>
            </w:r>
            <w:r/>
          </w:p>
          <w:p>
            <w:pPr>
              <w:spacing w:line="360" w:lineRule="auto"/>
              <w:rPr>
                <w:rFonts w:ascii="宋体" w:hAnsi="宋体" w:cs="宋体"/>
                <w:bCs/>
                <w:sz w:val="24"/>
                <w:szCs w:val="24"/>
                <w:highlight w:val="none"/>
              </w:rPr>
              <w:outlineLvl w:val="0"/>
            </w:pPr>
            <w:r>
              <w:rPr>
                <w:rFonts w:hint="eastAsia" w:ascii="宋体" w:hAnsi="宋体" w:cs="宋体"/>
                <w:bCs/>
                <w:sz w:val="24"/>
                <w:szCs w:val="24"/>
                <w:highlight w:val="none"/>
                <w:lang w:bidi="ar"/>
              </w:rPr>
              <w:t xml:space="preserve">5.9最大蒸发瓶体积 (L)：5；</w:t>
            </w:r>
            <w:r>
              <w:rPr>
                <w:rFonts w:hint="eastAsia" w:ascii="宋体" w:hAnsi="宋体" w:cs="宋体"/>
                <w:bCs/>
                <w:sz w:val="24"/>
                <w:szCs w:val="24"/>
                <w:highlight w:val="none"/>
                <w:lang w:bidi="ar"/>
              </w:rPr>
              <w:tab/>
            </w:r>
            <w:r>
              <w:rPr>
                <w:highlight w:val="none"/>
              </w:rPr>
            </w:r>
            <w:r/>
          </w:p>
          <w:p>
            <w:pPr>
              <w:spacing w:line="360" w:lineRule="auto"/>
              <w:rPr>
                <w:rFonts w:ascii="宋体" w:hAnsi="宋体" w:cs="宋体"/>
                <w:bCs/>
                <w:sz w:val="24"/>
                <w:szCs w:val="24"/>
                <w:highlight w:val="none"/>
              </w:rPr>
              <w:outlineLvl w:val="0"/>
            </w:pPr>
            <w:r>
              <w:rPr>
                <w:rFonts w:hint="eastAsia" w:ascii="宋体" w:hAnsi="宋体" w:cs="宋体"/>
                <w:bCs/>
                <w:sz w:val="24"/>
                <w:szCs w:val="24"/>
                <w:highlight w:val="none"/>
                <w:lang w:bidi="ar"/>
              </w:rPr>
              <w:t xml:space="preserve">5.10冷凝表面积（cm</w:t>
            </w:r>
            <w:r>
              <w:rPr>
                <w:rFonts w:hint="eastAsia" w:ascii="宋体" w:hAnsi="宋体" w:cs="宋体"/>
                <w:bCs/>
                <w:sz w:val="24"/>
                <w:szCs w:val="24"/>
                <w:highlight w:val="none"/>
                <w:vertAlign w:val="superscript"/>
                <w:lang w:bidi="ar"/>
              </w:rPr>
              <w:t xml:space="preserve">2</w:t>
            </w:r>
            <w:r>
              <w:rPr>
                <w:rFonts w:hint="eastAsia" w:ascii="宋体" w:hAnsi="宋体" w:cs="宋体"/>
                <w:bCs/>
                <w:sz w:val="24"/>
                <w:szCs w:val="24"/>
                <w:highlight w:val="none"/>
                <w:lang w:bidi="ar"/>
              </w:rPr>
              <w:t xml:space="preserve">）：≥1400；</w:t>
            </w:r>
            <w:r>
              <w:rPr>
                <w:highlight w:val="none"/>
              </w:rPr>
            </w:r>
            <w:r/>
          </w:p>
          <w:p>
            <w:pPr>
              <w:spacing w:line="360" w:lineRule="auto"/>
              <w:rPr>
                <w:rFonts w:ascii="宋体" w:hAnsi="宋体" w:cs="宋体"/>
                <w:bCs/>
                <w:sz w:val="24"/>
                <w:szCs w:val="24"/>
                <w:highlight w:val="none"/>
              </w:rPr>
              <w:outlineLvl w:val="0"/>
            </w:pPr>
            <w:r>
              <w:rPr>
                <w:rFonts w:hint="eastAsia" w:ascii="宋体" w:hAnsi="宋体" w:cs="宋体"/>
                <w:bCs/>
                <w:sz w:val="24"/>
                <w:szCs w:val="24"/>
                <w:highlight w:val="none"/>
                <w:lang w:bidi="ar"/>
              </w:rPr>
              <w:t xml:space="preserve">5.11冷凝管冷凝表面积（cm</w:t>
            </w:r>
            <w:r>
              <w:rPr>
                <w:rFonts w:hint="eastAsia" w:ascii="宋体" w:hAnsi="宋体" w:cs="宋体"/>
                <w:bCs/>
                <w:sz w:val="24"/>
                <w:szCs w:val="24"/>
                <w:highlight w:val="none"/>
                <w:vertAlign w:val="superscript"/>
                <w:lang w:bidi="ar"/>
              </w:rPr>
              <w:t xml:space="preserve">2</w:t>
            </w:r>
            <w:r>
              <w:rPr>
                <w:rFonts w:hint="eastAsia" w:ascii="宋体" w:hAnsi="宋体" w:cs="宋体"/>
                <w:bCs/>
                <w:sz w:val="24"/>
                <w:szCs w:val="24"/>
                <w:highlight w:val="none"/>
                <w:lang w:bidi="ar"/>
              </w:rPr>
              <w:t xml:space="preserve">）：≥2000；</w:t>
            </w:r>
            <w:r>
              <w:rPr>
                <w:highlight w:val="none"/>
              </w:rPr>
            </w:r>
            <w:r/>
          </w:p>
          <w:p>
            <w:pPr>
              <w:spacing w:line="360" w:lineRule="auto"/>
              <w:rPr>
                <w:rFonts w:ascii="宋体" w:hAnsi="宋体" w:cs="宋体"/>
                <w:bCs/>
                <w:sz w:val="24"/>
                <w:szCs w:val="24"/>
                <w:highlight w:val="none"/>
              </w:rPr>
              <w:outlineLvl w:val="0"/>
            </w:pPr>
            <w:r>
              <w:rPr>
                <w:rFonts w:hint="eastAsia" w:ascii="宋体" w:hAnsi="宋体" w:cs="宋体"/>
                <w:bCs/>
                <w:sz w:val="24"/>
                <w:szCs w:val="24"/>
                <w:highlight w:val="none"/>
                <w:lang w:bidi="ar"/>
              </w:rPr>
              <w:t xml:space="preserve">5.12主机配备余热指示器、动态控制的独立旋钮，具有旋钮锁定功能；</w:t>
            </w:r>
            <w:r>
              <w:rPr>
                <w:highlight w:val="none"/>
              </w:rPr>
            </w:r>
            <w:r/>
          </w:p>
          <w:p>
            <w:pPr>
              <w:spacing w:line="360" w:lineRule="auto"/>
              <w:rPr>
                <w:rFonts w:ascii="宋体" w:hAnsi="宋体" w:cs="宋体"/>
                <w:bCs/>
                <w:sz w:val="24"/>
                <w:szCs w:val="24"/>
                <w:highlight w:val="none"/>
              </w:rPr>
              <w:outlineLvl w:val="0"/>
            </w:pPr>
            <w:r>
              <w:rPr>
                <w:rFonts w:ascii="仿宋" w:hAnsi="仿宋" w:eastAsia="仿宋" w:cs="仿宋"/>
                <w:bCs/>
                <w:sz w:val="24"/>
                <w:szCs w:val="44"/>
                <w:highlight w:val="none"/>
              </w:rPr>
              <w:t xml:space="preserve">▲</w:t>
            </w:r>
            <w:r>
              <w:rPr>
                <w:rFonts w:hint="eastAsia" w:ascii="宋体" w:hAnsi="宋体" w:cs="宋体"/>
                <w:bCs/>
                <w:sz w:val="24"/>
                <w:szCs w:val="24"/>
                <w:highlight w:val="none"/>
                <w:lang w:bidi="ar"/>
              </w:rPr>
              <w:t xml:space="preserve">5.13二级膜片真空泵：用于中低沸点的溶剂；最大抽速0.75m</w:t>
            </w:r>
            <w:r>
              <w:rPr>
                <w:rFonts w:hint="eastAsia" w:ascii="宋体" w:hAnsi="宋体" w:cs="宋体"/>
                <w:bCs/>
                <w:sz w:val="24"/>
                <w:szCs w:val="24"/>
                <w:highlight w:val="none"/>
                <w:vertAlign w:val="superscript"/>
                <w:lang w:bidi="ar"/>
              </w:rPr>
              <w:t xml:space="preserve">3</w:t>
            </w:r>
            <w:r>
              <w:rPr>
                <w:rFonts w:hint="eastAsia" w:ascii="宋体" w:hAnsi="宋体" w:cs="宋体"/>
                <w:bCs/>
                <w:sz w:val="24"/>
                <w:szCs w:val="24"/>
                <w:highlight w:val="none"/>
                <w:lang w:bidi="ar"/>
              </w:rPr>
              <w:t xml:space="preserve">/h；极限真空度12mbar；可以连接冷凝器；真空度稳压≤1mbar；</w:t>
            </w:r>
            <w:r>
              <w:rPr>
                <w:highlight w:val="none"/>
              </w:rPr>
            </w:r>
            <w:r/>
          </w:p>
          <w:p>
            <w:pPr>
              <w:spacing w:line="360" w:lineRule="auto"/>
              <w:rPr>
                <w:rFonts w:ascii="宋体" w:hAnsi="宋体" w:cs="宋体"/>
                <w:bCs/>
                <w:sz w:val="24"/>
                <w:szCs w:val="24"/>
                <w:highlight w:val="none"/>
              </w:rPr>
              <w:outlineLvl w:val="0"/>
            </w:pPr>
            <w:r>
              <w:rPr>
                <w:rFonts w:hint="eastAsia" w:ascii="宋体" w:hAnsi="宋体" w:cs="宋体"/>
                <w:bCs/>
                <w:sz w:val="24"/>
                <w:szCs w:val="24"/>
                <w:highlight w:val="none"/>
              </w:rPr>
              <w:t xml:space="preserve">5.14电子真空控制器：可安装于主机或作为独立设备单独放置；通气阀可快速释放真空；图形显示真空变化流程；可选配多种通讯接口；</w:t>
            </w:r>
            <w:r>
              <w:rPr>
                <w:highlight w:val="none"/>
              </w:rPr>
            </w:r>
            <w:r/>
          </w:p>
          <w:p>
            <w:pPr>
              <w:spacing w:line="360" w:lineRule="auto"/>
              <w:rPr>
                <w:rFonts w:ascii="宋体" w:hAnsi="宋体" w:cs="宋体"/>
                <w:bCs/>
                <w:sz w:val="24"/>
                <w:szCs w:val="24"/>
                <w:highlight w:val="none"/>
              </w:rPr>
              <w:outlineLvl w:val="0"/>
            </w:pPr>
            <w:r>
              <w:rPr>
                <w:rFonts w:hint="eastAsia" w:ascii="宋体" w:hAnsi="宋体" w:cs="宋体"/>
                <w:bCs/>
                <w:sz w:val="24"/>
                <w:szCs w:val="24"/>
                <w:highlight w:val="none"/>
              </w:rPr>
              <w:t xml:space="preserve">5.15冷水机：温度范围为-20至40℃，LED显示精度0.1℃，温度稳定性±0.3℃；</w:t>
            </w:r>
            <w:r>
              <w:rPr>
                <w:highlight w:val="none"/>
              </w:rPr>
            </w:r>
            <w:r/>
          </w:p>
          <w:p>
            <w:pPr>
              <w:spacing w:line="360" w:lineRule="auto"/>
              <w:rPr>
                <w:rFonts w:ascii="宋体" w:hAnsi="宋体" w:cs="宋体"/>
                <w:bCs/>
                <w:sz w:val="24"/>
                <w:szCs w:val="24"/>
                <w:highlight w:val="none"/>
              </w:rPr>
              <w:outlineLvl w:val="0"/>
            </w:pPr>
            <w:r>
              <w:rPr>
                <w:rFonts w:hint="eastAsia" w:ascii="宋体" w:hAnsi="宋体" w:cs="宋体"/>
                <w:bCs/>
                <w:sz w:val="24"/>
                <w:szCs w:val="24"/>
                <w:highlight w:val="none"/>
              </w:rPr>
              <w:t xml:space="preserve">制冷量（20℃）：450W ；</w:t>
            </w:r>
            <w:r>
              <w:rPr>
                <w:highlight w:val="none"/>
              </w:rPr>
            </w:r>
            <w:r/>
          </w:p>
          <w:p>
            <w:pPr>
              <w:spacing w:line="360" w:lineRule="auto"/>
              <w:rPr>
                <w:rFonts w:ascii="宋体" w:hAnsi="宋体" w:cs="宋体"/>
                <w:bCs/>
                <w:sz w:val="24"/>
                <w:szCs w:val="24"/>
                <w:highlight w:val="none"/>
              </w:rPr>
              <w:outlineLvl w:val="0"/>
            </w:pPr>
            <w:r>
              <w:rPr>
                <w:rFonts w:hint="eastAsia" w:ascii="宋体" w:hAnsi="宋体" w:cs="宋体"/>
                <w:bCs/>
                <w:sz w:val="24"/>
                <w:szCs w:val="24"/>
                <w:highlight w:val="none"/>
              </w:rPr>
              <w:t xml:space="preserve">泵压力：0.2bar；</w:t>
            </w:r>
            <w:r>
              <w:rPr>
                <w:highlight w:val="none"/>
              </w:rPr>
            </w:r>
            <w:r/>
          </w:p>
          <w:p>
            <w:pPr>
              <w:spacing w:line="360" w:lineRule="auto"/>
              <w:rPr>
                <w:rFonts w:ascii="宋体" w:hAnsi="宋体" w:cs="宋体"/>
                <w:bCs/>
                <w:sz w:val="24"/>
                <w:szCs w:val="24"/>
                <w:highlight w:val="none"/>
              </w:rPr>
              <w:outlineLvl w:val="0"/>
            </w:pPr>
            <w:r>
              <w:rPr>
                <w:rFonts w:hint="eastAsia" w:ascii="宋体" w:hAnsi="宋体" w:cs="宋体"/>
                <w:bCs/>
                <w:sz w:val="24"/>
                <w:szCs w:val="24"/>
                <w:highlight w:val="none"/>
              </w:rPr>
              <w:t xml:space="preserve">泵吸力：0.1 bar；</w:t>
            </w:r>
            <w:r>
              <w:rPr>
                <w:highlight w:val="none"/>
              </w:rPr>
            </w:r>
            <w:r/>
          </w:p>
          <w:p>
            <w:pPr>
              <w:spacing w:line="360" w:lineRule="auto"/>
              <w:rPr>
                <w:rFonts w:ascii="宋体" w:hAnsi="宋体" w:cs="宋体"/>
                <w:bCs/>
                <w:sz w:val="24"/>
                <w:szCs w:val="24"/>
                <w:highlight w:val="none"/>
              </w:rPr>
              <w:outlineLvl w:val="0"/>
            </w:pPr>
            <w:r>
              <w:rPr>
                <w:rFonts w:hint="eastAsia" w:ascii="宋体" w:hAnsi="宋体" w:cs="宋体"/>
                <w:bCs/>
                <w:sz w:val="24"/>
                <w:szCs w:val="24"/>
                <w:highlight w:val="none"/>
              </w:rPr>
              <w:t xml:space="preserve">泵流量：12L/min；</w:t>
            </w:r>
            <w:r>
              <w:rPr>
                <w:highlight w:val="none"/>
              </w:rPr>
            </w:r>
            <w:r/>
          </w:p>
          <w:p>
            <w:pPr>
              <w:spacing w:line="360" w:lineRule="auto"/>
              <w:rPr>
                <w:rFonts w:ascii="宋体" w:hAnsi="宋体" w:cs="宋体"/>
                <w:bCs/>
                <w:sz w:val="24"/>
                <w:szCs w:val="24"/>
                <w:highlight w:val="none"/>
              </w:rPr>
              <w:outlineLvl w:val="0"/>
            </w:pPr>
            <w:r>
              <w:rPr>
                <w:rFonts w:hint="eastAsia" w:ascii="宋体" w:hAnsi="宋体" w:cs="宋体"/>
                <w:bCs/>
                <w:sz w:val="24"/>
                <w:szCs w:val="24"/>
                <w:highlight w:val="none"/>
              </w:rPr>
              <w:t xml:space="preserve">水槽容积：3L；</w:t>
            </w:r>
            <w:r>
              <w:rPr>
                <w:highlight w:val="none"/>
              </w:rPr>
            </w:r>
            <w:r/>
          </w:p>
          <w:p>
            <w:pPr>
              <w:spacing w:line="360" w:lineRule="auto"/>
              <w:rPr>
                <w:rFonts w:ascii="宋体" w:hAnsi="宋体" w:cs="宋体"/>
                <w:bCs/>
                <w:sz w:val="24"/>
                <w:szCs w:val="24"/>
                <w:highlight w:val="none"/>
              </w:rPr>
              <w:outlineLvl w:val="0"/>
            </w:pPr>
            <w:r>
              <w:rPr>
                <w:rFonts w:hint="eastAsia" w:ascii="宋体" w:hAnsi="宋体" w:cs="宋体"/>
                <w:bCs/>
                <w:sz w:val="24"/>
                <w:szCs w:val="24"/>
                <w:highlight w:val="none"/>
              </w:rPr>
              <w:t xml:space="preserve">5.16配置：电动款主机（1L蒸发瓶1L收集瓶）1台；</w:t>
            </w:r>
            <w:r>
              <w:rPr>
                <w:highlight w:val="none"/>
              </w:rPr>
            </w:r>
            <w:r/>
          </w:p>
          <w:p>
            <w:pPr>
              <w:spacing w:line="360" w:lineRule="auto"/>
              <w:rPr>
                <w:rFonts w:ascii="宋体" w:hAnsi="宋体" w:cs="宋体"/>
                <w:bCs/>
                <w:sz w:val="24"/>
                <w:szCs w:val="24"/>
                <w:highlight w:val="none"/>
              </w:rPr>
              <w:outlineLvl w:val="0"/>
            </w:pPr>
            <w:r>
              <w:rPr>
                <w:rFonts w:hint="eastAsia" w:ascii="宋体" w:hAnsi="宋体" w:cs="宋体"/>
                <w:bCs/>
                <w:sz w:val="24"/>
                <w:szCs w:val="24"/>
                <w:highlight w:val="none"/>
              </w:rPr>
              <w:t xml:space="preserve">真空泵1套；</w:t>
            </w:r>
            <w:r>
              <w:rPr>
                <w:highlight w:val="none"/>
              </w:rPr>
            </w:r>
            <w:r/>
          </w:p>
          <w:p>
            <w:pPr>
              <w:spacing w:line="360" w:lineRule="auto"/>
              <w:rPr>
                <w:rFonts w:ascii="宋体" w:hAnsi="宋体" w:cs="宋体"/>
                <w:bCs/>
                <w:sz w:val="24"/>
                <w:szCs w:val="24"/>
                <w:highlight w:val="none"/>
              </w:rPr>
              <w:outlineLvl w:val="0"/>
            </w:pPr>
            <w:r>
              <w:rPr>
                <w:rFonts w:hint="eastAsia" w:ascii="宋体" w:hAnsi="宋体" w:cs="宋体"/>
                <w:bCs/>
                <w:sz w:val="24"/>
                <w:szCs w:val="24"/>
                <w:highlight w:val="none"/>
              </w:rPr>
              <w:t xml:space="preserve">电子真空控制器1套，二级冷凝及冷水机各1套；</w:t>
            </w:r>
            <w:r>
              <w:rPr>
                <w:highlight w:val="none"/>
              </w:rPr>
            </w:r>
            <w:r/>
          </w:p>
          <w:p>
            <w:pPr>
              <w:spacing w:line="360" w:lineRule="auto"/>
              <w:rPr>
                <w:rFonts w:ascii="宋体" w:hAnsi="宋体"/>
                <w:color w:val="0d0d0d"/>
                <w:sz w:val="24"/>
                <w:szCs w:val="24"/>
                <w:highlight w:val="none"/>
              </w:rPr>
            </w:pPr>
            <w:r>
              <w:rPr>
                <w:rFonts w:hint="eastAsia" w:ascii="宋体" w:hAnsi="宋体"/>
                <w:color w:val="0d0d0d"/>
                <w:sz w:val="24"/>
                <w:szCs w:val="24"/>
                <w:highlight w:val="none"/>
              </w:rPr>
              <w:t xml:space="preserve">6 仪器配置</w:t>
            </w:r>
            <w:r>
              <w:rPr>
                <w:highlight w:val="none"/>
              </w:rPr>
            </w:r>
            <w:r/>
          </w:p>
          <w:p>
            <w:pPr>
              <w:spacing w:line="360" w:lineRule="auto"/>
              <w:rPr>
                <w:rFonts w:ascii="宋体" w:hAnsi="宋体"/>
                <w:color w:val="0d0d0d"/>
                <w:sz w:val="24"/>
                <w:szCs w:val="24"/>
                <w:highlight w:val="none"/>
              </w:rPr>
            </w:pPr>
            <w:r>
              <w:rPr>
                <w:rFonts w:hint="eastAsia" w:ascii="宋体" w:hAnsi="宋体"/>
                <w:color w:val="0d0d0d"/>
                <w:sz w:val="24"/>
                <w:szCs w:val="24"/>
                <w:highlight w:val="none"/>
              </w:rPr>
              <w:t xml:space="preserve">6.1 二元泵1套（含</w:t>
            </w:r>
            <w:r>
              <w:rPr>
                <w:rFonts w:ascii="宋体" w:hAnsi="宋体"/>
                <w:color w:val="0d0d0d"/>
                <w:sz w:val="24"/>
                <w:szCs w:val="24"/>
                <w:highlight w:val="none"/>
              </w:rPr>
              <w:t xml:space="preserve">触摸屏</w:t>
            </w:r>
            <w:r>
              <w:rPr>
                <w:rFonts w:hint="eastAsia" w:ascii="宋体" w:hAnsi="宋体"/>
                <w:color w:val="0d0d0d"/>
                <w:sz w:val="24"/>
                <w:szCs w:val="24"/>
                <w:highlight w:val="none"/>
              </w:rPr>
              <w:t xml:space="preserve">）</w:t>
            </w:r>
            <w:r>
              <w:rPr>
                <w:highlight w:val="none"/>
              </w:rPr>
            </w:r>
            <w:r/>
          </w:p>
          <w:p>
            <w:pPr>
              <w:spacing w:line="360" w:lineRule="auto"/>
              <w:rPr>
                <w:rFonts w:ascii="宋体" w:hAnsi="宋体"/>
                <w:color w:val="0d0d0d"/>
                <w:sz w:val="24"/>
                <w:szCs w:val="24"/>
                <w:highlight w:val="none"/>
              </w:rPr>
            </w:pPr>
            <w:r>
              <w:rPr>
                <w:rFonts w:hint="eastAsia" w:ascii="宋体" w:hAnsi="宋体"/>
                <w:color w:val="0d0d0d"/>
                <w:sz w:val="24"/>
                <w:szCs w:val="24"/>
                <w:highlight w:val="none"/>
              </w:rPr>
              <w:t xml:space="preserve">6.2 自动进样器1套</w:t>
            </w:r>
            <w:r>
              <w:rPr>
                <w:highlight w:val="none"/>
              </w:rPr>
            </w:r>
            <w:r/>
          </w:p>
          <w:p>
            <w:pPr>
              <w:spacing w:line="360" w:lineRule="auto"/>
              <w:rPr>
                <w:rFonts w:ascii="宋体" w:hAnsi="宋体"/>
                <w:color w:val="0d0d0d"/>
                <w:sz w:val="24"/>
                <w:szCs w:val="24"/>
                <w:highlight w:val="none"/>
              </w:rPr>
            </w:pPr>
            <w:r>
              <w:rPr>
                <w:rFonts w:hint="eastAsia" w:ascii="宋体" w:hAnsi="宋体"/>
                <w:color w:val="0d0d0d"/>
                <w:sz w:val="24"/>
                <w:szCs w:val="24"/>
                <w:highlight w:val="none"/>
              </w:rPr>
              <w:t xml:space="preserve">6.3 独立式柱温箱1套</w:t>
            </w:r>
            <w:r>
              <w:rPr>
                <w:highlight w:val="none"/>
              </w:rPr>
            </w:r>
            <w:r/>
          </w:p>
          <w:p>
            <w:pPr>
              <w:spacing w:line="360" w:lineRule="auto"/>
              <w:rPr>
                <w:rFonts w:ascii="宋体" w:hAnsi="宋体"/>
                <w:color w:val="0d0d0d"/>
                <w:sz w:val="24"/>
                <w:szCs w:val="24"/>
                <w:highlight w:val="none"/>
              </w:rPr>
            </w:pPr>
            <w:r>
              <w:rPr>
                <w:rFonts w:hint="eastAsia" w:ascii="宋体" w:hAnsi="宋体"/>
                <w:color w:val="0d0d0d"/>
                <w:sz w:val="24"/>
                <w:szCs w:val="24"/>
                <w:highlight w:val="none"/>
              </w:rPr>
              <w:t xml:space="preserve">6.4 二极管检测器1套</w:t>
            </w:r>
            <w:r>
              <w:rPr>
                <w:highlight w:val="none"/>
              </w:rPr>
            </w:r>
            <w:r/>
          </w:p>
          <w:p>
            <w:pPr>
              <w:spacing w:line="360" w:lineRule="auto"/>
              <w:rPr>
                <w:rFonts w:ascii="宋体" w:hAnsi="宋体"/>
                <w:color w:val="0d0d0d"/>
                <w:sz w:val="24"/>
                <w:szCs w:val="24"/>
                <w:highlight w:val="none"/>
              </w:rPr>
            </w:pPr>
            <w:r>
              <w:rPr>
                <w:rFonts w:hint="eastAsia" w:ascii="宋体" w:hAnsi="宋体"/>
                <w:color w:val="0d0d0d"/>
                <w:sz w:val="24"/>
                <w:szCs w:val="24"/>
                <w:highlight w:val="none"/>
              </w:rPr>
              <w:t xml:space="preserve">6.5 荧光检测器 1套</w:t>
            </w:r>
            <w:r>
              <w:rPr>
                <w:highlight w:val="none"/>
              </w:rPr>
            </w:r>
            <w:r/>
          </w:p>
          <w:p>
            <w:pPr>
              <w:pStyle w:val="966"/>
              <w:ind w:firstLine="0"/>
              <w:jc w:val="left"/>
              <w:spacing w:line="360" w:lineRule="auto"/>
              <w:rPr>
                <w:rFonts w:ascii="宋体" w:hAnsi="宋体" w:cs="宋体"/>
                <w:b w:val="0"/>
                <w:bCs w:val="0"/>
                <w:i w:val="0"/>
                <w:iCs w:val="0"/>
                <w:sz w:val="24"/>
                <w:szCs w:val="24"/>
                <w:highlight w:val="none"/>
                <w:u w:val="none"/>
              </w:rPr>
            </w:pPr>
            <w:r>
              <w:rPr>
                <w:rFonts w:hint="eastAsia" w:ascii="宋体" w:hAnsi="宋体"/>
                <w:b w:val="0"/>
                <w:bCs w:val="0"/>
                <w:i w:val="0"/>
                <w:iCs w:val="0"/>
                <w:color w:val="0d0d0d"/>
                <w:sz w:val="24"/>
                <w:szCs w:val="24"/>
                <w:highlight w:val="none"/>
                <w:u w:val="none"/>
              </w:rPr>
              <w:t xml:space="preserve">6.</w:t>
            </w:r>
            <w:bookmarkStart w:id="11" w:name="OLE_LINK2"/>
            <w:r>
              <w:rPr>
                <w:highlight w:val="none"/>
              </w:rPr>
            </w:r>
            <w:bookmarkStart w:id="12" w:name="OLE_LINK3"/>
            <w:r>
              <w:rPr>
                <w:rFonts w:hint="eastAsia" w:ascii="宋体" w:hAnsi="宋体"/>
                <w:b w:val="0"/>
                <w:bCs w:val="0"/>
                <w:i w:val="0"/>
                <w:iCs w:val="0"/>
                <w:color w:val="0d0d0d"/>
                <w:sz w:val="24"/>
                <w:szCs w:val="24"/>
                <w:highlight w:val="none"/>
                <w:u w:val="none"/>
              </w:rPr>
              <w:t xml:space="preserve">6</w:t>
            </w:r>
            <w:r>
              <w:rPr>
                <w:rFonts w:hint="eastAsia" w:ascii="宋体" w:hAnsi="宋体" w:cs="宋体"/>
                <w:b w:val="0"/>
                <w:bCs w:val="0"/>
                <w:i w:val="0"/>
                <w:iCs w:val="0"/>
                <w:sz w:val="24"/>
                <w:szCs w:val="24"/>
                <w:highlight w:val="none"/>
                <w:u w:val="none"/>
              </w:rPr>
              <w:t xml:space="preserve">正版操作平台，与工作站配套，内存16GB及以上，1T硬盘以上，正版办公软件 1套</w:t>
            </w:r>
            <w:r>
              <w:rPr>
                <w:rFonts w:hint="eastAsia" w:ascii="宋体" w:hAnsi="宋体" w:cs="宋体"/>
                <w:b w:val="0"/>
                <w:bCs w:val="0"/>
                <w:i w:val="0"/>
                <w:iCs w:val="0"/>
                <w:color w:val="000000"/>
                <w:sz w:val="24"/>
                <w:szCs w:val="24"/>
                <w:highlight w:val="none"/>
                <w:u w:val="none"/>
              </w:rPr>
              <w:t xml:space="preserve">；</w:t>
            </w:r>
            <w:r>
              <w:rPr>
                <w:highlight w:val="none"/>
              </w:rPr>
            </w:r>
            <w:r/>
          </w:p>
          <w:p>
            <w:pPr>
              <w:jc w:val="left"/>
              <w:spacing w:line="360" w:lineRule="auto"/>
              <w:rPr>
                <w:rFonts w:ascii="Times New Roman" w:hAnsi="Times New Roman"/>
                <w:b w:val="0"/>
                <w:bCs w:val="0"/>
                <w:i w:val="0"/>
                <w:iCs w:val="0"/>
                <w:sz w:val="24"/>
                <w:szCs w:val="24"/>
                <w:highlight w:val="none"/>
                <w:u w:val="none"/>
              </w:rPr>
            </w:pPr>
            <w:r>
              <w:rPr>
                <w:rFonts w:hint="eastAsia" w:ascii="宋体" w:hAnsi="宋体"/>
                <w:b w:val="0"/>
                <w:bCs w:val="0"/>
                <w:i w:val="0"/>
                <w:iCs w:val="0"/>
                <w:color w:val="0d0d0d"/>
                <w:sz w:val="24"/>
                <w:szCs w:val="24"/>
                <w:highlight w:val="none"/>
                <w:u w:val="none"/>
              </w:rPr>
              <w:t xml:space="preserve">6.7 2</w:t>
            </w:r>
            <w:r>
              <w:rPr>
                <w:rFonts w:hint="eastAsia" w:ascii="宋体" w:hAnsi="宋体" w:cs="宋体"/>
                <w:b w:val="0"/>
                <w:bCs w:val="0"/>
                <w:i w:val="0"/>
                <w:iCs w:val="0"/>
                <w:sz w:val="24"/>
                <w:szCs w:val="24"/>
                <w:highlight w:val="none"/>
                <w:u w:val="none"/>
              </w:rPr>
              <w:t xml:space="preserve">5寸液晶显示设备</w:t>
            </w:r>
            <w:r>
              <w:rPr>
                <w:rFonts w:hint="eastAsia" w:ascii="宋体" w:hAnsi="宋体" w:cs="宋体"/>
                <w:b w:val="0"/>
                <w:bCs w:val="0"/>
                <w:i w:val="0"/>
                <w:iCs w:val="0"/>
                <w:color w:val="000000"/>
                <w:sz w:val="24"/>
                <w:szCs w:val="24"/>
                <w:highlight w:val="none"/>
                <w:u w:val="none"/>
              </w:rPr>
              <w:t xml:space="preserve">；</w:t>
            </w:r>
            <w:bookmarkEnd w:id="11"/>
            <w:r>
              <w:rPr>
                <w:highlight w:val="none"/>
              </w:rPr>
            </w:r>
            <w:bookmarkEnd w:id="12"/>
            <w:r>
              <w:rPr>
                <w:highlight w:val="none"/>
              </w:rPr>
            </w:r>
            <w:r/>
          </w:p>
          <w:p>
            <w:pPr>
              <w:pStyle w:val="966"/>
              <w:ind w:firstLine="0"/>
              <w:jc w:val="left"/>
              <w:spacing w:line="360" w:lineRule="auto"/>
              <w:rPr>
                <w:b w:val="0"/>
                <w:bCs w:val="0"/>
                <w:i w:val="0"/>
                <w:iCs w:val="0"/>
                <w:sz w:val="24"/>
                <w:szCs w:val="24"/>
                <w:highlight w:val="none"/>
                <w:u w:val="none"/>
              </w:rPr>
            </w:pPr>
            <w:r>
              <w:rPr>
                <w:rFonts w:hint="eastAsia" w:ascii="宋体" w:hAnsi="宋体"/>
                <w:b w:val="0"/>
                <w:bCs w:val="0"/>
                <w:i w:val="0"/>
                <w:iCs w:val="0"/>
                <w:color w:val="0d0d0d"/>
                <w:sz w:val="24"/>
                <w:szCs w:val="24"/>
                <w:highlight w:val="none"/>
                <w:u w:val="none"/>
              </w:rPr>
              <w:t xml:space="preserve">6.8 输</w:t>
            </w:r>
            <w:r>
              <w:rPr>
                <w:rFonts w:hint="eastAsia" w:ascii="宋体" w:hAnsi="宋体" w:cs="宋体"/>
                <w:b w:val="0"/>
                <w:bCs w:val="0"/>
                <w:i w:val="0"/>
                <w:iCs w:val="0"/>
                <w:sz w:val="24"/>
                <w:szCs w:val="24"/>
                <w:highlight w:val="none"/>
                <w:u w:val="none"/>
              </w:rPr>
              <w:t xml:space="preserve">出设备一台，支持彩色自动双面输出，支持有线&amp;无线网络输出，A4纸输出速度（黑白或彩色）不低于27页/分钟；</w:t>
            </w:r>
            <w:r>
              <w:rPr>
                <w:highlight w:val="none"/>
              </w:rPr>
            </w:r>
            <w:r/>
          </w:p>
          <w:p>
            <w:pPr>
              <w:spacing w:line="360" w:lineRule="auto"/>
              <w:rPr>
                <w:rFonts w:ascii="Times New Roman" w:hAnsi="Times New Roman"/>
                <w:sz w:val="24"/>
                <w:szCs w:val="24"/>
                <w:highlight w:val="none"/>
              </w:rPr>
            </w:pPr>
            <w:r>
              <w:rPr>
                <w:rFonts w:hint="eastAsia" w:ascii="Times New Roman" w:hAnsi="Times New Roman"/>
                <w:sz w:val="24"/>
                <w:szCs w:val="24"/>
                <w:highlight w:val="none"/>
              </w:rPr>
              <w:t xml:space="preserve">6.9色谱柱：</w:t>
            </w:r>
            <w:bookmarkStart w:id="13" w:name="OLE_LINK1"/>
            <w:r>
              <w:rPr>
                <w:highlight w:val="none"/>
              </w:rPr>
            </w:r>
            <w:r/>
          </w:p>
          <w:p>
            <w:pPr>
              <w:spacing w:line="360" w:lineRule="auto"/>
              <w:rPr>
                <w:rFonts w:ascii="Times New Roman" w:hAnsi="Times New Roman"/>
                <w:sz w:val="24"/>
                <w:szCs w:val="24"/>
                <w:highlight w:val="none"/>
              </w:rPr>
            </w:pPr>
            <w:r>
              <w:rPr>
                <w:rFonts w:hint="eastAsia" w:ascii="Times New Roman" w:hAnsi="Times New Roman"/>
                <w:sz w:val="24"/>
                <w:szCs w:val="24"/>
                <w:highlight w:val="none"/>
              </w:rPr>
              <w:t xml:space="preserve">砷形态分析柱（4.1*250mm，10μm） 1套</w:t>
            </w:r>
            <w:bookmarkEnd w:id="13"/>
            <w:r>
              <w:rPr>
                <w:highlight w:val="none"/>
              </w:rPr>
            </w:r>
            <w:r/>
          </w:p>
          <w:p>
            <w:pPr>
              <w:jc w:val="left"/>
              <w:spacing w:line="360" w:lineRule="auto"/>
              <w:rPr>
                <w:rFonts w:ascii="Times New Roman" w:hAnsi="Times New Roman"/>
                <w:sz w:val="24"/>
                <w:szCs w:val="24"/>
                <w:highlight w:val="none"/>
              </w:rPr>
            </w:pPr>
            <w:r>
              <w:rPr>
                <w:rFonts w:hint="eastAsia" w:ascii="Times New Roman" w:hAnsi="Times New Roman"/>
                <w:sz w:val="24"/>
                <w:szCs w:val="24"/>
                <w:highlight w:val="none"/>
              </w:rPr>
              <w:t xml:space="preserve">PAHs专用柱（4.6mm*250mm,5μm）           1套</w:t>
            </w:r>
            <w:r>
              <w:rPr>
                <w:highlight w:val="none"/>
              </w:rPr>
            </w:r>
            <w:r/>
          </w:p>
          <w:p>
            <w:pPr>
              <w:spacing w:line="360" w:lineRule="auto"/>
              <w:rPr>
                <w:rFonts w:ascii="Times New Roman" w:hAnsi="Times New Roman"/>
                <w:sz w:val="24"/>
                <w:szCs w:val="24"/>
                <w:highlight w:val="none"/>
              </w:rPr>
            </w:pPr>
            <w:r>
              <w:rPr>
                <w:rFonts w:hint="eastAsia" w:ascii="Times New Roman" w:hAnsi="Times New Roman"/>
                <w:sz w:val="24"/>
                <w:szCs w:val="24"/>
                <w:highlight w:val="none"/>
              </w:rPr>
              <w:t xml:space="preserve">通用型C</w:t>
            </w:r>
            <w:r>
              <w:rPr>
                <w:rFonts w:hint="eastAsia" w:ascii="Times New Roman" w:hAnsi="Times New Roman"/>
                <w:sz w:val="24"/>
                <w:szCs w:val="24"/>
                <w:highlight w:val="none"/>
                <w:vertAlign w:val="subscript"/>
              </w:rPr>
              <w:t xml:space="preserve">18</w:t>
            </w:r>
            <w:r>
              <w:rPr>
                <w:rFonts w:hint="eastAsia" w:ascii="Times New Roman" w:hAnsi="Times New Roman"/>
                <w:sz w:val="24"/>
                <w:szCs w:val="24"/>
                <w:highlight w:val="none"/>
              </w:rPr>
              <w:t xml:space="preserve">色谱柱                            2套</w:t>
            </w:r>
            <w:r>
              <w:rPr>
                <w:highlight w:val="none"/>
              </w:rPr>
            </w:r>
            <w:r/>
          </w:p>
          <w:p>
            <w:pPr>
              <w:spacing w:line="360" w:lineRule="auto"/>
              <w:rPr>
                <w:rFonts w:ascii="宋体" w:hAnsi="宋体"/>
                <w:color w:val="0d0d0d"/>
                <w:sz w:val="24"/>
                <w:szCs w:val="24"/>
                <w:highlight w:val="none"/>
              </w:rPr>
            </w:pPr>
            <w:r>
              <w:rPr>
                <w:rFonts w:hint="eastAsia" w:ascii="宋体" w:hAnsi="宋体"/>
                <w:color w:val="0d0d0d"/>
                <w:sz w:val="24"/>
                <w:szCs w:val="24"/>
                <w:highlight w:val="none"/>
              </w:rPr>
              <w:t xml:space="preserve">6.10</w:t>
            </w:r>
            <w:r>
              <w:rPr>
                <w:rFonts w:ascii="宋体" w:hAnsi="宋体"/>
                <w:color w:val="0d0d0d"/>
                <w:sz w:val="24"/>
                <w:szCs w:val="24"/>
                <w:highlight w:val="none"/>
              </w:rPr>
              <w:t xml:space="preserve"> </w:t>
            </w:r>
            <w:r>
              <w:rPr>
                <w:rFonts w:hint="eastAsia" w:ascii="宋体" w:hAnsi="宋体"/>
                <w:color w:val="0d0d0d"/>
                <w:sz w:val="24"/>
                <w:szCs w:val="24"/>
                <w:highlight w:val="none"/>
              </w:rPr>
              <w:t xml:space="preserve">通用的相关耗材一包（过滤白头1包，手紧接头1包等等）；</w:t>
            </w:r>
            <w:r>
              <w:rPr>
                <w:highlight w:val="none"/>
              </w:rPr>
            </w:r>
            <w:r/>
          </w:p>
          <w:p>
            <w:pPr>
              <w:spacing w:line="360" w:lineRule="auto"/>
              <w:rPr>
                <w:rFonts w:ascii="宋体" w:hAnsi="宋体" w:cs="宋体"/>
                <w:bCs/>
                <w:sz w:val="24"/>
                <w:szCs w:val="24"/>
                <w:highlight w:val="none"/>
              </w:rPr>
              <w:outlineLvl w:val="0"/>
            </w:pPr>
            <w:r>
              <w:rPr>
                <w:rFonts w:hint="eastAsia" w:ascii="宋体" w:hAnsi="宋体"/>
                <w:b w:val="0"/>
                <w:bCs w:val="0"/>
                <w:i w:val="0"/>
                <w:iCs w:val="0"/>
                <w:color w:val="0d0d0d"/>
                <w:sz w:val="24"/>
                <w:szCs w:val="24"/>
                <w:highlight w:val="none"/>
                <w:u w:val="none"/>
              </w:rPr>
              <w:t xml:space="preserve">6</w:t>
            </w:r>
            <w:r>
              <w:rPr>
                <w:rFonts w:hint="eastAsia" w:ascii="宋体" w:hAnsi="宋体"/>
                <w:color w:val="0d0d0d"/>
                <w:sz w:val="24"/>
                <w:szCs w:val="24"/>
                <w:highlight w:val="none"/>
              </w:rPr>
              <w:t xml:space="preserve">.11正版操作平台14寸以上液晶显示设备，适配单位LIMS系统，内存16GB及以上，1T硬盘以上，正版办公软件 1套；</w:t>
            </w:r>
            <w:r>
              <w:rPr>
                <w:highlight w:val="none"/>
              </w:rPr>
            </w:r>
            <w:r/>
          </w:p>
          <w:p>
            <w:pPr>
              <w:spacing w:line="360" w:lineRule="auto"/>
              <w:rPr>
                <w:rFonts w:ascii="宋体" w:hAnsi="宋体"/>
                <w:color w:val="0d0d0d"/>
                <w:sz w:val="24"/>
                <w:szCs w:val="24"/>
                <w:highlight w:val="none"/>
              </w:rPr>
            </w:pPr>
            <w:r>
              <w:rPr>
                <w:rFonts w:hint="eastAsia" w:ascii="宋体" w:hAnsi="宋体" w:cs="宋体"/>
                <w:sz w:val="24"/>
                <w:szCs w:val="24"/>
                <w:highlight w:val="none"/>
              </w:rPr>
              <w:t xml:space="preserve">6.12台式冷冻型离心机      </w:t>
            </w:r>
            <w:r>
              <w:rPr>
                <w:rFonts w:hint="eastAsia" w:ascii="宋体" w:hAnsi="宋体"/>
                <w:color w:val="0d0d0d"/>
                <w:sz w:val="24"/>
                <w:szCs w:val="24"/>
                <w:highlight w:val="none"/>
              </w:rPr>
              <w:t xml:space="preserve">1套</w:t>
            </w:r>
            <w:r>
              <w:rPr>
                <w:highlight w:val="none"/>
              </w:rPr>
            </w:r>
            <w:r/>
          </w:p>
          <w:p>
            <w:pPr>
              <w:spacing w:line="360" w:lineRule="auto"/>
              <w:rPr>
                <w:rFonts w:ascii="宋体" w:hAnsi="宋体"/>
                <w:color w:val="0d0d0d"/>
                <w:sz w:val="24"/>
                <w:szCs w:val="24"/>
                <w:highlight w:val="none"/>
              </w:rPr>
            </w:pPr>
            <w:r>
              <w:rPr>
                <w:rFonts w:hint="eastAsia" w:ascii="宋体" w:hAnsi="宋体"/>
                <w:color w:val="0d0d0d"/>
                <w:sz w:val="24"/>
                <w:szCs w:val="24"/>
                <w:highlight w:val="none"/>
              </w:rPr>
              <w:t xml:space="preserve">6.13</w:t>
            </w:r>
            <w:r>
              <w:rPr>
                <w:rFonts w:hint="eastAsia" w:ascii="宋体" w:hAnsi="宋体" w:cs="宋体"/>
                <w:bCs/>
                <w:color w:val="000000"/>
                <w:sz w:val="24"/>
                <w:szCs w:val="24"/>
                <w:highlight w:val="none"/>
                <w:lang w:bidi="ar"/>
              </w:rPr>
              <w:t xml:space="preserve">恒温数控超声波清洗器 </w:t>
            </w:r>
            <w:r>
              <w:rPr>
                <w:rFonts w:hint="eastAsia" w:ascii="宋体" w:hAnsi="宋体" w:cs="宋体"/>
                <w:sz w:val="24"/>
                <w:szCs w:val="24"/>
                <w:highlight w:val="none"/>
              </w:rPr>
              <w:t xml:space="preserve"> </w:t>
            </w:r>
            <w:r>
              <w:rPr>
                <w:rFonts w:hint="eastAsia" w:ascii="宋体" w:hAnsi="宋体"/>
                <w:color w:val="0d0d0d"/>
                <w:sz w:val="24"/>
                <w:szCs w:val="24"/>
                <w:highlight w:val="none"/>
              </w:rPr>
              <w:t xml:space="preserve">1套</w:t>
            </w:r>
            <w:r>
              <w:rPr>
                <w:highlight w:val="none"/>
              </w:rPr>
            </w:r>
            <w:r/>
          </w:p>
          <w:p>
            <w:pPr>
              <w:spacing w:line="360" w:lineRule="auto"/>
              <w:rPr>
                <w:rFonts w:ascii="宋体" w:hAnsi="宋体" w:cs="宋体"/>
                <w:sz w:val="24"/>
                <w:szCs w:val="24"/>
                <w:highlight w:val="none"/>
              </w:rPr>
            </w:pPr>
            <w:r>
              <w:rPr>
                <w:rFonts w:hint="eastAsia" w:ascii="宋体" w:hAnsi="宋体"/>
                <w:color w:val="0d0d0d"/>
                <w:sz w:val="24"/>
                <w:szCs w:val="24"/>
                <w:highlight w:val="none"/>
              </w:rPr>
              <w:t xml:space="preserve">6.14</w:t>
            </w:r>
            <w:r>
              <w:rPr>
                <w:rFonts w:hint="eastAsia" w:ascii="宋体" w:hAnsi="宋体" w:cs="宋体"/>
                <w:bCs/>
                <w:color w:val="000000"/>
                <w:sz w:val="24"/>
                <w:szCs w:val="24"/>
                <w:highlight w:val="none"/>
                <w:lang w:bidi="ar"/>
              </w:rPr>
              <w:t xml:space="preserve">旋转蒸发仪 </w:t>
            </w:r>
            <w:r>
              <w:rPr>
                <w:rFonts w:hint="eastAsia" w:ascii="宋体" w:hAnsi="宋体" w:cs="宋体"/>
                <w:sz w:val="24"/>
                <w:szCs w:val="24"/>
                <w:highlight w:val="none"/>
              </w:rPr>
              <w:t xml:space="preserve">           </w:t>
            </w:r>
            <w:r>
              <w:rPr>
                <w:rFonts w:hint="eastAsia" w:ascii="宋体" w:hAnsi="宋体"/>
                <w:color w:val="0d0d0d"/>
                <w:sz w:val="24"/>
                <w:szCs w:val="24"/>
                <w:highlight w:val="none"/>
              </w:rPr>
              <w:t xml:space="preserve">1套</w:t>
            </w:r>
            <w:r>
              <w:rPr>
                <w:highlight w:val="none"/>
              </w:rPr>
            </w:r>
            <w:r/>
          </w:p>
        </w:tc>
      </w:tr>
      <w:tr>
        <w:trPr>
          <w:jc w:val="center"/>
        </w:trPr>
        <w:tc>
          <w:tcPr>
            <w:shd w:val="clear" w:color="auto" w:fill="auto"/>
            <w:tcW w:w="355" w:type="pct"/>
            <w:vAlign w:val="center"/>
            <w:textDirection w:val="lrTb"/>
            <w:noWrap w:val="false"/>
          </w:tcPr>
          <w:p>
            <w:pPr>
              <w:jc w:val="center"/>
              <w:spacing w:line="360" w:lineRule="auto"/>
              <w:widowControl/>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rPr>
              <w:t xml:space="preserve">2</w:t>
            </w:r>
            <w:r>
              <w:rPr>
                <w:highlight w:val="none"/>
              </w:rPr>
            </w:r>
            <w:r/>
          </w:p>
        </w:tc>
        <w:tc>
          <w:tcPr>
            <w:shd w:val="clear" w:color="auto" w:fill="auto"/>
            <w:tcW w:w="1096" w:type="pct"/>
            <w:vAlign w:val="center"/>
            <w:textDirection w:val="lrTb"/>
            <w:noWrap w:val="false"/>
          </w:tcPr>
          <w:p>
            <w:pPr>
              <w:jc w:val="center"/>
              <w:spacing w:line="360" w:lineRule="auto"/>
              <w:widowControl/>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实验室洗瓶机</w:t>
            </w:r>
            <w:r>
              <w:rPr>
                <w:highlight w:val="none"/>
              </w:rPr>
            </w:r>
            <w:r/>
          </w:p>
        </w:tc>
        <w:tc>
          <w:tcPr>
            <w:shd w:val="clear" w:color="auto" w:fill="auto"/>
            <w:tcW w:w="3548" w:type="pct"/>
            <w:vAlign w:val="center"/>
            <w:textDirection w:val="lrTb"/>
            <w:noWrap w:val="false"/>
          </w:tcPr>
          <w:p>
            <w:pP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1.用途</w:t>
            </w:r>
            <w:r>
              <w:rPr>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适用于不同材质（玻璃、陶瓷、塑料和金属）、不同形状（试管、容量瓶、锥形瓶、量筒等）、不同容量和尺寸器皿的高通量标准化全自动清洗、烘干。</w:t>
            </w:r>
            <w:r>
              <w:rPr>
                <w:highlight w:val="none"/>
              </w:rPr>
            </w:r>
            <w:r/>
          </w:p>
          <w:p>
            <w:pPr>
              <w:numPr>
                <w:ilvl w:val="0"/>
                <w:numId w:val="10"/>
              </w:numP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技术参数</w:t>
            </w:r>
            <w:r>
              <w:rPr>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2.1控制系统</w:t>
            </w:r>
            <w:r>
              <w:rPr>
                <w:highlight w:val="none"/>
              </w:rPr>
            </w:r>
            <w:r/>
          </w:p>
          <w:p>
            <w:pPr>
              <w:spacing w:line="360" w:lineRule="auto"/>
              <w:rPr>
                <w:rFonts w:ascii="宋体" w:hAnsi="宋体" w:cs="宋体"/>
                <w:b/>
                <w:bCs/>
                <w:sz w:val="24"/>
                <w:szCs w:val="24"/>
                <w:highlight w:val="none"/>
              </w:rPr>
            </w:pPr>
            <w:r>
              <w:rPr>
                <w:rFonts w:hint="eastAsia" w:ascii="宋体" w:hAnsi="宋体" w:cs="宋体"/>
                <w:sz w:val="24"/>
                <w:szCs w:val="24"/>
                <w:highlight w:val="none"/>
              </w:rPr>
              <w:t xml:space="preserve">2.1.1 PLC或微电脑芯片控制系统，运行稳定，7寸以上液晶触，摸显示屏操作界面友好，响应迅速，控制系统应稳定可靠，具备防死机设计，显示屏亮度可根据用户需求调节；20个以上标准清洗程序，可根据需要设置多个自定义清洗程序；</w:t>
            </w:r>
            <w:r>
              <w:rPr>
                <w:rFonts w:hint="eastAsia" w:ascii="宋体" w:hAnsi="宋体" w:cs="宋体"/>
                <w:b/>
                <w:bCs/>
                <w:sz w:val="24"/>
                <w:szCs w:val="24"/>
                <w:highlight w:val="none"/>
              </w:rPr>
              <w:t xml:space="preserve">（提供证明材料和实物图证明）</w:t>
            </w:r>
            <w:r>
              <w:rPr>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2.1.2联锁装置：清洗机没有关闭密封门程序不能启动；一旦程序启动并运行，密封门被锁定，不能开启，确保操作安全。当程序未结束或舱内高温时，密封门将被保护不能打开，保证设备及人身安全；</w:t>
            </w:r>
            <w:r>
              <w:rPr>
                <w:highlight w:val="none"/>
              </w:rPr>
            </w:r>
            <w:r/>
          </w:p>
          <w:p>
            <w:pPr>
              <w:spacing w:line="360" w:lineRule="auto"/>
              <w:rPr>
                <w:rFonts w:ascii="宋体" w:hAnsi="宋体" w:cs="宋体"/>
                <w:b/>
                <w:bCs/>
                <w:sz w:val="24"/>
                <w:szCs w:val="24"/>
                <w:highlight w:val="none"/>
              </w:rPr>
            </w:pPr>
            <w:r>
              <w:rPr>
                <w:rFonts w:hint="eastAsia" w:ascii="宋体" w:hAnsi="宋体" w:cs="宋体"/>
                <w:sz w:val="24"/>
                <w:szCs w:val="24"/>
                <w:highlight w:val="none"/>
              </w:rPr>
              <w:t xml:space="preserve">2.1.3操作权限：操作员、管理员、系统工程师三级管理权限；操作员三个二级账户，管理员两个二级账户，系统工程师一个账户，用于设置和修改系统参数，密码可以设6为位数字；</w:t>
            </w:r>
            <w:r>
              <w:rPr>
                <w:rFonts w:hint="eastAsia" w:ascii="宋体" w:hAnsi="宋体" w:cs="宋体"/>
                <w:b/>
                <w:bCs/>
                <w:sz w:val="24"/>
                <w:szCs w:val="24"/>
                <w:highlight w:val="none"/>
              </w:rPr>
              <w:t xml:space="preserve">（提供证明材料）</w:t>
            </w:r>
            <w:r>
              <w:rPr>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2.1.4报警装置：控制系统应对设备的异常和偏离情况进行报警，能够实现自动声音报警，在显示屏显示报警信息并自动打印记录，操作界面上可以显示警报信息；</w:t>
            </w:r>
            <w:r>
              <w:rPr>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2.1.5自动感应关门装置：舱门到一定位置后，仪器自动识别，自动关门，无需手动推送。</w:t>
            </w:r>
            <w:r>
              <w:rPr>
                <w:rFonts w:hint="eastAsia" w:ascii="宋体" w:hAnsi="宋体" w:cs="宋体"/>
                <w:b/>
                <w:bCs/>
                <w:sz w:val="24"/>
                <w:szCs w:val="24"/>
                <w:highlight w:val="none"/>
              </w:rPr>
              <w:t xml:space="preserve">（提供证明材料和传感器实物图）</w:t>
            </w:r>
            <w:r>
              <w:rPr>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2.2在线监测</w:t>
            </w:r>
            <w:r>
              <w:rPr>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2.2.1联锁装置：保证设备的运行状态下是不能打开门锁，以免热水烫伤；</w:t>
            </w:r>
            <w:r>
              <w:rPr>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2.2.2进水监测：保证设备清洗过程中正常的用水需求，采用压力变送器作为水位传感器，可以检测清洗机内舱低液位，中液位以及高液位；</w:t>
            </w:r>
            <w:r>
              <w:rPr>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2.2.3双温监控：按照清洗温度图谱精确控制温度；</w:t>
            </w:r>
            <w:r>
              <w:rPr>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2.2.4过热保护：监测到循环泵过热时，设备自动关闭，以防损坏机器；</w:t>
            </w:r>
            <w:r>
              <w:rPr>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2.2.5清洗剂监测：保证清洗过程中有足够的化学试剂，清洗剂桶内配置两个液位传感器，一个是报警液位，另外一个是提示液位；</w:t>
            </w:r>
            <w:r>
              <w:rPr>
                <w:rFonts w:hint="eastAsia" w:ascii="宋体" w:hAnsi="宋体" w:cs="宋体"/>
                <w:b/>
                <w:bCs/>
                <w:sz w:val="24"/>
                <w:szCs w:val="24"/>
                <w:highlight w:val="none"/>
              </w:rPr>
              <w:t xml:space="preserve">（提供相关证明材料和传感器实物图）</w:t>
            </w:r>
            <w:r>
              <w:rPr>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2.2.6内置水位传感系统。实现排水情况、运行水位、溢水报警监测；</w:t>
            </w:r>
            <w:r>
              <w:rPr>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2.2.7实现管道压力监测；</w:t>
            </w:r>
            <w:r>
              <w:rPr>
                <w:rFonts w:hint="eastAsia" w:ascii="宋体" w:hAnsi="宋体" w:cs="宋体"/>
                <w:b/>
                <w:bCs/>
                <w:sz w:val="24"/>
                <w:szCs w:val="24"/>
                <w:highlight w:val="none"/>
              </w:rPr>
              <w:t xml:space="preserve">（提供相关证明材料）</w:t>
            </w:r>
            <w:r>
              <w:rPr>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2.2.8机器具有安全保护系统，具有停水报警、漏电保护自动断电功能；</w:t>
            </w:r>
            <w:r>
              <w:rPr>
                <w:highlight w:val="none"/>
              </w:rPr>
            </w:r>
            <w:r/>
          </w:p>
          <w:p>
            <w:pPr>
              <w:spacing w:line="360" w:lineRule="auto"/>
              <w:rPr>
                <w:rFonts w:ascii="宋体" w:hAnsi="宋体" w:cs="宋体"/>
                <w:b/>
                <w:bCs/>
                <w:sz w:val="24"/>
                <w:szCs w:val="24"/>
                <w:highlight w:val="none"/>
              </w:rPr>
            </w:pPr>
            <w:r>
              <w:rPr>
                <w:rFonts w:hint="eastAsia" w:ascii="宋体" w:hAnsi="宋体" w:cs="宋体"/>
                <w:sz w:val="24"/>
                <w:szCs w:val="24"/>
                <w:highlight w:val="none"/>
              </w:rPr>
              <w:t xml:space="preserve">2.2.9可通过显示屏带控制点的工艺流程图，实时监测和显示整个设备的运行状态和以上在线监测参数；</w:t>
            </w:r>
            <w:r>
              <w:rPr>
                <w:rFonts w:hint="eastAsia" w:ascii="宋体" w:hAnsi="宋体" w:cs="宋体"/>
                <w:b/>
                <w:bCs/>
                <w:sz w:val="24"/>
                <w:szCs w:val="24"/>
                <w:highlight w:val="none"/>
              </w:rPr>
              <w:t xml:space="preserve">（提供相关证明材料和实物图证明）</w:t>
            </w:r>
            <w:r>
              <w:rPr>
                <w:highlight w:val="none"/>
              </w:rPr>
            </w:r>
            <w:r/>
          </w:p>
          <w:p>
            <w:pPr>
              <w:spacing w:line="360" w:lineRule="auto"/>
              <w:rPr>
                <w:rFonts w:ascii="宋体" w:hAnsi="宋体" w:cs="宋体"/>
                <w:sz w:val="24"/>
                <w:szCs w:val="24"/>
                <w:highlight w:val="none"/>
              </w:rPr>
            </w:pPr>
            <w:r>
              <w:rPr>
                <w:rFonts w:hint="eastAsia" w:ascii="Times New Roman" w:hAnsi="Times New Roman"/>
                <w:szCs w:val="24"/>
                <w:highlight w:val="none"/>
              </w:rPr>
              <w:t xml:space="preserve">▲</w:t>
            </w:r>
            <w:r>
              <w:rPr>
                <w:rFonts w:hint="eastAsia" w:ascii="宋体" w:hAnsi="宋体" w:cs="宋体"/>
                <w:sz w:val="24"/>
                <w:szCs w:val="24"/>
                <w:highlight w:val="none"/>
              </w:rPr>
              <w:t xml:space="preserve">2.3循环系统：采用循环泵，最大循环能力可自动调节0-800L/min，安装有软启动和防过载装传感器，保护泵启动温和并延长使用寿命；</w:t>
            </w:r>
            <w:r>
              <w:rPr>
                <w:rFonts w:hint="eastAsia" w:ascii="宋体" w:hAnsi="宋体" w:cs="宋体"/>
                <w:b/>
                <w:bCs/>
                <w:sz w:val="24"/>
                <w:szCs w:val="24"/>
                <w:highlight w:val="none"/>
              </w:rPr>
              <w:t xml:space="preserve">（提供循环泵证明材料和实物图）</w:t>
            </w:r>
            <w:r>
              <w:rPr>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2.4清洗剂分配</w:t>
            </w:r>
            <w:r>
              <w:rPr>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2.4.1用于液体酸性中和剂的蠕动泵（1 个）；</w:t>
            </w:r>
            <w:r>
              <w:rPr>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2.4.2用于液体清洁剂的蠕动泵（1 个）；</w:t>
            </w:r>
            <w:r>
              <w:rPr>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2.4.3清洗剂容器内置，清洗剂放置在设备里面，保证安全；</w:t>
            </w:r>
            <w:r>
              <w:rPr>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2.5整机结构</w:t>
            </w:r>
            <w:r>
              <w:rPr>
                <w:highlight w:val="none"/>
              </w:rPr>
            </w:r>
            <w:r/>
          </w:p>
          <w:p>
            <w:pPr>
              <w:spacing w:line="360" w:lineRule="auto"/>
              <w:rPr>
                <w:rFonts w:ascii="宋体" w:hAnsi="宋体" w:cs="宋体"/>
                <w:b/>
                <w:bCs/>
                <w:sz w:val="24"/>
                <w:szCs w:val="24"/>
                <w:highlight w:val="none"/>
              </w:rPr>
            </w:pPr>
            <w:r>
              <w:rPr>
                <w:rFonts w:hint="eastAsia" w:ascii="宋体" w:hAnsi="宋体" w:cs="宋体"/>
                <w:sz w:val="24"/>
                <w:szCs w:val="24"/>
                <w:highlight w:val="none"/>
              </w:rPr>
              <w:t xml:space="preserve">2.5.1装载门：正面装载并配备下拉式门，要求省力，符合人体工程学，安全性高，避免磕碰遮挡，操作便利，空间利用合理。带透视窗，可直接观察内部清洗情况；</w:t>
            </w:r>
            <w:r>
              <w:rPr>
                <w:rFonts w:hint="eastAsia" w:ascii="宋体" w:hAnsi="宋体" w:cs="宋体"/>
                <w:b/>
                <w:bCs/>
                <w:sz w:val="24"/>
                <w:szCs w:val="24"/>
                <w:highlight w:val="none"/>
              </w:rPr>
              <w:t xml:space="preserve">（提供材料证明）</w:t>
            </w:r>
            <w:r>
              <w:rPr>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2.5.2设备结构：采用双层可拆卸隔热隔音外壳设计，减少了热量的损失。圆角设计，清洗室内表面、清洗/冲洗溶液管道内表面进行抛光工艺，手触无凹凸感。内腔无焊点，管道焊接工艺符合GTAW（自动轨迹焊）标准；</w:t>
            </w:r>
            <w:r>
              <w:rPr>
                <w:highlight w:val="none"/>
              </w:rPr>
            </w:r>
            <w:r/>
          </w:p>
          <w:p>
            <w:pPr>
              <w:spacing w:line="360" w:lineRule="auto"/>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2.5.3材料：06Cr19Ni10（SUS304）级不锈钢外壳，022Cr17Ni12Mo2（SUS316L）级8K镜面不锈钢内胆，具有强防腐蚀功能。（提供相关材料证明）</w:t>
            </w:r>
            <w:r>
              <w:rPr>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2.5.4进水方式：采用篮架从内腔背部耦合对接，实现后部耦合进水方式，能够更好的分配清洗液和合理利用内腔空间，要求管路设计利于保持水压稳定；</w:t>
            </w:r>
            <w:r>
              <w:rPr>
                <w:highlight w:val="none"/>
              </w:rPr>
            </w:r>
            <w:r/>
          </w:p>
          <w:p>
            <w:pPr>
              <w:spacing w:line="360" w:lineRule="auto"/>
              <w:rPr>
                <w:rFonts w:ascii="宋体" w:hAnsi="宋体" w:cs="宋体"/>
                <w:b/>
                <w:bCs/>
                <w:sz w:val="24"/>
                <w:szCs w:val="24"/>
                <w:highlight w:val="none"/>
              </w:rPr>
            </w:pPr>
            <w:r>
              <w:rPr>
                <w:rFonts w:hint="eastAsia" w:ascii="Times New Roman" w:hAnsi="Times New Roman"/>
                <w:szCs w:val="24"/>
                <w:highlight w:val="none"/>
              </w:rPr>
              <w:t xml:space="preserve">▲</w:t>
            </w:r>
            <w:r>
              <w:rPr>
                <w:rFonts w:hint="eastAsia" w:ascii="宋体" w:hAnsi="宋体" w:cs="宋体"/>
                <w:sz w:val="24"/>
                <w:szCs w:val="24"/>
                <w:highlight w:val="none"/>
              </w:rPr>
              <w:t xml:space="preserve">2.5.5物理式防垢水处理装置：清洗装置模块直接链接水龙头连接至洗瓶机上，采用高频电磁脉冲物理水处理技术，无需树脂交换、无需加盐再生、无废水排放，可完全替代传统离子交换软水系统，实现系统管路、循环水系统的防垢、除垢、缓蚀、水质稳定处理功能，满足系统长期无垢运行要求，替代传统软水设备的防垢设备保护功能，可降低成本；</w:t>
            </w:r>
            <w:r>
              <w:rPr>
                <w:rFonts w:hint="eastAsia" w:ascii="宋体" w:hAnsi="宋体" w:cs="宋体"/>
                <w:b/>
                <w:bCs/>
                <w:sz w:val="24"/>
                <w:szCs w:val="24"/>
                <w:highlight w:val="none"/>
              </w:rPr>
              <w:t xml:space="preserve">（提供相关证明材料和实物图片）</w:t>
            </w:r>
            <w:r>
              <w:rPr>
                <w:highlight w:val="none"/>
              </w:rPr>
            </w:r>
            <w:r/>
          </w:p>
          <w:p>
            <w:pPr>
              <w:spacing w:line="360" w:lineRule="auto"/>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2.5.6喷淋系统：标配上中下旋转喷淋臂，采用扇形喷嘴和非对称设计，保证清洗的覆盖率更广；（提供腔体内装载上中下旋转喷淋臂实物图和喷淋臂细节实物图）</w:t>
            </w:r>
            <w:r>
              <w:rPr>
                <w:highlight w:val="none"/>
              </w:rPr>
            </w:r>
            <w:r/>
          </w:p>
          <w:p>
            <w:pPr>
              <w:spacing w:line="360" w:lineRule="auto"/>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2.5.7装载篮架：设备内置4个进水口，四层导轨，实现高度任意调节，可同时放置3层篮架，篮架为模块设计，灵活搭配、任意组合使用，每层放置2个模块篮架，每次可最多放置6个模块篮架，满足更多器皿的兼容性清洗，不接受整体篮架，上、下篮架使用互不干涉；（提供相关证明材料和实物图）</w:t>
            </w:r>
            <w:r>
              <w:rPr>
                <w:highlight w:val="none"/>
              </w:rPr>
            </w:r>
            <w:r/>
          </w:p>
          <w:p>
            <w:pPr>
              <w:spacing w:line="360" w:lineRule="auto"/>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2.5.8设备尺寸：内腔容积不小于300L；</w:t>
            </w:r>
            <w:r>
              <w:rPr>
                <w:highlight w:val="none"/>
              </w:rPr>
            </w:r>
            <w:r/>
          </w:p>
          <w:p>
            <w:pPr>
              <w:spacing w:line="360" w:lineRule="auto"/>
              <w:rPr>
                <w:rFonts w:ascii="宋体" w:hAnsi="宋体" w:cs="宋体"/>
                <w:b/>
                <w:bCs/>
                <w:sz w:val="24"/>
                <w:szCs w:val="24"/>
                <w:highlight w:val="none"/>
              </w:rPr>
            </w:pPr>
            <w:r>
              <w:rPr>
                <w:rFonts w:hint="eastAsia" w:ascii="宋体" w:hAnsi="宋体" w:cs="宋体"/>
                <w:sz w:val="24"/>
                <w:szCs w:val="24"/>
                <w:highlight w:val="none"/>
              </w:rPr>
              <w:t xml:space="preserve">2.5.9设备有带USB数据接口，可连电脑、打印机、U盘等，并内置储存芯片；仪器带有数据追溯功能，可储存清洗记录；</w:t>
            </w:r>
            <w:r>
              <w:rPr>
                <w:rFonts w:hint="eastAsia" w:ascii="宋体" w:hAnsi="宋体" w:cs="宋体"/>
                <w:b/>
                <w:bCs/>
                <w:sz w:val="24"/>
                <w:szCs w:val="24"/>
                <w:highlight w:val="none"/>
              </w:rPr>
              <w:t xml:space="preserve">（提供相关证明材料和实物图证明）</w:t>
            </w:r>
            <w:r>
              <w:rPr>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2.5.10设备自带纯水增压系统；</w:t>
            </w:r>
            <w:r>
              <w:rPr>
                <w:rFonts w:hint="eastAsia" w:ascii="宋体" w:hAnsi="宋体" w:cs="宋体"/>
                <w:b/>
                <w:bCs/>
                <w:sz w:val="24"/>
                <w:szCs w:val="24"/>
                <w:highlight w:val="none"/>
              </w:rPr>
              <w:t xml:space="preserve">（提供实物图证明）</w:t>
            </w:r>
            <w:r>
              <w:rPr>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2.5.11清洗机内腔带有2个照明灯，可以更清楚的观察内部清洗情况；</w:t>
            </w:r>
            <w:r>
              <w:rPr>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2.5.12内置三层过滤系统，避免杂物进入管路造成堵塞，防止二次污染；可拆卸，便于维护。</w:t>
            </w:r>
            <w:r>
              <w:rPr>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2.5.13内腔采用斜面设计，确保排水彻底，不会成为污染源，并且可以减少烘干时间；</w:t>
            </w:r>
            <w:r>
              <w:rPr>
                <w:rFonts w:hint="eastAsia" w:ascii="宋体" w:hAnsi="宋体" w:cs="宋体"/>
                <w:b/>
                <w:bCs/>
                <w:sz w:val="24"/>
                <w:szCs w:val="24"/>
                <w:highlight w:val="none"/>
              </w:rPr>
              <w:t xml:space="preserve">（提供实物图证明材料）</w:t>
            </w:r>
            <w:r>
              <w:rPr>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2.6干燥系统</w:t>
            </w:r>
            <w:r>
              <w:rPr>
                <w:highlight w:val="none"/>
              </w:rPr>
            </w:r>
            <w:r/>
          </w:p>
          <w:p>
            <w:pPr>
              <w:spacing w:line="360" w:lineRule="auto"/>
              <w:rPr>
                <w:rFonts w:ascii="宋体" w:hAnsi="宋体" w:cs="宋体"/>
                <w:b/>
                <w:bCs/>
                <w:sz w:val="24"/>
                <w:szCs w:val="24"/>
                <w:highlight w:val="none"/>
              </w:rPr>
            </w:pPr>
            <w:r>
              <w:rPr>
                <w:rFonts w:hint="eastAsia" w:ascii="宋体" w:hAnsi="宋体" w:cs="宋体"/>
                <w:sz w:val="24"/>
                <w:szCs w:val="24"/>
                <w:highlight w:val="none"/>
              </w:rPr>
              <w:t xml:space="preserve">2.6.1空气过滤：采用高效过滤器HEPA14，可更换维护；</w:t>
            </w:r>
            <w:r>
              <w:rPr>
                <w:rFonts w:hint="eastAsia" w:ascii="宋体" w:hAnsi="宋体" w:cs="宋体"/>
                <w:b/>
                <w:bCs/>
                <w:sz w:val="24"/>
                <w:szCs w:val="24"/>
                <w:highlight w:val="none"/>
              </w:rPr>
              <w:t xml:space="preserve">（提供实物图证明）</w:t>
            </w:r>
            <w:r>
              <w:rPr>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2.6.2风机：每小时空气流量≥110m</w:t>
            </w:r>
            <w:r>
              <w:rPr>
                <w:rFonts w:hint="eastAsia" w:ascii="宋体" w:hAnsi="宋体" w:cs="宋体"/>
                <w:sz w:val="24"/>
                <w:szCs w:val="24"/>
                <w:highlight w:val="none"/>
                <w:vertAlign w:val="superscript"/>
              </w:rPr>
              <w:t xml:space="preserve">3</w:t>
            </w:r>
            <w:r>
              <w:rPr>
                <w:rFonts w:hint="eastAsia" w:ascii="宋体" w:hAnsi="宋体" w:cs="宋体"/>
                <w:sz w:val="24"/>
                <w:szCs w:val="24"/>
                <w:highlight w:val="none"/>
              </w:rPr>
              <w:t xml:space="preserve">/小时，温度最高可调至100℃，干燥时间可自定义设置，注射式烘干，要求满足窄口、大容量、复杂结构器皿的高效率烘干；</w:t>
            </w:r>
            <w:r>
              <w:rPr>
                <w:highlight w:val="none"/>
              </w:rPr>
            </w:r>
            <w:r/>
          </w:p>
          <w:p>
            <w:pPr>
              <w:spacing w:line="360" w:lineRule="auto"/>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2.6.3具有蒸汽冷凝功能，将干燥过程中水蒸气转换为液体排放掉，避免增加房间的湿度，同时保护电子器元件不受损坏；（提供证明材料）</w:t>
            </w:r>
            <w:r>
              <w:rPr>
                <w:highlight w:val="none"/>
              </w:rPr>
            </w:r>
            <w:r/>
          </w:p>
          <w:p>
            <w:pPr>
              <w:spacing w:line="360" w:lineRule="auto"/>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2.7清洗需求：可清洗2000mL内烧杯、陶瓷坩埚、三角漏斗、称量皿、玻璃棒、100mL内单标移液管、25mL内刻度吸管、试管、500mL内三角烧瓶、1000mL内蓝盖试剂瓶、1000mL内容量瓶、100mL内比色管、4mL内色谱进样瓶、流动分析样品管、样品杯、1000mL内磨口试剂瓶、500mL内锥形瓶、200mL内蒸发皿等；（提供清洗篮架实物图）</w:t>
            </w:r>
            <w:r>
              <w:rPr>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2.8检测要求</w:t>
            </w:r>
            <w:r>
              <w:rPr>
                <w:highlight w:val="none"/>
              </w:rPr>
            </w:r>
            <w:r/>
          </w:p>
          <w:p>
            <w:pPr>
              <w:spacing w:line="360" w:lineRule="auto"/>
              <w:rPr>
                <w:rFonts w:ascii="宋体" w:hAnsi="宋体" w:cs="宋体"/>
                <w:b/>
                <w:bCs/>
                <w:sz w:val="24"/>
                <w:szCs w:val="24"/>
                <w:highlight w:val="none"/>
              </w:rPr>
            </w:pPr>
            <w:r>
              <w:rPr>
                <w:rFonts w:hint="eastAsia" w:ascii="宋体" w:hAnsi="宋体" w:cs="宋体"/>
                <w:sz w:val="24"/>
                <w:szCs w:val="24"/>
                <w:highlight w:val="none"/>
              </w:rPr>
              <w:t xml:space="preserve">2.8.1检测报告：需出具针对洗瓶机清洁效果验证的检测报告</w:t>
            </w:r>
            <w:r>
              <w:rPr>
                <w:rFonts w:hint="eastAsia" w:ascii="宋体" w:hAnsi="宋体" w:cs="宋体"/>
                <w:sz w:val="24"/>
                <w:szCs w:val="24"/>
                <w:highlight w:val="none"/>
                <w:lang w:eastAsia="zh-CN"/>
              </w:rPr>
              <w:t xml:space="preserve">。</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提供</w:t>
            </w:r>
            <w:r>
              <w:rPr>
                <w:rFonts w:hint="eastAsia" w:ascii="宋体" w:hAnsi="宋体" w:cs="宋体"/>
                <w:b/>
                <w:bCs/>
                <w:sz w:val="24"/>
                <w:szCs w:val="24"/>
                <w:highlight w:val="none"/>
              </w:rPr>
              <w:t xml:space="preserve">CNAS</w:t>
            </w:r>
            <w:r>
              <w:rPr>
                <w:rFonts w:hint="eastAsia" w:ascii="宋体" w:hAnsi="宋体" w:cs="宋体"/>
                <w:b/>
                <w:bCs/>
                <w:sz w:val="24"/>
                <w:szCs w:val="24"/>
                <w:highlight w:val="none"/>
                <w:lang w:val="en-US" w:eastAsia="zh-CN"/>
              </w:rPr>
              <w:t xml:space="preserve">或其他第三方机构出具的检测报告</w:t>
            </w:r>
            <w:r>
              <w:rPr>
                <w:rFonts w:hint="eastAsia" w:ascii="宋体" w:hAnsi="宋体" w:cs="宋体"/>
                <w:b/>
                <w:bCs/>
                <w:sz w:val="24"/>
                <w:szCs w:val="24"/>
                <w:highlight w:val="none"/>
              </w:rPr>
              <w:t xml:space="preserve">，加盖供应商或制造商公章）</w:t>
            </w:r>
            <w:r>
              <w:rPr>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2.8.</w:t>
            </w:r>
            <w:r>
              <w:rPr>
                <w:rFonts w:ascii="宋体" w:hAnsi="宋体" w:cs="宋体"/>
                <w:sz w:val="24"/>
                <w:szCs w:val="24"/>
                <w:highlight w:val="none"/>
              </w:rPr>
              <w:t xml:space="preserve">2</w:t>
            </w:r>
            <w:r>
              <w:rPr>
                <w:rFonts w:hint="eastAsia" w:ascii="宋体" w:hAnsi="宋体" w:cs="宋体"/>
                <w:sz w:val="24"/>
                <w:szCs w:val="24"/>
                <w:highlight w:val="none"/>
              </w:rPr>
              <w:t xml:space="preserve">漏水测试：清洗腔、贮水槽等所有焊缝，不存在焊接缺陷，并通过100%注水24小时检漏测试；</w:t>
            </w:r>
            <w:r>
              <w:rPr>
                <w:rFonts w:hint="eastAsia" w:ascii="宋体" w:hAnsi="宋体" w:cs="宋体"/>
                <w:b/>
                <w:bCs/>
                <w:sz w:val="24"/>
                <w:szCs w:val="24"/>
                <w:highlight w:val="none"/>
              </w:rPr>
              <w:t xml:space="preserve">（提供</w:t>
            </w:r>
            <w:r>
              <w:rPr>
                <w:rFonts w:hint="eastAsia" w:ascii="宋体" w:hAnsi="宋体" w:cs="宋体"/>
                <w:b/>
                <w:bCs/>
                <w:sz w:val="24"/>
                <w:szCs w:val="24"/>
                <w:highlight w:val="none"/>
                <w:lang w:val="en-US" w:eastAsia="zh-CN"/>
              </w:rPr>
              <w:t xml:space="preserve">可以体现测试结果的</w:t>
            </w:r>
            <w:r>
              <w:rPr>
                <w:rFonts w:hint="eastAsia" w:ascii="宋体" w:hAnsi="宋体" w:cs="宋体"/>
                <w:b/>
                <w:bCs/>
                <w:sz w:val="24"/>
                <w:szCs w:val="24"/>
                <w:highlight w:val="none"/>
              </w:rPr>
              <w:t xml:space="preserve">证明材料）</w:t>
            </w:r>
            <w:r>
              <w:rPr>
                <w:highlight w:val="none"/>
              </w:rPr>
            </w:r>
            <w:r/>
          </w:p>
          <w:p>
            <w:pP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4.配置要求</w:t>
            </w:r>
            <w:r>
              <w:rPr>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4.1 全自动实验室洗瓶机2台</w:t>
            </w:r>
            <w:r>
              <w:rPr>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4.2 基础篮架6套</w:t>
            </w:r>
            <w:r>
              <w:rPr>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4.3 烧杯、陶瓷坩埚、三角漏斗、称量皿、玻璃棒、样品杯等清洗篮架4套</w:t>
            </w:r>
            <w:r>
              <w:rPr>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4.4 移液管、单标移液管、胖肚移液管、刻度吸管、试管等清洗篮架2套</w:t>
            </w:r>
            <w:r>
              <w:rPr>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4.5 150mL内磨口试剂瓶、三角烧瓶、100mL内容量瓶、样品杯等清洗篮架2套</w:t>
            </w:r>
            <w:r>
              <w:rPr>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4.6 500mL内三角烧瓶、试剂瓶等清洗篮架2套</w:t>
            </w:r>
            <w:r>
              <w:rPr>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4.7 500mL内磨口试剂瓶、蓝盖试剂瓶、锥形瓶等清洗篮架1套</w:t>
            </w:r>
            <w:r>
              <w:rPr>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4.8 1000mL内蓝盖试剂瓶、容量瓶等清洗篮架1套</w:t>
            </w:r>
            <w:r>
              <w:rPr>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4.9 50mL内容量瓶、比色管等清洗篮架1套</w:t>
            </w:r>
            <w:r>
              <w:rPr>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4.10 100mL内容量瓶、比色管等清洗篮架1套</w:t>
            </w:r>
            <w:r>
              <w:rPr>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4.11 比色管、流动分析样品管、试管等清洗篮架2套</w:t>
            </w:r>
            <w:r>
              <w:rPr>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4.12 4mL色谱进样瓶等清洗篮架1套</w:t>
            </w:r>
            <w:r>
              <w:rPr>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4.13 2mL色谱进样瓶清洗篮架1套</w:t>
            </w:r>
            <w:r>
              <w:rPr>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4.14 蒸发皿定制清洗篮架1套</w:t>
            </w:r>
            <w:r>
              <w:rPr>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4.15 10mL大型气泡吸收管定制清洗篮架2套</w:t>
            </w:r>
            <w:r>
              <w:rPr>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4.16 10mL多孔玻板吸收管定制清洗篮架2套</w:t>
            </w:r>
            <w:r>
              <w:rPr>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4.17 强碱性清洗剂4桶</w:t>
            </w:r>
            <w:r>
              <w:rPr>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4.18 酸性清洗剂4桶</w:t>
            </w:r>
            <w:r>
              <w:rPr>
                <w:highlight w:val="none"/>
              </w:rPr>
            </w:r>
            <w:r/>
          </w:p>
          <w:p>
            <w:pPr>
              <w:spacing w:line="360" w:lineRule="auto"/>
              <w:rPr>
                <w:rFonts w:ascii="宋体" w:hAnsi="宋体" w:cs="宋体"/>
                <w:sz w:val="24"/>
                <w:szCs w:val="24"/>
                <w:highlight w:val="none"/>
              </w:rPr>
            </w:pPr>
            <w:r>
              <w:rPr>
                <w:rFonts w:hint="eastAsia" w:ascii="Times New Roman" w:hAnsi="Times New Roman"/>
                <w:szCs w:val="24"/>
                <w:highlight w:val="none"/>
              </w:rPr>
              <w:t xml:space="preserve">▲</w:t>
            </w:r>
            <w:r>
              <w:rPr>
                <w:rFonts w:hint="eastAsia" w:ascii="宋体" w:hAnsi="宋体" w:cs="宋体"/>
                <w:sz w:val="24"/>
                <w:szCs w:val="24"/>
                <w:highlight w:val="none"/>
              </w:rPr>
              <w:t xml:space="preserve">4.19 纯水系统2套，产水量40L/H，水质：电导率＜5μs/cm；</w:t>
            </w:r>
            <w:r>
              <w:rPr>
                <w:highlight w:val="none"/>
              </w:rPr>
            </w:r>
            <w:r/>
          </w:p>
        </w:tc>
      </w:tr>
      <w:tr>
        <w:trPr>
          <w:jc w:val="center"/>
        </w:trPr>
        <w:tc>
          <w:tcPr>
            <w:shd w:val="clear" w:color="auto" w:fill="auto"/>
            <w:tcW w:w="355" w:type="pct"/>
            <w:vAlign w:val="center"/>
            <w:textDirection w:val="lrTb"/>
            <w:noWrap w:val="false"/>
          </w:tcPr>
          <w:p>
            <w:pPr>
              <w:jc w:val="center"/>
              <w:spacing w:line="360" w:lineRule="auto"/>
              <w:widowControl/>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rPr>
              <w:t xml:space="preserve">3</w:t>
            </w:r>
            <w:r>
              <w:rPr>
                <w:highlight w:val="none"/>
              </w:rPr>
            </w:r>
            <w:r/>
          </w:p>
        </w:tc>
        <w:tc>
          <w:tcPr>
            <w:shd w:val="clear" w:color="auto" w:fill="auto"/>
            <w:tcW w:w="1096" w:type="pct"/>
            <w:vAlign w:val="center"/>
            <w:textDirection w:val="lrTb"/>
            <w:noWrap w:val="false"/>
          </w:tcPr>
          <w:p>
            <w:pPr>
              <w:jc w:val="center"/>
              <w:spacing w:line="360" w:lineRule="auto"/>
              <w:widowControl/>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全自动凯氏定氮仪</w:t>
            </w:r>
            <w:r>
              <w:rPr>
                <w:highlight w:val="none"/>
              </w:rPr>
            </w:r>
            <w:r/>
          </w:p>
        </w:tc>
        <w:tc>
          <w:tcPr>
            <w:shd w:val="clear" w:color="auto" w:fill="auto"/>
            <w:tcW w:w="3548" w:type="pct"/>
            <w:vAlign w:val="center"/>
            <w:textDirection w:val="lrTb"/>
            <w:noWrap w:val="false"/>
          </w:tcPr>
          <w:p>
            <w:pPr>
              <w:jc w:val="left"/>
              <w:spacing w:line="360" w:lineRule="auto"/>
              <w:rPr>
                <w:rFonts w:ascii="宋体" w:hAnsi="宋体" w:cs="宋体"/>
                <w:b/>
                <w:bCs/>
                <w:szCs w:val="21"/>
                <w:highlight w:val="none"/>
              </w:rPr>
            </w:pPr>
            <w:r>
              <w:rPr>
                <w:rFonts w:hint="eastAsia" w:ascii="宋体" w:hAnsi="宋体" w:cs="宋体"/>
                <w:b/>
                <w:bCs/>
                <w:szCs w:val="21"/>
                <w:highlight w:val="none"/>
              </w:rPr>
              <w:t xml:space="preserve">一、设备用途：</w:t>
            </w:r>
            <w:r>
              <w:rPr>
                <w:highlight w:val="none"/>
              </w:rPr>
            </w:r>
            <w:r/>
          </w:p>
          <w:p>
            <w:pPr>
              <w:ind w:firstLine="420"/>
              <w:jc w:val="left"/>
              <w:spacing w:line="360" w:lineRule="auto"/>
              <w:rPr>
                <w:rFonts w:ascii="宋体" w:hAnsi="宋体" w:cs="宋体"/>
                <w:szCs w:val="21"/>
                <w:highlight w:val="none"/>
              </w:rPr>
            </w:pPr>
            <w:r>
              <w:rPr>
                <w:rFonts w:hint="eastAsia" w:ascii="宋体" w:hAnsi="宋体" w:cs="宋体"/>
                <w:szCs w:val="21"/>
                <w:highlight w:val="none"/>
                <w:shd w:val="clear" w:color="auto" w:fill="ffffff"/>
              </w:rPr>
              <w:t xml:space="preserve">用于检测食品中全氮和蛋白质含量的</w:t>
            </w:r>
            <w:r>
              <w:rPr>
                <w:rFonts w:hint="eastAsia" w:ascii="宋体" w:hAnsi="宋体" w:cs="宋体"/>
                <w:szCs w:val="21"/>
                <w:highlight w:val="none"/>
              </w:rPr>
              <w:t xml:space="preserve">分析以及其它挥发性组分的分析。</w:t>
            </w:r>
            <w:r>
              <w:rPr>
                <w:highlight w:val="none"/>
              </w:rPr>
            </w:r>
            <w:r/>
          </w:p>
          <w:p>
            <w:pPr>
              <w:jc w:val="left"/>
              <w:spacing w:line="360" w:lineRule="auto"/>
              <w:rPr>
                <w:rFonts w:ascii="宋体" w:hAnsi="宋体" w:cs="宋体"/>
                <w:b/>
                <w:bCs/>
                <w:szCs w:val="21"/>
                <w:highlight w:val="none"/>
              </w:rPr>
            </w:pPr>
            <w:r>
              <w:rPr>
                <w:rFonts w:hint="eastAsia" w:ascii="宋体" w:hAnsi="宋体" w:cs="宋体"/>
                <w:b/>
                <w:bCs/>
                <w:szCs w:val="21"/>
                <w:highlight w:val="none"/>
              </w:rPr>
              <w:t xml:space="preserve">二、全自动凯氏定氮仪功能参数</w:t>
            </w:r>
            <w:r>
              <w:rPr>
                <w:highlight w:val="none"/>
              </w:rPr>
            </w:r>
            <w:r/>
          </w:p>
          <w:p>
            <w:pPr>
              <w:jc w:val="left"/>
              <w:spacing w:line="360" w:lineRule="auto"/>
              <w:rPr>
                <w:rFonts w:ascii="宋体" w:hAnsi="宋体" w:cs="宋体"/>
                <w:szCs w:val="21"/>
                <w:highlight w:val="none"/>
              </w:rPr>
            </w:pPr>
            <w:r>
              <w:rPr>
                <w:rFonts w:hint="eastAsia" w:ascii="宋体" w:hAnsi="宋体" w:cs="宋体"/>
                <w:b/>
                <w:szCs w:val="21"/>
                <w:highlight w:val="none"/>
              </w:rPr>
              <w:t xml:space="preserve">1</w:t>
            </w:r>
            <w:r>
              <w:rPr>
                <w:rFonts w:ascii="宋体" w:hAnsi="宋体" w:cs="宋体"/>
                <w:b/>
                <w:szCs w:val="21"/>
                <w:highlight w:val="none"/>
              </w:rPr>
              <w:t xml:space="preserve">.</w:t>
            </w:r>
            <w:r>
              <w:rPr>
                <w:rFonts w:hint="eastAsia" w:ascii="宋体" w:hAnsi="宋体" w:cs="宋体"/>
                <w:b/>
                <w:szCs w:val="21"/>
                <w:highlight w:val="none"/>
              </w:rPr>
              <w:t xml:space="preserve"> 仪器配置</w:t>
            </w:r>
            <w:r>
              <w:rPr>
                <w:rFonts w:hint="eastAsia" w:ascii="宋体" w:hAnsi="宋体" w:cs="宋体"/>
                <w:szCs w:val="21"/>
                <w:highlight w:val="none"/>
              </w:rPr>
              <w:t xml:space="preserve">：全自动凯氏定氮仪，含蒸馏系统、滴定系统、软件系统、进样系统；</w:t>
            </w:r>
            <w:r>
              <w:rPr>
                <w:highlight w:val="none"/>
              </w:rPr>
            </w:r>
            <w:r/>
          </w:p>
          <w:p>
            <w:pPr>
              <w:jc w:val="left"/>
              <w:spacing w:line="360" w:lineRule="auto"/>
              <w:rPr>
                <w:rFonts w:ascii="宋体" w:hAnsi="宋体" w:cs="宋体"/>
                <w:szCs w:val="21"/>
                <w:highlight w:val="none"/>
              </w:rPr>
            </w:pPr>
            <w:r>
              <w:rPr>
                <w:rFonts w:hint="eastAsia" w:ascii="宋体" w:hAnsi="宋体" w:cs="宋体"/>
                <w:b/>
                <w:szCs w:val="21"/>
                <w:highlight w:val="none"/>
              </w:rPr>
              <w:t xml:space="preserve">2 主机基础要求</w:t>
            </w:r>
            <w:r>
              <w:rPr>
                <w:rFonts w:hint="eastAsia" w:ascii="宋体" w:hAnsi="宋体" w:cs="宋体"/>
                <w:szCs w:val="21"/>
                <w:highlight w:val="none"/>
              </w:rPr>
              <w:t xml:space="preserve">：蒸馏滴定一体机，不接受另配滴定器模式</w:t>
            </w:r>
            <w:r>
              <w:rPr>
                <w:highlight w:val="none"/>
              </w:rPr>
            </w:r>
            <w:r/>
          </w:p>
          <w:p>
            <w:pPr>
              <w:jc w:val="left"/>
              <w:spacing w:line="360" w:lineRule="auto"/>
              <w:rPr>
                <w:rFonts w:ascii="宋体" w:hAnsi="宋体" w:cs="宋体"/>
                <w:b/>
                <w:bCs/>
                <w:i/>
                <w:iCs/>
                <w:color w:val="auto"/>
                <w:szCs w:val="21"/>
                <w:highlight w:val="none"/>
                <w:u w:val="single"/>
              </w:rPr>
            </w:pPr>
            <w:r>
              <w:rPr>
                <w:rFonts w:hint="eastAsia" w:ascii="宋体" w:hAnsi="宋体" w:cs="宋体"/>
                <w:b/>
                <w:bCs/>
                <w:i/>
                <w:iCs/>
                <w:szCs w:val="21"/>
                <w:highlight w:val="none"/>
                <w:u w:val="single"/>
              </w:rPr>
              <w:t xml:space="preserve">2.1 采用国家标准的凯氏</w:t>
            </w:r>
            <w:r>
              <w:rPr>
                <w:rFonts w:hint="eastAsia" w:ascii="宋体" w:hAnsi="宋体" w:cs="宋体"/>
                <w:b/>
                <w:bCs/>
                <w:i/>
                <w:iCs/>
                <w:szCs w:val="21"/>
                <w:highlight w:val="none"/>
                <w:u w:val="single"/>
              </w:rPr>
              <w:t xml:space="preserve">定氮方法：浓硫酸环境消解样品、碱性环境蒸汽</w:t>
            </w:r>
            <w:r>
              <w:rPr>
                <w:rFonts w:hint="eastAsia" w:ascii="宋体" w:hAnsi="宋体" w:cs="宋体"/>
                <w:b/>
                <w:bCs/>
                <w:i/>
                <w:iCs/>
                <w:color w:val="auto"/>
                <w:szCs w:val="21"/>
                <w:highlight w:val="none"/>
                <w:u w:val="single"/>
              </w:rPr>
              <w:t xml:space="preserve">蒸馏、硼酸吸收、指示剂滴定终点颜色判定法；</w:t>
            </w:r>
            <w:r>
              <w:rPr>
                <w:highlight w:val="none"/>
              </w:rPr>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2.2 检测范围：≥0.1-2</w:t>
            </w:r>
            <w:r>
              <w:rPr>
                <w:rFonts w:ascii="宋体" w:hAnsi="宋体" w:cs="宋体"/>
                <w:color w:val="auto"/>
                <w:szCs w:val="21"/>
                <w:highlight w:val="none"/>
              </w:rPr>
              <w:t xml:space="preserve">0</w:t>
            </w:r>
            <w:r>
              <w:rPr>
                <w:rFonts w:hint="eastAsia" w:ascii="宋体" w:hAnsi="宋体" w:cs="宋体"/>
                <w:color w:val="auto"/>
                <w:szCs w:val="21"/>
                <w:highlight w:val="none"/>
              </w:rPr>
              <w:t xml:space="preserve">0mg氮；</w:t>
            </w:r>
            <w:r>
              <w:rPr>
                <w:highlight w:val="none"/>
              </w:rPr>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2.3 回收率≥99%（1-2</w:t>
            </w:r>
            <w:r>
              <w:rPr>
                <w:rFonts w:ascii="宋体" w:hAnsi="宋体" w:cs="宋体"/>
                <w:color w:val="auto"/>
                <w:szCs w:val="21"/>
                <w:highlight w:val="none"/>
              </w:rPr>
              <w:t xml:space="preserve">0</w:t>
            </w:r>
            <w:r>
              <w:rPr>
                <w:rFonts w:hint="eastAsia" w:ascii="宋体" w:hAnsi="宋体" w:cs="宋体"/>
                <w:color w:val="auto"/>
                <w:szCs w:val="21"/>
                <w:highlight w:val="none"/>
              </w:rPr>
              <w:t xml:space="preserve">0mg氮）；</w:t>
            </w:r>
            <w:r>
              <w:rPr>
                <w:highlight w:val="none"/>
              </w:rPr>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2.4 重复性误差：RSD≤</w:t>
            </w:r>
            <w:r>
              <w:rPr>
                <w:rFonts w:ascii="宋体" w:hAnsi="宋体" w:cs="宋体"/>
                <w:color w:val="auto"/>
                <w:szCs w:val="21"/>
                <w:highlight w:val="none"/>
              </w:rPr>
              <w:t xml:space="preserve">1.0</w:t>
            </w:r>
            <w:r>
              <w:rPr>
                <w:rFonts w:hint="eastAsia" w:ascii="宋体" w:hAnsi="宋体" w:cs="宋体"/>
                <w:color w:val="auto"/>
                <w:szCs w:val="21"/>
                <w:highlight w:val="none"/>
              </w:rPr>
              <w:t xml:space="preserve">%（1-2</w:t>
            </w:r>
            <w:r>
              <w:rPr>
                <w:rFonts w:ascii="宋体" w:hAnsi="宋体" w:cs="宋体"/>
                <w:color w:val="auto"/>
                <w:szCs w:val="21"/>
                <w:highlight w:val="none"/>
              </w:rPr>
              <w:t xml:space="preserve">00</w:t>
            </w:r>
            <w:r>
              <w:rPr>
                <w:rFonts w:hint="eastAsia" w:ascii="宋体" w:hAnsi="宋体" w:cs="宋体"/>
                <w:color w:val="auto"/>
                <w:szCs w:val="21"/>
                <w:highlight w:val="none"/>
              </w:rPr>
              <w:t xml:space="preserve">mg氮）；</w:t>
            </w:r>
            <w:r>
              <w:rPr>
                <w:highlight w:val="none"/>
              </w:rPr>
            </w:r>
            <w:r/>
          </w:p>
          <w:p>
            <w:pPr>
              <w:jc w:val="left"/>
              <w:spacing w:line="360" w:lineRule="auto"/>
              <w:rPr>
                <w:rFonts w:ascii="宋体" w:hAnsi="宋体"/>
                <w:color w:val="auto"/>
                <w:szCs w:val="21"/>
                <w:highlight w:val="none"/>
              </w:rPr>
            </w:pPr>
            <w:r>
              <w:rPr>
                <w:rFonts w:hint="eastAsia" w:ascii="宋体" w:hAnsi="宋体" w:cs="宋体"/>
                <w:bCs/>
                <w:color w:val="auto"/>
                <w:sz w:val="24"/>
                <w:szCs w:val="24"/>
                <w:highlight w:val="none"/>
              </w:rPr>
              <w:t xml:space="preserve">▲</w:t>
            </w:r>
            <w:r>
              <w:rPr>
                <w:rFonts w:hint="eastAsia" w:ascii="宋体" w:hAnsi="宋体" w:cs="宋体"/>
                <w:color w:val="auto"/>
                <w:szCs w:val="21"/>
                <w:highlight w:val="none"/>
              </w:rPr>
              <w:t xml:space="preserve">2.5 </w:t>
            </w:r>
            <w:r>
              <w:rPr>
                <w:rFonts w:hint="eastAsia" w:ascii="宋体" w:hAnsi="宋体"/>
                <w:color w:val="auto"/>
                <w:szCs w:val="21"/>
                <w:highlight w:val="none"/>
              </w:rPr>
              <w:t xml:space="preserve">滴定精度：≤0.2μL/步,≤0.4μL/步,≤1.0 μL/步三档及以上可调；</w:t>
            </w:r>
            <w:r>
              <w:rPr>
                <w:highlight w:val="none"/>
              </w:rPr>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2.6 测定样品重量：固体≤5g   液体≤20ml；</w:t>
            </w:r>
            <w:r>
              <w:rPr>
                <w:highlight w:val="none"/>
              </w:rPr>
            </w:r>
            <w:r/>
          </w:p>
          <w:p>
            <w:pPr>
              <w:jc w:val="left"/>
              <w:spacing w:line="360" w:lineRule="auto"/>
              <w:rPr>
                <w:rFonts w:ascii="宋体" w:hAnsi="宋体" w:cs="宋体"/>
                <w:b/>
                <w:bCs/>
                <w:i/>
                <w:iCs/>
                <w:color w:val="auto"/>
                <w:szCs w:val="21"/>
                <w:highlight w:val="none"/>
                <w:u w:val="single"/>
              </w:rPr>
            </w:pPr>
            <w:r>
              <w:rPr>
                <w:rFonts w:hint="eastAsia" w:ascii="宋体" w:hAnsi="宋体" w:cs="宋体"/>
                <w:b/>
                <w:bCs/>
                <w:i/>
                <w:iCs/>
                <w:color w:val="auto"/>
                <w:szCs w:val="21"/>
                <w:highlight w:val="none"/>
                <w:u w:val="single"/>
              </w:rPr>
              <w:t xml:space="preserve">2.7 全自动加碱加酸加稀释剂、全自动蒸馏滴定、</w:t>
            </w:r>
            <w:r>
              <w:rPr>
                <w:rFonts w:hint="eastAsia" w:ascii="宋体" w:hAnsi="宋体" w:cs="宋体"/>
                <w:b/>
                <w:bCs/>
                <w:i/>
                <w:iCs/>
                <w:color w:val="auto"/>
                <w:szCs w:val="21"/>
                <w:highlight w:val="none"/>
                <w:u w:val="single"/>
              </w:rPr>
              <w:t xml:space="preserve">全自动排废、全自动清洗、全自动校正、全自动消化管排空、全自动故障检测、全自动溶液液位监测、全自动超温监测、全自动计算结果、输出、打印；</w:t>
            </w:r>
            <w:r>
              <w:rPr>
                <w:highlight w:val="none"/>
              </w:rPr>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2.8  ≥</w:t>
            </w:r>
            <w:r>
              <w:rPr>
                <w:rFonts w:hint="eastAsia" w:ascii="宋体" w:hAnsi="宋体" w:cs="宋体"/>
                <w:color w:val="auto"/>
                <w:szCs w:val="21"/>
                <w:highlight w:val="none"/>
              </w:rPr>
              <w:t xml:space="preserve">10寸彩色触摸显示系统；</w:t>
            </w:r>
            <w:r>
              <w:rPr>
                <w:highlight w:val="none"/>
              </w:rPr>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2.9 </w:t>
            </w:r>
            <w:r>
              <w:rPr>
                <w:rFonts w:hint="eastAsia" w:ascii="宋体" w:hAnsi="宋体" w:cs="宋体"/>
                <w:color w:val="auto"/>
                <w:szCs w:val="21"/>
                <w:highlight w:val="none"/>
              </w:rPr>
              <w:t xml:space="preserve">采用三级用户名加密码形式登录，并可对密码进行重新设置，仪器操作可溯源；</w:t>
            </w:r>
            <w:r>
              <w:rPr>
                <w:highlight w:val="none"/>
              </w:rPr>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2.10 </w:t>
            </w:r>
            <w:r>
              <w:rPr>
                <w:rFonts w:hint="eastAsia" w:ascii="宋体" w:hAnsi="宋体" w:cs="宋体"/>
                <w:color w:val="auto"/>
                <w:szCs w:val="21"/>
                <w:highlight w:val="none"/>
              </w:rPr>
              <w:t xml:space="preserve">云服务功能,将试验方法和测试结果上传到云端储存或者从云端下载到本地；</w:t>
            </w:r>
            <w:r>
              <w:rPr>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2.11 批量测试功能，能够批量的输入样品信息；</w:t>
            </w:r>
            <w:r>
              <w:rPr>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2.12 机身可存储</w:t>
            </w:r>
            <w:r>
              <w:rPr>
                <w:rFonts w:ascii="宋体" w:hAnsi="宋体" w:cs="宋体"/>
                <w:color w:val="auto"/>
                <w:szCs w:val="21"/>
                <w:highlight w:val="none"/>
              </w:rPr>
              <w:t xml:space="preserve">800</w:t>
            </w:r>
            <w:r>
              <w:rPr>
                <w:rFonts w:hint="eastAsia" w:ascii="宋体" w:hAnsi="宋体" w:cs="宋体"/>
                <w:color w:val="auto"/>
                <w:szCs w:val="21"/>
                <w:highlight w:val="none"/>
              </w:rPr>
              <w:t xml:space="preserve">及以上条数据，满足文件、记录保存时限的要求；</w:t>
            </w:r>
            <w:r>
              <w:rPr>
                <w:highlight w:val="none"/>
              </w:rPr>
            </w:r>
            <w:r/>
          </w:p>
          <w:p>
            <w:pPr>
              <w:jc w:val="left"/>
              <w:spacing w:line="360" w:lineRule="auto"/>
              <w:rPr>
                <w:rFonts w:ascii="宋体" w:hAnsi="宋体" w:cs="宋体"/>
                <w:szCs w:val="21"/>
                <w:highlight w:val="none"/>
              </w:rPr>
            </w:pPr>
            <w:r>
              <w:rPr>
                <w:rFonts w:hint="eastAsia" w:ascii="宋体" w:hAnsi="宋体" w:cs="宋体"/>
                <w:color w:val="auto"/>
                <w:szCs w:val="21"/>
                <w:highlight w:val="none"/>
              </w:rPr>
              <w:t xml:space="preserve">  2.13 测试结果具备两种及以上报告类型，标题可编辑</w:t>
            </w:r>
            <w:r>
              <w:rPr>
                <w:rFonts w:hint="eastAsia" w:ascii="宋体" w:hAnsi="宋体" w:cs="宋体"/>
                <w:szCs w:val="21"/>
                <w:highlight w:val="none"/>
              </w:rPr>
              <w:t xml:space="preserve">；</w:t>
            </w:r>
            <w:r>
              <w:rPr>
                <w:highlight w:val="none"/>
              </w:rPr>
            </w:r>
            <w:r/>
          </w:p>
          <w:p>
            <w:pPr>
              <w:jc w:val="left"/>
              <w:spacing w:line="360" w:lineRule="auto"/>
              <w:rPr>
                <w:rFonts w:ascii="宋体" w:hAnsi="宋体" w:cs="宋体"/>
                <w:szCs w:val="21"/>
                <w:highlight w:val="none"/>
              </w:rPr>
            </w:pPr>
            <w:r>
              <w:rPr>
                <w:rFonts w:hint="eastAsia" w:ascii="宋体" w:hAnsi="宋体" w:cs="宋体"/>
                <w:szCs w:val="21"/>
                <w:highlight w:val="none"/>
              </w:rPr>
              <w:t xml:space="preserve">  2.14 机器具有PDF和XML两种及以上输出方式，</w:t>
            </w:r>
            <w:r>
              <w:rPr>
                <w:rFonts w:hint="eastAsia" w:ascii="宋体" w:hAnsi="宋体" w:cs="宋体"/>
                <w:szCs w:val="21"/>
                <w:highlight w:val="none"/>
              </w:rPr>
              <w:t xml:space="preserve">；</w:t>
            </w:r>
            <w:r>
              <w:rPr>
                <w:highlight w:val="none"/>
              </w:rPr>
            </w:r>
            <w:r/>
          </w:p>
          <w:p>
            <w:pPr>
              <w:jc w:val="left"/>
              <w:spacing w:line="360" w:lineRule="auto"/>
              <w:rPr>
                <w:rFonts w:ascii="宋体" w:hAnsi="宋体" w:cs="宋体"/>
                <w:szCs w:val="21"/>
                <w:highlight w:val="none"/>
              </w:rPr>
            </w:pPr>
            <w:r>
              <w:rPr>
                <w:rFonts w:hint="eastAsia" w:ascii="宋体" w:hAnsi="宋体" w:cs="宋体"/>
                <w:szCs w:val="21"/>
                <w:highlight w:val="none"/>
              </w:rPr>
              <w:t xml:space="preserve">  2.15 接口：USB，LAN，RS232，CAN，WIFI；</w:t>
            </w:r>
            <w:r>
              <w:rPr>
                <w:highlight w:val="none"/>
              </w:rPr>
            </w:r>
            <w:r/>
          </w:p>
          <w:p>
            <w:pPr>
              <w:jc w:val="left"/>
              <w:spacing w:line="360" w:lineRule="auto"/>
              <w:rPr>
                <w:rFonts w:ascii="宋体" w:hAnsi="宋体" w:cs="宋体"/>
                <w:szCs w:val="21"/>
                <w:highlight w:val="none"/>
              </w:rPr>
            </w:pPr>
            <w:r>
              <w:rPr>
                <w:rFonts w:hint="eastAsia" w:ascii="宋体" w:hAnsi="宋体" w:cs="宋体"/>
                <w:szCs w:val="21"/>
                <w:highlight w:val="none"/>
              </w:rPr>
              <w:t xml:space="preserve">  2.16 可以对接LIMS实验室信息管理系统，数据统一管理；</w:t>
            </w:r>
            <w:r>
              <w:rPr>
                <w:highlight w:val="none"/>
              </w:rPr>
            </w:r>
            <w:r/>
          </w:p>
          <w:p>
            <w:pPr>
              <w:jc w:val="left"/>
              <w:spacing w:line="360" w:lineRule="auto"/>
              <w:rPr>
                <w:rFonts w:ascii="宋体" w:hAnsi="宋体" w:cs="宋体"/>
                <w:szCs w:val="21"/>
                <w:highlight w:val="none"/>
              </w:rPr>
            </w:pPr>
            <w:r>
              <w:rPr>
                <w:rFonts w:hint="eastAsia" w:ascii="宋体" w:hAnsi="宋体" w:cs="宋体"/>
                <w:szCs w:val="21"/>
                <w:highlight w:val="none"/>
              </w:rPr>
              <w:t xml:space="preserve">  2.17 可以增配对接自动进样器；</w:t>
            </w:r>
            <w:r>
              <w:rPr>
                <w:rFonts w:ascii="宋体" w:hAnsi="宋体" w:cs="宋体"/>
                <w:szCs w:val="21"/>
                <w:highlight w:val="none"/>
              </w:rPr>
              <w:t xml:space="preserve"> </w:t>
            </w:r>
            <w:r>
              <w:rPr>
                <w:highlight w:val="none"/>
              </w:rPr>
            </w:r>
            <w:r/>
          </w:p>
          <w:p>
            <w:pPr>
              <w:jc w:val="left"/>
              <w:spacing w:line="360" w:lineRule="auto"/>
              <w:rPr>
                <w:rFonts w:ascii="宋体" w:hAnsi="宋体" w:cs="宋体"/>
                <w:szCs w:val="21"/>
                <w:highlight w:val="none"/>
              </w:rPr>
            </w:pPr>
            <w:r>
              <w:rPr>
                <w:rFonts w:hint="eastAsia" w:ascii="宋体" w:hAnsi="宋体" w:cs="宋体"/>
                <w:szCs w:val="21"/>
                <w:highlight w:val="none"/>
              </w:rPr>
              <w:t xml:space="preserve">  2.18 结果高低限报警功能，及时提示。</w:t>
            </w:r>
            <w:r>
              <w:rPr>
                <w:highlight w:val="none"/>
              </w:rPr>
            </w:r>
            <w:r/>
          </w:p>
          <w:p>
            <w:pPr>
              <w:spacing w:line="360" w:lineRule="auto"/>
              <w:rPr>
                <w:rFonts w:ascii="宋体" w:hAnsi="宋体" w:cs="宋体"/>
                <w:b/>
                <w:bCs/>
                <w:szCs w:val="21"/>
                <w:highlight w:val="none"/>
              </w:rPr>
            </w:pPr>
            <w:r>
              <w:rPr>
                <w:rFonts w:ascii="宋体" w:hAnsi="宋体" w:cs="宋体"/>
                <w:b/>
                <w:bCs/>
                <w:szCs w:val="21"/>
                <w:highlight w:val="none"/>
              </w:rPr>
              <w:t xml:space="preserve">3.</w:t>
            </w:r>
            <w:r>
              <w:rPr>
                <w:rFonts w:hint="eastAsia" w:ascii="宋体" w:hAnsi="宋体" w:cs="宋体"/>
                <w:b/>
                <w:bCs/>
                <w:szCs w:val="21"/>
                <w:highlight w:val="none"/>
              </w:rPr>
              <w:t xml:space="preserve">蒸馏系统</w:t>
            </w:r>
            <w:r>
              <w:rPr>
                <w:highlight w:val="none"/>
              </w:rPr>
            </w:r>
            <w:r/>
          </w:p>
          <w:p>
            <w:pPr>
              <w:jc w:val="left"/>
              <w:spacing w:line="360" w:lineRule="auto"/>
              <w:rPr>
                <w:rFonts w:ascii="宋体" w:hAnsi="宋体" w:cs="宋体"/>
                <w:szCs w:val="21"/>
                <w:highlight w:val="none"/>
              </w:rPr>
            </w:pPr>
            <w:r>
              <w:rPr>
                <w:rFonts w:hint="eastAsia" w:ascii="宋体" w:hAnsi="宋体" w:cs="宋体"/>
                <w:szCs w:val="21"/>
                <w:highlight w:val="none"/>
              </w:rPr>
              <w:t xml:space="preserve">   3.1 蒸汽流量0-100%可调；</w:t>
            </w:r>
            <w:r>
              <w:rPr>
                <w:highlight w:val="none"/>
              </w:rPr>
            </w:r>
            <w:r/>
          </w:p>
          <w:p>
            <w:pPr>
              <w:ind w:left="210"/>
              <w:spacing w:line="360" w:lineRule="auto"/>
              <w:rPr>
                <w:rFonts w:ascii="宋体" w:hAnsi="宋体" w:cs="宋体"/>
                <w:szCs w:val="21"/>
                <w:highlight w:val="none"/>
              </w:rPr>
            </w:pPr>
            <w:r>
              <w:rPr>
                <w:rFonts w:hint="eastAsia" w:ascii="宋体" w:hAnsi="宋体" w:cs="宋体"/>
                <w:szCs w:val="21"/>
                <w:highlight w:val="none"/>
              </w:rPr>
              <w:t xml:space="preserve"> 3.2 采用氨残留回收技术，蒸馏结束前可再次自动加碱，以保证管路中氨残留部分自动回收，保证样品的高回收率和结果的准确性；</w:t>
            </w:r>
            <w:r>
              <w:rPr>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  3.3 蒸馏模式：双蒸馏模式可选；</w:t>
            </w:r>
            <w:r>
              <w:rPr>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  3.4 蒸馏时间：连续可调；</w:t>
            </w:r>
            <w:r>
              <w:rPr>
                <w:highlight w:val="none"/>
              </w:rPr>
            </w:r>
            <w:r/>
          </w:p>
          <w:p>
            <w:pPr>
              <w:spacing w:line="360" w:lineRule="auto"/>
              <w:rPr>
                <w:rFonts w:ascii="宋体" w:hAnsi="宋体" w:cs="宋体"/>
                <w:b/>
                <w:bCs/>
                <w:szCs w:val="21"/>
                <w:highlight w:val="none"/>
              </w:rPr>
            </w:pPr>
            <w:r>
              <w:rPr>
                <w:rFonts w:hint="eastAsia" w:ascii="宋体" w:hAnsi="宋体" w:cs="宋体"/>
                <w:bCs/>
                <w:sz w:val="24"/>
                <w:szCs w:val="24"/>
                <w:highlight w:val="none"/>
              </w:rPr>
              <w:t xml:space="preserve">▲</w:t>
            </w:r>
            <w:r>
              <w:rPr>
                <w:rFonts w:hint="eastAsia" w:ascii="宋体" w:hAnsi="宋体" w:cs="宋体"/>
                <w:szCs w:val="21"/>
                <w:highlight w:val="none"/>
              </w:rPr>
              <w:t xml:space="preserve">3.5 采用金属材质蒸馏发生器，具有压力传感器、温度传感器、温度保护开关、分离式液位监测等多重保护；</w:t>
            </w:r>
            <w:r>
              <w:rPr>
                <w:rFonts w:hint="eastAsia" w:ascii="宋体" w:hAnsi="宋体" w:cs="宋体"/>
                <w:b/>
                <w:bCs/>
                <w:szCs w:val="21"/>
                <w:highlight w:val="none"/>
              </w:rPr>
              <w:t xml:space="preserve">（提供</w:t>
            </w:r>
            <w:r>
              <w:rPr>
                <w:rFonts w:hint="eastAsia" w:ascii="宋体" w:hAnsi="宋体" w:cs="宋体"/>
                <w:b/>
                <w:bCs/>
                <w:szCs w:val="21"/>
                <w:highlight w:val="none"/>
                <w:lang w:val="en-US" w:eastAsia="zh-CN"/>
              </w:rPr>
              <w:t xml:space="preserve">相关</w:t>
            </w:r>
            <w:r>
              <w:rPr>
                <w:rFonts w:hint="eastAsia" w:ascii="宋体" w:hAnsi="宋体" w:cs="宋体"/>
                <w:b/>
                <w:bCs/>
                <w:szCs w:val="21"/>
                <w:highlight w:val="none"/>
              </w:rPr>
              <w:t xml:space="preserve">证明</w:t>
            </w:r>
            <w:r>
              <w:rPr>
                <w:rFonts w:hint="eastAsia" w:ascii="宋体" w:hAnsi="宋体" w:cs="宋体"/>
                <w:b/>
                <w:bCs/>
                <w:szCs w:val="21"/>
                <w:highlight w:val="none"/>
                <w:lang w:val="en-US" w:eastAsia="zh-CN"/>
              </w:rPr>
              <w:t xml:space="preserve">材料</w:t>
            </w:r>
            <w:r>
              <w:rPr>
                <w:rFonts w:hint="eastAsia" w:ascii="宋体" w:hAnsi="宋体" w:cs="宋体"/>
                <w:b/>
                <w:bCs/>
                <w:szCs w:val="21"/>
                <w:highlight w:val="none"/>
              </w:rPr>
              <w:t xml:space="preserve">或仪器实物图片）</w:t>
            </w:r>
            <w:r>
              <w:rPr>
                <w:highlight w:val="none"/>
              </w:rPr>
            </w:r>
            <w:r/>
          </w:p>
          <w:p>
            <w:pPr>
              <w:ind w:left="210"/>
              <w:jc w:val="left"/>
              <w:spacing w:line="360" w:lineRule="auto"/>
              <w:rPr>
                <w:rFonts w:ascii="宋体" w:hAnsi="宋体" w:cs="宋体"/>
                <w:szCs w:val="21"/>
                <w:highlight w:val="none"/>
              </w:rPr>
            </w:pPr>
            <w:r>
              <w:rPr>
                <w:rFonts w:hint="eastAsia" w:ascii="宋体" w:hAnsi="宋体" w:cs="宋体"/>
                <w:szCs w:val="21"/>
                <w:highlight w:val="none"/>
              </w:rPr>
              <w:t xml:space="preserve">3.6</w:t>
            </w:r>
            <w:r>
              <w:rPr>
                <w:rFonts w:ascii="宋体" w:hAnsi="宋体" w:cs="宋体"/>
                <w:szCs w:val="21"/>
                <w:highlight w:val="none"/>
              </w:rPr>
              <w:t xml:space="preserve"> </w:t>
            </w:r>
            <w:r>
              <w:rPr>
                <w:rFonts w:hint="eastAsia" w:ascii="宋体" w:hAnsi="宋体" w:cs="宋体"/>
                <w:szCs w:val="21"/>
                <w:highlight w:val="none"/>
              </w:rPr>
              <w:t xml:space="preserve">采用金属冷凝材质冷凝器，温度传感器置于冷凝瓶冷凝水的出水处，</w:t>
            </w:r>
            <w:r>
              <w:rPr>
                <w:rFonts w:hint="eastAsia" w:ascii="宋体" w:hAnsi="宋体" w:cs="宋体"/>
                <w:szCs w:val="21"/>
                <w:highlight w:val="none"/>
              </w:rPr>
              <w:t xml:space="preserve">仪器实时监测馏出液温度，并可根据温度自动调节冷凝水流量；</w:t>
            </w:r>
            <w:r>
              <w:rPr>
                <w:highlight w:val="none"/>
              </w:rPr>
            </w:r>
            <w:r/>
          </w:p>
          <w:p>
            <w:pPr>
              <w:jc w:val="left"/>
              <w:spacing w:line="360" w:lineRule="auto"/>
              <w:rPr>
                <w:rFonts w:ascii="宋体" w:hAnsi="宋体" w:cs="宋体"/>
                <w:szCs w:val="21"/>
                <w:highlight w:val="none"/>
              </w:rPr>
            </w:pPr>
            <w:r>
              <w:rPr>
                <w:rFonts w:hint="eastAsia" w:ascii="宋体" w:hAnsi="宋体" w:cs="宋体"/>
                <w:szCs w:val="21"/>
                <w:highlight w:val="none"/>
              </w:rPr>
              <w:t xml:space="preserve">  3.7 </w:t>
            </w:r>
            <w:r>
              <w:rPr>
                <w:rFonts w:hint="eastAsia" w:ascii="宋体" w:hAnsi="宋体" w:cs="宋体"/>
                <w:szCs w:val="21"/>
                <w:highlight w:val="none"/>
              </w:rPr>
              <w:t xml:space="preserve">防溅瓶采用耐碱液腐蚀的高分子材质；</w:t>
            </w:r>
            <w:r>
              <w:rPr>
                <w:highlight w:val="none"/>
              </w:rPr>
            </w:r>
            <w:r/>
          </w:p>
          <w:p>
            <w:pPr>
              <w:jc w:val="left"/>
              <w:spacing w:line="360" w:lineRule="auto"/>
              <w:tabs>
                <w:tab w:val="left" w:pos="6405" w:leader="none"/>
              </w:tabs>
              <w:rPr>
                <w:rFonts w:ascii="宋体" w:hAnsi="宋体" w:cs="宋体"/>
                <w:szCs w:val="21"/>
                <w:highlight w:val="none"/>
              </w:rPr>
            </w:pPr>
            <w:r>
              <w:rPr>
                <w:rFonts w:hint="eastAsia" w:ascii="宋体" w:hAnsi="宋体" w:cs="宋体"/>
                <w:szCs w:val="21"/>
                <w:highlight w:val="none"/>
              </w:rPr>
              <w:t xml:space="preserve">  3.8 接收杯上盖可拆卸，便于清洗接收杯等部件。</w:t>
            </w:r>
            <w:r>
              <w:rPr>
                <w:rFonts w:ascii="宋体" w:hAnsi="宋体" w:cs="宋体"/>
                <w:szCs w:val="21"/>
                <w:highlight w:val="none"/>
              </w:rPr>
              <w:tab/>
            </w:r>
            <w:r>
              <w:rPr>
                <w:highlight w:val="none"/>
              </w:rPr>
            </w:r>
            <w:r/>
          </w:p>
          <w:p>
            <w:pPr>
              <w:jc w:val="left"/>
              <w:spacing w:line="360" w:lineRule="auto"/>
              <w:rPr>
                <w:rFonts w:ascii="宋体" w:hAnsi="宋体" w:cs="宋体"/>
                <w:szCs w:val="21"/>
                <w:highlight w:val="none"/>
              </w:rPr>
            </w:pPr>
            <w:r>
              <w:rPr>
                <w:rFonts w:hint="eastAsia" w:ascii="宋体" w:hAnsi="宋体" w:cs="宋体"/>
                <w:b/>
                <w:bCs/>
                <w:szCs w:val="21"/>
                <w:highlight w:val="none"/>
              </w:rPr>
              <w:t xml:space="preserve">4</w:t>
            </w:r>
            <w:r>
              <w:rPr>
                <w:rFonts w:ascii="宋体" w:hAnsi="宋体" w:cs="宋体"/>
                <w:b/>
                <w:bCs/>
                <w:szCs w:val="21"/>
                <w:highlight w:val="none"/>
              </w:rPr>
              <w:t xml:space="preserve">.</w:t>
            </w:r>
            <w:r>
              <w:rPr>
                <w:rFonts w:hint="eastAsia" w:ascii="宋体" w:hAnsi="宋体" w:cs="宋体"/>
                <w:b/>
                <w:bCs/>
                <w:szCs w:val="21"/>
                <w:highlight w:val="none"/>
              </w:rPr>
              <w:t xml:space="preserve">滴定系统</w:t>
            </w:r>
            <w:r>
              <w:rPr>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  4.1 仪器采用正压式进液，配备滴定酸液位监测系统；</w:t>
            </w:r>
            <w:r>
              <w:rPr>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  4.2 直线电机微控滴定系统，具备边蒸馏边滴定功能；</w:t>
            </w:r>
            <w:r>
              <w:rPr>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  4.3</w:t>
            </w:r>
            <w:r>
              <w:rPr>
                <w:rFonts w:hint="eastAsia" w:ascii="宋体" w:hAnsi="宋体" w:cs="宋体"/>
                <w:szCs w:val="21"/>
                <w:highlight w:val="none"/>
              </w:rPr>
              <w:t xml:space="preserve">采用</w:t>
            </w:r>
            <w:r>
              <w:rPr>
                <w:rFonts w:hint="eastAsia" w:ascii="宋体" w:hAnsi="宋体" w:cs="宋体"/>
                <w:szCs w:val="21"/>
                <w:highlight w:val="none"/>
              </w:rPr>
              <w:t xml:space="preserve">柱塞泵式滴定系统</w:t>
            </w:r>
            <w:r>
              <w:rPr>
                <w:rFonts w:hint="eastAsia" w:ascii="宋体" w:hAnsi="宋体" w:cs="宋体"/>
                <w:szCs w:val="21"/>
                <w:highlight w:val="none"/>
              </w:rPr>
              <w:t xml:space="preserve">，配合25mL滴定管,也可根据需要选配5mL及10mL滴定管；</w:t>
            </w:r>
            <w:r>
              <w:rPr>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  4.4 具备边蒸馏边滴定和变速度变体积滴定技术；</w:t>
            </w:r>
            <w:r>
              <w:rPr>
                <w:highlight w:val="none"/>
              </w:rPr>
            </w:r>
            <w:r/>
          </w:p>
          <w:p>
            <w:pPr>
              <w:jc w:val="left"/>
              <w:spacing w:line="360" w:lineRule="auto"/>
              <w:rPr>
                <w:rFonts w:ascii="宋体" w:hAnsi="宋体" w:cs="宋体"/>
                <w:szCs w:val="21"/>
                <w:highlight w:val="none"/>
              </w:rPr>
            </w:pPr>
            <w:r>
              <w:rPr>
                <w:rFonts w:hint="eastAsia" w:ascii="宋体" w:hAnsi="宋体" w:cs="宋体"/>
                <w:szCs w:val="21"/>
                <w:highlight w:val="none"/>
              </w:rPr>
              <w:t xml:space="preserve">  4.5 滴定颜色设置和微调功能，两种及以上</w:t>
            </w:r>
            <w:r>
              <w:rPr>
                <w:rFonts w:hint="eastAsia" w:ascii="宋体" w:hAnsi="宋体" w:cs="宋体"/>
                <w:szCs w:val="21"/>
                <w:highlight w:val="none"/>
              </w:rPr>
              <w:t xml:space="preserve">颜色判定，可支持凯氏定氮各指示剂种类及配比</w:t>
            </w:r>
            <w:r>
              <w:rPr>
                <w:rFonts w:hint="eastAsia" w:ascii="宋体" w:hAnsi="宋体" w:cs="宋体"/>
                <w:szCs w:val="21"/>
                <w:highlight w:val="none"/>
              </w:rPr>
              <w:t xml:space="preserve">。</w:t>
            </w:r>
            <w:r>
              <w:rPr>
                <w:highlight w:val="none"/>
              </w:rPr>
            </w:r>
            <w:r/>
          </w:p>
          <w:p>
            <w:pPr>
              <w:spacing w:line="360" w:lineRule="auto"/>
              <w:rPr>
                <w:rFonts w:ascii="宋体" w:hAnsi="宋体" w:cs="宋体"/>
                <w:b/>
                <w:bCs/>
                <w:szCs w:val="24"/>
                <w:highlight w:val="none"/>
              </w:rPr>
            </w:pPr>
            <w:r>
              <w:rPr>
                <w:rFonts w:hint="eastAsia" w:ascii="宋体" w:hAnsi="宋体" w:cs="宋体"/>
                <w:b/>
                <w:bCs/>
                <w:szCs w:val="24"/>
                <w:highlight w:val="none"/>
              </w:rPr>
              <w:t xml:space="preserve">三. 石墨消解仪功能参数</w:t>
            </w:r>
            <w:r>
              <w:rPr>
                <w:highlight w:val="none"/>
              </w:rPr>
            </w:r>
            <w:r/>
          </w:p>
          <w:p>
            <w:pPr>
              <w:spacing w:line="360" w:lineRule="auto"/>
              <w:rPr>
                <w:rFonts w:ascii="宋体" w:hAnsi="宋体" w:cs="宋体"/>
                <w:szCs w:val="24"/>
                <w:highlight w:val="none"/>
              </w:rPr>
            </w:pPr>
            <w:r>
              <w:rPr>
                <w:rFonts w:hint="eastAsia" w:ascii="宋体" w:hAnsi="宋体" w:cs="宋体"/>
                <w:szCs w:val="24"/>
                <w:highlight w:val="none"/>
              </w:rPr>
              <w:t xml:space="preserve">  1</w:t>
            </w:r>
            <w:r>
              <w:rPr>
                <w:rFonts w:ascii="宋体" w:hAnsi="宋体" w:cs="宋体"/>
                <w:szCs w:val="24"/>
                <w:highlight w:val="none"/>
              </w:rPr>
              <w:t xml:space="preserve">.</w:t>
            </w:r>
            <w:r>
              <w:rPr>
                <w:rFonts w:hint="eastAsia" w:ascii="宋体" w:hAnsi="宋体" w:cs="宋体"/>
                <w:szCs w:val="24"/>
                <w:highlight w:val="none"/>
              </w:rPr>
              <w:t xml:space="preserve">消化能力： ≥20个样品；</w:t>
            </w:r>
            <w:r>
              <w:rPr>
                <w:highlight w:val="none"/>
              </w:rPr>
            </w:r>
            <w:r/>
          </w:p>
          <w:p>
            <w:pPr>
              <w:spacing w:line="360" w:lineRule="auto"/>
              <w:rPr>
                <w:rFonts w:ascii="宋体" w:hAnsi="宋体" w:cs="宋体"/>
                <w:szCs w:val="24"/>
                <w:highlight w:val="none"/>
              </w:rPr>
            </w:pPr>
            <w:r>
              <w:rPr>
                <w:rFonts w:hint="eastAsia" w:ascii="宋体" w:hAnsi="宋体" w:cs="宋体"/>
                <w:szCs w:val="24"/>
                <w:highlight w:val="none"/>
              </w:rPr>
              <w:t xml:space="preserve"> </w:t>
            </w:r>
            <w:r>
              <w:rPr>
                <w:rFonts w:ascii="宋体" w:hAnsi="宋体" w:cs="宋体"/>
                <w:szCs w:val="24"/>
                <w:highlight w:val="none"/>
              </w:rPr>
              <w:t xml:space="preserve"> </w:t>
            </w:r>
            <w:r>
              <w:rPr>
                <w:rFonts w:hint="eastAsia" w:ascii="宋体" w:hAnsi="宋体" w:cs="宋体"/>
                <w:szCs w:val="24"/>
                <w:highlight w:val="none"/>
              </w:rPr>
              <w:t xml:space="preserve">2</w:t>
            </w:r>
            <w:r>
              <w:rPr>
                <w:rFonts w:ascii="宋体" w:hAnsi="宋体" w:cs="宋体"/>
                <w:szCs w:val="24"/>
                <w:highlight w:val="none"/>
              </w:rPr>
              <w:t xml:space="preserve">.</w:t>
            </w:r>
            <w:r>
              <w:rPr>
                <w:rFonts w:hint="eastAsia" w:ascii="宋体" w:hAnsi="宋体" w:cs="宋体"/>
                <w:szCs w:val="24"/>
                <w:highlight w:val="none"/>
              </w:rPr>
              <w:t xml:space="preserve"> 加热方式：采用红外一体式加热及高纯石墨传导；</w:t>
            </w:r>
            <w:r>
              <w:rPr>
                <w:highlight w:val="none"/>
              </w:rPr>
            </w:r>
            <w:r/>
          </w:p>
          <w:p>
            <w:pPr>
              <w:spacing w:line="360" w:lineRule="auto"/>
              <w:rPr>
                <w:rFonts w:ascii="宋体" w:hAnsi="宋体" w:cs="宋体"/>
                <w:szCs w:val="24"/>
                <w:highlight w:val="none"/>
              </w:rPr>
            </w:pPr>
            <w:r>
              <w:rPr>
                <w:rFonts w:hint="eastAsia" w:ascii="宋体" w:hAnsi="宋体" w:cs="宋体"/>
                <w:szCs w:val="24"/>
                <w:highlight w:val="none"/>
              </w:rPr>
              <w:t xml:space="preserve"> </w:t>
            </w:r>
            <w:r>
              <w:rPr>
                <w:rFonts w:ascii="宋体" w:hAnsi="宋体" w:cs="宋体"/>
                <w:szCs w:val="24"/>
                <w:highlight w:val="none"/>
              </w:rPr>
              <w:t xml:space="preserve"> </w:t>
            </w:r>
            <w:r>
              <w:rPr>
                <w:rFonts w:hint="eastAsia" w:ascii="宋体" w:hAnsi="宋体" w:cs="宋体"/>
                <w:szCs w:val="24"/>
                <w:highlight w:val="none"/>
              </w:rPr>
              <w:t xml:space="preserve">3</w:t>
            </w:r>
            <w:r>
              <w:rPr>
                <w:rFonts w:ascii="宋体" w:hAnsi="宋体" w:cs="宋体"/>
                <w:szCs w:val="24"/>
                <w:highlight w:val="none"/>
              </w:rPr>
              <w:t xml:space="preserve">.</w:t>
            </w:r>
            <w:r>
              <w:rPr>
                <w:rFonts w:hint="eastAsia" w:ascii="宋体" w:hAnsi="宋体" w:cs="宋体"/>
                <w:szCs w:val="24"/>
                <w:highlight w:val="none"/>
              </w:rPr>
              <w:t xml:space="preserve"> 控温方式：PID 控温；嵌入式软件控温技术；</w:t>
            </w:r>
            <w:r>
              <w:rPr>
                <w:highlight w:val="none"/>
              </w:rPr>
            </w:r>
            <w:r/>
          </w:p>
          <w:p>
            <w:pPr>
              <w:ind w:firstLine="210"/>
              <w:spacing w:line="360" w:lineRule="auto"/>
              <w:rPr>
                <w:rFonts w:ascii="宋体" w:hAnsi="宋体" w:cs="宋体"/>
                <w:szCs w:val="24"/>
                <w:highlight w:val="none"/>
              </w:rPr>
            </w:pPr>
            <w:r>
              <w:rPr>
                <w:rFonts w:hint="eastAsia" w:ascii="宋体" w:hAnsi="宋体" w:cs="宋体"/>
                <w:szCs w:val="24"/>
                <w:highlight w:val="none"/>
              </w:rPr>
              <w:t xml:space="preserve">4</w:t>
            </w:r>
            <w:r>
              <w:rPr>
                <w:rFonts w:ascii="宋体" w:hAnsi="宋体" w:cs="宋体"/>
                <w:szCs w:val="24"/>
                <w:highlight w:val="none"/>
              </w:rPr>
              <w:t xml:space="preserve">.</w:t>
            </w:r>
            <w:r>
              <w:rPr>
                <w:rFonts w:hint="eastAsia" w:ascii="宋体" w:hAnsi="宋体" w:cs="宋体"/>
                <w:szCs w:val="24"/>
                <w:highlight w:val="none"/>
              </w:rPr>
              <w:t xml:space="preserve">可存储：要求可存贮10组以上消解方法；</w:t>
            </w:r>
            <w:r>
              <w:rPr>
                <w:highlight w:val="none"/>
              </w:rPr>
            </w:r>
            <w:r/>
          </w:p>
          <w:p>
            <w:pPr>
              <w:spacing w:line="360" w:lineRule="auto"/>
              <w:rPr>
                <w:rFonts w:ascii="宋体" w:hAnsi="宋体" w:cs="宋体"/>
                <w:szCs w:val="24"/>
                <w:highlight w:val="none"/>
              </w:rPr>
            </w:pPr>
            <w:r>
              <w:rPr>
                <w:rFonts w:ascii="宋体" w:hAnsi="宋体" w:cs="宋体"/>
                <w:szCs w:val="24"/>
                <w:highlight w:val="none"/>
              </w:rPr>
              <w:t xml:space="preserve">  5.</w:t>
            </w:r>
            <w:r>
              <w:rPr>
                <w:rFonts w:hint="eastAsia" w:ascii="宋体" w:hAnsi="宋体" w:cs="宋体"/>
                <w:szCs w:val="24"/>
                <w:highlight w:val="none"/>
              </w:rPr>
              <w:t xml:space="preserve">温范围:≥室温+5℃～450℃（从室温到400℃≤25 分钟）；</w:t>
            </w:r>
            <w:r>
              <w:rPr>
                <w:highlight w:val="none"/>
              </w:rPr>
            </w:r>
            <w:r/>
          </w:p>
          <w:p>
            <w:pPr>
              <w:spacing w:line="360" w:lineRule="auto"/>
              <w:rPr>
                <w:rFonts w:ascii="宋体" w:hAnsi="宋体" w:cs="宋体"/>
                <w:szCs w:val="24"/>
                <w:highlight w:val="none"/>
              </w:rPr>
            </w:pPr>
            <w:r>
              <w:rPr>
                <w:rFonts w:ascii="宋体" w:hAnsi="宋体" w:cs="宋体"/>
                <w:szCs w:val="24"/>
                <w:highlight w:val="none"/>
              </w:rPr>
              <w:t xml:space="preserve">  6.</w:t>
            </w:r>
            <w:r>
              <w:rPr>
                <w:rFonts w:hint="eastAsia" w:ascii="宋体" w:hAnsi="宋体" w:cs="宋体"/>
                <w:szCs w:val="24"/>
                <w:highlight w:val="none"/>
              </w:rPr>
              <w:t xml:space="preserve">温计时方式：消解开始计时或达至设定温度计时两种可选；</w:t>
            </w:r>
            <w:r>
              <w:rPr>
                <w:highlight w:val="none"/>
              </w:rPr>
            </w:r>
            <w:r/>
          </w:p>
          <w:p>
            <w:pPr>
              <w:spacing w:line="360" w:lineRule="auto"/>
              <w:rPr>
                <w:rFonts w:ascii="宋体" w:hAnsi="宋体" w:cs="宋体"/>
                <w:szCs w:val="24"/>
                <w:highlight w:val="none"/>
              </w:rPr>
            </w:pPr>
            <w:r>
              <w:rPr>
                <w:rFonts w:ascii="宋体" w:hAnsi="宋体" w:cs="宋体"/>
                <w:szCs w:val="24"/>
                <w:highlight w:val="none"/>
              </w:rPr>
              <w:t xml:space="preserve">  7.</w:t>
            </w:r>
            <w:r>
              <w:rPr>
                <w:rFonts w:hint="eastAsia" w:ascii="宋体" w:hAnsi="宋体" w:cs="宋体"/>
                <w:szCs w:val="24"/>
                <w:highlight w:val="none"/>
              </w:rPr>
              <w:t xml:space="preserve">显示系统：液晶显示屏；</w:t>
            </w:r>
            <w:r>
              <w:rPr>
                <w:highlight w:val="none"/>
              </w:rPr>
            </w:r>
            <w:r/>
          </w:p>
          <w:p>
            <w:pPr>
              <w:spacing w:line="360" w:lineRule="auto"/>
              <w:rPr>
                <w:rFonts w:ascii="宋体" w:hAnsi="宋体" w:cs="宋体"/>
                <w:szCs w:val="24"/>
                <w:highlight w:val="none"/>
              </w:rPr>
            </w:pPr>
            <w:r>
              <w:rPr>
                <w:rFonts w:ascii="宋体" w:hAnsi="宋体" w:cs="宋体"/>
                <w:szCs w:val="24"/>
                <w:highlight w:val="none"/>
              </w:rPr>
              <w:t xml:space="preserve">  8.</w:t>
            </w:r>
            <w:r>
              <w:rPr>
                <w:rFonts w:hint="eastAsia" w:ascii="宋体" w:hAnsi="宋体" w:cs="宋体"/>
                <w:szCs w:val="24"/>
                <w:highlight w:val="none"/>
              </w:rPr>
              <w:t xml:space="preserve"> 隔热方式：陶瓷及风道隔热；</w:t>
            </w:r>
            <w:r>
              <w:rPr>
                <w:highlight w:val="none"/>
              </w:rPr>
            </w:r>
            <w:r/>
          </w:p>
          <w:p>
            <w:pPr>
              <w:spacing w:line="360" w:lineRule="auto"/>
              <w:rPr>
                <w:rFonts w:ascii="宋体" w:hAnsi="宋体" w:cs="宋体"/>
                <w:szCs w:val="24"/>
                <w:highlight w:val="none"/>
              </w:rPr>
            </w:pPr>
            <w:r>
              <w:rPr>
                <w:rFonts w:ascii="宋体" w:hAnsi="宋体" w:cs="宋体"/>
                <w:szCs w:val="24"/>
                <w:highlight w:val="none"/>
              </w:rPr>
              <w:t xml:space="preserve">  9.</w:t>
            </w:r>
            <w:r>
              <w:rPr>
                <w:rFonts w:hint="eastAsia" w:ascii="宋体" w:hAnsi="宋体" w:cs="宋体"/>
                <w:szCs w:val="24"/>
                <w:highlight w:val="none"/>
              </w:rPr>
              <w:t xml:space="preserve"> 控温精度：≤±1℃；</w:t>
            </w:r>
            <w:r>
              <w:rPr>
                <w:rFonts w:ascii="宋体" w:hAnsi="宋体" w:cs="宋体"/>
                <w:szCs w:val="24"/>
                <w:highlight w:val="none"/>
              </w:rPr>
              <w:t xml:space="preserve"> </w:t>
            </w:r>
            <w:r>
              <w:rPr>
                <w:highlight w:val="none"/>
              </w:rPr>
            </w:r>
            <w:r/>
          </w:p>
          <w:p>
            <w:pPr>
              <w:ind w:firstLine="210"/>
              <w:spacing w:line="360" w:lineRule="auto"/>
              <w:rPr>
                <w:rFonts w:ascii="宋体" w:hAnsi="宋体" w:cs="宋体"/>
                <w:szCs w:val="24"/>
                <w:highlight w:val="none"/>
              </w:rPr>
            </w:pPr>
            <w:r>
              <w:rPr>
                <w:rFonts w:hint="eastAsia" w:ascii="宋体" w:hAnsi="宋体" w:cs="宋体"/>
                <w:szCs w:val="24"/>
                <w:highlight w:val="none"/>
              </w:rPr>
              <w:t xml:space="preserve">10</w:t>
            </w:r>
            <w:r>
              <w:rPr>
                <w:rFonts w:ascii="宋体" w:hAnsi="宋体" w:cs="宋体"/>
                <w:szCs w:val="24"/>
                <w:highlight w:val="none"/>
              </w:rPr>
              <w:t xml:space="preserve">.</w:t>
            </w:r>
            <w:r>
              <w:rPr>
                <w:rFonts w:hint="eastAsia" w:ascii="宋体" w:hAnsi="宋体" w:cs="宋体"/>
                <w:szCs w:val="24"/>
                <w:highlight w:val="none"/>
              </w:rPr>
              <w:t xml:space="preserve"> 消化管容量：300m</w:t>
            </w:r>
            <w:r>
              <w:rPr>
                <w:rFonts w:ascii="宋体" w:hAnsi="宋体" w:cs="宋体"/>
                <w:szCs w:val="24"/>
                <w:highlight w:val="none"/>
              </w:rPr>
              <w:t xml:space="preserve">L</w:t>
            </w:r>
            <w:r>
              <w:rPr>
                <w:rFonts w:hint="eastAsia" w:ascii="宋体" w:hAnsi="宋体" w:cs="宋体"/>
                <w:szCs w:val="24"/>
                <w:highlight w:val="none"/>
              </w:rPr>
              <w:t xml:space="preserve">（满容量水，20℃）</w:t>
            </w:r>
            <w:r>
              <w:rPr>
                <w:highlight w:val="none"/>
              </w:rPr>
            </w:r>
            <w:r/>
          </w:p>
          <w:p>
            <w:pPr>
              <w:ind w:firstLine="210"/>
              <w:jc w:val="left"/>
              <w:spacing w:line="360" w:lineRule="auto"/>
              <w:rPr>
                <w:rFonts w:ascii="宋体" w:hAnsi="宋体" w:cs="宋体"/>
                <w:szCs w:val="24"/>
                <w:highlight w:val="none"/>
              </w:rPr>
            </w:pPr>
            <w:r>
              <w:rPr>
                <w:rFonts w:hint="eastAsia" w:ascii="宋体" w:hAnsi="宋体" w:cs="宋体"/>
                <w:szCs w:val="24"/>
                <w:highlight w:val="none"/>
              </w:rPr>
              <w:t xml:space="preserve">11</w:t>
            </w:r>
            <w:r>
              <w:rPr>
                <w:rFonts w:ascii="宋体" w:hAnsi="宋体" w:cs="宋体"/>
                <w:szCs w:val="24"/>
                <w:highlight w:val="none"/>
              </w:rPr>
              <w:t xml:space="preserve">.</w:t>
            </w:r>
            <w:r>
              <w:rPr>
                <w:rFonts w:hint="eastAsia" w:ascii="宋体" w:hAnsi="宋体" w:cs="宋体"/>
                <w:szCs w:val="24"/>
                <w:highlight w:val="none"/>
              </w:rPr>
              <w:t xml:space="preserve"> 表面外壳需喷涂防腐材质（如特氟龙涂层），防止腐蚀；</w:t>
            </w:r>
            <w:r>
              <w:rPr>
                <w:highlight w:val="none"/>
              </w:rPr>
            </w:r>
            <w:r/>
          </w:p>
          <w:p>
            <w:pPr>
              <w:spacing w:line="360" w:lineRule="auto"/>
              <w:rPr>
                <w:rFonts w:ascii="宋体" w:hAnsi="宋体" w:cs="宋体"/>
                <w:szCs w:val="24"/>
                <w:highlight w:val="none"/>
              </w:rPr>
            </w:pPr>
            <w:r>
              <w:rPr>
                <w:rFonts w:ascii="宋体" w:hAnsi="宋体" w:cs="宋体"/>
                <w:szCs w:val="24"/>
                <w:highlight w:val="none"/>
              </w:rPr>
              <w:t xml:space="preserve"> </w:t>
            </w:r>
            <w:r>
              <w:rPr>
                <w:rFonts w:hint="eastAsia" w:ascii="宋体" w:hAnsi="宋体" w:cs="宋体"/>
                <w:szCs w:val="24"/>
                <w:highlight w:val="none"/>
              </w:rPr>
              <w:t xml:space="preserve"> </w:t>
            </w:r>
            <w:r>
              <w:rPr>
                <w:rFonts w:ascii="宋体" w:hAnsi="宋体" w:cs="宋体"/>
                <w:szCs w:val="24"/>
                <w:highlight w:val="none"/>
              </w:rPr>
              <w:t xml:space="preserve">12. </w:t>
            </w:r>
            <w:r>
              <w:rPr>
                <w:rFonts w:hint="eastAsia" w:ascii="宋体" w:hAnsi="宋体" w:cs="宋体"/>
                <w:szCs w:val="24"/>
                <w:highlight w:val="none"/>
              </w:rPr>
              <w:t xml:space="preserve">可自动检测加热单元工作故障，可判断出故障模块；</w:t>
            </w:r>
            <w:r>
              <w:rPr>
                <w:highlight w:val="none"/>
              </w:rPr>
            </w:r>
            <w:r/>
          </w:p>
          <w:p>
            <w:pPr>
              <w:spacing w:line="360" w:lineRule="auto"/>
              <w:rPr>
                <w:rFonts w:ascii="宋体" w:hAnsi="宋体" w:cs="宋体"/>
                <w:szCs w:val="24"/>
                <w:highlight w:val="none"/>
              </w:rPr>
            </w:pPr>
            <w:r>
              <w:rPr>
                <w:rFonts w:ascii="宋体" w:hAnsi="宋体" w:cs="宋体"/>
                <w:szCs w:val="24"/>
                <w:highlight w:val="none"/>
              </w:rPr>
              <w:t xml:space="preserve">  13. </w:t>
            </w:r>
            <w:r>
              <w:rPr>
                <w:rFonts w:hint="eastAsia" w:ascii="宋体" w:hAnsi="宋体" w:cs="宋体"/>
                <w:szCs w:val="24"/>
                <w:highlight w:val="none"/>
              </w:rPr>
              <w:t xml:space="preserve">具备过压、过流、过热报警，故障自动报警功能；</w:t>
            </w:r>
            <w:r>
              <w:rPr>
                <w:highlight w:val="none"/>
              </w:rPr>
            </w:r>
            <w:r/>
          </w:p>
          <w:p>
            <w:pPr>
              <w:spacing w:line="360" w:lineRule="auto"/>
              <w:rPr>
                <w:rFonts w:ascii="宋体" w:hAnsi="宋体" w:cs="宋体"/>
                <w:szCs w:val="24"/>
                <w:highlight w:val="none"/>
              </w:rPr>
            </w:pPr>
            <w:r>
              <w:rPr>
                <w:rFonts w:hint="eastAsia" w:ascii="宋体" w:hAnsi="宋体" w:cs="宋体"/>
                <w:szCs w:val="24"/>
                <w:highlight w:val="none"/>
              </w:rPr>
              <w:t xml:space="preserve"> </w:t>
            </w:r>
            <w:r>
              <w:rPr>
                <w:rFonts w:ascii="宋体" w:hAnsi="宋体" w:cs="宋体"/>
                <w:szCs w:val="24"/>
                <w:highlight w:val="none"/>
              </w:rPr>
              <w:t xml:space="preserve"> 14. </w:t>
            </w:r>
            <w:r>
              <w:rPr>
                <w:rFonts w:hint="eastAsia" w:ascii="宋体" w:hAnsi="宋体" w:cs="宋体"/>
                <w:szCs w:val="24"/>
                <w:highlight w:val="none"/>
              </w:rPr>
              <w:t xml:space="preserve">具备导流槽结构，防止酸液腐蚀仪器；</w:t>
            </w:r>
            <w:r>
              <w:rPr>
                <w:highlight w:val="none"/>
              </w:rPr>
            </w:r>
            <w:r/>
          </w:p>
          <w:p>
            <w:pPr>
              <w:spacing w:line="360" w:lineRule="auto"/>
              <w:rPr>
                <w:rFonts w:ascii="宋体" w:hAnsi="宋体" w:cs="宋体"/>
                <w:szCs w:val="24"/>
                <w:highlight w:val="none"/>
              </w:rPr>
            </w:pPr>
            <w:r>
              <w:rPr>
                <w:rFonts w:hint="eastAsia" w:ascii="宋体" w:hAnsi="宋体" w:cs="宋体"/>
                <w:szCs w:val="24"/>
                <w:highlight w:val="none"/>
              </w:rPr>
              <w:t xml:space="preserve">  </w:t>
            </w:r>
            <w:r>
              <w:rPr>
                <w:rFonts w:ascii="宋体" w:hAnsi="宋体" w:cs="宋体"/>
                <w:szCs w:val="24"/>
                <w:highlight w:val="none"/>
              </w:rPr>
              <w:t xml:space="preserve">15.</w:t>
            </w:r>
            <w:r>
              <w:rPr>
                <w:rFonts w:hint="eastAsia" w:ascii="宋体" w:hAnsi="宋体" w:cs="宋体"/>
                <w:szCs w:val="24"/>
                <w:highlight w:val="none"/>
              </w:rPr>
              <w:t xml:space="preserve"> 石墨表面处理方式：要求采用气相沉积技术，防止石墨高温氧化。</w:t>
            </w:r>
            <w:r>
              <w:rPr>
                <w:highlight w:val="none"/>
              </w:rPr>
            </w:r>
            <w:r/>
          </w:p>
          <w:p>
            <w:pPr>
              <w:spacing w:line="360" w:lineRule="auto"/>
              <w:rPr>
                <w:rFonts w:ascii="宋体" w:hAnsi="宋体" w:cs="宋体"/>
                <w:b/>
                <w:szCs w:val="24"/>
                <w:highlight w:val="none"/>
              </w:rPr>
            </w:pPr>
            <w:r>
              <w:rPr>
                <w:rFonts w:hint="eastAsia" w:ascii="宋体" w:hAnsi="宋体" w:cs="宋体"/>
                <w:b/>
                <w:szCs w:val="24"/>
                <w:highlight w:val="none"/>
              </w:rPr>
              <w:t xml:space="preserve">四．超声波清洗机参数</w:t>
            </w:r>
            <w:r>
              <w:rPr>
                <w:highlight w:val="none"/>
              </w:rPr>
            </w:r>
            <w:r/>
          </w:p>
          <w:p>
            <w:pPr>
              <w:spacing w:line="360" w:lineRule="auto"/>
              <w:rPr>
                <w:rFonts w:ascii="宋体" w:hAnsi="宋体" w:cs="宋体"/>
                <w:szCs w:val="24"/>
                <w:highlight w:val="none"/>
              </w:rPr>
            </w:pPr>
            <w:r>
              <w:rPr>
                <w:rFonts w:hint="eastAsia" w:ascii="宋体" w:hAnsi="宋体" w:cs="宋体"/>
                <w:szCs w:val="24"/>
                <w:highlight w:val="none"/>
              </w:rPr>
              <w:t xml:space="preserve">1</w:t>
            </w:r>
            <w:r>
              <w:rPr>
                <w:rFonts w:ascii="宋体" w:hAnsi="宋体" w:cs="宋体"/>
                <w:szCs w:val="24"/>
                <w:highlight w:val="none"/>
              </w:rPr>
              <w:t xml:space="preserve">.</w:t>
            </w:r>
            <w:r>
              <w:rPr>
                <w:rFonts w:hint="eastAsia" w:ascii="宋体" w:hAnsi="宋体" w:cs="宋体"/>
                <w:szCs w:val="24"/>
                <w:highlight w:val="none"/>
              </w:rPr>
              <w:t xml:space="preserve">容积：≥50</w:t>
            </w:r>
            <w:r>
              <w:rPr>
                <w:rFonts w:ascii="宋体" w:hAnsi="宋体" w:cs="宋体"/>
                <w:szCs w:val="24"/>
                <w:highlight w:val="none"/>
              </w:rPr>
              <w:t xml:space="preserve">L</w:t>
            </w:r>
            <w:r>
              <w:rPr>
                <w:rFonts w:hint="eastAsia" w:ascii="宋体" w:hAnsi="宋体" w:cs="宋体"/>
                <w:szCs w:val="24"/>
                <w:highlight w:val="none"/>
              </w:rPr>
              <w:t xml:space="preserve"> </w:t>
            </w:r>
            <w:r>
              <w:rPr>
                <w:rFonts w:ascii="宋体" w:hAnsi="宋体" w:cs="宋体"/>
                <w:szCs w:val="24"/>
                <w:highlight w:val="none"/>
              </w:rPr>
              <w:t xml:space="preserve">,</w:t>
            </w:r>
            <w:r>
              <w:rPr>
                <w:rFonts w:hint="eastAsia" w:ascii="宋体" w:hAnsi="宋体" w:cs="宋体"/>
                <w:szCs w:val="24"/>
                <w:highlight w:val="none"/>
              </w:rPr>
              <w:t xml:space="preserve">内槽尺寸≥6</w:t>
            </w:r>
            <w:r>
              <w:rPr>
                <w:rFonts w:ascii="宋体" w:hAnsi="宋体" w:cs="宋体"/>
                <w:szCs w:val="24"/>
                <w:highlight w:val="none"/>
              </w:rPr>
              <w:t xml:space="preserve">00</w:t>
            </w:r>
            <w:r>
              <w:rPr>
                <w:rFonts w:hint="eastAsia" w:ascii="宋体" w:hAnsi="宋体" w:cs="宋体"/>
                <w:szCs w:val="24"/>
                <w:highlight w:val="none"/>
              </w:rPr>
              <w:t xml:space="preserve">×4</w:t>
            </w:r>
            <w:r>
              <w:rPr>
                <w:rFonts w:ascii="宋体" w:hAnsi="宋体" w:cs="宋体"/>
                <w:szCs w:val="24"/>
                <w:highlight w:val="none"/>
              </w:rPr>
              <w:t xml:space="preserve">00</w:t>
            </w:r>
            <w:r>
              <w:rPr>
                <w:rFonts w:hint="eastAsia" w:ascii="宋体" w:hAnsi="宋体" w:cs="宋体"/>
                <w:szCs w:val="24"/>
                <w:highlight w:val="none"/>
              </w:rPr>
              <w:t xml:space="preserve">×2</w:t>
            </w:r>
            <w:r>
              <w:rPr>
                <w:rFonts w:ascii="宋体" w:hAnsi="宋体" w:cs="宋体"/>
                <w:szCs w:val="24"/>
                <w:highlight w:val="none"/>
              </w:rPr>
              <w:t xml:space="preserve">00mm</w:t>
            </w:r>
            <w:r>
              <w:rPr>
                <w:highlight w:val="none"/>
              </w:rPr>
            </w:r>
            <w:r/>
          </w:p>
          <w:p>
            <w:pPr>
              <w:spacing w:line="360" w:lineRule="auto"/>
              <w:rPr>
                <w:rFonts w:ascii="宋体" w:hAnsi="宋体" w:cs="宋体"/>
                <w:szCs w:val="24"/>
                <w:highlight w:val="none"/>
              </w:rPr>
            </w:pPr>
            <w:r>
              <w:rPr>
                <w:rFonts w:ascii="宋体" w:hAnsi="宋体" w:cs="宋体"/>
                <w:szCs w:val="24"/>
                <w:highlight w:val="none"/>
              </w:rPr>
              <w:t xml:space="preserve">2.</w:t>
            </w:r>
            <w:r>
              <w:rPr>
                <w:rFonts w:hint="eastAsia" w:ascii="宋体" w:hAnsi="宋体" w:cs="宋体"/>
                <w:szCs w:val="24"/>
                <w:highlight w:val="none"/>
              </w:rPr>
              <w:t xml:space="preserve">超声频率：4</w:t>
            </w:r>
            <w:r>
              <w:rPr>
                <w:rFonts w:ascii="宋体" w:hAnsi="宋体" w:cs="宋体"/>
                <w:szCs w:val="24"/>
                <w:highlight w:val="none"/>
              </w:rPr>
              <w:t xml:space="preserve">0kHz</w:t>
            </w:r>
            <w:r>
              <w:rPr>
                <w:highlight w:val="none"/>
              </w:rPr>
            </w:r>
            <w:r/>
          </w:p>
          <w:p>
            <w:pPr>
              <w:spacing w:line="360" w:lineRule="auto"/>
              <w:rPr>
                <w:rFonts w:ascii="宋体" w:hAnsi="宋体" w:cs="宋体"/>
                <w:szCs w:val="24"/>
                <w:highlight w:val="none"/>
              </w:rPr>
            </w:pPr>
            <w:r>
              <w:rPr>
                <w:rFonts w:ascii="宋体" w:hAnsi="宋体" w:cs="宋体"/>
                <w:szCs w:val="24"/>
                <w:highlight w:val="none"/>
              </w:rPr>
              <w:t xml:space="preserve">3.</w:t>
            </w:r>
            <w:r>
              <w:rPr>
                <w:rFonts w:hint="eastAsia" w:ascii="宋体" w:hAnsi="宋体" w:cs="宋体"/>
                <w:szCs w:val="24"/>
                <w:highlight w:val="none"/>
              </w:rPr>
              <w:t xml:space="preserve">超声功率：≥1</w:t>
            </w:r>
            <w:r>
              <w:rPr>
                <w:rFonts w:ascii="宋体" w:hAnsi="宋体" w:cs="宋体"/>
                <w:szCs w:val="24"/>
                <w:highlight w:val="none"/>
              </w:rPr>
              <w:t xml:space="preserve">000W,</w:t>
            </w:r>
            <w:r>
              <w:rPr>
                <w:rFonts w:hint="eastAsia" w:ascii="宋体" w:hAnsi="宋体" w:cs="宋体"/>
                <w:szCs w:val="24"/>
                <w:highlight w:val="none"/>
              </w:rPr>
              <w:t xml:space="preserve">功率连续可调</w:t>
            </w:r>
            <w:r>
              <w:rPr>
                <w:highlight w:val="none"/>
              </w:rPr>
            </w:r>
            <w:r/>
          </w:p>
          <w:p>
            <w:pPr>
              <w:spacing w:line="360" w:lineRule="auto"/>
              <w:rPr>
                <w:rFonts w:ascii="宋体" w:hAnsi="宋体" w:cs="宋体"/>
                <w:szCs w:val="24"/>
                <w:highlight w:val="none"/>
              </w:rPr>
            </w:pPr>
            <w:r>
              <w:rPr>
                <w:rFonts w:hint="eastAsia" w:ascii="宋体" w:hAnsi="宋体" w:cs="宋体"/>
                <w:szCs w:val="24"/>
                <w:highlight w:val="none"/>
              </w:rPr>
              <w:t xml:space="preserve">4</w:t>
            </w:r>
            <w:r>
              <w:rPr>
                <w:rFonts w:ascii="宋体" w:hAnsi="宋体" w:cs="宋体"/>
                <w:szCs w:val="24"/>
                <w:highlight w:val="none"/>
              </w:rPr>
              <w:t xml:space="preserve">.</w:t>
            </w:r>
            <w:r>
              <w:rPr>
                <w:rFonts w:hint="eastAsia" w:ascii="宋体" w:hAnsi="宋体" w:cs="宋体"/>
                <w:szCs w:val="24"/>
                <w:highlight w:val="none"/>
              </w:rPr>
              <w:t xml:space="preserve">可加热：温度范围≥室温～</w:t>
            </w:r>
            <w:r>
              <w:rPr>
                <w:rFonts w:ascii="宋体" w:hAnsi="宋体" w:cs="宋体"/>
                <w:szCs w:val="24"/>
                <w:highlight w:val="none"/>
              </w:rPr>
              <w:t xml:space="preserve">80</w:t>
            </w:r>
            <w:r>
              <w:rPr>
                <w:rFonts w:hint="eastAsia" w:ascii="宋体" w:hAnsi="宋体" w:cs="宋体"/>
                <w:szCs w:val="24"/>
                <w:highlight w:val="none"/>
              </w:rPr>
              <w:t xml:space="preserve">℃，数显</w:t>
            </w:r>
            <w:r>
              <w:rPr>
                <w:highlight w:val="none"/>
              </w:rPr>
            </w:r>
            <w:r/>
          </w:p>
          <w:p>
            <w:pPr>
              <w:spacing w:line="360" w:lineRule="auto"/>
              <w:rPr>
                <w:rFonts w:ascii="宋体" w:hAnsi="宋体" w:cs="宋体"/>
                <w:szCs w:val="24"/>
                <w:highlight w:val="none"/>
              </w:rPr>
            </w:pPr>
            <w:r>
              <w:rPr>
                <w:rFonts w:hint="eastAsia" w:ascii="宋体" w:hAnsi="宋体" w:cs="宋体"/>
                <w:szCs w:val="24"/>
                <w:highlight w:val="none"/>
              </w:rPr>
              <w:t xml:space="preserve">5</w:t>
            </w:r>
            <w:r>
              <w:rPr>
                <w:rFonts w:ascii="宋体" w:hAnsi="宋体" w:cs="宋体"/>
                <w:szCs w:val="24"/>
                <w:highlight w:val="none"/>
              </w:rPr>
              <w:t xml:space="preserve">.</w:t>
            </w:r>
            <w:r>
              <w:rPr>
                <w:rFonts w:hint="eastAsia" w:ascii="宋体" w:hAnsi="宋体" w:cs="宋体"/>
                <w:szCs w:val="24"/>
                <w:highlight w:val="none"/>
              </w:rPr>
              <w:t xml:space="preserve">可定时：≥8小时，数显</w:t>
            </w:r>
            <w:r>
              <w:rPr>
                <w:highlight w:val="none"/>
              </w:rPr>
            </w:r>
            <w:r/>
          </w:p>
          <w:p>
            <w:pPr>
              <w:spacing w:line="360" w:lineRule="auto"/>
              <w:rPr>
                <w:rFonts w:ascii="宋体" w:hAnsi="宋体" w:cs="宋体"/>
                <w:szCs w:val="24"/>
                <w:highlight w:val="none"/>
              </w:rPr>
            </w:pPr>
            <w:r>
              <w:rPr>
                <w:rFonts w:hint="eastAsia" w:ascii="宋体" w:hAnsi="宋体" w:cs="宋体"/>
                <w:szCs w:val="24"/>
                <w:highlight w:val="none"/>
              </w:rPr>
              <w:t xml:space="preserve">6</w:t>
            </w:r>
            <w:r>
              <w:rPr>
                <w:rFonts w:ascii="宋体" w:hAnsi="宋体" w:cs="宋体"/>
                <w:szCs w:val="24"/>
                <w:highlight w:val="none"/>
              </w:rPr>
              <w:t xml:space="preserve">.</w:t>
            </w:r>
            <w:r>
              <w:rPr>
                <w:rFonts w:hint="eastAsia" w:ascii="宋体" w:hAnsi="宋体" w:cs="宋体"/>
                <w:szCs w:val="24"/>
                <w:highlight w:val="none"/>
              </w:rPr>
              <w:t xml:space="preserve">整机材质：槽体、外壳均为06Cr19Ni10（SUS304）级不锈钢</w:t>
            </w:r>
            <w:r>
              <w:rPr>
                <w:highlight w:val="none"/>
              </w:rPr>
            </w:r>
            <w:r/>
          </w:p>
          <w:p>
            <w:pPr>
              <w:spacing w:line="360" w:lineRule="auto"/>
              <w:rPr>
                <w:rFonts w:ascii="宋体" w:hAnsi="宋体" w:cs="宋体"/>
                <w:szCs w:val="24"/>
                <w:highlight w:val="none"/>
              </w:rPr>
            </w:pPr>
            <w:r>
              <w:rPr>
                <w:rFonts w:hint="eastAsia" w:ascii="宋体" w:hAnsi="宋体" w:cs="宋体"/>
                <w:szCs w:val="24"/>
                <w:highlight w:val="none"/>
              </w:rPr>
              <w:t xml:space="preserve">7</w:t>
            </w:r>
            <w:r>
              <w:rPr>
                <w:rFonts w:ascii="宋体" w:hAnsi="宋体" w:cs="宋体"/>
                <w:szCs w:val="24"/>
                <w:highlight w:val="none"/>
              </w:rPr>
              <w:t xml:space="preserve">.</w:t>
            </w:r>
            <w:r>
              <w:rPr>
                <w:rFonts w:hint="eastAsia" w:ascii="宋体" w:hAnsi="宋体" w:cs="宋体"/>
                <w:szCs w:val="24"/>
                <w:highlight w:val="none"/>
              </w:rPr>
              <w:t xml:space="preserve">控制方式：全数控面板，温度/时间/功率独立数显调节</w:t>
            </w:r>
            <w:r>
              <w:rPr>
                <w:highlight w:val="none"/>
              </w:rPr>
            </w:r>
            <w:r/>
          </w:p>
          <w:p>
            <w:pPr>
              <w:spacing w:line="360" w:lineRule="auto"/>
              <w:rPr>
                <w:rFonts w:ascii="宋体" w:hAnsi="宋体" w:cs="宋体"/>
                <w:szCs w:val="24"/>
                <w:highlight w:val="none"/>
              </w:rPr>
            </w:pPr>
            <w:r>
              <w:rPr>
                <w:rFonts w:hint="eastAsia" w:ascii="宋体" w:hAnsi="宋体" w:cs="宋体"/>
                <w:szCs w:val="24"/>
                <w:highlight w:val="none"/>
              </w:rPr>
              <w:t xml:space="preserve">8</w:t>
            </w:r>
            <w:r>
              <w:rPr>
                <w:rFonts w:ascii="宋体" w:hAnsi="宋体" w:cs="宋体"/>
                <w:szCs w:val="24"/>
                <w:highlight w:val="none"/>
              </w:rPr>
              <w:t xml:space="preserve">.</w:t>
            </w:r>
            <w:r>
              <w:rPr>
                <w:rFonts w:hint="eastAsia" w:ascii="宋体" w:hAnsi="宋体" w:cs="宋体"/>
                <w:szCs w:val="24"/>
                <w:highlight w:val="none"/>
              </w:rPr>
              <w:t xml:space="preserve">配不锈钢清洗网篮、降音盖、排水阀。</w:t>
            </w:r>
            <w:r>
              <w:rPr>
                <w:highlight w:val="none"/>
              </w:rPr>
            </w:r>
            <w:r/>
          </w:p>
          <w:p>
            <w:pPr>
              <w:spacing w:line="360" w:lineRule="auto"/>
              <w:rPr>
                <w:rFonts w:ascii="宋体" w:hAnsi="宋体"/>
                <w:sz w:val="24"/>
                <w:szCs w:val="24"/>
                <w:highlight w:val="none"/>
              </w:rPr>
            </w:pPr>
            <w:r>
              <w:rPr>
                <w:rFonts w:hint="eastAsia" w:ascii="宋体" w:hAnsi="宋体" w:cs="宋体"/>
                <w:b/>
                <w:szCs w:val="24"/>
                <w:highlight w:val="none"/>
              </w:rPr>
              <w:t xml:space="preserve">五．超级恒温水油槽</w:t>
            </w:r>
            <w:r>
              <w:rPr>
                <w:rFonts w:ascii="宋体" w:hAnsi="宋体"/>
                <w:b/>
                <w:szCs w:val="21"/>
                <w:highlight w:val="none"/>
              </w:rPr>
              <w:t xml:space="preserve">参数</w:t>
            </w:r>
            <w:r>
              <w:rPr>
                <w:rFonts w:ascii="宋体" w:hAnsi="宋体"/>
                <w:sz w:val="24"/>
                <w:szCs w:val="24"/>
                <w:highlight w:val="none"/>
              </w:rPr>
              <w:t xml:space="preserve">：</w:t>
            </w:r>
            <w:r>
              <w:rPr>
                <w:highlight w:val="none"/>
              </w:rPr>
            </w:r>
            <w:r/>
          </w:p>
          <w:p>
            <w:pPr>
              <w:spacing w:line="360" w:lineRule="auto"/>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w:t>
            </w:r>
            <w:r>
              <w:rPr>
                <w:rFonts w:hint="eastAsia" w:ascii="宋体" w:hAnsi="宋体"/>
                <w:szCs w:val="21"/>
                <w:highlight w:val="none"/>
              </w:rPr>
              <w:t xml:space="preserve">温度</w:t>
            </w:r>
            <w:r>
              <w:rPr>
                <w:rFonts w:ascii="宋体" w:hAnsi="宋体"/>
                <w:szCs w:val="21"/>
                <w:highlight w:val="none"/>
              </w:rPr>
              <w:t xml:space="preserve">范围：室温</w:t>
            </w:r>
            <w:r>
              <w:rPr>
                <w:rFonts w:hint="eastAsia" w:ascii="宋体" w:hAnsi="宋体" w:cs="宋体"/>
                <w:szCs w:val="21"/>
                <w:highlight w:val="none"/>
              </w:rPr>
              <w:t xml:space="preserve">～</w:t>
            </w:r>
            <w:r>
              <w:rPr>
                <w:rFonts w:hint="eastAsia" w:ascii="宋体" w:hAnsi="宋体"/>
                <w:szCs w:val="21"/>
                <w:highlight w:val="none"/>
              </w:rPr>
              <w:t xml:space="preserve">100℃；</w:t>
            </w:r>
            <w:r>
              <w:rPr>
                <w:rFonts w:ascii="宋体" w:hAnsi="宋体"/>
                <w:szCs w:val="21"/>
                <w:highlight w:val="none"/>
              </w:rPr>
              <w:t xml:space="preserve">分辨率：</w:t>
            </w:r>
            <w:r>
              <w:rPr>
                <w:rFonts w:hint="eastAsia" w:ascii="宋体" w:hAnsi="宋体"/>
                <w:szCs w:val="21"/>
                <w:highlight w:val="none"/>
              </w:rPr>
              <w:t xml:space="preserve">0.01℃；</w:t>
            </w:r>
            <w:r>
              <w:rPr>
                <w:highlight w:val="none"/>
              </w:rPr>
            </w:r>
            <w:r/>
          </w:p>
          <w:p>
            <w:pPr>
              <w:spacing w:line="360" w:lineRule="auto"/>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w:t>
            </w:r>
            <w:r>
              <w:rPr>
                <w:rFonts w:hint="eastAsia" w:ascii="宋体" w:hAnsi="宋体"/>
                <w:szCs w:val="21"/>
                <w:highlight w:val="none"/>
              </w:rPr>
              <w:t xml:space="preserve">温度</w:t>
            </w:r>
            <w:r>
              <w:rPr>
                <w:rFonts w:ascii="宋体" w:hAnsi="宋体"/>
                <w:szCs w:val="21"/>
                <w:highlight w:val="none"/>
              </w:rPr>
              <w:t xml:space="preserve">波动度：</w:t>
            </w:r>
            <w:r>
              <w:rPr>
                <w:rFonts w:hint="eastAsia" w:ascii="宋体" w:hAnsi="宋体"/>
                <w:szCs w:val="21"/>
                <w:highlight w:val="none"/>
              </w:rPr>
              <w:t xml:space="preserve">30℃时≤±0.2℃ ；</w:t>
            </w:r>
            <w:r>
              <w:rPr>
                <w:highlight w:val="none"/>
              </w:rPr>
            </w:r>
            <w:r/>
          </w:p>
          <w:p>
            <w:pPr>
              <w:spacing w:line="360" w:lineRule="auto"/>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w:t>
            </w:r>
            <w:r>
              <w:rPr>
                <w:rFonts w:hint="eastAsia" w:ascii="宋体" w:hAnsi="宋体"/>
                <w:szCs w:val="21"/>
                <w:highlight w:val="none"/>
              </w:rPr>
              <w:t xml:space="preserve">容量≥40L  ；  </w:t>
            </w:r>
            <w:r>
              <w:rPr>
                <w:highlight w:val="none"/>
              </w:rPr>
            </w:r>
            <w:r/>
          </w:p>
          <w:p>
            <w:pPr>
              <w:spacing w:line="360" w:lineRule="auto"/>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w:t>
            </w:r>
            <w:r>
              <w:rPr>
                <w:rFonts w:hint="eastAsia" w:ascii="宋体" w:hAnsi="宋体"/>
                <w:szCs w:val="21"/>
                <w:highlight w:val="none"/>
              </w:rPr>
              <w:t xml:space="preserve">水油槽开口长×</w:t>
            </w:r>
            <w:r>
              <w:rPr>
                <w:rFonts w:ascii="宋体" w:hAnsi="宋体"/>
                <w:szCs w:val="21"/>
                <w:highlight w:val="none"/>
              </w:rPr>
              <w:t xml:space="preserve">宽</w:t>
            </w:r>
            <w:r>
              <w:rPr>
                <w:rFonts w:hint="eastAsia" w:ascii="宋体" w:hAnsi="宋体"/>
                <w:szCs w:val="21"/>
                <w:highlight w:val="none"/>
              </w:rPr>
              <w:t xml:space="preserve">×深≥30</w:t>
            </w:r>
            <w:r>
              <w:rPr>
                <w:rFonts w:hint="eastAsia" w:ascii="宋体" w:hAnsi="宋体" w:cs="宋体"/>
                <w:szCs w:val="21"/>
                <w:highlight w:val="none"/>
              </w:rPr>
              <w:t xml:space="preserve">×</w:t>
            </w:r>
            <w:r>
              <w:rPr>
                <w:rFonts w:ascii="宋体" w:hAnsi="宋体"/>
                <w:szCs w:val="21"/>
                <w:highlight w:val="none"/>
              </w:rPr>
              <w:t xml:space="preserve">30</w:t>
            </w:r>
            <w:r>
              <w:rPr>
                <w:rFonts w:hint="eastAsia" w:ascii="宋体" w:hAnsi="宋体" w:cs="宋体"/>
                <w:szCs w:val="21"/>
                <w:highlight w:val="none"/>
              </w:rPr>
              <w:t xml:space="preserve">×</w:t>
            </w:r>
            <w:r>
              <w:rPr>
                <w:rFonts w:ascii="宋体" w:hAnsi="宋体"/>
                <w:szCs w:val="21"/>
                <w:highlight w:val="none"/>
              </w:rPr>
              <w:t xml:space="preserve"> 20cm </w:t>
            </w:r>
            <w:r>
              <w:rPr>
                <w:rFonts w:hint="eastAsia" w:ascii="宋体" w:hAnsi="宋体"/>
                <w:szCs w:val="21"/>
                <w:highlight w:val="none"/>
              </w:rPr>
              <w:t xml:space="preserve">；</w:t>
            </w:r>
            <w:r>
              <w:rPr>
                <w:rFonts w:ascii="宋体" w:hAnsi="宋体"/>
                <w:szCs w:val="21"/>
                <w:highlight w:val="none"/>
              </w:rPr>
              <w:t xml:space="preserve">带</w:t>
            </w:r>
            <w:r>
              <w:rPr>
                <w:rFonts w:hint="eastAsia" w:ascii="宋体" w:hAnsi="宋体"/>
                <w:szCs w:val="21"/>
                <w:highlight w:val="none"/>
              </w:rPr>
              <w:t xml:space="preserve">滑轮</w:t>
            </w:r>
            <w:r>
              <w:rPr>
                <w:rFonts w:ascii="宋体" w:hAnsi="宋体"/>
                <w:szCs w:val="21"/>
                <w:highlight w:val="none"/>
              </w:rPr>
              <w:t xml:space="preserve">可移动，</w:t>
            </w:r>
            <w:r>
              <w:rPr>
                <w:rFonts w:hint="eastAsia" w:ascii="宋体" w:hAnsi="宋体"/>
                <w:szCs w:val="21"/>
                <w:highlight w:val="none"/>
              </w:rPr>
              <w:t xml:space="preserve">有</w:t>
            </w:r>
            <w:r>
              <w:rPr>
                <w:rFonts w:ascii="宋体" w:hAnsi="宋体"/>
                <w:szCs w:val="21"/>
                <w:highlight w:val="none"/>
              </w:rPr>
              <w:t xml:space="preserve">定时</w:t>
            </w:r>
            <w:r>
              <w:rPr>
                <w:rFonts w:hint="eastAsia" w:ascii="宋体" w:hAnsi="宋体"/>
                <w:szCs w:val="21"/>
                <w:highlight w:val="none"/>
              </w:rPr>
              <w:t xml:space="preserve">功能</w:t>
            </w:r>
            <w:r>
              <w:rPr>
                <w:rFonts w:ascii="宋体" w:hAnsi="宋体"/>
                <w:szCs w:val="21"/>
                <w:highlight w:val="none"/>
              </w:rPr>
              <w:t xml:space="preserve"> </w:t>
            </w:r>
            <w:r>
              <w:rPr>
                <w:rFonts w:hint="eastAsia" w:ascii="宋体" w:hAnsi="宋体"/>
                <w:szCs w:val="21"/>
                <w:highlight w:val="none"/>
              </w:rPr>
              <w:t xml:space="preserve">；</w:t>
            </w:r>
            <w:r>
              <w:rPr>
                <w:highlight w:val="none"/>
              </w:rPr>
            </w:r>
            <w:r/>
          </w:p>
          <w:p>
            <w:pPr>
              <w:spacing w:line="360" w:lineRule="auto"/>
              <w:rPr>
                <w:rFonts w:ascii="宋体" w:hAnsi="宋体"/>
                <w:szCs w:val="21"/>
                <w:highlight w:val="none"/>
              </w:rPr>
            </w:pPr>
            <w:r>
              <w:rPr>
                <w:rFonts w:hint="eastAsia" w:ascii="宋体" w:hAnsi="宋体"/>
                <w:szCs w:val="21"/>
                <w:highlight w:val="none"/>
              </w:rPr>
              <w:t xml:space="preserve">5</w:t>
            </w:r>
            <w:r>
              <w:rPr>
                <w:rFonts w:ascii="宋体" w:hAnsi="宋体"/>
                <w:szCs w:val="21"/>
                <w:highlight w:val="none"/>
              </w:rPr>
              <w:t xml:space="preserve">.</w:t>
            </w:r>
            <w:r>
              <w:rPr>
                <w:rFonts w:hint="eastAsia" w:ascii="宋体" w:hAnsi="宋体"/>
                <w:szCs w:val="21"/>
                <w:highlight w:val="none"/>
              </w:rPr>
              <w:t xml:space="preserve">仪器内胆:不锈钢材质；</w:t>
            </w:r>
            <w:r>
              <w:rPr>
                <w:highlight w:val="none"/>
              </w:rPr>
            </w:r>
            <w:r/>
          </w:p>
          <w:p>
            <w:pPr>
              <w:spacing w:line="360" w:lineRule="auto"/>
              <w:rPr>
                <w:rFonts w:ascii="宋体" w:hAnsi="宋体"/>
                <w:szCs w:val="21"/>
                <w:highlight w:val="none"/>
              </w:rPr>
            </w:pPr>
            <w:r>
              <w:rPr>
                <w:rFonts w:hint="eastAsia" w:ascii="宋体" w:hAnsi="宋体"/>
                <w:szCs w:val="21"/>
                <w:highlight w:val="none"/>
              </w:rPr>
              <w:t xml:space="preserve">6</w:t>
            </w:r>
            <w:r>
              <w:rPr>
                <w:rFonts w:ascii="宋体" w:hAnsi="宋体"/>
                <w:szCs w:val="21"/>
                <w:highlight w:val="none"/>
              </w:rPr>
              <w:t xml:space="preserve">.</w:t>
            </w:r>
            <w:r>
              <w:rPr>
                <w:rFonts w:hint="eastAsia" w:ascii="宋体" w:hAnsi="宋体" w:cs="宋体"/>
                <w:szCs w:val="21"/>
                <w:highlight w:val="none"/>
              </w:rPr>
              <w:t xml:space="preserve">控制方式：全数控面板，</w:t>
            </w:r>
            <w:r>
              <w:rPr>
                <w:rFonts w:hint="eastAsia" w:ascii="宋体" w:hAnsi="宋体"/>
                <w:szCs w:val="21"/>
                <w:highlight w:val="none"/>
              </w:rPr>
              <w:t xml:space="preserve">可调温,可定时,</w:t>
            </w:r>
            <w:r>
              <w:rPr>
                <w:rFonts w:hint="eastAsia" w:ascii="宋体" w:hAnsi="宋体" w:cs="宋体"/>
                <w:szCs w:val="21"/>
                <w:highlight w:val="none"/>
              </w:rPr>
              <w:t xml:space="preserve">温度/时间独立数显调节；</w:t>
            </w:r>
            <w:r>
              <w:rPr>
                <w:highlight w:val="none"/>
              </w:rPr>
            </w:r>
            <w:r/>
          </w:p>
          <w:p>
            <w:pPr>
              <w:spacing w:line="360" w:lineRule="auto"/>
              <w:rPr>
                <w:rFonts w:ascii="宋体" w:hAnsi="宋体"/>
                <w:szCs w:val="21"/>
                <w:highlight w:val="none"/>
              </w:rPr>
            </w:pPr>
            <w:r>
              <w:rPr>
                <w:rFonts w:ascii="宋体" w:hAnsi="宋体"/>
                <w:szCs w:val="21"/>
                <w:highlight w:val="none"/>
              </w:rPr>
              <w:t xml:space="preserve">7.</w:t>
            </w:r>
            <w:r>
              <w:rPr>
                <w:rFonts w:hint="eastAsia" w:ascii="宋体" w:hAnsi="宋体"/>
                <w:szCs w:val="21"/>
                <w:highlight w:val="none"/>
              </w:rPr>
              <w:t xml:space="preserve">随</w:t>
            </w:r>
            <w:r>
              <w:rPr>
                <w:rFonts w:ascii="宋体" w:hAnsi="宋体"/>
                <w:szCs w:val="21"/>
                <w:highlight w:val="none"/>
              </w:rPr>
              <w:t xml:space="preserve">仪器配</w:t>
            </w:r>
            <w:r>
              <w:rPr>
                <w:rFonts w:hint="eastAsia" w:ascii="宋体" w:hAnsi="宋体"/>
                <w:szCs w:val="21"/>
                <w:highlight w:val="none"/>
              </w:rPr>
              <w:t xml:space="preserve">2套制</w:t>
            </w:r>
            <w:r>
              <w:rPr>
                <w:rFonts w:ascii="宋体" w:hAnsi="宋体"/>
                <w:szCs w:val="21"/>
                <w:highlight w:val="none"/>
              </w:rPr>
              <w:t xml:space="preserve">冷</w:t>
            </w:r>
            <w:r>
              <w:rPr>
                <w:rFonts w:hint="eastAsia" w:ascii="宋体" w:hAnsi="宋体"/>
                <w:szCs w:val="21"/>
                <w:highlight w:val="none"/>
              </w:rPr>
              <w:t xml:space="preserve">、</w:t>
            </w:r>
            <w:r>
              <w:rPr>
                <w:rFonts w:ascii="宋体" w:hAnsi="宋体"/>
                <w:szCs w:val="21"/>
                <w:highlight w:val="none"/>
              </w:rPr>
              <w:t xml:space="preserve">制热保险丝。</w:t>
            </w:r>
            <w:r>
              <w:rPr>
                <w:highlight w:val="none"/>
              </w:rPr>
            </w:r>
            <w:r/>
          </w:p>
          <w:p>
            <w:pPr>
              <w:spacing w:line="360" w:lineRule="auto"/>
              <w:rPr>
                <w:rFonts w:ascii="宋体" w:hAnsi="宋体"/>
                <w:b/>
                <w:sz w:val="24"/>
                <w:szCs w:val="24"/>
                <w:highlight w:val="none"/>
              </w:rPr>
            </w:pPr>
            <w:r>
              <w:rPr>
                <w:rFonts w:hint="eastAsia" w:ascii="宋体" w:hAnsi="宋体"/>
                <w:b/>
                <w:sz w:val="24"/>
                <w:szCs w:val="24"/>
                <w:highlight w:val="none"/>
              </w:rPr>
              <w:t xml:space="preserve">六</w:t>
            </w:r>
            <w:r>
              <w:rPr>
                <w:rFonts w:ascii="宋体" w:hAnsi="宋体"/>
                <w:b/>
                <w:sz w:val="24"/>
                <w:szCs w:val="24"/>
                <w:highlight w:val="none"/>
              </w:rPr>
              <w:t xml:space="preserve">.工控机</w:t>
            </w:r>
            <w:r>
              <w:rPr>
                <w:highlight w:val="none"/>
              </w:rPr>
            </w:r>
            <w:r/>
          </w:p>
          <w:p>
            <w:pPr>
              <w:spacing w:line="360" w:lineRule="auto"/>
              <w:rPr>
                <w:rFonts w:ascii="宋体" w:hAnsi="宋体"/>
                <w:b w:val="0"/>
                <w:bCs/>
                <w:i w:val="0"/>
                <w:iCs w:val="0"/>
                <w:szCs w:val="21"/>
                <w:highlight w:val="none"/>
                <w:u w:val="none"/>
              </w:rPr>
            </w:pPr>
            <w:r>
              <w:rPr>
                <w:rFonts w:ascii="宋体" w:hAnsi="宋体"/>
                <w:b w:val="0"/>
                <w:bCs/>
                <w:i w:val="0"/>
                <w:iCs w:val="0"/>
                <w:szCs w:val="21"/>
                <w:highlight w:val="none"/>
                <w:u w:val="none"/>
              </w:rPr>
              <w:t xml:space="preserve">配置不低于：I7或同等级处理器，不小于16G内存，512G 硬盘，配套15.6英寸以上的</w:t>
            </w:r>
            <w:r>
              <w:rPr>
                <w:rFonts w:hint="eastAsia" w:ascii="宋体" w:hAnsi="宋体"/>
                <w:b w:val="0"/>
                <w:bCs/>
                <w:i w:val="0"/>
                <w:iCs w:val="0"/>
                <w:szCs w:val="21"/>
                <w:highlight w:val="none"/>
                <w:u w:val="none"/>
              </w:rPr>
              <w:t xml:space="preserve">显示设备</w:t>
            </w:r>
            <w:r>
              <w:rPr>
                <w:rFonts w:ascii="宋体" w:hAnsi="宋体"/>
                <w:b w:val="0"/>
                <w:bCs/>
                <w:i w:val="0"/>
                <w:iCs w:val="0"/>
                <w:szCs w:val="21"/>
                <w:highlight w:val="none"/>
                <w:u w:val="none"/>
              </w:rPr>
              <w:t xml:space="preserve">，正版</w:t>
            </w:r>
            <w:r>
              <w:rPr>
                <w:rFonts w:hint="eastAsia" w:ascii="宋体" w:hAnsi="宋体"/>
                <w:b w:val="0"/>
                <w:bCs/>
                <w:i w:val="0"/>
                <w:iCs w:val="0"/>
                <w:szCs w:val="21"/>
                <w:highlight w:val="none"/>
                <w:u w:val="none"/>
              </w:rPr>
              <w:t xml:space="preserve">软件。</w:t>
            </w:r>
            <w:r>
              <w:rPr>
                <w:highlight w:val="none"/>
              </w:rPr>
            </w:r>
            <w:r/>
          </w:p>
          <w:p>
            <w:pPr>
              <w:spacing w:line="360" w:lineRule="auto"/>
              <w:rPr>
                <w:rFonts w:ascii="宋体" w:hAnsi="宋体"/>
                <w:b/>
                <w:bCs w:val="0"/>
                <w:i w:val="0"/>
                <w:iCs w:val="0"/>
                <w:sz w:val="24"/>
                <w:szCs w:val="24"/>
                <w:highlight w:val="none"/>
                <w:u w:val="none"/>
              </w:rPr>
            </w:pPr>
            <w:r>
              <w:rPr>
                <w:rFonts w:hint="eastAsia" w:ascii="宋体" w:hAnsi="宋体"/>
                <w:b/>
                <w:bCs w:val="0"/>
                <w:i w:val="0"/>
                <w:iCs w:val="0"/>
                <w:sz w:val="24"/>
                <w:szCs w:val="24"/>
                <w:highlight w:val="none"/>
                <w:u w:val="none"/>
              </w:rPr>
              <w:t xml:space="preserve">七．输出设备</w:t>
            </w:r>
            <w:r>
              <w:rPr>
                <w:highlight w:val="none"/>
              </w:rPr>
            </w:r>
            <w:r/>
          </w:p>
          <w:p>
            <w:pPr>
              <w:spacing w:line="360" w:lineRule="auto"/>
              <w:rPr>
                <w:rFonts w:ascii="宋体" w:hAnsi="宋体"/>
                <w:b w:val="0"/>
                <w:bCs/>
                <w:i w:val="0"/>
                <w:iCs w:val="0"/>
                <w:szCs w:val="21"/>
                <w:highlight w:val="none"/>
                <w:u w:val="none"/>
              </w:rPr>
            </w:pPr>
            <w:r>
              <w:rPr>
                <w:rFonts w:hint="eastAsia" w:ascii="宋体" w:hAnsi="宋体"/>
                <w:b w:val="0"/>
                <w:bCs/>
                <w:i w:val="0"/>
                <w:iCs w:val="0"/>
                <w:szCs w:val="21"/>
                <w:highlight w:val="none"/>
                <w:u w:val="none"/>
              </w:rPr>
              <w:t xml:space="preserve">A</w:t>
            </w:r>
            <w:r>
              <w:rPr>
                <w:rFonts w:ascii="宋体" w:hAnsi="宋体"/>
                <w:b w:val="0"/>
                <w:bCs/>
                <w:i w:val="0"/>
                <w:iCs w:val="0"/>
                <w:szCs w:val="21"/>
                <w:highlight w:val="none"/>
                <w:u w:val="none"/>
              </w:rPr>
              <w:t xml:space="preserve">4，</w:t>
            </w:r>
            <w:r>
              <w:rPr>
                <w:rFonts w:hint="eastAsia" w:ascii="宋体" w:hAnsi="宋体"/>
                <w:b w:val="0"/>
                <w:bCs/>
                <w:i w:val="0"/>
                <w:iCs w:val="0"/>
                <w:szCs w:val="21"/>
                <w:highlight w:val="none"/>
                <w:u w:val="none"/>
              </w:rPr>
              <w:t xml:space="preserve">不</w:t>
            </w:r>
            <w:r>
              <w:rPr>
                <w:rFonts w:ascii="宋体" w:hAnsi="宋体"/>
                <w:b w:val="0"/>
                <w:bCs/>
                <w:i w:val="0"/>
                <w:iCs w:val="0"/>
                <w:szCs w:val="21"/>
                <w:highlight w:val="none"/>
                <w:u w:val="none"/>
              </w:rPr>
              <w:t xml:space="preserve">低于</w:t>
            </w:r>
            <w:r>
              <w:rPr>
                <w:rFonts w:hint="eastAsia" w:ascii="宋体" w:hAnsi="宋体"/>
                <w:b w:val="0"/>
                <w:bCs/>
                <w:i w:val="0"/>
                <w:iCs w:val="0"/>
                <w:szCs w:val="21"/>
                <w:highlight w:val="none"/>
                <w:u w:val="none"/>
              </w:rPr>
              <w:t xml:space="preserve">1</w:t>
            </w:r>
            <w:r>
              <w:rPr>
                <w:rFonts w:ascii="宋体" w:hAnsi="宋体"/>
                <w:b w:val="0"/>
                <w:bCs/>
                <w:i w:val="0"/>
                <w:iCs w:val="0"/>
                <w:szCs w:val="21"/>
                <w:highlight w:val="none"/>
                <w:u w:val="none"/>
              </w:rPr>
              <w:t xml:space="preserve">8ppm，分辨率</w:t>
            </w:r>
            <w:r>
              <w:rPr>
                <w:rFonts w:hint="eastAsia" w:ascii="宋体" w:hAnsi="宋体"/>
                <w:b w:val="0"/>
                <w:bCs/>
                <w:i w:val="0"/>
                <w:iCs w:val="0"/>
                <w:szCs w:val="21"/>
                <w:highlight w:val="none"/>
                <w:u w:val="none"/>
              </w:rPr>
              <w:t xml:space="preserve">不低</w:t>
            </w:r>
            <w:r>
              <w:rPr>
                <w:rFonts w:ascii="宋体" w:hAnsi="宋体"/>
                <w:b w:val="0"/>
                <w:bCs/>
                <w:i w:val="0"/>
                <w:iCs w:val="0"/>
                <w:szCs w:val="21"/>
                <w:highlight w:val="none"/>
                <w:u w:val="none"/>
              </w:rPr>
              <w:t xml:space="preserve">于</w:t>
            </w:r>
            <w:r>
              <w:rPr>
                <w:rFonts w:hint="eastAsia" w:ascii="宋体" w:hAnsi="宋体"/>
                <w:b w:val="0"/>
                <w:bCs/>
                <w:i w:val="0"/>
                <w:iCs w:val="0"/>
                <w:szCs w:val="21"/>
                <w:highlight w:val="none"/>
                <w:u w:val="none"/>
              </w:rPr>
              <w:t xml:space="preserve">6</w:t>
            </w:r>
            <w:r>
              <w:rPr>
                <w:rFonts w:ascii="宋体" w:hAnsi="宋体"/>
                <w:b w:val="0"/>
                <w:bCs/>
                <w:i w:val="0"/>
                <w:iCs w:val="0"/>
                <w:szCs w:val="21"/>
                <w:highlight w:val="none"/>
                <w:u w:val="none"/>
              </w:rPr>
              <w:t xml:space="preserve">00DPI,支持自动双面</w:t>
            </w:r>
            <w:r>
              <w:rPr>
                <w:rFonts w:hint="eastAsia" w:ascii="宋体" w:hAnsi="宋体"/>
                <w:b w:val="0"/>
                <w:bCs/>
                <w:i w:val="0"/>
                <w:iCs w:val="0"/>
                <w:szCs w:val="21"/>
                <w:highlight w:val="none"/>
                <w:u w:val="none"/>
              </w:rPr>
              <w:t xml:space="preserve">输出。</w:t>
            </w:r>
            <w:r>
              <w:rPr>
                <w:highlight w:val="none"/>
              </w:rPr>
            </w:r>
            <w:r/>
          </w:p>
          <w:p>
            <w:pPr>
              <w:spacing w:line="360" w:lineRule="auto"/>
              <w:rPr>
                <w:rFonts w:ascii="宋体" w:hAnsi="宋体" w:cs="宋体"/>
                <w:b/>
                <w:bCs/>
                <w:szCs w:val="24"/>
                <w:highlight w:val="none"/>
              </w:rPr>
            </w:pPr>
            <w:r>
              <w:rPr>
                <w:rFonts w:hint="eastAsia" w:ascii="宋体" w:hAnsi="宋体" w:cs="宋体"/>
                <w:b/>
                <w:bCs/>
                <w:szCs w:val="24"/>
                <w:highlight w:val="none"/>
              </w:rPr>
              <w:t xml:space="preserve">八．</w:t>
            </w:r>
            <w:r>
              <w:rPr>
                <w:rFonts w:ascii="宋体" w:hAnsi="宋体" w:cs="宋体"/>
                <w:b/>
                <w:bCs/>
                <w:szCs w:val="24"/>
                <w:highlight w:val="none"/>
                <w:lang w:eastAsia="zh-Hans"/>
              </w:rPr>
              <w:t xml:space="preserve"> </w:t>
            </w:r>
            <w:r>
              <w:rPr>
                <w:rFonts w:hint="eastAsia" w:ascii="宋体" w:hAnsi="宋体" w:cs="宋体"/>
                <w:b/>
                <w:bCs/>
                <w:szCs w:val="24"/>
                <w:highlight w:val="none"/>
              </w:rPr>
              <w:t xml:space="preserve">配置清单：</w:t>
            </w:r>
            <w:r>
              <w:rPr>
                <w:highlight w:val="none"/>
              </w:rPr>
            </w:r>
            <w:r/>
          </w:p>
          <w:p>
            <w:pPr>
              <w:spacing w:line="360" w:lineRule="auto"/>
              <w:rPr>
                <w:rFonts w:ascii="宋体" w:hAnsi="宋体" w:cs="宋体"/>
                <w:szCs w:val="24"/>
                <w:highlight w:val="none"/>
              </w:rPr>
            </w:pPr>
            <w:r>
              <w:rPr>
                <w:rFonts w:hint="eastAsia" w:ascii="宋体" w:hAnsi="宋体" w:cs="宋体"/>
                <w:szCs w:val="24"/>
                <w:highlight w:val="none"/>
              </w:rPr>
              <w:t xml:space="preserve">1</w:t>
            </w:r>
            <w:r>
              <w:rPr>
                <w:rFonts w:ascii="宋体" w:hAnsi="宋体" w:cs="宋体"/>
                <w:szCs w:val="24"/>
                <w:highlight w:val="none"/>
              </w:rPr>
              <w:t xml:space="preserve">.</w:t>
            </w:r>
            <w:r>
              <w:rPr>
                <w:rFonts w:hint="eastAsia" w:ascii="宋体" w:hAnsi="宋体" w:cs="宋体"/>
                <w:szCs w:val="24"/>
                <w:highlight w:val="none"/>
              </w:rPr>
              <w:t xml:space="preserve">凯氏定氮仪主机           1台</w:t>
            </w:r>
            <w:r>
              <w:rPr>
                <w:highlight w:val="none"/>
              </w:rPr>
            </w:r>
            <w:r/>
          </w:p>
          <w:p>
            <w:pPr>
              <w:spacing w:line="360" w:lineRule="auto"/>
              <w:rPr>
                <w:rFonts w:ascii="宋体" w:hAnsi="宋体" w:cs="宋体"/>
                <w:szCs w:val="24"/>
                <w:highlight w:val="none"/>
              </w:rPr>
            </w:pPr>
            <w:r>
              <w:rPr>
                <w:rFonts w:hint="eastAsia" w:ascii="宋体" w:hAnsi="宋体" w:cs="宋体"/>
                <w:szCs w:val="24"/>
                <w:highlight w:val="none"/>
                <w:lang w:eastAsia="zh-Hans"/>
              </w:rPr>
              <w:t xml:space="preserve">2</w:t>
            </w:r>
            <w:r>
              <w:rPr>
                <w:rFonts w:ascii="宋体" w:hAnsi="宋体" w:cs="宋体"/>
                <w:szCs w:val="24"/>
                <w:highlight w:val="none"/>
                <w:lang w:eastAsia="zh-Hans"/>
              </w:rPr>
              <w:t xml:space="preserve">.</w:t>
            </w:r>
            <w:r>
              <w:rPr>
                <w:rFonts w:hint="eastAsia" w:ascii="宋体" w:hAnsi="宋体" w:cs="宋体"/>
                <w:szCs w:val="24"/>
                <w:highlight w:val="none"/>
                <w:lang w:eastAsia="zh-Hans"/>
              </w:rPr>
              <w:t xml:space="preserve">石墨消解仪</w:t>
            </w:r>
            <w:r>
              <w:rPr>
                <w:rFonts w:ascii="宋体" w:hAnsi="宋体" w:cs="宋体"/>
                <w:szCs w:val="24"/>
                <w:highlight w:val="none"/>
                <w:lang w:eastAsia="zh-Hans"/>
              </w:rPr>
              <w:t xml:space="preserve">               1</w:t>
            </w:r>
            <w:r>
              <w:rPr>
                <w:rFonts w:hint="eastAsia" w:ascii="宋体" w:hAnsi="宋体" w:cs="宋体"/>
                <w:szCs w:val="24"/>
                <w:highlight w:val="none"/>
                <w:lang w:eastAsia="zh-Hans"/>
              </w:rPr>
              <w:t xml:space="preserve">台</w:t>
            </w:r>
            <w:r>
              <w:rPr>
                <w:highlight w:val="none"/>
              </w:rPr>
            </w:r>
            <w:r/>
          </w:p>
          <w:p>
            <w:pPr>
              <w:spacing w:line="360" w:lineRule="auto"/>
              <w:rPr>
                <w:rFonts w:ascii="宋体" w:hAnsi="宋体" w:cs="宋体"/>
                <w:szCs w:val="21"/>
                <w:highlight w:val="none"/>
              </w:rPr>
            </w:pPr>
            <w:r>
              <w:rPr>
                <w:rFonts w:hint="eastAsia" w:ascii="宋体" w:hAnsi="宋体" w:cs="宋体"/>
                <w:szCs w:val="21"/>
                <w:highlight w:val="none"/>
                <w:lang w:eastAsia="zh-Hans"/>
              </w:rPr>
              <w:t xml:space="preserve">3</w:t>
            </w:r>
            <w:r>
              <w:rPr>
                <w:rFonts w:ascii="宋体" w:hAnsi="宋体" w:cs="宋体"/>
                <w:szCs w:val="21"/>
                <w:highlight w:val="none"/>
                <w:lang w:eastAsia="zh-Hans"/>
              </w:rPr>
              <w:t xml:space="preserve">.</w:t>
            </w:r>
            <w:r>
              <w:rPr>
                <w:rFonts w:hint="eastAsia" w:ascii="宋体" w:hAnsi="宋体" w:cs="宋体"/>
                <w:szCs w:val="21"/>
                <w:highlight w:val="none"/>
                <w:lang w:eastAsia="zh-Hans"/>
              </w:rPr>
              <w:t xml:space="preserve">排废系统</w:t>
            </w:r>
            <w:r>
              <w:rPr>
                <w:rFonts w:ascii="宋体" w:hAnsi="宋体" w:cs="宋体"/>
                <w:szCs w:val="21"/>
                <w:highlight w:val="none"/>
                <w:lang w:eastAsia="zh-Hans"/>
              </w:rPr>
              <w:t xml:space="preserve">                 1</w:t>
            </w:r>
            <w:r>
              <w:rPr>
                <w:rFonts w:hint="eastAsia" w:ascii="宋体" w:hAnsi="宋体" w:cs="宋体"/>
                <w:szCs w:val="21"/>
                <w:highlight w:val="none"/>
                <w:lang w:eastAsia="zh-Hans"/>
              </w:rPr>
              <w:t xml:space="preserve">台</w:t>
            </w:r>
            <w:r>
              <w:rPr>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4</w:t>
            </w:r>
            <w:r>
              <w:rPr>
                <w:rFonts w:ascii="宋体" w:hAnsi="宋体" w:cs="宋体"/>
                <w:szCs w:val="21"/>
                <w:highlight w:val="none"/>
              </w:rPr>
              <w:t xml:space="preserve">.</w:t>
            </w:r>
            <w:r>
              <w:rPr>
                <w:rFonts w:hint="eastAsia" w:ascii="宋体" w:hAnsi="宋体" w:cs="宋体"/>
                <w:szCs w:val="21"/>
                <w:highlight w:val="none"/>
              </w:rPr>
              <w:t xml:space="preserve">消化管（300ml）          60支</w:t>
            </w:r>
            <w:r>
              <w:rPr>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5</w:t>
            </w:r>
            <w:r>
              <w:rPr>
                <w:rFonts w:ascii="宋体" w:hAnsi="宋体" w:cs="宋体"/>
                <w:szCs w:val="21"/>
                <w:highlight w:val="none"/>
              </w:rPr>
              <w:t xml:space="preserve">.</w:t>
            </w:r>
            <w:r>
              <w:rPr>
                <w:rFonts w:hint="eastAsia" w:ascii="宋体" w:hAnsi="宋体" w:cs="宋体"/>
                <w:szCs w:val="21"/>
                <w:highlight w:val="none"/>
              </w:rPr>
              <w:t xml:space="preserve">消化管架 （10孔)         4个</w:t>
            </w:r>
            <w:r>
              <w:rPr>
                <w:highlight w:val="none"/>
              </w:rPr>
            </w:r>
            <w:r/>
          </w:p>
          <w:p>
            <w:pPr>
              <w:spacing w:line="360" w:lineRule="auto"/>
              <w:rPr>
                <w:rFonts w:ascii="宋体" w:hAnsi="宋体" w:cs="宋体"/>
                <w:sz w:val="24"/>
                <w:szCs w:val="24"/>
                <w:highlight w:val="none"/>
              </w:rPr>
            </w:pPr>
            <w:r>
              <w:rPr>
                <w:rFonts w:hint="eastAsia" w:ascii="宋体" w:hAnsi="宋体" w:cs="宋体"/>
                <w:szCs w:val="21"/>
                <w:highlight w:val="none"/>
              </w:rPr>
              <w:t xml:space="preserve">6</w:t>
            </w:r>
            <w:r>
              <w:rPr>
                <w:rFonts w:ascii="宋体" w:hAnsi="宋体" w:cs="宋体"/>
                <w:szCs w:val="21"/>
                <w:highlight w:val="none"/>
              </w:rPr>
              <w:t xml:space="preserve">.</w:t>
            </w:r>
            <w:r>
              <w:rPr>
                <w:rFonts w:hint="eastAsia" w:ascii="宋体" w:hAnsi="宋体" w:cs="宋体"/>
                <w:szCs w:val="21"/>
                <w:highlight w:val="none"/>
              </w:rPr>
              <w:t xml:space="preserve">消化管架（20孔）         4个</w:t>
            </w:r>
            <w:r>
              <w:rPr>
                <w:highlight w:val="none"/>
              </w:rPr>
            </w:r>
            <w:r/>
          </w:p>
        </w:tc>
      </w:tr>
    </w:tbl>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注：1、相关截图、检测内容与采购需求不完全一致的，经评审委员会一致认定实质性符合的，视为满足采购需求。</w:t>
      </w:r>
      <w:r>
        <w:rPr>
          <w:highlight w:val="none"/>
        </w:rPr>
      </w:r>
      <w:r/>
    </w:p>
    <w:p>
      <w:pPr>
        <w:ind w:firstLine="1024"/>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highlight w:val="none"/>
        </w:rPr>
        <w:t xml:space="preserve">2、“</w:t>
      </w:r>
      <w:r>
        <w:rPr>
          <w:rFonts w:hint="eastAsia" w:ascii="宋体" w:hAnsi="宋体" w:cs="宋体"/>
          <w:sz w:val="24"/>
          <w:highlight w:val="none"/>
        </w:rPr>
        <w:t xml:space="preserve">▲</w:t>
      </w:r>
      <w:r>
        <w:rPr>
          <w:rFonts w:hint="eastAsia" w:ascii="宋体" w:hAnsi="宋体" w:cs="宋体"/>
          <w:color w:val="000000"/>
          <w:sz w:val="24"/>
          <w:highlight w:val="none"/>
        </w:rPr>
        <w:t xml:space="preserve">”为</w:t>
      </w:r>
      <w:r>
        <w:rPr>
          <w:rFonts w:hint="eastAsia" w:ascii="宋体" w:hAnsi="宋体" w:cs="宋体"/>
          <w:color w:val="000000"/>
          <w:sz w:val="24"/>
          <w:szCs w:val="24"/>
          <w:highlight w:val="none"/>
        </w:rPr>
        <w:t xml:space="preserve">重要指标项，</w:t>
      </w:r>
      <w:r>
        <w:rPr>
          <w:rFonts w:hint="eastAsia" w:ascii="宋体" w:hAnsi="宋体" w:cs="宋体"/>
          <w:color w:val="000000"/>
          <w:sz w:val="24"/>
          <w:highlight w:val="none"/>
        </w:rPr>
        <w:t xml:space="preserve">不作为强制废标条款，但作为重要评分依据。</w:t>
      </w:r>
      <w:r>
        <w:rPr>
          <w:highlight w:val="none"/>
        </w:rPr>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四、</w:t>
      </w:r>
      <w:r>
        <w:rPr>
          <w:rFonts w:ascii="Times New Roman" w:hAnsi="Times New Roman"/>
          <w:b/>
          <w:sz w:val="28"/>
          <w:szCs w:val="28"/>
          <w:highlight w:val="none"/>
        </w:rPr>
        <w:t xml:space="preserve">供货要求</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w:t>
      </w:r>
      <w:r>
        <w:rPr>
          <w:rFonts w:hint="eastAsia"/>
          <w:b/>
          <w:bCs/>
          <w:i/>
          <w:iCs/>
          <w:sz w:val="24"/>
          <w:szCs w:val="24"/>
          <w:highlight w:val="none"/>
          <w:u w:val="single"/>
        </w:rPr>
        <w:t xml:space="preserve">合同履行期限（</w:t>
      </w:r>
      <w:r>
        <w:rPr>
          <w:rFonts w:hint="eastAsia" w:ascii="Times New Roman"/>
          <w:b/>
          <w:bCs/>
          <w:i/>
          <w:iCs/>
          <w:sz w:val="24"/>
          <w:szCs w:val="24"/>
          <w:highlight w:val="none"/>
          <w:u w:val="single"/>
        </w:rPr>
        <w:t xml:space="preserve">交货期</w:t>
      </w:r>
      <w:r>
        <w:rPr>
          <w:rFonts w:hint="eastAsia"/>
          <w:b/>
          <w:bCs/>
          <w:i/>
          <w:iCs/>
          <w:sz w:val="24"/>
          <w:szCs w:val="24"/>
          <w:highlight w:val="none"/>
          <w:u w:val="single"/>
        </w:rPr>
        <w:t xml:space="preserve">）</w:t>
      </w:r>
      <w:r>
        <w:rPr>
          <w:rFonts w:hint="eastAsia" w:ascii="宋体" w:hAnsi="宋体"/>
          <w:b/>
          <w:bCs/>
          <w:i/>
          <w:iCs/>
          <w:sz w:val="24"/>
          <w:szCs w:val="24"/>
          <w:highlight w:val="none"/>
          <w:u w:val="single"/>
        </w:rPr>
        <w:t xml:space="preserve">：合同签订后60天内完成安装调试，达到预期效果</w:t>
      </w:r>
      <w:r>
        <w:rPr>
          <w:rFonts w:hint="eastAsia" w:ascii="宋体" w:hAnsi="宋体"/>
          <w:sz w:val="24"/>
          <w:szCs w:val="24"/>
          <w:highlight w:val="none"/>
        </w:rPr>
        <w:t xml:space="preserve">。</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2、交货方式：</w:t>
      </w:r>
      <w:r>
        <w:rPr>
          <w:rFonts w:hint="eastAsia" w:ascii="宋体" w:hAnsi="宋体"/>
          <w:color w:val="000000"/>
          <w:sz w:val="24"/>
          <w:highlight w:val="none"/>
        </w:rPr>
        <w:t xml:space="preserve">现场验收</w:t>
      </w:r>
      <w:r>
        <w:rPr>
          <w:rFonts w:hint="eastAsia" w:ascii="宋体" w:hAnsi="宋体"/>
          <w:sz w:val="24"/>
          <w:szCs w:val="24"/>
          <w:highlight w:val="none"/>
        </w:rPr>
        <w:t xml:space="preserve">。</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3、交货地点：</w:t>
      </w:r>
      <w:r>
        <w:rPr>
          <w:rFonts w:ascii="宋体" w:hAnsi="宋体"/>
          <w:sz w:val="24"/>
          <w:highlight w:val="none"/>
        </w:rPr>
        <w:t xml:space="preserve">采购人指定地点</w:t>
      </w:r>
      <w:r>
        <w:rPr>
          <w:rFonts w:hint="eastAsia" w:ascii="宋体" w:hAnsi="宋体"/>
          <w:sz w:val="24"/>
          <w:szCs w:val="24"/>
          <w:highlight w:val="none"/>
        </w:rPr>
        <w:t xml:space="preserve">。</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4、提供的货物（含配件）应是全新的、未使用过的合格正品，并保证所提供货物的开箱合格率为100%，外观和内在质量都不得有任何问题。提供的产品应根据国家标准和规范进行设计和制造，并遵循招标文件的要求，其产品的质量性能、技术指标和使用功能满足采购要求。</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5、货物经过按时、正确安装、合理操作和维护保养，在设备寿命期内运转良好。在规定的质保期内，应对由于设计、工艺或材料的缺陷或故障负责。货物运抵现场后应完好无损，如有缺漏、损坏，由中标人负责调换、补齐或赔偿。</w:t>
      </w:r>
      <w:r>
        <w:rPr>
          <w:highlight w:val="none"/>
        </w:rPr>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五</w:t>
      </w:r>
      <w:r>
        <w:rPr>
          <w:rFonts w:ascii="Times New Roman" w:hAnsi="Times New Roman"/>
          <w:b/>
          <w:sz w:val="28"/>
          <w:szCs w:val="28"/>
          <w:highlight w:val="none"/>
        </w:rPr>
        <w:t xml:space="preserve">、安装调试要求</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1、能够保证设备按时正确地安装、调试和验收，并能满足正常运行和维修保养的需要。在未验收前，货物保管、安全均由供应商负责，货物送到采购人指定地点，并负责办理运输和装卸，费用由供应商负责。</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2、提供完整的设备的同时，还必须为所有设备提供规范、达标的安装工作。安装所需的必要仪器和专用工具由供应商自备。</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3、项目进度计划</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（1）合同签订后60天内完成安装调试，达到预期效果。</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（2）设备运行稳定、无质量问题进行验收。</w:t>
      </w:r>
      <w:r>
        <w:rPr>
          <w:highlight w:val="none"/>
        </w:rPr>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六、人员配备要求</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1、本项目拟派项目组成员应至少具有项目负责人与培训师，其他项目组成员由供应商自行配备，满足本项目需求。</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2、货物到达现场后，应派有经验的安装人员到现场进行货物的安装以及处理货物质量和数量短缺等问题，并对质量全面负责。</w:t>
      </w:r>
      <w:r>
        <w:rPr>
          <w:highlight w:val="none"/>
        </w:rPr>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七、履约验收要求</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1、验收组织：成立由采购人、中标人组成的验收小组，负责对货物进行各项验收。</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2、验收通用要求：</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（1）验收前，中标人应提前5天通知采购人。中标人与采购人在验收过程中应密切合作。</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（2）采购人有权拒绝接收有缺陷的产品或要求进行更换，由此引起的费用应由中标人负责。经更换后的产品应重新进行验收。</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（3）所有验收结果和结论，都应详细记录并由中标人的当事人签字。验收报告一式四份，其中两份交采购人，两份交中标人。</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3、验收依据：招标文件、投标文件、合同及相关的国家标准、行业标准、规范等。</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4、到货开箱验收：验收内容主要包括依据招标文件、投标文件要求对全部硬件和软件的名称、版本、数量、外形、包装及资料、文件等进行验收。</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5、合同项目完成验收：所有货物试运行期满且符合合同要求，经中标人书面申请，采购人批准后进行项目终验，即合同项目完成验收，确保中标人承担的项目已符合有关标准，文档齐备、需修改项目已完成。在验收过程中，如发现质量、数量、种类、性能或功能不符合合同要求或存在剩余工作，中标人应按采购人规定的时间完成全部工作。</w:t>
      </w:r>
      <w:r>
        <w:rPr>
          <w:highlight w:val="none"/>
        </w:rPr>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八、培训要求</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1、培训对象与内容</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应对采购人的技术人员和管理人员进行现场培训。培训内容应包括所提供货物的原理和技术性能、操作方法、安装调测、排除故障及升级等方面。</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2、培训目标</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通过培训，使受培训人员能熟练、独立掌握设备的各种情况使用、故障诊断，使之能适应设备正常运行的需求。</w:t>
      </w:r>
      <w:r>
        <w:rPr>
          <w:highlight w:val="none"/>
        </w:rPr>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九、售后服务要求</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1、液相色谱仪：</w:t>
      </w:r>
      <w:r>
        <w:rPr>
          <w:highlight w:val="none"/>
        </w:rPr>
      </w:r>
      <w:r/>
    </w:p>
    <w:p>
      <w:pPr>
        <w:ind w:firstLine="480"/>
        <w:jc w:val="left"/>
        <w:spacing w:line="360" w:lineRule="auto"/>
        <w:rPr>
          <w:rFonts w:ascii="宋体" w:hAnsi="宋体"/>
          <w:b/>
          <w:bCs/>
          <w:i/>
          <w:iCs/>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w:t>
      </w:r>
      <w:r>
        <w:rPr>
          <w:rFonts w:hint="eastAsia" w:ascii="宋体" w:hAnsi="宋体"/>
          <w:b/>
          <w:bCs/>
          <w:i/>
          <w:iCs/>
          <w:sz w:val="24"/>
          <w:szCs w:val="24"/>
          <w:highlight w:val="none"/>
          <w:u w:val="single"/>
        </w:rPr>
        <w:t xml:space="preserve">液相色谱仪整套设备保修≥24个月，保修期外优惠收取零配件费用与上门维修服务费用（投标时提供承诺书，合同签订后7个工作日提供制造商加盖公章的质保承诺或协议，无法提供的，采购人有权单方面解除合同、扣除履约保证金、成交供应商清退出场，同时报政府采购监督管理部门）。</w:t>
      </w:r>
      <w:r>
        <w:rPr>
          <w:highlight w:val="none"/>
        </w:rPr>
      </w:r>
      <w:r/>
    </w:p>
    <w:p>
      <w:pPr>
        <w:ind w:firstLine="240"/>
        <w:spacing w:line="360" w:lineRule="auto"/>
        <w:rPr>
          <w:rFonts w:ascii="宋体" w:hAnsi="宋体" w:cs="宋体"/>
          <w:b/>
          <w:bCs/>
          <w:color w:val="000000"/>
          <w:sz w:val="24"/>
          <w:szCs w:val="24"/>
          <w:highlight w:val="none"/>
        </w:rPr>
      </w:pPr>
      <w:r>
        <w:rPr>
          <w:rFonts w:hint="eastAsia" w:ascii="宋体" w:hAnsi="宋体" w:cs="宋体"/>
          <w:bCs/>
          <w:color w:val="000000"/>
          <w:sz w:val="24"/>
          <w:szCs w:val="24"/>
          <w:highlight w:val="none"/>
          <w:lang w:bidi="ar"/>
        </w:rPr>
        <w:t xml:space="preserve">（2）</w:t>
      </w:r>
      <w:r>
        <w:rPr>
          <w:rFonts w:hint="eastAsia" w:ascii="宋体" w:hAnsi="宋体"/>
          <w:sz w:val="24"/>
          <w:szCs w:val="24"/>
          <w:highlight w:val="none"/>
        </w:rPr>
        <w:t xml:space="preserve">质保期内每年提供一次原厂技术维护</w:t>
      </w:r>
      <w:r>
        <w:rPr>
          <w:rFonts w:hint="eastAsia" w:ascii="宋体" w:hAnsi="宋体"/>
          <w:b/>
          <w:bCs/>
          <w:sz w:val="24"/>
          <w:szCs w:val="24"/>
          <w:highlight w:val="none"/>
        </w:rPr>
        <w:t xml:space="preserve">（供应商投标时提供承诺书加盖公章，成交后提供由制造商加盖公章的维护承诺或协议）。</w:t>
      </w:r>
      <w:r>
        <w:rPr>
          <w:highlight w:val="none"/>
        </w:rPr>
      </w:r>
      <w:r/>
    </w:p>
    <w:p>
      <w:pPr>
        <w:ind w:firstLine="24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lang w:bidi="ar"/>
        </w:rPr>
        <w:t xml:space="preserve">（3）仪器出现故障后，一般问题维修响应时间不超过24小时，重大问题不超过48小时。</w:t>
      </w:r>
      <w:r>
        <w:rPr>
          <w:highlight w:val="none"/>
        </w:rPr>
      </w:r>
      <w:r/>
    </w:p>
    <w:p>
      <w:pPr>
        <w:ind w:firstLine="240"/>
        <w:jc w:val="left"/>
        <w:spacing w:line="360" w:lineRule="auto"/>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bCs/>
          <w:color w:val="000000"/>
          <w:sz w:val="24"/>
          <w:szCs w:val="24"/>
          <w:highlight w:val="none"/>
          <w:lang w:bidi="ar"/>
        </w:rPr>
        <w:t xml:space="preserve">（4）</w:t>
      </w:r>
      <w:r>
        <w:rPr>
          <w:rFonts w:hint="eastAsia" w:ascii="宋体" w:hAnsi="宋体" w:cs="宋体"/>
          <w:color w:val="000000"/>
          <w:sz w:val="24"/>
          <w:szCs w:val="24"/>
          <w:highlight w:val="none"/>
        </w:rPr>
        <w:t xml:space="preserve">零配件应保证设备寿命周期内均能供应（不少于10年），更换维修时提供主要零配件的优惠价，接到维修通知后保证2小时内响应，专职的技术服务人员2天内到场维修，国内零配件供应时间不超过2天到达采购人现场、国外不超过2周到达采购人现场；</w:t>
      </w:r>
      <w:r>
        <w:rPr>
          <w:highlight w:val="none"/>
        </w:rPr>
      </w:r>
      <w:r/>
    </w:p>
    <w:p>
      <w:pPr>
        <w:ind w:firstLine="24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lang w:bidi="ar"/>
        </w:rPr>
        <w:t xml:space="preserve">（5）提供中文操作、培训教材、保养、维修手册。</w:t>
      </w:r>
      <w:r>
        <w:rPr>
          <w:highlight w:val="none"/>
        </w:rPr>
      </w:r>
      <w:r/>
    </w:p>
    <w:p>
      <w:pPr>
        <w:ind w:firstLine="240"/>
        <w:jc w:val="left"/>
        <w:spacing w:line="360" w:lineRule="auto"/>
        <w:rPr>
          <w:rFonts w:ascii="宋体" w:hAnsi="宋体" w:cs="宋体"/>
          <w:bCs/>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bCs/>
          <w:color w:val="000000"/>
          <w:sz w:val="24"/>
          <w:szCs w:val="24"/>
          <w:highlight w:val="none"/>
          <w:lang w:bidi="ar"/>
        </w:rPr>
        <w:t xml:space="preserve">（6）</w:t>
      </w:r>
      <w:r>
        <w:rPr>
          <w:rFonts w:hint="eastAsia" w:ascii="宋体" w:hAnsi="宋体" w:cs="宋体"/>
          <w:color w:val="000000"/>
          <w:sz w:val="24"/>
          <w:szCs w:val="24"/>
          <w:highlight w:val="none"/>
        </w:rPr>
        <w:t xml:space="preserve">提供软件操作现场培训和应用培训（此费用包含在投标费用中，采购人不另行付费），协助用户建立相关检测方法。提供4个赴设备制造商的专业培训名额（此费用包含在投标费用中，采购人不另行付费），培训合格颁发相应证书，内容包括仪器的基本原理、操作应用及仪器的维护保养知识，直到用户能正常使用和维护仪器。</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2、实验室洗瓶机:</w:t>
      </w:r>
      <w:r>
        <w:rPr>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b/>
          <w:bCs/>
          <w:i/>
          <w:iCs/>
          <w:sz w:val="24"/>
          <w:szCs w:val="24"/>
          <w:highlight w:val="none"/>
          <w:u w:val="single"/>
        </w:rPr>
        <w:t xml:space="preserve">实验室洗瓶机提供≥36个月以上洗瓶机整机和配套纯水系统保修服务（采购人不另行付费），质保期内所有配置清洗篮架可根据实际使用情况调整更换1次（采购人不另行付费），终身维护</w:t>
      </w:r>
      <w:r>
        <w:rPr>
          <w:rFonts w:hint="eastAsia" w:ascii="宋体" w:hAnsi="宋体" w:cs="宋体"/>
          <w:b/>
          <w:bCs/>
          <w:i/>
          <w:iCs/>
          <w:sz w:val="24"/>
          <w:szCs w:val="24"/>
          <w:highlight w:val="none"/>
          <w:u w:val="single"/>
        </w:rPr>
        <w:t xml:space="preserve">。</w:t>
      </w:r>
      <w:r>
        <w:rPr>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（2）要求售后服务响应时间2小时内，48小时内上门维修。一般问题应在2天内解决，重大问题或其他无法迅速解决的问题应在一周内解决或提出明确解决方案。</w:t>
      </w:r>
      <w:r>
        <w:rPr>
          <w:highlight w:val="none"/>
        </w:rPr>
      </w:r>
      <w:r/>
    </w:p>
    <w:p>
      <w:pPr>
        <w:spacing w:line="360" w:lineRule="auto"/>
        <w:rPr>
          <w:rFonts w:ascii="宋体" w:hAnsi="宋体" w:cs="宋体"/>
          <w:b/>
          <w:bCs/>
          <w:sz w:val="24"/>
          <w:szCs w:val="24"/>
          <w:highlight w:val="none"/>
        </w:rPr>
      </w:pPr>
      <w:r>
        <w:rPr>
          <w:rFonts w:hint="eastAsia" w:ascii="宋体" w:hAnsi="宋体" w:cs="宋体"/>
          <w:sz w:val="24"/>
          <w:szCs w:val="24"/>
          <w:highlight w:val="none"/>
        </w:rPr>
        <w:t xml:space="preserve">（3）仪器制造商须具备长期提供售后服务的基本规模及能力,提供仪器厂家售后服务机构设置和售后服务专业人员配置等方面情况材料证明,包括服务网点地址、联系电话及售后维修工程师名单。</w:t>
      </w:r>
      <w:r>
        <w:rPr>
          <w:rFonts w:hint="eastAsia" w:ascii="宋体" w:hAnsi="宋体" w:cs="宋体"/>
          <w:b/>
          <w:bCs/>
          <w:sz w:val="24"/>
          <w:szCs w:val="24"/>
          <w:highlight w:val="none"/>
        </w:rPr>
        <w:t xml:space="preserve">（投标时提供承诺书，合同签订后7个工作日提供制造商加盖公章的承诺或协议，无法提供的，采购人有权单方面解除合同、扣除履约保证金、成交供应商清退出场，同时报政府采购</w:t>
      </w:r>
      <w:r>
        <w:rPr>
          <w:rFonts w:hint="eastAsia" w:ascii="宋体" w:hAnsi="宋体" w:cs="宋体"/>
          <w:b/>
          <w:bCs/>
          <w:sz w:val="24"/>
          <w:szCs w:val="24"/>
          <w:highlight w:val="none"/>
        </w:rPr>
        <w:t xml:space="preserve">监督管理部门）。</w:t>
      </w:r>
      <w:r>
        <w:rPr>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4）仪器安装调试直至达到验收指标。仪器验收结束后，由供方专业技术工程师在用户仪器现场，对用户人员提供仪器的基本原理、结构、基本操作及维护知识培训（采购人不另行付费），并指导用户进行仪器操作，直到用户方使用人员可独立进行操作为止。</w:t>
      </w:r>
      <w:r>
        <w:rPr>
          <w:highlight w:val="none"/>
        </w:rPr>
      </w:r>
      <w:r/>
    </w:p>
    <w:p>
      <w:pPr>
        <w:ind w:firstLine="480"/>
        <w:spacing w:line="360" w:lineRule="auto"/>
        <w:rPr>
          <w:rFonts w:ascii="宋体" w:hAnsi="宋体" w:cs="宋体"/>
          <w:b/>
          <w:bCs/>
          <w:sz w:val="24"/>
          <w:szCs w:val="24"/>
          <w:highlight w:val="none"/>
        </w:rPr>
      </w:pPr>
      <w:r>
        <w:rPr>
          <w:rFonts w:hint="eastAsia" w:ascii="宋体" w:hAnsi="宋体" w:cs="宋体"/>
          <w:sz w:val="24"/>
          <w:szCs w:val="24"/>
          <w:highlight w:val="none"/>
        </w:rPr>
        <w:t xml:space="preserve">3、 全自动凯氏定氮仪：提供不少于2年的原厂质保。质保期自仪器验收签字之日起计算，提供终身维修服务。</w:t>
      </w:r>
      <w:r>
        <w:rPr>
          <w:rFonts w:hint="eastAsia" w:ascii="宋体" w:hAnsi="宋体" w:cs="宋体"/>
          <w:b/>
          <w:bCs/>
          <w:sz w:val="24"/>
          <w:szCs w:val="24"/>
          <w:highlight w:val="none"/>
        </w:rPr>
        <w:t xml:space="preserve">（投标时提供承诺书，合同签订后7个工作日提供制造商加盖公章的质保承诺或协议，无法提供的，采购人有权单方面解除合同、扣除履约保证金、成交供应商清退出场，同时报政府采购监督管理部门）</w:t>
      </w:r>
      <w:r>
        <w:rPr>
          <w:highlight w:val="none"/>
        </w:rPr>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十、商品包装及快递包装要求</w:t>
      </w:r>
      <w:r>
        <w:rPr>
          <w:highlight w:val="none"/>
        </w:rPr>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、商品包装环保要求：应当按《关于印发〈商品包装政府采购需求标准（试行）〉、〈快递包装政府采购需求标准（试行）〉的通知》（财办库〔</w:t>
      </w:r>
      <w:r>
        <w:rPr>
          <w:rFonts w:ascii="Times New Roman" w:hAnsi="Times New Roman"/>
          <w:bCs/>
          <w:sz w:val="24"/>
          <w:szCs w:val="24"/>
          <w:highlight w:val="none"/>
        </w:rPr>
        <w:t xml:space="preserve">2020</w:t>
      </w: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123</w:t>
      </w:r>
      <w:r>
        <w:rPr>
          <w:rFonts w:hint="eastAsia" w:ascii="Times New Roman" w:hAnsi="Times New Roman"/>
          <w:bCs/>
          <w:sz w:val="24"/>
          <w:szCs w:val="24"/>
          <w:highlight w:val="none"/>
        </w:rPr>
        <w:t xml:space="preserve">号）文件执行。</w:t>
      </w:r>
      <w:r>
        <w:rPr>
          <w:highlight w:val="none"/>
        </w:rPr>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）商品包装层数不得超过</w:t>
      </w:r>
      <w:r>
        <w:rPr>
          <w:rFonts w:ascii="Times New Roman" w:hAnsi="Times New Roman"/>
          <w:bCs/>
          <w:sz w:val="24"/>
          <w:szCs w:val="24"/>
          <w:highlight w:val="none"/>
        </w:rPr>
        <w:t xml:space="preserve"> 3 </w:t>
      </w:r>
      <w:r>
        <w:rPr>
          <w:rFonts w:hint="eastAsia" w:ascii="Times New Roman" w:hAnsi="Times New Roman"/>
          <w:bCs/>
          <w:sz w:val="24"/>
          <w:szCs w:val="24"/>
          <w:highlight w:val="none"/>
        </w:rPr>
        <w:t xml:space="preserve">层，空隙率不大于</w:t>
      </w:r>
      <w:r>
        <w:rPr>
          <w:rFonts w:ascii="Times New Roman" w:hAnsi="Times New Roman"/>
          <w:bCs/>
          <w:sz w:val="24"/>
          <w:szCs w:val="24"/>
          <w:highlight w:val="none"/>
        </w:rPr>
        <w:t xml:space="preserve"> 40%</w:t>
      </w:r>
      <w:r>
        <w:rPr>
          <w:rFonts w:hint="eastAsia" w:ascii="Times New Roman" w:hAnsi="Times New Roman"/>
          <w:bCs/>
          <w:sz w:val="24"/>
          <w:szCs w:val="24"/>
          <w:highlight w:val="none"/>
        </w:rPr>
        <w:t xml:space="preserve">；</w:t>
      </w:r>
      <w:r>
        <w:rPr>
          <w:highlight w:val="none"/>
        </w:rPr>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）商品包装尽可能使用</w:t>
      </w:r>
      <w:r>
        <w:rPr>
          <w:rFonts w:hint="eastAsia" w:ascii="Times New Roman" w:hAnsi="Times New Roman"/>
          <w:bCs/>
          <w:sz w:val="24"/>
          <w:szCs w:val="24"/>
          <w:highlight w:val="none"/>
        </w:rPr>
        <w:t xml:space="preserve">单一材质的包装材料，如因功能需求必需使用不同材质，不同材质间应便于分离；</w:t>
      </w:r>
      <w:r>
        <w:rPr>
          <w:highlight w:val="none"/>
        </w:rPr>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）商品包装中铅、汞、镉、六价铬的总含量应不大于</w:t>
      </w:r>
      <w:r>
        <w:rPr>
          <w:rFonts w:ascii="Times New Roman" w:hAnsi="Times New Roman"/>
          <w:bCs/>
          <w:sz w:val="24"/>
          <w:szCs w:val="24"/>
          <w:highlight w:val="none"/>
        </w:rPr>
        <w:t xml:space="preserve">100mg/kg</w:t>
      </w:r>
      <w:r>
        <w:rPr>
          <w:rFonts w:hint="eastAsia" w:ascii="Times New Roman" w:hAnsi="Times New Roman"/>
          <w:bCs/>
          <w:sz w:val="24"/>
          <w:szCs w:val="24"/>
          <w:highlight w:val="none"/>
        </w:rPr>
        <w:t xml:space="preserve">；</w:t>
      </w:r>
      <w:r>
        <w:rPr>
          <w:highlight w:val="none"/>
        </w:rPr>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4</w:t>
      </w:r>
      <w:r>
        <w:rPr>
          <w:rFonts w:hint="eastAsia" w:ascii="Times New Roman" w:hAnsi="Times New Roman"/>
          <w:bCs/>
          <w:sz w:val="24"/>
          <w:szCs w:val="24"/>
          <w:highlight w:val="none"/>
        </w:rPr>
        <w:t xml:space="preserve">）商品包装印刷使用的油墨中挥发性有机化合物</w:t>
      </w:r>
      <w:r>
        <w:rPr>
          <w:rFonts w:ascii="Times New Roman" w:hAnsi="Times New Roman"/>
          <w:bCs/>
          <w:sz w:val="24"/>
          <w:szCs w:val="24"/>
          <w:highlight w:val="none"/>
        </w:rPr>
        <w:t xml:space="preserve">(VOCs)</w:t>
      </w:r>
      <w:r>
        <w:rPr>
          <w:rFonts w:hint="eastAsia" w:ascii="Times New Roman" w:hAnsi="Times New Roman"/>
          <w:bCs/>
          <w:sz w:val="24"/>
          <w:szCs w:val="24"/>
          <w:highlight w:val="none"/>
        </w:rPr>
        <w:t xml:space="preserve">含量应不大于</w:t>
      </w:r>
      <w:r>
        <w:rPr>
          <w:rFonts w:ascii="Times New Roman" w:hAnsi="Times New Roman"/>
          <w:bCs/>
          <w:sz w:val="24"/>
          <w:szCs w:val="24"/>
          <w:highlight w:val="none"/>
        </w:rPr>
        <w:t xml:space="preserve"> 5%</w:t>
      </w:r>
      <w:r>
        <w:rPr>
          <w:rFonts w:hint="eastAsia" w:ascii="Times New Roman" w:hAnsi="Times New Roman"/>
          <w:bCs/>
          <w:sz w:val="24"/>
          <w:szCs w:val="24"/>
          <w:highlight w:val="none"/>
        </w:rPr>
        <w:t xml:space="preserve">（以重量计）；</w:t>
      </w:r>
      <w:r>
        <w:rPr>
          <w:highlight w:val="none"/>
        </w:rPr>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）塑料材质商品包装上呈现的印刷颜色不得超过</w:t>
      </w:r>
      <w:r>
        <w:rPr>
          <w:rFonts w:ascii="Times New Roman" w:hAnsi="Times New Roman"/>
          <w:bCs/>
          <w:sz w:val="24"/>
          <w:szCs w:val="24"/>
          <w:highlight w:val="none"/>
        </w:rPr>
        <w:t xml:space="preserve"> 6 </w:t>
      </w:r>
      <w:r>
        <w:rPr>
          <w:rFonts w:hint="eastAsia" w:ascii="Times New Roman" w:hAnsi="Times New Roman"/>
          <w:bCs/>
          <w:sz w:val="24"/>
          <w:szCs w:val="24"/>
          <w:highlight w:val="none"/>
        </w:rPr>
        <w:t xml:space="preserve">色；</w:t>
      </w:r>
      <w:r>
        <w:rPr>
          <w:highlight w:val="none"/>
        </w:rPr>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）纸质商品包装应使用</w:t>
      </w:r>
      <w:r>
        <w:rPr>
          <w:rFonts w:ascii="Times New Roman" w:hAnsi="Times New Roman"/>
          <w:bCs/>
          <w:sz w:val="24"/>
          <w:szCs w:val="24"/>
          <w:highlight w:val="none"/>
        </w:rPr>
        <w:t xml:space="preserve"> 75%</w:t>
      </w:r>
      <w:r>
        <w:rPr>
          <w:rFonts w:hint="eastAsia" w:ascii="Times New Roman" w:hAnsi="Times New Roman"/>
          <w:bCs/>
          <w:sz w:val="24"/>
          <w:szCs w:val="24"/>
          <w:highlight w:val="none"/>
        </w:rPr>
        <w:t xml:space="preserve">以上的可再生纤维原料生产；</w:t>
      </w:r>
      <w:r>
        <w:rPr>
          <w:highlight w:val="none"/>
        </w:rPr>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7</w:t>
      </w:r>
      <w:r>
        <w:rPr>
          <w:rFonts w:hint="eastAsia" w:ascii="Times New Roman" w:hAnsi="Times New Roman"/>
          <w:bCs/>
          <w:sz w:val="24"/>
          <w:szCs w:val="24"/>
          <w:highlight w:val="none"/>
        </w:rPr>
        <w:t xml:space="preserve">）木质商品包装的原料应来源于可持续性森林。</w:t>
      </w:r>
      <w:r>
        <w:rPr>
          <w:highlight w:val="none"/>
        </w:rPr>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、快递包装环保要求：</w:t>
      </w:r>
      <w:r>
        <w:rPr>
          <w:highlight w:val="none"/>
        </w:rPr>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）快递包装中重金属（铅、汞、镉、六价铬）总量应不大于</w:t>
      </w:r>
      <w:r>
        <w:rPr>
          <w:rFonts w:ascii="Times New Roman" w:hAnsi="Times New Roman"/>
          <w:bCs/>
          <w:sz w:val="24"/>
          <w:szCs w:val="24"/>
          <w:highlight w:val="none"/>
        </w:rPr>
        <w:t xml:space="preserve"> 100mg/kg</w:t>
      </w:r>
      <w:r>
        <w:rPr>
          <w:rFonts w:hint="eastAsia" w:ascii="Times New Roman" w:hAnsi="Times New Roman"/>
          <w:bCs/>
          <w:sz w:val="24"/>
          <w:szCs w:val="24"/>
          <w:highlight w:val="none"/>
        </w:rPr>
        <w:t xml:space="preserve">；</w:t>
      </w:r>
      <w:r>
        <w:rPr>
          <w:highlight w:val="none"/>
        </w:rPr>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）快递包装印刷使用的油墨中不应添加邻苯二甲酸酯，其挥发性有机化合物</w:t>
      </w:r>
      <w:r>
        <w:rPr>
          <w:rFonts w:ascii="Times New Roman" w:hAnsi="Times New Roman"/>
          <w:bCs/>
          <w:sz w:val="24"/>
          <w:szCs w:val="24"/>
          <w:highlight w:val="none"/>
        </w:rPr>
        <w:t xml:space="preserve">(VOCs)</w:t>
      </w:r>
      <w:r>
        <w:rPr>
          <w:rFonts w:hint="eastAsia" w:ascii="Times New Roman" w:hAnsi="Times New Roman"/>
          <w:bCs/>
          <w:sz w:val="24"/>
          <w:szCs w:val="24"/>
          <w:highlight w:val="none"/>
        </w:rPr>
        <w:t xml:space="preserve">含量应不大于</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（以重量计）；</w:t>
      </w:r>
      <w:r>
        <w:rPr>
          <w:highlight w:val="none"/>
        </w:rPr>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）快递包装中使用纸基材的包装材料，纸基材中的有机氯的含量应不大于</w:t>
      </w:r>
      <w:r>
        <w:rPr>
          <w:rFonts w:ascii="Times New Roman" w:hAnsi="Times New Roman"/>
          <w:bCs/>
          <w:sz w:val="24"/>
          <w:szCs w:val="24"/>
          <w:highlight w:val="none"/>
        </w:rPr>
        <w:t xml:space="preserve"> 150 mg/kg</w:t>
      </w:r>
      <w:r>
        <w:rPr>
          <w:rFonts w:hint="eastAsia" w:ascii="Times New Roman" w:hAnsi="Times New Roman"/>
          <w:bCs/>
          <w:sz w:val="24"/>
          <w:szCs w:val="24"/>
          <w:highlight w:val="none"/>
        </w:rPr>
        <w:t xml:space="preserve">；</w:t>
      </w:r>
      <w:r>
        <w:rPr>
          <w:highlight w:val="none"/>
        </w:rPr>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4</w:t>
      </w:r>
      <w:r>
        <w:rPr>
          <w:rFonts w:hint="eastAsia" w:ascii="Times New Roman" w:hAnsi="Times New Roman"/>
          <w:bCs/>
          <w:sz w:val="24"/>
          <w:szCs w:val="24"/>
          <w:highlight w:val="none"/>
        </w:rPr>
        <w:t xml:space="preserve">）快递包装中使用塑料基材的包装材料不得使用邻苯二甲酸二异壬酯、邻苯二甲酸二正辛酯、邻苯二甲酸二</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乙基</w:t>
      </w:r>
      <w:r>
        <w:rPr>
          <w:rFonts w:ascii="Times New Roman" w:hAnsi="Times New Roman"/>
          <w:bCs/>
          <w:sz w:val="24"/>
          <w:szCs w:val="24"/>
          <w:highlight w:val="none"/>
        </w:rPr>
        <w:t xml:space="preserve">)</w:t>
      </w:r>
      <w:r>
        <w:rPr>
          <w:rFonts w:hint="eastAsia" w:ascii="Times New Roman" w:hAnsi="Times New Roman"/>
          <w:bCs/>
          <w:sz w:val="24"/>
          <w:szCs w:val="24"/>
          <w:highlight w:val="none"/>
        </w:rPr>
        <w:t xml:space="preserve">己酯、邻苯二甲酸二异癸酯、邻苯二甲酸丁基苄基酯、邻苯二甲酸二丁酯等作为增塑剂；</w:t>
      </w:r>
      <w:r>
        <w:rPr>
          <w:highlight w:val="none"/>
        </w:rPr>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）快递中使用的塑料包装袋不得使用聚氯乙烯作为原料，且原料应为单一材质制成，生物分解率大于</w:t>
      </w:r>
      <w:r>
        <w:rPr>
          <w:rFonts w:ascii="Times New Roman" w:hAnsi="Times New Roman"/>
          <w:bCs/>
          <w:sz w:val="24"/>
          <w:szCs w:val="24"/>
          <w:highlight w:val="none"/>
        </w:rPr>
        <w:t xml:space="preserve">60%</w:t>
      </w:r>
      <w:r>
        <w:rPr>
          <w:rFonts w:hint="eastAsia" w:ascii="Times New Roman" w:hAnsi="Times New Roman"/>
          <w:bCs/>
          <w:sz w:val="24"/>
          <w:szCs w:val="24"/>
          <w:highlight w:val="none"/>
        </w:rPr>
        <w:t xml:space="preserve">；</w:t>
      </w:r>
      <w:r>
        <w:rPr>
          <w:highlight w:val="none"/>
        </w:rPr>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）快递中使用的充气类填充物不得使用聚氯乙烯作为原料，且原料为单一材质制成，生物分解率大于</w:t>
      </w:r>
      <w:r>
        <w:rPr>
          <w:rFonts w:ascii="Times New Roman" w:hAnsi="Times New Roman"/>
          <w:bCs/>
          <w:sz w:val="24"/>
          <w:szCs w:val="24"/>
          <w:highlight w:val="none"/>
        </w:rPr>
        <w:t xml:space="preserve">60%</w:t>
      </w:r>
      <w:r>
        <w:rPr>
          <w:rFonts w:hint="eastAsia" w:ascii="Times New Roman" w:hAnsi="Times New Roman"/>
          <w:bCs/>
          <w:sz w:val="24"/>
          <w:szCs w:val="24"/>
          <w:highlight w:val="none"/>
        </w:rPr>
        <w:t xml:space="preserve">；</w:t>
      </w:r>
      <w:r>
        <w:rPr>
          <w:highlight w:val="none"/>
        </w:rPr>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7</w:t>
      </w:r>
      <w:r>
        <w:rPr>
          <w:rFonts w:hint="eastAsia" w:ascii="Times New Roman" w:hAnsi="Times New Roman"/>
          <w:bCs/>
          <w:sz w:val="24"/>
          <w:szCs w:val="24"/>
          <w:highlight w:val="none"/>
        </w:rPr>
        <w:t xml:space="preserve">）快递中使用的集装袋应为单一材质制成，其重复使用次数应不小于</w:t>
      </w:r>
      <w:r>
        <w:rPr>
          <w:rFonts w:ascii="Times New Roman" w:hAnsi="Times New Roman"/>
          <w:bCs/>
          <w:sz w:val="24"/>
          <w:szCs w:val="24"/>
          <w:highlight w:val="none"/>
        </w:rPr>
        <w:t xml:space="preserve"> 80 </w:t>
      </w:r>
      <w:r>
        <w:rPr>
          <w:rFonts w:hint="eastAsia" w:ascii="Times New Roman" w:hAnsi="Times New Roman"/>
          <w:bCs/>
          <w:sz w:val="24"/>
          <w:szCs w:val="24"/>
          <w:highlight w:val="none"/>
        </w:rPr>
        <w:t xml:space="preserve">次；</w:t>
      </w:r>
      <w:r>
        <w:rPr>
          <w:highlight w:val="none"/>
        </w:rPr>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8</w:t>
      </w:r>
      <w:r>
        <w:rPr>
          <w:rFonts w:hint="eastAsia" w:ascii="Times New Roman" w:hAnsi="Times New Roman"/>
          <w:bCs/>
          <w:sz w:val="24"/>
          <w:szCs w:val="24"/>
          <w:highlight w:val="none"/>
        </w:rPr>
        <w:t xml:space="preserve">）快递中应使用幅宽不大于</w:t>
      </w:r>
      <w:r>
        <w:rPr>
          <w:rFonts w:ascii="Times New Roman" w:hAnsi="Times New Roman"/>
          <w:bCs/>
          <w:sz w:val="24"/>
          <w:szCs w:val="24"/>
          <w:highlight w:val="none"/>
        </w:rPr>
        <w:t xml:space="preserve">45mm </w:t>
      </w:r>
      <w:r>
        <w:rPr>
          <w:rFonts w:hint="eastAsia" w:ascii="Times New Roman" w:hAnsi="Times New Roman"/>
          <w:bCs/>
          <w:sz w:val="24"/>
          <w:szCs w:val="24"/>
          <w:highlight w:val="none"/>
        </w:rPr>
        <w:t xml:space="preserve">的生物降解胶带；</w:t>
      </w:r>
      <w:r>
        <w:rPr>
          <w:highlight w:val="none"/>
        </w:rPr>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9</w:t>
      </w:r>
      <w:r>
        <w:rPr>
          <w:rFonts w:hint="eastAsia" w:ascii="Times New Roman" w:hAnsi="Times New Roman"/>
          <w:bCs/>
          <w:sz w:val="24"/>
          <w:szCs w:val="24"/>
          <w:highlight w:val="none"/>
        </w:rPr>
        <w:t xml:space="preserve">）快递包装中不得使用溶剂型胶粘剂；</w:t>
      </w:r>
      <w:r>
        <w:rPr>
          <w:highlight w:val="none"/>
        </w:rPr>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10</w:t>
      </w:r>
      <w:r>
        <w:rPr>
          <w:rFonts w:hint="eastAsia" w:ascii="Times New Roman" w:hAnsi="Times New Roman"/>
          <w:bCs/>
          <w:sz w:val="24"/>
          <w:szCs w:val="24"/>
          <w:highlight w:val="none"/>
        </w:rPr>
        <w:t xml:space="preserve">）快递应使用电子面单；</w:t>
      </w:r>
      <w:r>
        <w:rPr>
          <w:highlight w:val="none"/>
        </w:rPr>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11</w:t>
      </w:r>
      <w:r>
        <w:rPr>
          <w:rFonts w:hint="eastAsia" w:ascii="Times New Roman" w:hAnsi="Times New Roman"/>
          <w:bCs/>
          <w:sz w:val="24"/>
          <w:szCs w:val="24"/>
          <w:highlight w:val="none"/>
        </w:rPr>
        <w:t xml:space="preserve">）直接使用商品包装作为快递包装的商品，其商品包装满足《商品包装政府采购需求标准（试行）》即可；</w:t>
      </w:r>
      <w:r>
        <w:rPr>
          <w:highlight w:val="none"/>
        </w:rPr>
      </w:r>
      <w:r/>
    </w:p>
    <w:p>
      <w:pPr>
        <w:ind w:firstLine="480"/>
        <w:jc w:val="left"/>
        <w:spacing w:line="360" w:lineRule="auto"/>
        <w:rPr>
          <w:rFonts w:ascii="Times New Roman" w:hAnsi="Times New Roman"/>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12</w:t>
      </w:r>
      <w:r>
        <w:rPr>
          <w:rFonts w:hint="eastAsia" w:ascii="Times New Roman" w:hAnsi="Times New Roman"/>
          <w:bCs/>
          <w:sz w:val="24"/>
          <w:szCs w:val="24"/>
          <w:highlight w:val="none"/>
        </w:rPr>
        <w:t xml:space="preserve">）快递包装产品质量和封装方式应符合相关国家或行业标准技术指标要求。</w:t>
      </w:r>
      <w:r>
        <w:rPr>
          <w:highlight w:val="none"/>
        </w:rPr>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十一、投标报价要求</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1、报价币种为人民币。</w:t>
      </w:r>
      <w:r>
        <w:rPr>
          <w:highlight w:val="none"/>
        </w:rPr>
      </w:r>
      <w:r/>
    </w:p>
    <w:p>
      <w:pPr>
        <w:ind w:firstLine="480"/>
        <w:jc w:val="left"/>
        <w:spacing w:line="360" w:lineRule="auto"/>
        <w:rPr>
          <w:rFonts w:ascii="Times New Roman" w:hAnsi="Times New Roman"/>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投标报价须包含但不限于设备价款、标准附件、备品备件、专用工具、包装、运输、装卸、货到就位以及安装（升级）、调试、管理、售后、培训、保险、利润、税金、政策性文件规定及合同包含的所有风险及责任等各项应有费用，直至交付至采购人使用时所需要的各种费用（包含所有隐含的内容）。</w:t>
      </w:r>
      <w:r>
        <w:rPr>
          <w:highlight w:val="none"/>
        </w:rPr>
      </w:r>
      <w:r/>
    </w:p>
    <w:p>
      <w:pPr>
        <w:ind w:firstLine="480"/>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3、投标报价须包含质保期内的质保费用，否则采购人有权自行委托设备制造商，所产生费用由成交供应商承担，在结算价款中扣除。</w:t>
      </w:r>
      <w:r>
        <w:rPr>
          <w:highlight w:val="none"/>
        </w:rPr>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十二、付款方式与履约保证金</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1、付款方式</w:t>
      </w:r>
      <w:r>
        <w:rPr>
          <w:highlight w:val="none"/>
        </w:rPr>
      </w:r>
      <w:r/>
    </w:p>
    <w:p>
      <w:pPr>
        <w:ind w:left="479" w:firstLine="65"/>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b/>
          <w:bCs/>
          <w:i/>
          <w:iCs/>
          <w:sz w:val="24"/>
          <w:szCs w:val="24"/>
          <w:highlight w:val="none"/>
          <w:u w:val="single"/>
        </w:rPr>
        <w:t xml:space="preserve">设备安装调试经验收合格后，经审计票据齐全后一次性支付至审计金额的100%。</w:t>
      </w:r>
      <w:r>
        <w:rPr>
          <w:highlight w:val="none"/>
        </w:rPr>
      </w:r>
      <w:r/>
    </w:p>
    <w:p>
      <w:pPr>
        <w:ind w:left="479" w:firstLine="64"/>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2、履约保证金</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本项目收取履约保证金，金额为合同金额的10%。</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（1）中标人应当以支票、汇票、本票或者金融机构、担保机构出具的保函等非现金形式在合同签订前提交。</w:t>
      </w:r>
      <w:r>
        <w:rPr>
          <w:highlight w:val="none"/>
        </w:rPr>
      </w:r>
      <w:r/>
    </w:p>
    <w:p>
      <w:pPr>
        <w:ind w:firstLine="482"/>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本项目支持和鼓励供应商使用江苏政府采购电子履约保函（保险）代替缴纳履约保证金。以履约保函（保险）形式向采购人缴纳的，供应商可登陆江苏政府采购网“资料下载”“江苏政府采购电子履约保函（保险）平台操作手册-中标或成交供应商”（网址：http://www.ccgp-jiangsu.gov.cn/jiangsu/zlxz/75/750b058ebefe4ed1b94f0c185e0af388.html)。</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3）履约保证金自合同生效之日起至合同约定的中标人主要义务履行完毕止，采购人按合同约定退还履约保证金。中标人违约的，采购人将按照合同约定执行履约赔偿。如中标人违约给采购人造成的损失超过履约保证金的，应当依法赔偿超过部分的损失。</w:t>
      </w:r>
      <w:r>
        <w:rPr>
          <w:highlight w:val="none"/>
        </w:rPr>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十三、其他</w:t>
      </w:r>
      <w:bookmarkEnd w:id="9"/>
      <w:r>
        <w:rPr>
          <w:highlight w:val="none"/>
        </w:rPr>
      </w:r>
      <w:bookmarkEnd w:id="10"/>
      <w:r>
        <w:rPr>
          <w:highlight w:val="none"/>
        </w:rPr>
      </w:r>
      <w:r/>
    </w:p>
    <w:p>
      <w:pPr>
        <w:ind w:firstLine="480"/>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1、本项目报价不得超过预算价（最高限价）。</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w:t>
      </w:r>
      <w:r>
        <w:rPr>
          <w:rFonts w:hint="eastAsia" w:ascii="宋体" w:hAnsi="宋体"/>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r>
        <w:rPr>
          <w:rFonts w:ascii="宋体" w:hAnsi="宋体"/>
          <w:sz w:val="24"/>
          <w:szCs w:val="24"/>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br w:type="page" w:clear="all"/>
      </w:r>
      <w:r>
        <w:rPr>
          <w:highlight w:val="none"/>
        </w:rPr>
      </w:r>
      <w:r/>
    </w:p>
    <w:p>
      <w:pPr>
        <w:pStyle w:val="933"/>
        <w:jc w:val="center"/>
        <w:spacing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highlight w:val="none"/>
        </w:rPr>
      </w:r>
      <w:bookmarkStart w:id="14" w:name="_Toc165205798"/>
      <w:r>
        <w:rPr>
          <w:rFonts w:ascii="黑体" w:hAnsi="黑体" w:eastAsia="黑体"/>
          <w:b w:val="0"/>
          <w:highlight w:val="none"/>
        </w:rPr>
        <w:t xml:space="preserve">第五章</w:t>
      </w:r>
      <w:r>
        <w:rPr>
          <w:rFonts w:hint="eastAsia" w:ascii="黑体" w:hAnsi="黑体" w:eastAsia="黑体"/>
          <w:b w:val="0"/>
          <w:highlight w:val="none"/>
        </w:rPr>
        <w:t xml:space="preserve">  评标方法与评标标准</w:t>
      </w:r>
      <w:bookmarkEnd w:id="14"/>
      <w:r>
        <w:rPr>
          <w:highlight w:val="none"/>
        </w:rPr>
      </w:r>
      <w:r/>
    </w:p>
    <w:p>
      <w:pPr>
        <w:ind w:firstLine="480"/>
        <w:jc w:val="left"/>
        <w:spacing w:line="500" w:lineRule="exact"/>
        <w:rPr>
          <w:rFonts w:ascii="黑体" w:hAnsi="黑体" w:eastAsia="黑体"/>
          <w:sz w:val="24"/>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sz w:val="24"/>
          <w:szCs w:val="24"/>
          <w:highlight w:val="none"/>
        </w:rPr>
        <w:t xml:space="preserve">一、评标方法</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供应商为中标候选人。本项目选取1名中标候选人。</w:t>
      </w:r>
      <w:r>
        <w:rPr>
          <w:highlight w:val="none"/>
        </w:rPr>
      </w:r>
      <w:r/>
    </w:p>
    <w:p>
      <w:pPr>
        <w:ind w:firstLine="480"/>
        <w:jc w:val="left"/>
        <w:spacing w:line="500" w:lineRule="exact"/>
        <w:rPr>
          <w:rFonts w:ascii="黑体" w:hAnsi="黑体" w:eastAsia="黑体"/>
          <w:sz w:val="24"/>
          <w:szCs w:val="24"/>
          <w:highlight w:val="none"/>
        </w:rPr>
        <w:pBdr>
          <w:top w:val="none" w:color="auto" w:sz="0" w:space="1"/>
          <w:left w:val="none" w:color="auto" w:sz="0" w:space="4"/>
          <w:bottom w:val="none" w:color="auto" w:sz="0" w:space="1"/>
          <w:right w:val="none" w:color="auto" w:sz="0" w:space="4"/>
        </w:pBdr>
      </w:pPr>
      <w:r>
        <w:rPr>
          <w:rFonts w:ascii="黑体" w:hAnsi="黑体" w:eastAsia="黑体"/>
          <w:sz w:val="24"/>
          <w:szCs w:val="24"/>
          <w:highlight w:val="none"/>
        </w:rPr>
        <w:t xml:space="preserve">二、评标标准</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（1）评标时，评委会以招标文件为评标依据，评委会各成员独立对每个供应商的投标文件进行评价，并汇总每个供应商的得分。评标过程中，不得去掉报价中的最高报价和最低报价。</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（2）本项目评分总分为100分，按四舍五入取至小数点后两位。</w:t>
      </w:r>
      <w:r>
        <w:rPr>
          <w:highlight w:val="none"/>
        </w:rPr>
      </w:r>
      <w:r/>
    </w:p>
    <w:p>
      <w:pPr>
        <w:ind w:firstLine="480"/>
        <w:jc w:val="left"/>
        <w:spacing w:line="500" w:lineRule="exact"/>
        <w:rPr>
          <w:rFonts w:ascii="黑体" w:hAnsi="黑体" w:eastAsia="黑体"/>
          <w:sz w:val="32"/>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（3）总得分=价格分+技术分+商务分。</w:t>
      </w:r>
      <w:r>
        <w:rPr>
          <w:highlight w:val="none"/>
        </w:rPr>
      </w:r>
      <w:r/>
    </w:p>
    <w:p>
      <w:pPr>
        <w:jc w:val="center"/>
        <w:spacing w:line="500" w:lineRule="exact"/>
        <w:rPr>
          <w:rFonts w:ascii="黑体" w:hAnsi="黑体" w:eastAsia="黑体"/>
          <w:sz w:val="32"/>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sz w:val="32"/>
          <w:szCs w:val="24"/>
          <w:highlight w:val="none"/>
        </w:rPr>
        <w:t xml:space="preserve">综合评分法</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（1）价格分（30分）</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采用低价优先法计算，即满足招标文件要求且投标价格最低的投标报价为评标基准价，其价格分为满分。其他供应商的价格分统一按照下列公式计算：</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投标报价得分=（评标基准价／投标报价）×30分</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因落实政府采购政策进行价格扣除的，用扣除后的价格参加评审。</w:t>
      </w:r>
      <w:r>
        <w:rPr>
          <w:highlight w:val="none"/>
        </w:rPr>
      </w:r>
      <w:r/>
    </w:p>
    <w:p>
      <w:pPr>
        <w:ind w:firstLine="480"/>
        <w:spacing w:line="500" w:lineRule="exact"/>
        <w:rPr>
          <w:sz w:val="24"/>
          <w:highlight w:val="none"/>
        </w:rPr>
        <w:pBdr>
          <w:top w:val="none" w:color="auto" w:sz="0" w:space="1"/>
          <w:left w:val="none" w:color="auto" w:sz="0" w:space="4"/>
          <w:bottom w:val="none" w:color="auto" w:sz="0" w:space="1"/>
          <w:right w:val="none" w:color="auto" w:sz="0" w:space="4"/>
        </w:pBdr>
      </w:pPr>
      <w:r>
        <w:rPr>
          <w:sz w:val="24"/>
          <w:highlight w:val="none"/>
        </w:rPr>
        <w:t xml:space="preserve">（2）</w:t>
      </w:r>
      <w:r>
        <w:rPr>
          <w:rFonts w:hint="eastAsia"/>
          <w:sz w:val="24"/>
          <w:highlight w:val="none"/>
        </w:rPr>
        <w:t xml:space="preserve">技术</w:t>
      </w:r>
      <w:r>
        <w:rPr>
          <w:sz w:val="24"/>
          <w:highlight w:val="none"/>
        </w:rPr>
        <w:t xml:space="preserve">分（</w:t>
      </w:r>
      <w:r>
        <w:rPr>
          <w:rFonts w:hint="eastAsia"/>
          <w:sz w:val="24"/>
          <w:highlight w:val="none"/>
        </w:rPr>
        <w:t xml:space="preserve">22</w:t>
      </w:r>
      <w:r>
        <w:rPr>
          <w:sz w:val="24"/>
          <w:highlight w:val="none"/>
        </w:rPr>
        <w:t xml:space="preserve">分）</w:t>
      </w:r>
      <w:r>
        <w:rPr>
          <w:highlight w:val="none"/>
        </w:rPr>
      </w:r>
      <w:r/>
    </w:p>
    <w:tbl>
      <w:tblPr>
        <w:tblStyle w:val="734"/>
        <w:tblpPr w:horzAnchor="page" w:tblpX="1253" w:vertAnchor="text" w:tblpY="48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94"/>
        <w:gridCol w:w="8660"/>
      </w:tblGrid>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360" w:lineRule="auto"/>
              <w:rPr>
                <w:rFonts w:ascii="宋体" w:hAnsi="宋体" w:cs="宋体"/>
                <w:b/>
                <w:bCs/>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highlight w:val="none"/>
              </w:rPr>
              <w:t xml:space="preserve">评审细则</w:t>
            </w:r>
            <w:r>
              <w:rPr>
                <w:highlight w:val="none"/>
              </w:rPr>
            </w:r>
            <w:r/>
          </w:p>
          <w:p>
            <w:pPr>
              <w:jc w:val="center"/>
              <w:spacing w:line="360" w:lineRule="auto"/>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highlight w:val="none"/>
              </w:rPr>
              <w:t xml:space="preserve">及分值</w:t>
            </w:r>
            <w:r>
              <w:rPr>
                <w:highlight w:val="none"/>
              </w:rPr>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jc w:val="center"/>
              <w:spacing w:line="360" w:lineRule="auto"/>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highlight w:val="none"/>
              </w:rPr>
              <w:t xml:space="preserve">评审标准</w:t>
            </w:r>
            <w:r>
              <w:rPr>
                <w:highlight w:val="none"/>
              </w:rPr>
            </w:r>
            <w:r/>
          </w:p>
        </w:tc>
      </w:tr>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360" w:lineRule="auto"/>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ascii="宋体" w:hAnsi="宋体" w:cs="宋体"/>
                <w:sz w:val="24"/>
                <w:szCs w:val="24"/>
                <w:highlight w:val="none"/>
              </w:rPr>
              <w:t xml:space="preserve">产品质量、性能整体方案</w:t>
            </w:r>
            <w:r>
              <w:rPr>
                <w:rFonts w:hint="eastAsia" w:ascii="宋体" w:hAnsi="宋体" w:cs="宋体"/>
                <w:sz w:val="24"/>
                <w:szCs w:val="24"/>
                <w:highlight w:val="none"/>
              </w:rPr>
              <w:t xml:space="preserve">（</w:t>
            </w:r>
            <w:r>
              <w:rPr>
                <w:rFonts w:ascii="宋体" w:hAnsi="宋体" w:cs="宋体"/>
                <w:sz w:val="24"/>
                <w:szCs w:val="24"/>
                <w:highlight w:val="none"/>
              </w:rPr>
              <w:t xml:space="preserve">8分</w:t>
            </w:r>
            <w:r>
              <w:rPr>
                <w:rFonts w:hint="eastAsia" w:ascii="宋体" w:hAnsi="宋体" w:cs="宋体"/>
                <w:sz w:val="24"/>
                <w:szCs w:val="24"/>
                <w:highlight w:val="none"/>
              </w:rPr>
              <w:t xml:space="preserve">）</w:t>
            </w:r>
            <w:r>
              <w:rPr>
                <w:highlight w:val="none"/>
              </w:rPr>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pStyle w:val="938"/>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ascii="宋体" w:hAnsi="宋体" w:cs="宋体"/>
                <w:color w:val="auto"/>
                <w:sz w:val="24"/>
                <w:highlight w:val="none"/>
              </w:rPr>
              <w:t xml:space="preserve">投标时投标人应提供产品质量性能说明，注明技术与疾病预防控制中心匹配度及选型依据、产品稳定性、产品性能（诸如既往用户满意度评价、在专业杂志发表的专业类文献、实际用户同品牌仪器使用</w:t>
            </w:r>
            <w:r>
              <w:rPr>
                <w:rFonts w:hint="eastAsia" w:ascii="宋体" w:hAnsi="宋体" w:cs="宋体"/>
                <w:color w:val="auto"/>
                <w:sz w:val="24"/>
                <w:highlight w:val="none"/>
              </w:rPr>
              <w:t xml:space="preserve">情况</w:t>
            </w:r>
            <w:r>
              <w:rPr>
                <w:rFonts w:ascii="宋体" w:hAnsi="宋体" w:cs="宋体"/>
                <w:color w:val="auto"/>
                <w:sz w:val="24"/>
                <w:highlight w:val="none"/>
              </w:rPr>
              <w:t xml:space="preserve">等）等产品质量性能参数。评委根据投标人所投产品的整体配置选型情况进行打分：</w:t>
            </w:r>
            <w:r>
              <w:rPr>
                <w:highlight w:val="none"/>
              </w:rPr>
            </w:r>
            <w:r/>
          </w:p>
          <w:p>
            <w:pPr>
              <w:pStyle w:val="938"/>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ascii="宋体" w:hAnsi="宋体" w:cs="宋体"/>
                <w:color w:val="auto"/>
                <w:sz w:val="24"/>
                <w:highlight w:val="none"/>
              </w:rPr>
              <w:t xml:space="preserve">1、配置选型方面，展现出高度的合理性，充分考虑了实际应用的需求与场景，确保所选配置能够充分发挥效用，不造成资源浪费。技术层面，具有检测应用研发能力，如在专业杂志发表的专业类文献、有成熟案例能为用户提供相关的检测方法开发及优化，产品具备较高的可扩展性。稳定性方面，产品经过严格的质量控制和测试验证且有实际用户使用</w:t>
            </w:r>
            <w:r>
              <w:rPr>
                <w:rFonts w:hint="eastAsia" w:ascii="宋体" w:hAnsi="宋体" w:cs="宋体"/>
                <w:color w:val="auto"/>
                <w:sz w:val="24"/>
                <w:highlight w:val="none"/>
              </w:rPr>
              <w:t xml:space="preserve">案例</w:t>
            </w:r>
            <w:r>
              <w:rPr>
                <w:rFonts w:ascii="宋体" w:hAnsi="宋体" w:cs="宋体"/>
                <w:color w:val="auto"/>
                <w:sz w:val="24"/>
                <w:highlight w:val="none"/>
              </w:rPr>
              <w:t xml:space="preserve">，确保能够保持稳定的运行状态。产品性能成熟度方面，该产品在市场上稳定性，其产品在性能、质量、可靠性等方面均得到了认可和好评，得8分。</w:t>
            </w:r>
            <w:r>
              <w:rPr>
                <w:highlight w:val="none"/>
              </w:rPr>
            </w:r>
            <w:r/>
          </w:p>
          <w:p>
            <w:pPr>
              <w:pStyle w:val="938"/>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ascii="宋体" w:hAnsi="宋体" w:cs="宋体"/>
                <w:color w:val="auto"/>
                <w:sz w:val="24"/>
                <w:highlight w:val="none"/>
              </w:rPr>
              <w:t xml:space="preserve">2、配置选型方面，表现出较好的合理性，较充分地考虑了实际应用的需求与场景，所选配置基本能够发挥效用，资源浪费较少。技术层面，具备一定的检测应用研发能力，或有相关专业文献、成熟案例支持，能为用户提供基本的检测方法开发及优化服务，产品具备较好的可扩展性。稳定性方面，产品经过较严格的质量控制和测试验证，且有实际用户使用案例，能够保持较长时间的稳定运行状态。产品性能成熟度方面，该产品在市场上表现较为稳定，其性能、质量、可靠性等方面获得了多数用户的认可，得</w:t>
            </w:r>
            <w:r>
              <w:rPr>
                <w:rFonts w:hint="eastAsia" w:ascii="宋体" w:hAnsi="宋体" w:cs="宋体"/>
                <w:color w:val="auto"/>
                <w:sz w:val="24"/>
                <w:highlight w:val="none"/>
              </w:rPr>
              <w:t xml:space="preserve">7</w:t>
            </w:r>
            <w:r>
              <w:rPr>
                <w:rFonts w:ascii="宋体" w:hAnsi="宋体" w:cs="宋体"/>
                <w:color w:val="auto"/>
                <w:sz w:val="24"/>
                <w:highlight w:val="none"/>
              </w:rPr>
              <w:t xml:space="preserve">分。</w:t>
            </w:r>
            <w:r>
              <w:rPr>
                <w:highlight w:val="none"/>
              </w:rPr>
            </w:r>
            <w:r/>
          </w:p>
          <w:p>
            <w:pPr>
              <w:pStyle w:val="938"/>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3、配置选型方面，具备基本的合理性，大致考虑了实际应用的需求与场景，所选配置能满足主要使用要求，但存在一定程度的资源冗余或不足。技术层面，检测应用研发能力一般，缺乏专业文献或成熟案例，能为用户提供有限的方法优化支持，产品可扩展性尚可。稳定性方面，产品经过常规质量控制和测试验证，但用户使用案例较少，在正常运行环境下能够保持基本的稳定运行状态。产品性能成熟度方面，该产品在市场上稳定性一般，其性能、质量、可靠性等方面尚未获得广泛认可，但无明显负面评价</w:t>
            </w:r>
            <w:r>
              <w:rPr>
                <w:rFonts w:ascii="宋体" w:hAnsi="宋体" w:cs="宋体"/>
                <w:color w:val="auto"/>
                <w:sz w:val="24"/>
                <w:highlight w:val="none"/>
              </w:rPr>
              <w:t xml:space="preserve">，得</w:t>
            </w:r>
            <w:r>
              <w:rPr>
                <w:rFonts w:hint="eastAsia" w:ascii="宋体" w:hAnsi="宋体" w:cs="宋体"/>
                <w:color w:val="auto"/>
                <w:sz w:val="24"/>
                <w:highlight w:val="none"/>
              </w:rPr>
              <w:t xml:space="preserve">6</w:t>
            </w:r>
            <w:r>
              <w:rPr>
                <w:rFonts w:ascii="宋体" w:hAnsi="宋体" w:cs="宋体"/>
                <w:color w:val="auto"/>
                <w:sz w:val="24"/>
                <w:highlight w:val="none"/>
              </w:rPr>
              <w:t xml:space="preserve">分。</w:t>
            </w:r>
            <w:r>
              <w:rPr>
                <w:highlight w:val="none"/>
              </w:rPr>
            </w:r>
            <w:r/>
          </w:p>
          <w:p>
            <w:pPr>
              <w:pStyle w:val="938"/>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4、配置选型方面，具有一定合理性，能够考虑到实际应用的部分需求与场景，但配置与使用需求之间存在一定偏差。技术层面，采用了较为成熟的技术架构和设计理念，但研发能力有限，无法提供检测方法开发服务，产品具备一定可扩展性。稳定性方面，产品经过质量控制和测试验证，保证在正常运行环境下能够保持稳定的运行状态，但缺乏长期用户使用数据。产品性能成熟度方面，该产品在市场上稳定性尚可，其性能、质量、可靠性等方面被部分用户认可，但认可度不高</w:t>
            </w:r>
            <w:r>
              <w:rPr>
                <w:rFonts w:ascii="宋体" w:hAnsi="宋体" w:cs="宋体"/>
                <w:color w:val="auto"/>
                <w:sz w:val="24"/>
                <w:highlight w:val="none"/>
              </w:rPr>
              <w:t xml:space="preserve">，得</w:t>
            </w:r>
            <w:r>
              <w:rPr>
                <w:rFonts w:hint="eastAsia" w:ascii="宋体" w:hAnsi="宋体" w:cs="宋体"/>
                <w:color w:val="auto"/>
                <w:sz w:val="24"/>
                <w:highlight w:val="none"/>
              </w:rPr>
              <w:t xml:space="preserve">5</w:t>
            </w:r>
            <w:r>
              <w:rPr>
                <w:rFonts w:ascii="宋体" w:hAnsi="宋体" w:cs="宋体"/>
                <w:color w:val="auto"/>
                <w:sz w:val="24"/>
                <w:highlight w:val="none"/>
              </w:rPr>
              <w:t xml:space="preserve">分</w:t>
            </w:r>
            <w:r>
              <w:rPr>
                <w:rFonts w:hint="eastAsia" w:ascii="宋体" w:hAnsi="宋体" w:cs="宋体"/>
                <w:color w:val="auto"/>
                <w:sz w:val="24"/>
                <w:highlight w:val="none"/>
              </w:rPr>
              <w:t xml:space="preserve">。</w:t>
            </w:r>
            <w:r>
              <w:rPr>
                <w:highlight w:val="none"/>
              </w:rPr>
            </w:r>
            <w:r/>
          </w:p>
          <w:p>
            <w:pPr>
              <w:pStyle w:val="938"/>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5、配置选型方面，合理性不足，未能充分结合实际应用的需求与场景，所选配置存在较明显的资源浪费或性能瓶颈。技术层面，采用的技术架构和设计理念相对落后，缺乏检测应用研发能力，无相关文献或案例支撑，产品可扩展性较差。稳定性方面，产品质量控制和测试验证不够充分，未能提供足够的运行稳定性证据，存在偶发性故障风险。产品性能成熟度方面，该产品在市场上表现不够稳定，其性能、质量、可靠性等方面的用户认可度较低</w:t>
            </w:r>
            <w:r>
              <w:rPr>
                <w:rFonts w:ascii="宋体" w:hAnsi="宋体" w:cs="宋体"/>
                <w:color w:val="auto"/>
                <w:sz w:val="24"/>
                <w:highlight w:val="none"/>
              </w:rPr>
              <w:t xml:space="preserve">，得</w:t>
            </w:r>
            <w:r>
              <w:rPr>
                <w:rFonts w:hint="eastAsia" w:ascii="宋体" w:hAnsi="宋体" w:cs="宋体"/>
                <w:color w:val="auto"/>
                <w:sz w:val="24"/>
                <w:highlight w:val="none"/>
              </w:rPr>
              <w:t xml:space="preserve">4</w:t>
            </w:r>
            <w:r>
              <w:rPr>
                <w:rFonts w:ascii="宋体" w:hAnsi="宋体" w:cs="宋体"/>
                <w:color w:val="auto"/>
                <w:sz w:val="24"/>
                <w:highlight w:val="none"/>
              </w:rPr>
              <w:t xml:space="preserve">分</w:t>
            </w:r>
            <w:r>
              <w:rPr>
                <w:rFonts w:hint="eastAsia" w:ascii="宋体" w:hAnsi="宋体" w:cs="宋体"/>
                <w:color w:val="auto"/>
                <w:sz w:val="24"/>
                <w:highlight w:val="none"/>
              </w:rPr>
              <w:t xml:space="preserve">。</w:t>
            </w:r>
            <w:r>
              <w:rPr>
                <w:highlight w:val="none"/>
              </w:rPr>
            </w:r>
            <w:r/>
          </w:p>
          <w:p>
            <w:pPr>
              <w:pStyle w:val="938"/>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6、配置选型方面，合理性较差，与实际应用的需求和场景不相匹配，所选配置难以满足基本使用要求，资源浪费严重。技术层面，采用了较为落后的技术架构和设计理念，不具备检测应用研发能力，产品几乎无可扩展性。稳定性方面，未能提供有效的质量控制和测试验证证明，在正常运行环境下难以保证稳定的运行状态，故障率较高。产品性能成熟度方面，该产品在市场上稳定性不足，其性能、质量、可靠性等方面认可度低，用户反馈多为负面</w:t>
            </w:r>
            <w:r>
              <w:rPr>
                <w:rFonts w:ascii="宋体" w:hAnsi="宋体" w:cs="宋体"/>
                <w:color w:val="auto"/>
                <w:sz w:val="24"/>
                <w:highlight w:val="none"/>
              </w:rPr>
              <w:t xml:space="preserve">，得</w:t>
            </w:r>
            <w:r>
              <w:rPr>
                <w:rFonts w:hint="eastAsia" w:ascii="宋体" w:hAnsi="宋体" w:cs="宋体"/>
                <w:color w:val="auto"/>
                <w:sz w:val="24"/>
                <w:highlight w:val="none"/>
              </w:rPr>
              <w:t xml:space="preserve">3</w:t>
            </w:r>
            <w:r>
              <w:rPr>
                <w:rFonts w:ascii="宋体" w:hAnsi="宋体" w:cs="宋体"/>
                <w:color w:val="auto"/>
                <w:sz w:val="24"/>
                <w:highlight w:val="none"/>
              </w:rPr>
              <w:t xml:space="preserve">分</w:t>
            </w:r>
            <w:r>
              <w:rPr>
                <w:rFonts w:hint="eastAsia" w:ascii="宋体" w:hAnsi="宋体" w:cs="宋体"/>
                <w:color w:val="auto"/>
                <w:sz w:val="24"/>
                <w:highlight w:val="none"/>
              </w:rPr>
              <w:t xml:space="preserve">。</w:t>
            </w:r>
            <w:r>
              <w:rPr>
                <w:highlight w:val="none"/>
              </w:rPr>
            </w:r>
            <w:r/>
          </w:p>
          <w:p>
            <w:pPr>
              <w:pStyle w:val="938"/>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7、配置选型方面，完全脱离实际应用的需求和场景，所选配置极不合理，造成严重的资源浪费或功能缺失。技术层面，采用了陈旧落后的技术架构和设计理念，无任何研发能力支撑，产品不具备可扩展性。稳定性方面，完全未能证明产品在正常运行环境下能够保持稳定的运行状态，缺乏基本的质量控制与测试。产品性能成熟度方面，该产品在市场上极不稳定，其性能、质量、可靠性等方面认可度极低，几乎未获得用户认可，</w:t>
            </w:r>
            <w:r>
              <w:rPr>
                <w:rFonts w:ascii="宋体" w:hAnsi="宋体" w:cs="宋体"/>
                <w:color w:val="auto"/>
                <w:sz w:val="24"/>
                <w:highlight w:val="none"/>
              </w:rPr>
              <w:t xml:space="preserve">得</w:t>
            </w:r>
            <w:r>
              <w:rPr>
                <w:rFonts w:hint="eastAsia" w:ascii="宋体" w:hAnsi="宋体" w:cs="宋体"/>
                <w:color w:val="auto"/>
                <w:sz w:val="24"/>
                <w:highlight w:val="none"/>
              </w:rPr>
              <w:t xml:space="preserve">2</w:t>
            </w:r>
            <w:r>
              <w:rPr>
                <w:rFonts w:ascii="宋体" w:hAnsi="宋体" w:cs="宋体"/>
                <w:color w:val="auto"/>
                <w:sz w:val="24"/>
                <w:highlight w:val="none"/>
              </w:rPr>
              <w:t xml:space="preserve">分</w:t>
            </w:r>
            <w:r>
              <w:rPr>
                <w:rFonts w:hint="eastAsia" w:ascii="宋体" w:hAnsi="宋体" w:cs="宋体"/>
                <w:color w:val="auto"/>
                <w:sz w:val="24"/>
                <w:highlight w:val="none"/>
              </w:rPr>
              <w:t xml:space="preserve">。</w:t>
            </w:r>
            <w:r>
              <w:rPr>
                <w:highlight w:val="none"/>
              </w:rPr>
            </w:r>
            <w:r/>
          </w:p>
          <w:p>
            <w:pPr>
              <w:pStyle w:val="938"/>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b/>
                <w:bCs/>
                <w:color w:val="auto"/>
                <w:sz w:val="24"/>
                <w:highlight w:val="none"/>
              </w:rPr>
              <w:t xml:space="preserve">未提供不得分。</w:t>
            </w:r>
            <w:r>
              <w:rPr>
                <w:highlight w:val="none"/>
              </w:rPr>
            </w:r>
            <w:r/>
          </w:p>
        </w:tc>
      </w:tr>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pStyle w:val="938"/>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售后服务方案（7分）</w:t>
            </w:r>
            <w:r>
              <w:rPr>
                <w:highlight w:val="none"/>
              </w:rPr>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pStyle w:val="938"/>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投标时投标人应对本项目提供完整、详细、可行的售后服务方案，内容包括但不限于：①保修时间响应、②服务响应速度、③日常维护和保养、④零配件和维修备品备件的供应保障、⑤售后服务人员专业素养、⑥客户反馈处理机制等。评委根据投标人提供的具体方案进行综合评定。</w:t>
            </w:r>
            <w:r>
              <w:rPr>
                <w:highlight w:val="none"/>
              </w:rPr>
            </w:r>
            <w:r/>
          </w:p>
          <w:p>
            <w:pPr>
              <w:pStyle w:val="938"/>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1、售后服务方案细致完整、针对性强、措施有力，方案的贯彻应能满足本项目各项服务要求，方案内容描述全面合理符合采购需求的得7分；</w:t>
            </w:r>
            <w:r>
              <w:rPr>
                <w:highlight w:val="none"/>
              </w:rPr>
            </w:r>
            <w:r/>
          </w:p>
          <w:p>
            <w:pPr>
              <w:pStyle w:val="938"/>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2、售后服务方案较细致完整，具有较强针对性，措施较为有力，方案的贯彻基本能满足本项目各项服务要求，方案内容描述较全面合理，基本符合采购需求的得6分；</w:t>
            </w:r>
            <w:r>
              <w:rPr>
                <w:highlight w:val="none"/>
              </w:rPr>
            </w:r>
            <w:r/>
          </w:p>
          <w:p>
            <w:pPr>
              <w:pStyle w:val="938"/>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3、售后服务方案基本完整，</w:t>
            </w:r>
            <w:r>
              <w:rPr>
                <w:rFonts w:hint="eastAsia" w:ascii="宋体" w:hAnsi="宋体" w:cs="宋体"/>
                <w:sz w:val="24"/>
                <w:highlight w:val="none"/>
              </w:rPr>
              <w:t xml:space="preserve">内容至少覆盖以上5项要素，</w:t>
            </w:r>
            <w:r>
              <w:rPr>
                <w:rFonts w:hint="eastAsia" w:ascii="宋体" w:hAnsi="宋体" w:cs="宋体"/>
                <w:color w:val="auto"/>
                <w:sz w:val="24"/>
                <w:highlight w:val="none"/>
              </w:rPr>
              <w:t xml:space="preserve">具有一定针对性，措施基本可行，方案的贯彻能基本满足主要服务要求，方案内容描述基本合理，但部分细节不够具体或略有欠缺的得5分；</w:t>
            </w:r>
            <w:r>
              <w:rPr>
                <w:highlight w:val="none"/>
              </w:rPr>
            </w:r>
            <w:r/>
          </w:p>
          <w:p>
            <w:pPr>
              <w:pStyle w:val="938"/>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4、售后服务方案完整性不足，</w:t>
            </w:r>
            <w:r>
              <w:rPr>
                <w:rFonts w:hint="eastAsia" w:ascii="宋体" w:hAnsi="宋体" w:cs="宋体"/>
                <w:sz w:val="24"/>
                <w:highlight w:val="none"/>
              </w:rPr>
              <w:t xml:space="preserve">内容至少覆盖以上4项要素</w:t>
            </w:r>
            <w:r>
              <w:rPr>
                <w:rFonts w:hint="eastAsia" w:ascii="宋体" w:hAnsi="宋体" w:cs="宋体"/>
                <w:color w:val="auto"/>
                <w:sz w:val="24"/>
                <w:highlight w:val="none"/>
              </w:rPr>
              <w:t xml:space="preserve">，针对性一般，措施不够得力，方案的贯彻不能完全满足各项服务要求，方案内容描述有较多疏漏，合理性较差的得4分；</w:t>
            </w:r>
            <w:r>
              <w:rPr>
                <w:highlight w:val="none"/>
              </w:rPr>
            </w:r>
            <w:r/>
          </w:p>
          <w:p>
            <w:pPr>
              <w:pStyle w:val="938"/>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5、售后服务方案较为粗略，</w:t>
            </w:r>
            <w:r>
              <w:rPr>
                <w:rFonts w:hint="eastAsia" w:ascii="宋体" w:hAnsi="宋体" w:cs="宋体"/>
                <w:sz w:val="24"/>
                <w:highlight w:val="none"/>
              </w:rPr>
              <w:t xml:space="preserve">内容至少覆盖以上3项要素，</w:t>
            </w:r>
            <w:r>
              <w:rPr>
                <w:rFonts w:hint="eastAsia" w:ascii="宋体" w:hAnsi="宋体" w:cs="宋体"/>
                <w:color w:val="auto"/>
                <w:sz w:val="24"/>
                <w:highlight w:val="none"/>
              </w:rPr>
              <w:t xml:space="preserve">缺乏针对性，措施乏力或流于形式，方案的贯彻难以有效满足服务要求，方案内容描述粗浅，多处关键内容缺失，不符合采购需求的得3分；</w:t>
            </w:r>
            <w:r>
              <w:rPr>
                <w:highlight w:val="none"/>
              </w:rPr>
            </w:r>
            <w:r/>
          </w:p>
          <w:p>
            <w:pPr>
              <w:pStyle w:val="938"/>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6、售后服务方案严重缺失，</w:t>
            </w:r>
            <w:r>
              <w:rPr>
                <w:rFonts w:hint="eastAsia" w:ascii="宋体" w:hAnsi="宋体" w:cs="宋体"/>
                <w:sz w:val="24"/>
                <w:highlight w:val="none"/>
              </w:rPr>
              <w:t xml:space="preserve">内容至少覆盖以上2项要素，</w:t>
            </w:r>
            <w:r>
              <w:rPr>
                <w:rFonts w:hint="eastAsia" w:ascii="宋体" w:hAnsi="宋体" w:cs="宋体"/>
                <w:color w:val="auto"/>
                <w:sz w:val="24"/>
                <w:highlight w:val="none"/>
              </w:rPr>
              <w:t xml:space="preserve">内容空泛或与项目无关，无具体针对性，无实质措施，方案的贯彻无法满足基本服务要求，方案内容描述混乱或基本未响应的得2分。</w:t>
            </w:r>
            <w:r>
              <w:rPr>
                <w:highlight w:val="none"/>
              </w:rPr>
            </w:r>
            <w:r/>
          </w:p>
          <w:p>
            <w:pPr>
              <w:pStyle w:val="938"/>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b/>
                <w:bCs/>
                <w:sz w:val="24"/>
                <w:highlight w:val="none"/>
              </w:rPr>
              <w:t xml:space="preserve">未提供不得分。</w:t>
            </w:r>
            <w:r>
              <w:rPr>
                <w:highlight w:val="none"/>
              </w:rPr>
            </w:r>
            <w:r/>
          </w:p>
        </w:tc>
      </w:tr>
      <w:tr>
        <w:trPr>
          <w:trHeight w:val="494"/>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360" w:lineRule="auto"/>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szCs w:val="24"/>
                <w:highlight w:val="none"/>
              </w:rPr>
              <w:t xml:space="preserve">培训方案（7分）</w:t>
            </w:r>
            <w:r>
              <w:rPr>
                <w:highlight w:val="none"/>
              </w:rPr>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jc w:val="left"/>
              <w:spacing w:line="360" w:lineRule="auto"/>
              <w:rPr>
                <w:rFonts w:ascii="宋体" w:hAnsi="宋体" w:cs="宋体"/>
                <w:sz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highlight w:val="none"/>
              </w:rPr>
              <w:t xml:space="preserve">投标时投标人应对本项目提供完整、详细、可行的培训方案，内容包括但不限于：①培训内容、②时间地点安排、③科研培训能力、④师资和人次、⑤管理和协调、⑥效果评价。评委根据投标人提供的具体方案进行综合评定。</w:t>
            </w:r>
            <w:r>
              <w:rPr>
                <w:highlight w:val="none"/>
              </w:rPr>
            </w:r>
            <w:r/>
          </w:p>
          <w:p>
            <w:pPr>
              <w:jc w:val="left"/>
              <w:spacing w:line="360" w:lineRule="auto"/>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highlight w:val="none"/>
              </w:rPr>
              <w:t xml:space="preserve">1、</w:t>
            </w:r>
            <w:r>
              <w:rPr>
                <w:rFonts w:hint="eastAsia" w:ascii="宋体" w:hAnsi="宋体" w:cs="宋体"/>
                <w:sz w:val="24"/>
                <w:szCs w:val="24"/>
                <w:highlight w:val="none"/>
              </w:rPr>
              <w:t xml:space="preserve">培训方案完整，详细，针对性强、贯彻各项服务要求、</w:t>
            </w:r>
            <w:r>
              <w:rPr>
                <w:rFonts w:hint="eastAsia" w:ascii="宋体" w:hAnsi="宋体" w:cs="宋体"/>
                <w:sz w:val="24"/>
                <w:highlight w:val="none"/>
              </w:rPr>
              <w:t xml:space="preserve">能够根据货物特点安排有针对性并符合业主要求的培训内容，由富有经验的师资力量开展培训活动，具有详细培训课程安排和个性化的培训效果评价计划</w:t>
            </w:r>
            <w:r>
              <w:rPr>
                <w:rFonts w:hint="eastAsia" w:ascii="宋体" w:hAnsi="宋体" w:cs="宋体"/>
                <w:sz w:val="24"/>
                <w:szCs w:val="24"/>
                <w:highlight w:val="none"/>
              </w:rPr>
              <w:t xml:space="preserve">的得7分；</w:t>
            </w:r>
            <w:r>
              <w:rPr>
                <w:highlight w:val="none"/>
              </w:rPr>
            </w:r>
            <w:r/>
          </w:p>
          <w:p>
            <w:pPr>
              <w:jc w:val="left"/>
              <w:spacing w:line="360" w:lineRule="auto"/>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szCs w:val="24"/>
                <w:highlight w:val="none"/>
              </w:rPr>
              <w:t xml:space="preserve">2、培训方案较完整、较详细，具有一定针对性，基本贯彻各项服务要求，能够根据货物特点安排较为合理的培训内容，由具备一定经验的师资开展培训活动，有较具体的培训课程安排和较可行的效果评价计划的得6分；</w:t>
            </w:r>
            <w:r>
              <w:rPr>
                <w:highlight w:val="none"/>
              </w:rPr>
            </w:r>
            <w:r/>
          </w:p>
          <w:p>
            <w:pPr>
              <w:jc w:val="left"/>
              <w:spacing w:line="360" w:lineRule="auto"/>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szCs w:val="24"/>
                <w:highlight w:val="none"/>
              </w:rPr>
              <w:t xml:space="preserve">3、培训方案基本完整，内容至少覆盖以上5项培训要素，针对性一般，能基本满足服务要求，培训内容安排基本符合货物特点，师资力量及经验尚可，有基本的课程时间安排和效果评价框架的得5分；</w:t>
            </w:r>
            <w:r>
              <w:rPr>
                <w:highlight w:val="none"/>
              </w:rPr>
            </w:r>
            <w:r/>
          </w:p>
          <w:p>
            <w:pPr>
              <w:jc w:val="left"/>
              <w:spacing w:line="360" w:lineRule="auto"/>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szCs w:val="24"/>
                <w:highlight w:val="none"/>
              </w:rPr>
              <w:t xml:space="preserve">4、培训方案完整性不足，内容至少覆盖以上4项培训要素，针对性不强，对服务要求的贯彻不够全面，培训内容与货物特点关联不紧密，师资经验或配备不足，课程安排粗略，效果评价计划简单或可操作性较差的得4分；</w:t>
            </w:r>
            <w:r>
              <w:rPr>
                <w:highlight w:val="none"/>
              </w:rPr>
            </w:r>
            <w:r/>
          </w:p>
          <w:p>
            <w:pPr>
              <w:jc w:val="left"/>
              <w:spacing w:line="360" w:lineRule="auto"/>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szCs w:val="24"/>
                <w:highlight w:val="none"/>
              </w:rPr>
              <w:t xml:space="preserve">5、培训方案较粗略，内容至少覆盖以上3项培训要素，缺乏针对性，未能有效响应服务要求，培训内容未体现货物特点，师资力量薄弱或未明确，课程安排混乱或缺失，效果评价计划不具可行性的得3分；</w:t>
            </w:r>
            <w:r>
              <w:rPr>
                <w:highlight w:val="none"/>
              </w:rPr>
            </w:r>
            <w:r/>
          </w:p>
          <w:p>
            <w:pPr>
              <w:jc w:val="left"/>
              <w:spacing w:line="360" w:lineRule="auto"/>
              <w:rPr>
                <w:rFonts w:ascii="宋体" w:hAnsi="宋体" w:cs="宋体"/>
                <w:sz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szCs w:val="24"/>
                <w:highlight w:val="none"/>
              </w:rPr>
              <w:t xml:space="preserve">6、培训方案严重缺失，内容至少覆盖以上2项培训要素，几乎无针对性，未体现对服务要求的响应，培训内容与货物基本无关，无实质师资和人次说明，无明确课程安排，无效果评价计划的得2分。</w:t>
            </w:r>
            <w:r>
              <w:rPr>
                <w:highlight w:val="none"/>
              </w:rPr>
            </w:r>
            <w:r/>
          </w:p>
          <w:p>
            <w:pPr>
              <w:jc w:val="left"/>
              <w:spacing w:line="360" w:lineRule="auto"/>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b/>
                <w:bCs/>
                <w:sz w:val="24"/>
                <w:highlight w:val="none"/>
              </w:rPr>
              <w:t xml:space="preserve">未提供不得分。</w:t>
            </w:r>
            <w:r>
              <w:rPr>
                <w:highlight w:val="none"/>
              </w:rPr>
            </w:r>
            <w:r/>
          </w:p>
        </w:tc>
      </w:tr>
    </w:tbl>
    <w:p>
      <w:pPr>
        <w:ind w:firstLine="480"/>
        <w:spacing w:line="500" w:lineRule="exact"/>
        <w:rPr>
          <w:sz w:val="24"/>
          <w:highlight w:val="none"/>
        </w:rPr>
        <w:pBdr>
          <w:top w:val="none" w:color="auto" w:sz="0" w:space="1"/>
          <w:left w:val="none" w:color="auto" w:sz="0" w:space="4"/>
          <w:bottom w:val="none" w:color="auto" w:sz="0" w:space="1"/>
          <w:right w:val="none" w:color="auto" w:sz="0" w:space="4"/>
        </w:pBdr>
      </w:pPr>
      <w:r>
        <w:rPr>
          <w:sz w:val="24"/>
          <w:highlight w:val="none"/>
        </w:rPr>
      </w:r>
      <w:r>
        <w:rPr>
          <w:highlight w:val="none"/>
        </w:rPr>
      </w:r>
      <w:r/>
    </w:p>
    <w:p>
      <w:pPr>
        <w:ind w:firstLine="480"/>
        <w:spacing w:line="500" w:lineRule="exact"/>
        <w:rPr>
          <w:sz w:val="24"/>
          <w:highlight w:val="none"/>
        </w:rPr>
        <w:pBdr>
          <w:top w:val="none" w:color="auto" w:sz="0" w:space="1"/>
          <w:left w:val="none" w:color="auto" w:sz="0" w:space="4"/>
          <w:bottom w:val="none" w:color="auto" w:sz="0" w:space="1"/>
          <w:right w:val="none" w:color="auto" w:sz="0" w:space="4"/>
        </w:pBdr>
      </w:pPr>
      <w:r>
        <w:rPr>
          <w:sz w:val="24"/>
          <w:highlight w:val="none"/>
        </w:rPr>
        <w:t xml:space="preserve">（3）</w:t>
      </w:r>
      <w:r>
        <w:rPr>
          <w:rFonts w:hint="eastAsia"/>
          <w:sz w:val="24"/>
          <w:highlight w:val="none"/>
        </w:rPr>
        <w:t xml:space="preserve">商务</w:t>
      </w:r>
      <w:r>
        <w:rPr>
          <w:sz w:val="24"/>
          <w:highlight w:val="none"/>
        </w:rPr>
        <w:t xml:space="preserve">分（</w:t>
      </w:r>
      <w:r>
        <w:rPr>
          <w:rFonts w:hint="eastAsia"/>
          <w:sz w:val="24"/>
          <w:highlight w:val="none"/>
        </w:rPr>
        <w:t xml:space="preserve">48</w:t>
      </w:r>
      <w:r>
        <w:rPr>
          <w:sz w:val="24"/>
          <w:highlight w:val="none"/>
        </w:rPr>
        <w:t xml:space="preserve">分）</w:t>
      </w:r>
      <w:r>
        <w:rPr>
          <w:highlight w:val="none"/>
        </w:rPr>
      </w:r>
      <w:r/>
    </w:p>
    <w:tbl>
      <w:tblPr>
        <w:tblStyle w:val="734"/>
        <w:tblpPr w:horzAnchor="page" w:tblpX="1253" w:vertAnchor="text" w:tblpY="48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60"/>
        <w:gridCol w:w="7794"/>
      </w:tblGrid>
      <w:tr>
        <w:trPr>
          <w:trHeight w:val="882"/>
        </w:trPr>
        <w:tc>
          <w:tcPr>
            <w:tcBorders>
              <w:top w:val="single" w:color="auto" w:sz="4" w:space="0"/>
              <w:left w:val="single" w:color="auto" w:sz="4" w:space="0"/>
              <w:bottom w:val="single" w:color="auto" w:sz="4" w:space="0"/>
              <w:right w:val="single" w:color="auto" w:sz="4" w:space="0"/>
            </w:tcBorders>
            <w:tcW w:w="2060" w:type="dxa"/>
            <w:vAlign w:val="center"/>
            <w:textDirection w:val="lrTb"/>
            <w:noWrap w:val="false"/>
          </w:tcPr>
          <w:p>
            <w:pPr>
              <w:jc w:val="center"/>
              <w:spacing w:line="360" w:lineRule="auto"/>
              <w:rPr>
                <w:rFonts w:ascii="宋体" w:hAnsi="宋体" w:cs="宋体"/>
                <w:b/>
                <w:bCs/>
                <w:sz w:val="24"/>
                <w:highlight w:val="none"/>
              </w:rPr>
              <w:pBdr>
                <w:top w:val="none" w:color="auto" w:sz="0" w:space="1"/>
                <w:left w:val="none" w:color="auto" w:sz="0" w:space="4"/>
                <w:bottom w:val="none" w:color="auto" w:sz="0" w:space="1"/>
                <w:right w:val="none" w:color="auto" w:sz="0" w:space="4"/>
              </w:pBdr>
            </w:pPr>
            <w:r>
              <w:rPr>
                <w:rFonts w:ascii="宋体" w:hAnsi="宋体" w:cs="宋体"/>
                <w:b/>
                <w:bCs/>
                <w:sz w:val="24"/>
                <w:highlight w:val="none"/>
              </w:rPr>
              <w:t xml:space="preserve">评审细则</w:t>
            </w:r>
            <w:r>
              <w:rPr>
                <w:highlight w:val="none"/>
              </w:rPr>
            </w:r>
            <w:r/>
          </w:p>
          <w:p>
            <w:pPr>
              <w:jc w:val="center"/>
              <w:spacing w:line="360" w:lineRule="auto"/>
              <w:rPr>
                <w:rFonts w:ascii="宋体" w:hAnsi="宋体" w:cs="宋体"/>
                <w:sz w:val="24"/>
                <w:highlight w:val="none"/>
              </w:rPr>
              <w:pBdr>
                <w:top w:val="none" w:color="auto" w:sz="0" w:space="1"/>
                <w:left w:val="none" w:color="auto" w:sz="0" w:space="4"/>
                <w:bottom w:val="none" w:color="auto" w:sz="0" w:space="1"/>
                <w:right w:val="none" w:color="auto" w:sz="0" w:space="4"/>
              </w:pBdr>
            </w:pPr>
            <w:r>
              <w:rPr>
                <w:rFonts w:ascii="宋体" w:hAnsi="宋体" w:cs="宋体"/>
                <w:b/>
                <w:bCs/>
                <w:sz w:val="24"/>
                <w:highlight w:val="none"/>
              </w:rPr>
              <w:t xml:space="preserve">及分值</w:t>
            </w:r>
            <w:r>
              <w:rPr>
                <w:highlight w:val="none"/>
              </w:rPr>
            </w:r>
            <w:r/>
          </w:p>
        </w:tc>
        <w:tc>
          <w:tcPr>
            <w:tcBorders>
              <w:top w:val="single" w:color="auto" w:sz="4" w:space="0"/>
              <w:left w:val="single" w:color="auto" w:sz="4" w:space="0"/>
              <w:bottom w:val="single" w:color="auto" w:sz="4" w:space="0"/>
              <w:right w:val="single" w:color="auto" w:sz="4" w:space="0"/>
            </w:tcBorders>
            <w:tcW w:w="7794" w:type="dxa"/>
            <w:vAlign w:val="center"/>
            <w:textDirection w:val="lrTb"/>
            <w:noWrap w:val="false"/>
          </w:tcPr>
          <w:p>
            <w:pPr>
              <w:jc w:val="center"/>
              <w:spacing w:line="360" w:lineRule="auto"/>
              <w:rPr>
                <w:rFonts w:ascii="宋体" w:hAnsi="宋体" w:cs="宋体"/>
                <w:bCs/>
                <w:sz w:val="24"/>
                <w:highlight w:val="none"/>
              </w:rPr>
              <w:pBdr>
                <w:top w:val="none" w:color="auto" w:sz="0" w:space="1"/>
                <w:left w:val="none" w:color="auto" w:sz="0" w:space="4"/>
                <w:bottom w:val="none" w:color="auto" w:sz="0" w:space="1"/>
                <w:right w:val="none" w:color="auto" w:sz="0" w:space="4"/>
              </w:pBdr>
            </w:pPr>
            <w:r>
              <w:rPr>
                <w:rFonts w:ascii="宋体" w:hAnsi="宋体" w:cs="宋体"/>
                <w:b/>
                <w:bCs/>
                <w:sz w:val="24"/>
                <w:highlight w:val="none"/>
              </w:rPr>
              <w:t xml:space="preserve">评审标准</w:t>
            </w:r>
            <w:r>
              <w:rPr>
                <w:highlight w:val="none"/>
              </w:rPr>
            </w:r>
            <w:r/>
          </w:p>
        </w:tc>
      </w:tr>
      <w:tr>
        <w:trPr>
          <w:trHeight w:val="2514"/>
        </w:trPr>
        <w:tc>
          <w:tcPr>
            <w:tcBorders>
              <w:top w:val="single" w:color="auto" w:sz="4" w:space="0"/>
              <w:left w:val="single" w:color="auto" w:sz="4" w:space="0"/>
              <w:bottom w:val="single" w:color="auto" w:sz="4" w:space="0"/>
              <w:right w:val="single" w:color="auto" w:sz="4" w:space="0"/>
            </w:tcBorders>
            <w:tcW w:w="2060" w:type="dxa"/>
            <w:vAlign w:val="center"/>
            <w:textDirection w:val="lrTb"/>
            <w:noWrap w:val="false"/>
          </w:tcPr>
          <w:p>
            <w:pPr>
              <w:spacing w:line="360" w:lineRule="auto"/>
              <w:rPr>
                <w:rFonts w:ascii="宋体" w:hAnsi="宋体" w:cs="宋体"/>
                <w:sz w:val="24"/>
                <w:highlight w:val="none"/>
              </w:rPr>
              <w:pBdr>
                <w:top w:val="none" w:color="auto" w:sz="0" w:space="1"/>
                <w:left w:val="none" w:color="auto" w:sz="0" w:space="4"/>
                <w:bottom w:val="none" w:color="auto" w:sz="0" w:space="1"/>
                <w:right w:val="none" w:color="auto" w:sz="0" w:space="4"/>
              </w:pBdr>
            </w:pPr>
            <w:r>
              <w:rPr>
                <w:rFonts w:ascii="宋体" w:hAnsi="宋体" w:cs="宋体"/>
                <w:sz w:val="24"/>
                <w:highlight w:val="none"/>
              </w:rPr>
              <w:t xml:space="preserve">技术指标性能响应（</w:t>
            </w:r>
            <w:r>
              <w:rPr>
                <w:rFonts w:hint="eastAsia" w:ascii="宋体" w:hAnsi="宋体" w:cs="宋体"/>
                <w:sz w:val="24"/>
                <w:highlight w:val="none"/>
              </w:rPr>
              <w:t xml:space="preserve">45</w:t>
            </w:r>
            <w:r>
              <w:rPr>
                <w:rFonts w:ascii="宋体" w:hAnsi="宋体" w:cs="宋体"/>
                <w:sz w:val="24"/>
                <w:highlight w:val="none"/>
              </w:rPr>
              <w:t xml:space="preserve">分）</w:t>
            </w:r>
            <w:r>
              <w:rPr>
                <w:highlight w:val="none"/>
              </w:rPr>
            </w:r>
            <w:r/>
          </w:p>
        </w:tc>
        <w:tc>
          <w:tcPr>
            <w:tcBorders>
              <w:top w:val="single" w:color="auto" w:sz="4" w:space="0"/>
              <w:left w:val="single" w:color="auto" w:sz="4" w:space="0"/>
              <w:bottom w:val="single" w:color="auto" w:sz="4" w:space="0"/>
              <w:right w:val="single" w:color="auto" w:sz="4" w:space="0"/>
            </w:tcBorders>
            <w:tcW w:w="7794" w:type="dxa"/>
            <w:vAlign w:val="center"/>
            <w:textDirection w:val="lrTb"/>
            <w:noWrap w:val="false"/>
          </w:tcPr>
          <w:p>
            <w:pPr>
              <w:spacing w:line="360" w:lineRule="auto"/>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szCs w:val="24"/>
                <w:highlight w:val="none"/>
              </w:rPr>
              <w:t xml:space="preserve">完全满足采购文件技术参数要求的得45分；采购文件中标注“▲”的为重要参数，对这些重要参数负偏离的，每项扣3分；其他非重要参数负偏离的，每项扣0.1分，扣完为止。缺项漏项视为负偏离。</w:t>
            </w:r>
            <w:r>
              <w:rPr>
                <w:highlight w:val="none"/>
              </w:rPr>
            </w:r>
            <w:r/>
          </w:p>
          <w:p>
            <w:pPr>
              <w:spacing w:line="360" w:lineRule="auto"/>
              <w:rPr>
                <w:rFonts w:ascii="宋体" w:hAnsi="宋体" w:cs="宋体"/>
                <w:sz w:val="24"/>
                <w:highlight w:val="none"/>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highlight w:val="none"/>
              </w:rPr>
              <w:t xml:space="preserve">注：招标文件要求提供技术内容支撑资料的应完整，完善，无遗漏地提供，否则视为未响应。</w:t>
            </w:r>
            <w:r>
              <w:rPr>
                <w:highlight w:val="none"/>
              </w:rPr>
            </w:r>
            <w:r/>
          </w:p>
        </w:tc>
      </w:tr>
      <w:tr>
        <w:trPr>
          <w:trHeight w:val="1080"/>
        </w:trPr>
        <w:tc>
          <w:tcPr>
            <w:tcBorders>
              <w:top w:val="single" w:color="auto" w:sz="4" w:space="0"/>
              <w:left w:val="single" w:color="auto" w:sz="4" w:space="0"/>
              <w:bottom w:val="single" w:color="auto" w:sz="4" w:space="0"/>
              <w:right w:val="single" w:color="auto" w:sz="4" w:space="0"/>
            </w:tcBorders>
            <w:tcW w:w="2060" w:type="dxa"/>
            <w:vAlign w:val="center"/>
            <w:textDirection w:val="lrTb"/>
            <w:noWrap w:val="false"/>
          </w:tcPr>
          <w:p>
            <w:pPr>
              <w:jc w:val="center"/>
              <w:spacing w:line="360" w:lineRule="auto"/>
              <w:rPr>
                <w:rFonts w:ascii="宋体" w:hAnsi="宋体" w:cs="宋体"/>
                <w:sz w:val="24"/>
                <w:highlight w:val="none"/>
              </w:rPr>
              <w:pBdr>
                <w:top w:val="none" w:color="auto" w:sz="0" w:space="1"/>
                <w:left w:val="none" w:color="auto" w:sz="0" w:space="4"/>
                <w:bottom w:val="none" w:color="auto" w:sz="0" w:space="1"/>
                <w:right w:val="none" w:color="auto" w:sz="0" w:space="4"/>
              </w:pBdr>
            </w:pPr>
            <w:r>
              <w:rPr>
                <w:rFonts w:ascii="宋体" w:hAnsi="宋体" w:cs="宋体"/>
                <w:sz w:val="24"/>
                <w:highlight w:val="none"/>
              </w:rPr>
              <w:t xml:space="preserve">类似项目业绩（</w:t>
            </w:r>
            <w:r>
              <w:rPr>
                <w:rFonts w:hint="eastAsia" w:ascii="宋体" w:hAnsi="宋体" w:cs="宋体"/>
                <w:sz w:val="24"/>
                <w:highlight w:val="none"/>
              </w:rPr>
              <w:t xml:space="preserve">3</w:t>
            </w:r>
            <w:r>
              <w:rPr>
                <w:rFonts w:ascii="宋体" w:hAnsi="宋体" w:cs="宋体"/>
                <w:sz w:val="24"/>
                <w:highlight w:val="none"/>
              </w:rPr>
              <w:t xml:space="preserve">分）</w:t>
            </w:r>
            <w:r>
              <w:rPr>
                <w:highlight w:val="none"/>
              </w:rPr>
            </w:r>
            <w:r/>
          </w:p>
        </w:tc>
        <w:tc>
          <w:tcPr>
            <w:tcBorders>
              <w:top w:val="single" w:color="auto" w:sz="4" w:space="0"/>
              <w:left w:val="single" w:color="auto" w:sz="4" w:space="0"/>
              <w:bottom w:val="single" w:color="auto" w:sz="4" w:space="0"/>
              <w:right w:val="single" w:color="auto" w:sz="4" w:space="0"/>
            </w:tcBorders>
            <w:tcW w:w="7794" w:type="dxa"/>
            <w:vAlign w:val="center"/>
            <w:textDirection w:val="lrTb"/>
            <w:noWrap w:val="false"/>
          </w:tcPr>
          <w:p>
            <w:pPr>
              <w:spacing w:line="360" w:lineRule="auto"/>
              <w:rPr>
                <w:rFonts w:ascii="宋体" w:hAnsi="宋体" w:cs="宋体"/>
                <w:sz w:val="24"/>
                <w:highlight w:val="none"/>
              </w:rPr>
              <w:pBdr>
                <w:top w:val="none" w:color="auto" w:sz="0" w:space="1"/>
                <w:left w:val="none" w:color="auto" w:sz="0" w:space="4"/>
                <w:bottom w:val="none" w:color="auto" w:sz="0" w:space="1"/>
                <w:right w:val="none" w:color="auto" w:sz="0" w:space="4"/>
              </w:pBdr>
            </w:pPr>
            <w:r>
              <w:rPr>
                <w:rFonts w:ascii="宋体" w:hAnsi="宋体" w:cs="宋体"/>
                <w:sz w:val="24"/>
                <w:highlight w:val="none"/>
              </w:rPr>
              <w:t xml:space="preserve">所投同类型产品2023年1月1日以来的业绩，每提供一份业绩得1</w:t>
            </w:r>
            <w:r>
              <w:rPr>
                <w:rFonts w:hint="eastAsia" w:ascii="宋体" w:hAnsi="宋体" w:cs="宋体"/>
                <w:sz w:val="24"/>
                <w:highlight w:val="none"/>
              </w:rPr>
              <w:t xml:space="preserve">.5</w:t>
            </w:r>
            <w:r>
              <w:rPr>
                <w:rFonts w:ascii="宋体" w:hAnsi="宋体" w:cs="宋体"/>
                <w:sz w:val="24"/>
                <w:highlight w:val="none"/>
              </w:rPr>
              <w:t xml:space="preserve">分，最多得</w:t>
            </w:r>
            <w:r>
              <w:rPr>
                <w:rFonts w:hint="eastAsia" w:ascii="宋体" w:hAnsi="宋体" w:cs="宋体"/>
                <w:sz w:val="24"/>
                <w:highlight w:val="none"/>
              </w:rPr>
              <w:t xml:space="preserve">3</w:t>
            </w:r>
            <w:r>
              <w:rPr>
                <w:rFonts w:ascii="宋体" w:hAnsi="宋体" w:cs="宋体"/>
                <w:sz w:val="24"/>
                <w:highlight w:val="none"/>
              </w:rPr>
              <w:t xml:space="preserve">分</w:t>
            </w:r>
            <w:r>
              <w:rPr>
                <w:highlight w:val="none"/>
              </w:rPr>
            </w:r>
            <w:r/>
          </w:p>
          <w:p>
            <w:pPr>
              <w:spacing w:line="360" w:lineRule="auto"/>
              <w:rPr>
                <w:rFonts w:ascii="MS Mincho"/>
                <w:highlight w:val="none"/>
              </w:rPr>
              <w:pBdr>
                <w:top w:val="none" w:color="auto" w:sz="0" w:space="1"/>
                <w:left w:val="none" w:color="auto" w:sz="0" w:space="4"/>
                <w:bottom w:val="none" w:color="auto" w:sz="0" w:space="1"/>
                <w:right w:val="none" w:color="auto" w:sz="0" w:space="4"/>
              </w:pBdr>
            </w:pPr>
            <w:r>
              <w:rPr>
                <w:rFonts w:hint="eastAsia" w:ascii="宋体" w:hAnsi="宋体" w:cs="宋体"/>
                <w:sz w:val="24"/>
                <w:highlight w:val="none"/>
              </w:rPr>
              <w:t xml:space="preserve">注：</w:t>
            </w:r>
            <w:r>
              <w:rPr>
                <w:rFonts w:ascii="宋体" w:hAnsi="宋体" w:cs="宋体"/>
                <w:sz w:val="24"/>
                <w:highlight w:val="none"/>
              </w:rPr>
              <w:t xml:space="preserve">提供合同扫描件加盖供应商公章,时间以合同所示时间为准</w:t>
            </w:r>
            <w:r>
              <w:rPr>
                <w:rFonts w:hint="eastAsia" w:ascii="宋体" w:hAnsi="宋体" w:cs="宋体"/>
                <w:sz w:val="24"/>
                <w:highlight w:val="none"/>
              </w:rPr>
              <w:t xml:space="preserve">。</w:t>
            </w:r>
            <w:r>
              <w:rPr>
                <w:highlight w:val="none"/>
              </w:rPr>
            </w:r>
            <w:r/>
          </w:p>
        </w:tc>
      </w:tr>
    </w:tbl>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rPr>
          <w:highlight w:val="none"/>
        </w:rPr>
      </w:r>
      <w:r/>
    </w:p>
    <w:p>
      <w:pPr>
        <w:jc w:val="left"/>
        <w:widowControl/>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br w:type="page" w:clear="all"/>
      </w:r>
      <w:r>
        <w:rPr>
          <w:highlight w:val="none"/>
        </w:rPr>
      </w:r>
      <w:r/>
    </w:p>
    <w:p>
      <w:pPr>
        <w:pStyle w:val="933"/>
        <w:jc w:val="center"/>
        <w:spacing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highlight w:val="none"/>
        </w:rPr>
      </w:r>
      <w:bookmarkStart w:id="15" w:name="_Toc165205799"/>
      <w:r>
        <w:rPr>
          <w:rFonts w:hint="eastAsia" w:ascii="黑体" w:hAnsi="黑体" w:eastAsia="黑体"/>
          <w:b w:val="0"/>
          <w:highlight w:val="none"/>
        </w:rPr>
        <w:t xml:space="preserve">第六章  投标文件格式</w:t>
      </w:r>
      <w:bookmarkEnd w:id="15"/>
      <w:r>
        <w:rPr>
          <w:highlight w:val="none"/>
        </w:rPr>
      </w:r>
      <w:r/>
    </w:p>
    <w:p>
      <w:pPr>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rPr>
          <w:highlight w:val="none"/>
        </w:rPr>
      </w:r>
      <w:r/>
    </w:p>
    <w:p>
      <w:pPr>
        <w:jc w:val="center"/>
        <w:rPr>
          <w:rFonts w:ascii="宋体" w:hAnsi="宋体"/>
          <w:b/>
          <w:color w:val="000000"/>
          <w:sz w:val="72"/>
          <w:szCs w:val="21"/>
          <w:highlight w:val="none"/>
        </w:rPr>
        <w:pBdr>
          <w:top w:val="none" w:color="auto" w:sz="0" w:space="1"/>
          <w:left w:val="none" w:color="auto" w:sz="0" w:space="4"/>
          <w:bottom w:val="none" w:color="auto" w:sz="0" w:space="1"/>
          <w:right w:val="none" w:color="auto" w:sz="0" w:space="4"/>
        </w:pBdr>
      </w:pPr>
      <w:r>
        <w:rPr>
          <w:rFonts w:ascii="宋体" w:hAnsi="宋体"/>
          <w:b/>
          <w:color w:val="000000"/>
          <w:sz w:val="72"/>
          <w:szCs w:val="21"/>
          <w:highlight w:val="none"/>
        </w:rPr>
      </w:r>
      <w:r>
        <w:rPr>
          <w:highlight w:val="none"/>
        </w:rPr>
      </w:r>
      <w:r/>
    </w:p>
    <w:p>
      <w:pPr>
        <w:jc w:val="center"/>
        <w:rPr>
          <w:rFonts w:ascii="宋体" w:hAnsi="宋体"/>
          <w:b/>
          <w:color w:val="000000"/>
          <w:sz w:val="72"/>
          <w:szCs w:val="21"/>
          <w:highlight w:val="none"/>
        </w:rPr>
        <w:pBdr>
          <w:top w:val="none" w:color="auto" w:sz="0" w:space="1"/>
          <w:left w:val="none" w:color="auto" w:sz="0" w:space="4"/>
          <w:bottom w:val="none" w:color="auto" w:sz="0" w:space="1"/>
          <w:right w:val="none" w:color="auto" w:sz="0" w:space="4"/>
        </w:pBdr>
      </w:pPr>
      <w:r>
        <w:rPr>
          <w:rFonts w:hint="eastAsia" w:ascii="宋体" w:hAnsi="宋体"/>
          <w:b/>
          <w:color w:val="000000"/>
          <w:sz w:val="72"/>
          <w:szCs w:val="21"/>
          <w:highlight w:val="none"/>
        </w:rPr>
        <w:t xml:space="preserve">投  标  文  件</w:t>
      </w:r>
      <w:r>
        <w:rPr>
          <w:highlight w:val="none"/>
        </w:rPr>
      </w:r>
      <w:r/>
    </w:p>
    <w:p>
      <w:pPr>
        <w:jc w:val="center"/>
        <w:rPr>
          <w:rFonts w:ascii="宋体" w:hAnsi="宋体"/>
          <w:b/>
          <w:color w:val="000000"/>
          <w:sz w:val="72"/>
          <w:szCs w:val="21"/>
          <w:highlight w:val="none"/>
        </w:rPr>
        <w:pBdr>
          <w:top w:val="none" w:color="auto" w:sz="0" w:space="1"/>
          <w:left w:val="none" w:color="auto" w:sz="0" w:space="4"/>
          <w:bottom w:val="none" w:color="auto" w:sz="0" w:space="1"/>
          <w:right w:val="none" w:color="auto" w:sz="0" w:space="4"/>
        </w:pBdr>
      </w:pPr>
      <w:r>
        <w:rPr>
          <w:rFonts w:ascii="宋体" w:hAnsi="宋体"/>
          <w:b/>
          <w:color w:val="000000"/>
          <w:sz w:val="72"/>
          <w:szCs w:val="21"/>
          <w:highlight w:val="none"/>
        </w:rPr>
      </w:r>
      <w:r>
        <w:rPr>
          <w:highlight w:val="none"/>
        </w:rPr>
      </w:r>
      <w:r/>
    </w:p>
    <w:p>
      <w:pPr>
        <w:jc w:val="center"/>
        <w:rPr>
          <w:rFonts w:ascii="宋体" w:hAnsi="宋体"/>
          <w:b/>
          <w:color w:val="000000"/>
          <w:sz w:val="72"/>
          <w:szCs w:val="21"/>
          <w:highlight w:val="none"/>
        </w:rPr>
        <w:pBdr>
          <w:top w:val="none" w:color="auto" w:sz="0" w:space="1"/>
          <w:left w:val="none" w:color="auto" w:sz="0" w:space="4"/>
          <w:bottom w:val="none" w:color="auto" w:sz="0" w:space="1"/>
          <w:right w:val="none" w:color="auto" w:sz="0" w:space="4"/>
        </w:pBdr>
      </w:pPr>
      <w:r>
        <w:rPr>
          <w:rFonts w:ascii="宋体" w:hAnsi="宋体"/>
          <w:b/>
          <w:color w:val="000000"/>
          <w:sz w:val="72"/>
          <w:szCs w:val="21"/>
          <w:highlight w:val="none"/>
        </w:rPr>
      </w:r>
      <w:r>
        <w:rPr>
          <w:highlight w:val="none"/>
        </w:rPr>
      </w:r>
      <w:r/>
    </w:p>
    <w:p>
      <w:pPr>
        <w:jc w:val="center"/>
        <w:rPr>
          <w:rFonts w:ascii="宋体" w:hAnsi="宋体"/>
          <w:b/>
          <w:color w:val="000000"/>
          <w:sz w:val="36"/>
          <w:szCs w:val="21"/>
          <w:highlight w:val="none"/>
        </w:rPr>
        <w:pBdr>
          <w:top w:val="none" w:color="auto" w:sz="0" w:space="1"/>
          <w:left w:val="none" w:color="auto" w:sz="0" w:space="4"/>
          <w:bottom w:val="none" w:color="auto" w:sz="0" w:space="1"/>
          <w:right w:val="none" w:color="auto" w:sz="0" w:space="4"/>
        </w:pBdr>
      </w:pPr>
      <w:r>
        <w:rPr>
          <w:rFonts w:ascii="宋体" w:hAnsi="宋体"/>
          <w:b/>
          <w:color w:val="000000"/>
          <w:sz w:val="36"/>
          <w:szCs w:val="21"/>
          <w:highlight w:val="none"/>
        </w:rPr>
      </w:r>
      <w:r>
        <w:rPr>
          <w:highlight w:val="none"/>
        </w:rPr>
      </w:r>
      <w:r/>
    </w:p>
    <w:p>
      <w:pPr>
        <w:jc w:val="center"/>
        <w:rPr>
          <w:rFonts w:ascii="宋体" w:hAnsi="宋体"/>
          <w:b/>
          <w:color w:val="000000"/>
          <w:sz w:val="36"/>
          <w:szCs w:val="21"/>
          <w:highlight w:val="none"/>
        </w:rPr>
        <w:pBdr>
          <w:top w:val="none" w:color="auto" w:sz="0" w:space="1"/>
          <w:left w:val="none" w:color="auto" w:sz="0" w:space="4"/>
          <w:bottom w:val="none" w:color="auto" w:sz="0" w:space="1"/>
          <w:right w:val="none" w:color="auto" w:sz="0" w:space="4"/>
        </w:pBdr>
      </w:pPr>
      <w:r>
        <w:rPr>
          <w:rFonts w:ascii="宋体" w:hAnsi="宋体"/>
          <w:b/>
          <w:color w:val="000000"/>
          <w:sz w:val="36"/>
          <w:szCs w:val="21"/>
          <w:highlight w:val="none"/>
        </w:rPr>
      </w:r>
      <w:r>
        <w:rPr>
          <w:highlight w:val="none"/>
        </w:rPr>
      </w:r>
      <w:r/>
    </w:p>
    <w:p>
      <w:pPr>
        <w:jc w:val="center"/>
        <w:rPr>
          <w:rFonts w:ascii="宋体" w:hAnsi="宋体"/>
          <w:b/>
          <w:color w:val="000000"/>
          <w:sz w:val="36"/>
          <w:szCs w:val="21"/>
          <w:highlight w:val="none"/>
        </w:rPr>
        <w:pBdr>
          <w:top w:val="none" w:color="auto" w:sz="0" w:space="1"/>
          <w:left w:val="none" w:color="auto" w:sz="0" w:space="4"/>
          <w:bottom w:val="none" w:color="auto" w:sz="0" w:space="1"/>
          <w:right w:val="none" w:color="auto" w:sz="0" w:space="4"/>
        </w:pBdr>
      </w:pPr>
      <w:r>
        <w:rPr>
          <w:rFonts w:ascii="宋体" w:hAnsi="宋体"/>
          <w:b/>
          <w:color w:val="000000"/>
          <w:sz w:val="36"/>
          <w:szCs w:val="21"/>
          <w:highlight w:val="none"/>
        </w:rPr>
      </w:r>
      <w:r>
        <w:rPr>
          <w:highlight w:val="none"/>
        </w:rPr>
      </w:r>
      <w:r/>
    </w:p>
    <w:p>
      <w:pPr>
        <w:ind w:firstLine="1084"/>
        <w:rPr>
          <w:rFonts w:ascii="宋体" w:hAnsi="宋体"/>
          <w:b/>
          <w:color w:val="000000"/>
          <w:sz w:val="36"/>
          <w:szCs w:val="21"/>
          <w:highlight w:val="non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21"/>
          <w:highlight w:val="none"/>
        </w:rPr>
        <w:t xml:space="preserve">项 目 名 称：</w:t>
      </w:r>
      <w:r>
        <w:rPr>
          <w:highlight w:val="none"/>
        </w:rPr>
      </w:r>
      <w:r/>
    </w:p>
    <w:p>
      <w:pPr>
        <w:ind w:firstLine="1084"/>
        <w:rPr>
          <w:rFonts w:ascii="宋体" w:hAnsi="宋体"/>
          <w:b/>
          <w:color w:val="000000"/>
          <w:sz w:val="36"/>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21"/>
          <w:highlight w:val="none"/>
        </w:rPr>
        <w:t xml:space="preserve">项 目 编 号：</w:t>
      </w:r>
      <w:r>
        <w:rPr>
          <w:highlight w:val="none"/>
        </w:rPr>
      </w:r>
      <w:r/>
    </w:p>
    <w:p>
      <w:pPr>
        <w:rPr>
          <w:rFonts w:ascii="宋体" w:hAnsi="宋体"/>
          <w:b/>
          <w:color w:val="000000"/>
          <w:sz w:val="36"/>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21"/>
          <w:highlight w:val="none"/>
        </w:rPr>
        <w:t xml:space="preserve">      供应商名称 ：</w:t>
      </w:r>
      <w:r>
        <w:rPr>
          <w:rFonts w:hint="eastAsia" w:ascii="宋体" w:hAnsi="宋体"/>
          <w:b/>
          <w:color w:val="000000"/>
          <w:sz w:val="36"/>
          <w:szCs w:val="21"/>
          <w:highlight w:val="none"/>
          <w:u w:val="single"/>
        </w:rPr>
        <w:t xml:space="preserve">（加盖CA电子公章）</w:t>
      </w:r>
      <w:r>
        <w:rPr>
          <w:highlight w:val="none"/>
        </w:rPr>
      </w:r>
      <w:r/>
    </w:p>
    <w:p>
      <w:pPr>
        <w:rPr>
          <w:rFonts w:ascii="宋体" w:hAnsi="宋体"/>
          <w:b/>
          <w:color w:val="000000"/>
          <w:sz w:val="36"/>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21"/>
          <w:highlight w:val="none"/>
        </w:rPr>
        <w:t xml:space="preserve">      日      期 ：</w:t>
      </w:r>
      <w:r>
        <w:rPr>
          <w:highlight w:val="none"/>
        </w:rPr>
      </w:r>
      <w:r/>
    </w:p>
    <w:p>
      <w:pPr>
        <w:jc w:val="center"/>
        <w:spacing w:line="440" w:lineRule="exact"/>
        <w:rPr>
          <w:rFonts w:ascii="宋体" w:hAnsi="宋体"/>
          <w:b/>
          <w:bCs/>
          <w:color w:val="000000"/>
          <w:sz w:val="32"/>
          <w:szCs w:val="32"/>
          <w:highlight w:val="none"/>
        </w:rPr>
        <w:pBdr>
          <w:top w:val="none" w:color="auto" w:sz="0" w:space="1"/>
          <w:left w:val="none" w:color="auto" w:sz="0" w:space="4"/>
          <w:bottom w:val="none" w:color="auto" w:sz="0" w:space="1"/>
          <w:right w:val="none" w:color="auto" w:sz="0" w:space="4"/>
        </w:pBdr>
      </w:pPr>
      <w:r>
        <w:rPr>
          <w:rFonts w:ascii="宋体" w:hAnsi="宋体"/>
          <w:b/>
          <w:bCs/>
          <w:color w:val="000000"/>
          <w:sz w:val="32"/>
          <w:szCs w:val="32"/>
          <w:highlight w:val="none"/>
        </w:rPr>
      </w:r>
      <w:r>
        <w:rPr>
          <w:highlight w:val="none"/>
        </w:rPr>
      </w:r>
      <w:r/>
    </w:p>
    <w:p>
      <w:pPr>
        <w:spacing w:line="44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ascii="宋体" w:hAnsi="宋体"/>
          <w:color w:val="000000"/>
          <w:szCs w:val="21"/>
          <w:highlight w:val="none"/>
        </w:rPr>
      </w:r>
      <w:r>
        <w:rPr>
          <w:highlight w:val="none"/>
        </w:rPr>
      </w:r>
      <w:r/>
    </w:p>
    <w:p>
      <w:pPr>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rPr>
          <w:highlight w:val="none"/>
        </w:rPr>
      </w:r>
      <w:r/>
    </w:p>
    <w:p>
      <w:pPr>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rPr>
          <w:highlight w:val="none"/>
        </w:rPr>
      </w:r>
      <w:r/>
    </w:p>
    <w:p>
      <w:pPr>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rPr>
          <w:highlight w:val="none"/>
        </w:rPr>
      </w:r>
      <w:r/>
    </w:p>
    <w:p>
      <w:pPr>
        <w:jc w:val="left"/>
        <w:widowControl/>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br w:type="page" w:clear="all"/>
      </w:r>
      <w:r>
        <w:rPr>
          <w:highlight w:val="none"/>
        </w:rPr>
      </w:r>
      <w:r/>
    </w:p>
    <w:p>
      <w:pPr>
        <w:jc w:val="left"/>
        <w:keepLines/>
        <w:keepNext/>
        <w:spacing w:before="360" w:after="200" w:line="360" w:lineRule="auto"/>
        <w:rPr>
          <w:rFonts w:ascii="宋体" w:hAnsi="宋体" w:cs="宋体"/>
          <w:i/>
          <w:sz w:val="36"/>
          <w:szCs w:val="36"/>
          <w:highlight w:val="none"/>
          <w:u w:val="single"/>
        </w:rPr>
        <w:pBdr>
          <w:top w:val="none" w:color="auto" w:sz="0" w:space="1"/>
          <w:left w:val="none" w:color="auto" w:sz="0" w:space="4"/>
          <w:bottom w:val="none" w:color="auto" w:sz="0" w:space="1"/>
          <w:right w:val="none" w:color="auto" w:sz="0" w:space="4"/>
        </w:pBdr>
        <w:outlineLvl w:val="1"/>
      </w:pPr>
      <w:r>
        <w:rPr>
          <w:rFonts w:hint="eastAsia" w:ascii="宋体" w:hAnsi="宋体" w:cs="宋体"/>
          <w:i/>
          <w:sz w:val="36"/>
          <w:szCs w:val="36"/>
          <w:highlight w:val="none"/>
          <w:u w:val="single"/>
        </w:rPr>
        <w:t xml:space="preserve">一、法人或者其他组织的营业执照等证明文件，自然人的身份证明</w:t>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jc w:val="left"/>
        <w:keepLines/>
        <w:keepNext/>
        <w:spacing w:before="360" w:after="200" w:line="360" w:lineRule="auto"/>
        <w:rPr>
          <w:rFonts w:ascii="Arial" w:hAnsi="Arial" w:cs="Arial"/>
          <w:i/>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sz w:val="36"/>
          <w:highlight w:val="none"/>
          <w:u w:val="single"/>
        </w:rPr>
        <w:t xml:space="preserve">二、2024或2025年度的财务状况报告</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（成立不满一年无需提供）</w:t>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三、依法缴纳税收和社会保障资金的相关材料</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（提供提交投标文件截止时间前一年内至少一个月依法缴纳税收及缴纳社会保障资金的证明材料，供应商依法享受缓缴、免缴税收、社会保障资金的提供证明材料）</w:t>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jc w:val="center"/>
        <w:spacing w:line="360" w:lineRule="auto"/>
        <w:rPr>
          <w:rFonts w:ascii="黑体" w:hAnsi="黑体" w:eastAsia="黑体" w:cs="宋体"/>
          <w:bCs/>
          <w:sz w:val="36"/>
          <w:szCs w:val="28"/>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财务状况报告及税收、社会保障资金缴纳情况承诺函</w:t>
      </w:r>
      <w:r>
        <w:rPr>
          <w:highlight w:val="none"/>
        </w:rPr>
      </w:r>
      <w:r/>
    </w:p>
    <w:p>
      <w:pPr>
        <w:jc w:val="left"/>
        <w:rPr>
          <w:rFonts w:ascii="MS Mincho"/>
          <w:color w:val="000000"/>
          <w:szCs w:val="24"/>
          <w:highlight w:val="none"/>
        </w:rPr>
        <w:pBdr>
          <w:top w:val="none" w:color="auto" w:sz="0" w:space="1"/>
          <w:left w:val="none" w:color="auto" w:sz="0" w:space="4"/>
          <w:bottom w:val="none" w:color="auto" w:sz="0" w:space="1"/>
          <w:right w:val="none" w:color="auto" w:sz="0" w:space="4"/>
        </w:pBdr>
      </w:pPr>
      <w:r>
        <w:rPr>
          <w:rFonts w:ascii="MS Mincho"/>
          <w:color w:val="000000"/>
          <w:szCs w:val="24"/>
          <w:highlight w:val="none"/>
        </w:rPr>
      </w:r>
      <w:r>
        <w:rPr>
          <w:highlight w:val="none"/>
        </w:rPr>
      </w:r>
      <w:r/>
    </w:p>
    <w:p>
      <w:pPr>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致：</w:t>
      </w:r>
      <w:r>
        <w:rPr>
          <w:rFonts w:hint="eastAsia"/>
          <w:i/>
          <w:sz w:val="24"/>
          <w:szCs w:val="24"/>
          <w:highlight w:val="none"/>
          <w:u w:val="single"/>
        </w:rPr>
        <w:t xml:space="preserve">采购人名称</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我方</w:t>
      </w:r>
      <w:r>
        <w:rPr>
          <w:rFonts w:hint="eastAsia"/>
          <w:i/>
          <w:sz w:val="24"/>
          <w:szCs w:val="24"/>
          <w:highlight w:val="none"/>
          <w:u w:val="single"/>
        </w:rPr>
        <w:t xml:space="preserve">供应商名称</w:t>
      </w:r>
      <w:r>
        <w:rPr>
          <w:rFonts w:hint="eastAsia"/>
          <w:sz w:val="24"/>
          <w:szCs w:val="24"/>
          <w:highlight w:val="none"/>
        </w:rPr>
        <w:t xml:space="preserve">参加</w:t>
      </w:r>
      <w:r>
        <w:rPr>
          <w:rFonts w:hint="eastAsia"/>
          <w:i/>
          <w:sz w:val="24"/>
          <w:szCs w:val="24"/>
          <w:highlight w:val="none"/>
          <w:u w:val="single"/>
        </w:rPr>
        <w:t xml:space="preserve">项目名称</w:t>
      </w:r>
      <w:r>
        <w:rPr>
          <w:rFonts w:hint="eastAsia"/>
          <w:sz w:val="24"/>
          <w:szCs w:val="24"/>
          <w:highlight w:val="none"/>
        </w:rPr>
        <w:t xml:space="preserve">（项目编号：</w:t>
      </w:r>
      <w:r>
        <w:rPr>
          <w:rFonts w:hint="eastAsia"/>
          <w:i/>
          <w:sz w:val="24"/>
          <w:szCs w:val="24"/>
          <w:highlight w:val="none"/>
          <w:u w:val="single"/>
        </w:rPr>
        <w:t xml:space="preserve">项目编号</w:t>
      </w:r>
      <w:r>
        <w:rPr>
          <w:rFonts w:hint="eastAsia"/>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（1）具有良好的商业信誉和健全的财务会计制度（财务状况报告）；</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（2）有依法缴纳税收和社会保障资金的良好记录。</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特此承诺</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供应商（公章）：</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法定代表人</w:t>
      </w:r>
      <w:r>
        <w:rPr>
          <w:sz w:val="24"/>
          <w:szCs w:val="24"/>
          <w:highlight w:val="none"/>
        </w:rPr>
        <w:t xml:space="preserve">（单位负责人）</w:t>
      </w:r>
      <w:r>
        <w:rPr>
          <w:rFonts w:hint="eastAsia"/>
          <w:sz w:val="24"/>
          <w:szCs w:val="24"/>
          <w:highlight w:val="none"/>
        </w:rPr>
        <w:t xml:space="preserve">或委托代理人（签名或签章）：</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日期：    年     月     日</w:t>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四、具备履行合同所必需的设备和专业技术能力的声明及证明材料</w:t>
      </w:r>
      <w:r>
        <w:rPr>
          <w:highlight w:val="none"/>
        </w:rPr>
      </w:r>
      <w:r/>
    </w:p>
    <w:p>
      <w:pPr>
        <w:jc w:val="center"/>
        <w:spacing w:line="460" w:lineRule="exact"/>
        <w:rPr>
          <w:sz w:val="24"/>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具备履行合同所必需的设备和专业技术能力的声明及证明材料</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我单位郑重声明：我单位具备履行本项采购合同所必需的设备和专业技术能力，为履行本项采购合同我公司具备如下主要设备和主要专业技术能力：</w:t>
      </w:r>
      <w:r>
        <w:rPr>
          <w:highlight w:val="none"/>
        </w:rPr>
      </w:r>
      <w:r/>
    </w:p>
    <w:p>
      <w:pPr>
        <w:ind w:firstLine="480"/>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主要设备有：</w:t>
      </w:r>
      <w:r>
        <w:rPr>
          <w:rFonts w:hint="eastAsia"/>
          <w:sz w:val="24"/>
          <w:szCs w:val="24"/>
          <w:highlight w:val="none"/>
          <w:u w:val="single"/>
        </w:rPr>
        <w:t xml:space="preserve">                   </w:t>
      </w:r>
      <w:r>
        <w:rPr>
          <w:rFonts w:hint="eastAsia"/>
          <w:sz w:val="24"/>
          <w:szCs w:val="24"/>
          <w:highlight w:val="none"/>
        </w:rPr>
        <w:t xml:space="preserve">。（须附证明材料）</w:t>
      </w:r>
      <w:r>
        <w:rPr>
          <w:highlight w:val="none"/>
        </w:rPr>
      </w:r>
      <w:r/>
    </w:p>
    <w:p>
      <w:pPr>
        <w:jc w:val="left"/>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rPr>
          <w:highlight w:val="none"/>
        </w:rPr>
      </w:r>
      <w:r/>
    </w:p>
    <w:p>
      <w:pPr>
        <w:ind w:firstLine="480"/>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主要专业技术能力有：</w:t>
      </w:r>
      <w:r>
        <w:rPr>
          <w:rFonts w:hint="eastAsia"/>
          <w:sz w:val="24"/>
          <w:szCs w:val="24"/>
          <w:highlight w:val="none"/>
          <w:u w:val="single"/>
        </w:rPr>
        <w:t xml:space="preserve">                       </w:t>
      </w:r>
      <w:r>
        <w:rPr>
          <w:rFonts w:hint="eastAsia"/>
          <w:sz w:val="24"/>
          <w:szCs w:val="24"/>
          <w:highlight w:val="none"/>
        </w:rPr>
        <w:t xml:space="preserve">。（须附证明材料）</w:t>
      </w:r>
      <w:r>
        <w:rPr>
          <w:highlight w:val="none"/>
        </w:rPr>
      </w:r>
      <w:r/>
    </w:p>
    <w:p>
      <w:pPr>
        <w:ind w:firstLine="480"/>
        <w:spacing w:line="360" w:lineRule="auto"/>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rPr>
          <w:highlight w:val="none"/>
        </w:rPr>
      </w:r>
      <w:r/>
    </w:p>
    <w:p>
      <w:pPr>
        <w:ind w:firstLine="480"/>
        <w:spacing w:line="360" w:lineRule="auto"/>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rPr>
          <w:highlight w:val="none"/>
        </w:rPr>
      </w:r>
      <w:r/>
    </w:p>
    <w:p>
      <w:pPr>
        <w:ind w:firstLine="480"/>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供应商（盖章）：</w:t>
      </w:r>
      <w:r>
        <w:rPr>
          <w:highlight w:val="none"/>
        </w:rPr>
      </w:r>
      <w:r/>
    </w:p>
    <w:p>
      <w:pPr>
        <w:ind w:firstLine="480"/>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法定代表人</w:t>
      </w:r>
      <w:r>
        <w:rPr>
          <w:sz w:val="24"/>
          <w:szCs w:val="24"/>
          <w:highlight w:val="none"/>
        </w:rPr>
        <w:t xml:space="preserve">（单位负责人）</w:t>
      </w:r>
      <w:r>
        <w:rPr>
          <w:rFonts w:hint="eastAsia"/>
          <w:sz w:val="24"/>
          <w:szCs w:val="24"/>
          <w:highlight w:val="none"/>
        </w:rPr>
        <w:t xml:space="preserve">或委托代理人（签字或盖章）：</w:t>
      </w:r>
      <w:r>
        <w:rPr>
          <w:highlight w:val="none"/>
        </w:rPr>
      </w:r>
      <w:r/>
    </w:p>
    <w:p>
      <w:pPr>
        <w:ind w:firstLine="480"/>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日期：    年     月     日</w:t>
      </w:r>
      <w:r>
        <w:rPr>
          <w:highlight w:val="none"/>
        </w:rPr>
      </w:r>
      <w:r/>
    </w:p>
    <w:p>
      <w:pPr>
        <w:jc w:val="left"/>
        <w:rPr>
          <w:rFonts w:ascii="MS Mincho"/>
          <w:color w:val="000000"/>
          <w:szCs w:val="24"/>
          <w:highlight w:val="none"/>
        </w:rPr>
        <w:pBdr>
          <w:top w:val="none" w:color="auto" w:sz="0" w:space="1"/>
          <w:left w:val="none" w:color="auto" w:sz="0" w:space="4"/>
          <w:bottom w:val="none" w:color="auto" w:sz="0" w:space="1"/>
          <w:right w:val="none" w:color="auto" w:sz="0" w:space="4"/>
        </w:pBdr>
      </w:pPr>
      <w:r>
        <w:rPr>
          <w:rFonts w:ascii="MS Mincho"/>
          <w:color w:val="000000"/>
          <w:szCs w:val="24"/>
          <w:highlight w:val="none"/>
        </w:rPr>
      </w:r>
      <w:r>
        <w:rPr>
          <w:highlight w:val="none"/>
        </w:rPr>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附主要设备和主要专业技术能力的证明材料如下：</w:t>
      </w:r>
      <w:r>
        <w:rPr>
          <w:highlight w:val="none"/>
        </w:rPr>
      </w:r>
      <w:r/>
    </w:p>
    <w:p>
      <w:pPr>
        <w:jc w:val="left"/>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 w:val="24"/>
          <w:szCs w:val="24"/>
          <w:highlight w:val="none"/>
        </w:rPr>
      </w:r>
      <w:r>
        <w:rPr>
          <w:highlight w:val="none"/>
        </w:rPr>
      </w:r>
      <w:r/>
    </w:p>
    <w:p>
      <w:pPr>
        <w:jc w:val="left"/>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 w:val="24"/>
          <w:szCs w:val="24"/>
          <w:highlight w:val="none"/>
        </w:rPr>
      </w:r>
      <w:r>
        <w:rPr>
          <w:highlight w:val="none"/>
        </w:rPr>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五、参加政府采购活动前3年内在经营活动中没有重大违法记录的书面声明</w:t>
      </w:r>
      <w:r>
        <w:rPr>
          <w:highlight w:val="none"/>
        </w:rPr>
      </w:r>
      <w:r/>
    </w:p>
    <w:p>
      <w:pPr>
        <w:jc w:val="center"/>
        <w:spacing w:line="460" w:lineRule="exact"/>
        <w:rPr>
          <w:rFonts w:ascii="宋体" w:hAnsi="宋体"/>
          <w:b/>
          <w:bCs/>
          <w:color w:val="000000"/>
          <w:sz w:val="44"/>
          <w:szCs w:val="44"/>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声  明</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供应商（盖章）：</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法定代表人</w:t>
      </w:r>
      <w:r>
        <w:rPr>
          <w:sz w:val="24"/>
          <w:szCs w:val="24"/>
          <w:highlight w:val="none"/>
        </w:rPr>
        <w:t xml:space="preserve">（单位负责人）</w:t>
      </w:r>
      <w:r>
        <w:rPr>
          <w:rFonts w:hint="eastAsia"/>
          <w:sz w:val="24"/>
          <w:szCs w:val="24"/>
          <w:highlight w:val="none"/>
        </w:rPr>
        <w:t xml:space="preserve">或委托代理人（签字或盖章）：</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日期：    年     月     日</w:t>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六、法律、行政法规规定的其他条件的证明文件</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（如有，请按要求提供）</w:t>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七、落实政府采购政策需满足的资格要求的证明文件</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（如有，请按要求提供）</w:t>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八、特定资格要求的证明文件</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（如有，请按要求提供）</w:t>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九、授权委托书与法定代表人（单位负责人）身份证明</w:t>
      </w:r>
      <w:r>
        <w:rPr>
          <w:highlight w:val="none"/>
        </w:rPr>
      </w:r>
      <w:r/>
    </w:p>
    <w:p>
      <w:pPr>
        <w:jc w:val="center"/>
        <w:spacing w:line="360" w:lineRule="exact"/>
        <w:rPr>
          <w:rFonts w:ascii="宋体" w:hAnsi="宋体"/>
          <w:b/>
          <w:color w:val="000000"/>
          <w:sz w:val="36"/>
          <w:szCs w:val="36"/>
          <w:highlight w:val="non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36"/>
          <w:highlight w:val="none"/>
        </w:rPr>
        <w:t xml:space="preserve">授权委托书</w:t>
      </w:r>
      <w:r>
        <w:rPr>
          <w:highlight w:val="none"/>
        </w:rPr>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t xml:space="preserve">致：</w:t>
      </w:r>
      <w:r>
        <w:rPr>
          <w:rFonts w:hint="eastAsia"/>
          <w:sz w:val="24"/>
          <w:szCs w:val="24"/>
          <w:highlight w:val="none"/>
          <w:u w:val="single"/>
        </w:rPr>
        <w:t xml:space="preserve">采购单位</w:t>
      </w:r>
      <w:r>
        <w:rPr>
          <w:highlight w:val="none"/>
        </w:rPr>
      </w:r>
      <w:r/>
    </w:p>
    <w:p>
      <w:pPr>
        <w:ind w:firstLine="420"/>
        <w:jc w:val="left"/>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本人</w:t>
      </w:r>
      <w:r>
        <w:rPr>
          <w:sz w:val="24"/>
          <w:szCs w:val="24"/>
          <w:highlight w:val="none"/>
          <w:u w:val="single"/>
        </w:rPr>
        <w:t xml:space="preserve">（</w:t>
      </w:r>
      <w:r>
        <w:rPr>
          <w:rFonts w:hint="eastAsia"/>
          <w:sz w:val="24"/>
          <w:szCs w:val="24"/>
          <w:highlight w:val="none"/>
          <w:u w:val="single"/>
        </w:rPr>
        <w:t xml:space="preserve">姓名</w:t>
      </w:r>
      <w:r>
        <w:rPr>
          <w:sz w:val="24"/>
          <w:szCs w:val="24"/>
          <w:highlight w:val="none"/>
          <w:u w:val="single"/>
        </w:rPr>
        <w:t xml:space="preserve">）</w:t>
      </w:r>
      <w:r>
        <w:rPr>
          <w:rFonts w:hint="eastAsia"/>
          <w:sz w:val="24"/>
          <w:szCs w:val="24"/>
          <w:highlight w:val="none"/>
        </w:rPr>
        <w:t xml:space="preserve">系</w:t>
      </w:r>
      <w:r>
        <w:rPr>
          <w:sz w:val="24"/>
          <w:szCs w:val="24"/>
          <w:highlight w:val="none"/>
          <w:u w:val="single"/>
        </w:rPr>
        <w:t xml:space="preserve">（</w:t>
      </w:r>
      <w:r>
        <w:rPr>
          <w:rFonts w:hint="eastAsia"/>
          <w:sz w:val="24"/>
          <w:szCs w:val="24"/>
          <w:highlight w:val="none"/>
          <w:u w:val="single"/>
        </w:rPr>
        <w:t xml:space="preserve">供应商</w:t>
      </w:r>
      <w:r>
        <w:rPr>
          <w:sz w:val="24"/>
          <w:szCs w:val="24"/>
          <w:highlight w:val="none"/>
          <w:u w:val="single"/>
        </w:rPr>
        <w:t xml:space="preserve">名称）</w:t>
      </w:r>
      <w:r>
        <w:rPr>
          <w:rFonts w:hint="eastAsia"/>
          <w:sz w:val="24"/>
          <w:szCs w:val="24"/>
          <w:highlight w:val="none"/>
        </w:rPr>
        <w:t xml:space="preserve">的</w:t>
      </w:r>
      <w:r>
        <w:rPr>
          <w:sz w:val="24"/>
          <w:szCs w:val="24"/>
          <w:highlight w:val="none"/>
        </w:rPr>
        <w:t xml:space="preserve">法定代表人（</w:t>
      </w:r>
      <w:r>
        <w:rPr>
          <w:rFonts w:hint="eastAsia"/>
          <w:sz w:val="24"/>
          <w:szCs w:val="24"/>
          <w:highlight w:val="none"/>
        </w:rPr>
        <w:t xml:space="preserve">单位</w:t>
      </w:r>
      <w:r>
        <w:rPr>
          <w:sz w:val="24"/>
          <w:szCs w:val="24"/>
          <w:highlight w:val="none"/>
        </w:rPr>
        <w:t xml:space="preserve">负责人）</w:t>
      </w:r>
      <w:r>
        <w:rPr>
          <w:rFonts w:hint="eastAsia"/>
          <w:sz w:val="24"/>
          <w:szCs w:val="24"/>
          <w:highlight w:val="none"/>
        </w:rPr>
        <w:t xml:space="preserve">，</w:t>
      </w:r>
      <w:r>
        <w:rPr>
          <w:sz w:val="24"/>
          <w:szCs w:val="24"/>
          <w:highlight w:val="none"/>
        </w:rPr>
        <w:t xml:space="preserve">现委托</w:t>
      </w:r>
      <w:r>
        <w:rPr>
          <w:rFonts w:hint="eastAsia"/>
          <w:sz w:val="24"/>
          <w:szCs w:val="24"/>
          <w:highlight w:val="none"/>
          <w:u w:val="single"/>
        </w:rPr>
        <w:t xml:space="preserve"> （姓名</w:t>
      </w:r>
      <w:r>
        <w:rPr>
          <w:sz w:val="24"/>
          <w:szCs w:val="24"/>
          <w:highlight w:val="none"/>
          <w:u w:val="single"/>
        </w:rPr>
        <w:t xml:space="preserve">）</w:t>
      </w:r>
      <w:r>
        <w:rPr>
          <w:rFonts w:hint="eastAsia"/>
          <w:sz w:val="24"/>
          <w:szCs w:val="24"/>
          <w:highlight w:val="none"/>
        </w:rPr>
        <w:t xml:space="preserve">为</w:t>
      </w:r>
      <w:r>
        <w:rPr>
          <w:sz w:val="24"/>
          <w:szCs w:val="24"/>
          <w:highlight w:val="none"/>
        </w:rPr>
        <w:t xml:space="preserve">我方代理人。</w:t>
      </w:r>
      <w:r>
        <w:rPr>
          <w:rFonts w:hint="eastAsia"/>
          <w:sz w:val="24"/>
          <w:szCs w:val="24"/>
          <w:highlight w:val="none"/>
        </w:rPr>
        <w:t xml:space="preserve">代理人根据</w:t>
      </w:r>
      <w:r>
        <w:rPr>
          <w:sz w:val="24"/>
          <w:szCs w:val="24"/>
          <w:highlight w:val="none"/>
        </w:rPr>
        <w:t xml:space="preserve">授权，以我方名义签署、澄清确认、递交、撤回、修改</w:t>
      </w:r>
      <w:r>
        <w:rPr>
          <w:rFonts w:hint="eastAsia"/>
          <w:sz w:val="24"/>
          <w:szCs w:val="24"/>
          <w:highlight w:val="none"/>
          <w:u w:val="single"/>
        </w:rPr>
        <w:t xml:space="preserve"> （项目名称） </w:t>
      </w:r>
      <w:r>
        <w:rPr>
          <w:rFonts w:hint="eastAsia"/>
          <w:sz w:val="24"/>
          <w:szCs w:val="24"/>
          <w:highlight w:val="none"/>
        </w:rPr>
        <w:t xml:space="preserve">项目（项目编号：）投标</w:t>
      </w:r>
      <w:r>
        <w:rPr>
          <w:sz w:val="24"/>
          <w:szCs w:val="24"/>
          <w:highlight w:val="none"/>
        </w:rPr>
        <w:t xml:space="preserve">文件</w:t>
      </w:r>
      <w:r>
        <w:rPr>
          <w:rFonts w:hint="eastAsia"/>
          <w:sz w:val="24"/>
          <w:szCs w:val="24"/>
          <w:highlight w:val="none"/>
        </w:rPr>
        <w:t xml:space="preserve">和</w:t>
      </w:r>
      <w:r>
        <w:rPr>
          <w:sz w:val="24"/>
          <w:szCs w:val="24"/>
          <w:highlight w:val="none"/>
        </w:rPr>
        <w:t xml:space="preserve">处理有关事宜，其法律后果由我方承担。</w:t>
      </w:r>
      <w:r>
        <w:rPr>
          <w:highlight w:val="none"/>
        </w:rPr>
      </w:r>
      <w:r/>
    </w:p>
    <w:p>
      <w:pPr>
        <w:ind w:firstLine="420"/>
        <w:jc w:val="left"/>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委托</w:t>
      </w:r>
      <w:r>
        <w:rPr>
          <w:sz w:val="24"/>
          <w:szCs w:val="24"/>
          <w:highlight w:val="none"/>
        </w:rPr>
        <w:t xml:space="preserve">期限：自本</w:t>
      </w:r>
      <w:r>
        <w:rPr>
          <w:rFonts w:hint="eastAsia"/>
          <w:sz w:val="24"/>
          <w:szCs w:val="24"/>
          <w:highlight w:val="none"/>
        </w:rPr>
        <w:t xml:space="preserve">授权</w:t>
      </w:r>
      <w:r>
        <w:rPr>
          <w:sz w:val="24"/>
          <w:szCs w:val="24"/>
          <w:highlight w:val="none"/>
        </w:rPr>
        <w:t xml:space="preserve">委托书签署之日起至</w:t>
      </w:r>
      <w:r>
        <w:rPr>
          <w:rFonts w:hint="eastAsia"/>
          <w:sz w:val="24"/>
          <w:szCs w:val="24"/>
          <w:highlight w:val="none"/>
        </w:rPr>
        <w:t xml:space="preserve">响应</w:t>
      </w:r>
      <w:r>
        <w:rPr>
          <w:sz w:val="24"/>
          <w:szCs w:val="24"/>
          <w:highlight w:val="none"/>
        </w:rPr>
        <w:t xml:space="preserve">有效期</w:t>
      </w:r>
      <w:r>
        <w:rPr>
          <w:rFonts w:hint="eastAsia"/>
          <w:sz w:val="24"/>
          <w:szCs w:val="24"/>
          <w:highlight w:val="none"/>
        </w:rPr>
        <w:t xml:space="preserve">届满</w:t>
      </w:r>
      <w:r>
        <w:rPr>
          <w:sz w:val="24"/>
          <w:szCs w:val="24"/>
          <w:highlight w:val="none"/>
        </w:rPr>
        <w:t xml:space="preserve">之日止。</w:t>
      </w:r>
      <w:r>
        <w:rPr>
          <w:highlight w:val="none"/>
        </w:rPr>
      </w:r>
      <w:r/>
    </w:p>
    <w:p>
      <w:pPr>
        <w:ind w:firstLine="420"/>
        <w:jc w:val="left"/>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代理人</w:t>
      </w:r>
      <w:r>
        <w:rPr>
          <w:sz w:val="24"/>
          <w:szCs w:val="24"/>
          <w:highlight w:val="none"/>
        </w:rPr>
        <w:t xml:space="preserve">无转委托权。</w:t>
      </w:r>
      <w:r>
        <w:rPr>
          <w:highlight w:val="none"/>
        </w:rPr>
      </w:r>
      <w:r/>
    </w:p>
    <w:p>
      <w:pPr>
        <w:ind w:firstLine="420"/>
        <w:jc w:val="left"/>
        <w:spacing w:line="360" w:lineRule="auto"/>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rPr>
          <w:highlight w:val="none"/>
        </w:rPr>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供应商</w:t>
      </w:r>
      <w:r>
        <w:rPr>
          <w:sz w:val="24"/>
          <w:szCs w:val="24"/>
          <w:highlight w:val="none"/>
        </w:rPr>
        <w:t xml:space="preserve">名称（加盖公章）：</w:t>
      </w:r>
      <w:r>
        <w:rPr>
          <w:highlight w:val="none"/>
        </w:rPr>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t xml:space="preserve">法定代表人（单位负责人）（签字</w:t>
      </w:r>
      <w:r>
        <w:rPr>
          <w:rFonts w:hint="eastAsia"/>
          <w:sz w:val="24"/>
          <w:szCs w:val="24"/>
          <w:highlight w:val="none"/>
        </w:rPr>
        <w:t xml:space="preserve">、签章</w:t>
      </w:r>
      <w:r>
        <w:rPr>
          <w:sz w:val="24"/>
          <w:szCs w:val="24"/>
          <w:highlight w:val="none"/>
        </w:rPr>
        <w:t xml:space="preserve">或</w:t>
      </w:r>
      <w:r>
        <w:rPr>
          <w:rFonts w:hint="eastAsia"/>
          <w:sz w:val="24"/>
          <w:szCs w:val="24"/>
          <w:highlight w:val="none"/>
        </w:rPr>
        <w:t xml:space="preserve">印鉴）</w:t>
      </w:r>
      <w:r>
        <w:rPr>
          <w:sz w:val="24"/>
          <w:szCs w:val="24"/>
          <w:highlight w:val="none"/>
        </w:rPr>
        <w:t xml:space="preserve">：</w:t>
      </w:r>
      <w:r>
        <w:rPr>
          <w:highlight w:val="none"/>
        </w:rPr>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委托代理</w:t>
      </w:r>
      <w:r>
        <w:rPr>
          <w:sz w:val="24"/>
          <w:szCs w:val="24"/>
          <w:highlight w:val="none"/>
        </w:rPr>
        <w:t xml:space="preserve">人（签字</w:t>
      </w:r>
      <w:r>
        <w:rPr>
          <w:rFonts w:hint="eastAsia"/>
          <w:sz w:val="24"/>
          <w:szCs w:val="24"/>
          <w:highlight w:val="none"/>
        </w:rPr>
        <w:t xml:space="preserve">/签章</w:t>
      </w:r>
      <w:r>
        <w:rPr>
          <w:sz w:val="24"/>
          <w:szCs w:val="24"/>
          <w:highlight w:val="none"/>
        </w:rPr>
        <w:t xml:space="preserve">）：</w:t>
      </w:r>
      <w:r>
        <w:rPr>
          <w:highlight w:val="none"/>
        </w:rPr>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日期：    年     月     日</w:t>
      </w:r>
      <w:r>
        <w:rPr>
          <w:highlight w:val="none"/>
        </w:rPr>
      </w:r>
      <w:r/>
    </w:p>
    <w:p>
      <w:pPr>
        <w:ind w:firstLine="480"/>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t xml:space="preserve">法定代表人（单位负责人）有效期内的身份证</w:t>
      </w:r>
      <w:r>
        <w:rPr>
          <w:rFonts w:ascii="宋体" w:hAnsi="宋体"/>
          <w:b/>
          <w:color w:val="000000"/>
          <w:sz w:val="24"/>
          <w:szCs w:val="20"/>
          <w:highlight w:val="none"/>
        </w:rPr>
        <w:t xml:space="preserve">正反面</w:t>
      </w:r>
      <w:r>
        <w:rPr>
          <w:rFonts w:ascii="宋体" w:hAnsi="宋体"/>
          <w:color w:val="000000"/>
          <w:sz w:val="24"/>
          <w:szCs w:val="20"/>
          <w:highlight w:val="none"/>
        </w:rPr>
        <w:t xml:space="preserve">电子件：</w:t>
      </w:r>
      <w:r>
        <w:rPr>
          <w:highlight w:val="none"/>
        </w:rPr>
      </w:r>
      <w:r/>
    </w:p>
    <w:tbl>
      <w:tblPr>
        <w:tblStyle w:val="73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r/>
          </w:p>
        </w:tc>
      </w:tr>
    </w:tbl>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0"/>
          <w:highlight w:val="none"/>
        </w:rPr>
        <w:t xml:space="preserve">委托代理人</w:t>
      </w:r>
      <w:r>
        <w:rPr>
          <w:rFonts w:ascii="宋体" w:hAnsi="宋体"/>
          <w:color w:val="000000"/>
          <w:sz w:val="24"/>
          <w:szCs w:val="20"/>
          <w:highlight w:val="none"/>
        </w:rPr>
        <w:t xml:space="preserve">有效期内的身份证</w:t>
      </w:r>
      <w:r>
        <w:rPr>
          <w:rFonts w:ascii="宋体" w:hAnsi="宋体"/>
          <w:b/>
          <w:color w:val="000000"/>
          <w:sz w:val="24"/>
          <w:szCs w:val="20"/>
          <w:highlight w:val="none"/>
        </w:rPr>
        <w:t xml:space="preserve">正反面</w:t>
      </w:r>
      <w:r>
        <w:rPr>
          <w:rFonts w:ascii="宋体" w:hAnsi="宋体"/>
          <w:color w:val="000000"/>
          <w:sz w:val="24"/>
          <w:szCs w:val="20"/>
          <w:highlight w:val="none"/>
        </w:rPr>
        <w:t xml:space="preserve">电子件：</w:t>
      </w:r>
      <w:r>
        <w:rPr>
          <w:highlight w:val="none"/>
        </w:rPr>
      </w:r>
      <w:r/>
    </w:p>
    <w:tbl>
      <w:tblPr>
        <w:tblStyle w:val="73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r/>
          </w:p>
        </w:tc>
      </w:tr>
    </w:tbl>
    <w:p>
      <w:pPr>
        <w:jc w:val="left"/>
        <w:spacing w:line="360" w:lineRule="auto"/>
        <w:tabs>
          <w:tab w:val="left" w:pos="5580" w:leader="none"/>
        </w:tabs>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填报说明</w:t>
      </w:r>
      <w:r>
        <w:rPr>
          <w:sz w:val="24"/>
          <w:szCs w:val="24"/>
          <w:highlight w:val="none"/>
        </w:rPr>
        <w:t xml:space="preserve">：</w:t>
      </w:r>
      <w:r>
        <w:rPr>
          <w:highlight w:val="none"/>
        </w:rPr>
      </w:r>
      <w:r/>
    </w:p>
    <w:p>
      <w:pPr>
        <w:ind w:firstLine="480"/>
        <w:jc w:val="left"/>
        <w:spacing w:line="360" w:lineRule="auto"/>
        <w:tabs>
          <w:tab w:val="left" w:pos="5580" w:leader="none"/>
        </w:tabs>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t xml:space="preserve">1、若供应商为事业单位或其他组织或分支机构（仅当</w:t>
      </w:r>
      <w:r>
        <w:rPr>
          <w:rFonts w:hint="eastAsia"/>
          <w:sz w:val="24"/>
          <w:szCs w:val="24"/>
          <w:highlight w:val="none"/>
        </w:rPr>
        <w:t xml:space="preserve">招标</w:t>
      </w:r>
      <w:r>
        <w:rPr>
          <w:sz w:val="24"/>
          <w:szCs w:val="24"/>
          <w:highlight w:val="none"/>
        </w:rPr>
        <w:t xml:space="preserve">文件注明允许分支机构</w:t>
      </w:r>
      <w:r>
        <w:rPr>
          <w:rFonts w:hint="eastAsia"/>
          <w:sz w:val="24"/>
          <w:szCs w:val="24"/>
          <w:highlight w:val="none"/>
        </w:rPr>
        <w:t xml:space="preserve">投标</w:t>
      </w:r>
      <w:r>
        <w:rPr>
          <w:sz w:val="24"/>
          <w:szCs w:val="24"/>
          <w:highlight w:val="none"/>
        </w:rPr>
        <w:t xml:space="preserve">的），则法定代表人（单位负责人）</w:t>
      </w:r>
      <w:r>
        <w:rPr>
          <w:rFonts w:hint="eastAsia"/>
          <w:sz w:val="24"/>
          <w:szCs w:val="24"/>
          <w:highlight w:val="none"/>
        </w:rPr>
        <w:t xml:space="preserve">处</w:t>
      </w:r>
      <w:r>
        <w:rPr>
          <w:sz w:val="24"/>
          <w:szCs w:val="24"/>
          <w:highlight w:val="none"/>
        </w:rPr>
        <w:t xml:space="preserve">的签署人可为单位负责人</w:t>
      </w:r>
      <w:r>
        <w:rPr>
          <w:rFonts w:hint="eastAsia"/>
          <w:sz w:val="24"/>
          <w:szCs w:val="24"/>
          <w:highlight w:val="none"/>
        </w:rPr>
        <w:t xml:space="preserve">。</w:t>
      </w:r>
      <w:r>
        <w:rPr>
          <w:highlight w:val="none"/>
        </w:rPr>
      </w:r>
      <w:r/>
    </w:p>
    <w:p>
      <w:pPr>
        <w:ind w:firstLine="480"/>
        <w:jc w:val="left"/>
        <w:spacing w:line="360" w:lineRule="auto"/>
        <w:tabs>
          <w:tab w:val="left" w:pos="5580" w:leader="none"/>
        </w:tabs>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w:t>
      </w:r>
      <w:r>
        <w:rPr>
          <w:sz w:val="24"/>
          <w:szCs w:val="24"/>
          <w:highlight w:val="none"/>
        </w:rPr>
        <w:t xml:space="preserve">若</w:t>
      </w:r>
      <w:r>
        <w:rPr>
          <w:rFonts w:hint="eastAsia"/>
          <w:sz w:val="24"/>
          <w:szCs w:val="24"/>
          <w:highlight w:val="none"/>
        </w:rPr>
        <w:t xml:space="preserve">投标</w:t>
      </w:r>
      <w:r>
        <w:rPr>
          <w:sz w:val="24"/>
          <w:szCs w:val="24"/>
          <w:highlight w:val="none"/>
        </w:rPr>
        <w:t xml:space="preserve">文件中全部签字之处均为法定代表人（单位负责人）本人签署，则可不提供本《</w:t>
      </w:r>
      <w:r>
        <w:rPr>
          <w:rFonts w:hint="eastAsia"/>
          <w:sz w:val="24"/>
          <w:szCs w:val="24"/>
          <w:highlight w:val="none"/>
        </w:rPr>
        <w:t xml:space="preserve">授权委托书</w:t>
      </w:r>
      <w:r>
        <w:rPr>
          <w:sz w:val="24"/>
          <w:szCs w:val="24"/>
          <w:highlight w:val="none"/>
        </w:rPr>
        <w:t xml:space="preserve">》，但须提供</w:t>
      </w:r>
      <w:r>
        <w:rPr>
          <w:rFonts w:hint="eastAsia"/>
          <w:sz w:val="24"/>
          <w:szCs w:val="24"/>
          <w:highlight w:val="none"/>
        </w:rPr>
        <w:t xml:space="preserve">《</w:t>
      </w:r>
      <w:r>
        <w:rPr>
          <w:sz w:val="24"/>
          <w:szCs w:val="24"/>
          <w:highlight w:val="none"/>
        </w:rPr>
        <w:t xml:space="preserve">法定代表人（单位负责人）身份证</w:t>
      </w:r>
      <w:r>
        <w:rPr>
          <w:rFonts w:hint="eastAsia"/>
          <w:sz w:val="24"/>
          <w:szCs w:val="24"/>
          <w:highlight w:val="none"/>
        </w:rPr>
        <w:t xml:space="preserve">明》</w:t>
      </w:r>
      <w:r>
        <w:rPr>
          <w:sz w:val="24"/>
          <w:szCs w:val="24"/>
          <w:highlight w:val="none"/>
        </w:rPr>
        <w:t xml:space="preserve">。</w:t>
      </w:r>
      <w:r>
        <w:rPr>
          <w:highlight w:val="none"/>
        </w:rPr>
      </w:r>
      <w:r/>
    </w:p>
    <w:p>
      <w:pPr>
        <w:ind w:firstLine="480"/>
        <w:jc w:val="left"/>
        <w:spacing w:line="360" w:lineRule="auto"/>
        <w:tabs>
          <w:tab w:val="left" w:pos="5580" w:leader="none"/>
        </w:tabs>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t xml:space="preserve">3、</w:t>
      </w:r>
      <w:r>
        <w:rPr>
          <w:rFonts w:hint="eastAsia"/>
          <w:sz w:val="24"/>
          <w:szCs w:val="24"/>
          <w:highlight w:val="none"/>
        </w:rPr>
        <w:t xml:space="preserve">供应商为自然人的情形，可不提供本</w:t>
      </w:r>
      <w:r>
        <w:rPr>
          <w:sz w:val="24"/>
          <w:szCs w:val="24"/>
          <w:highlight w:val="none"/>
        </w:rPr>
        <w:t xml:space="preserve">《</w:t>
      </w:r>
      <w:r>
        <w:rPr>
          <w:rFonts w:hint="eastAsia"/>
          <w:sz w:val="24"/>
          <w:szCs w:val="24"/>
          <w:highlight w:val="none"/>
        </w:rPr>
        <w:t xml:space="preserve">授权委托书</w:t>
      </w:r>
      <w:r>
        <w:rPr>
          <w:sz w:val="24"/>
          <w:szCs w:val="24"/>
          <w:highlight w:val="none"/>
        </w:rPr>
        <w:t xml:space="preserve">》</w:t>
      </w:r>
      <w:r>
        <w:rPr>
          <w:rFonts w:hint="eastAsia"/>
          <w:sz w:val="24"/>
          <w:szCs w:val="24"/>
          <w:highlight w:val="none"/>
        </w:rPr>
        <w:t xml:space="preserve">。</w:t>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jc w:val="center"/>
        <w:spacing w:line="360" w:lineRule="exact"/>
        <w:rPr>
          <w:rFonts w:ascii="宋体" w:hAnsi="宋体"/>
          <w:b/>
          <w:color w:val="000000"/>
          <w:sz w:val="36"/>
          <w:szCs w:val="36"/>
          <w:highlight w:val="none"/>
        </w:rPr>
        <w:pBdr>
          <w:top w:val="none" w:color="auto" w:sz="0" w:space="1"/>
          <w:left w:val="none" w:color="auto" w:sz="0" w:space="4"/>
          <w:bottom w:val="none" w:color="auto" w:sz="0" w:space="1"/>
          <w:right w:val="none" w:color="auto" w:sz="0" w:space="4"/>
        </w:pBdr>
      </w:pPr>
      <w:r>
        <w:rPr>
          <w:rFonts w:ascii="宋体" w:hAnsi="宋体"/>
          <w:b/>
          <w:color w:val="000000"/>
          <w:sz w:val="36"/>
          <w:szCs w:val="36"/>
          <w:highlight w:val="none"/>
        </w:rPr>
        <w:t xml:space="preserve">法定代表人（单位负责人）身份证明</w:t>
      </w:r>
      <w:r>
        <w:rPr>
          <w:highlight w:val="none"/>
        </w:rPr>
      </w:r>
      <w:r/>
    </w:p>
    <w:p>
      <w:pPr>
        <w:spacing w:line="200" w:lineRule="exact"/>
        <w:rPr>
          <w:rFonts w:ascii="宋体" w:hAnsi="宋体"/>
          <w:sz w:val="20"/>
          <w:szCs w:val="20"/>
          <w:highlight w:val="none"/>
        </w:rPr>
        <w:pBdr>
          <w:top w:val="none" w:color="auto" w:sz="0" w:space="1"/>
          <w:left w:val="none" w:color="auto" w:sz="0" w:space="4"/>
          <w:bottom w:val="none" w:color="auto" w:sz="0" w:space="1"/>
          <w:right w:val="none" w:color="auto" w:sz="0" w:space="4"/>
        </w:pBdr>
      </w:pPr>
      <w:r>
        <w:rPr>
          <w:rFonts w:ascii="宋体" w:hAnsi="宋体"/>
          <w:sz w:val="20"/>
          <w:szCs w:val="20"/>
          <w:highlight w:val="none"/>
        </w:rPr>
      </w:r>
      <w:r>
        <w:rPr>
          <w:highlight w:val="none"/>
        </w:rPr>
      </w:r>
      <w:r/>
    </w:p>
    <w:p>
      <w:pPr>
        <w:spacing w:line="360" w:lineRule="auto"/>
        <w:tabs>
          <w:tab w:val="left" w:pos="5580" w:leader="none"/>
        </w:tabs>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t xml:space="preserve">致：</w:t>
      </w:r>
      <w:r>
        <w:rPr>
          <w:rFonts w:hint="eastAsia" w:ascii="Times New Roman" w:hAnsi="Times New Roman"/>
          <w:sz w:val="24"/>
          <w:szCs w:val="24"/>
          <w:highlight w:val="none"/>
          <w:u w:val="single"/>
        </w:rPr>
        <w:t xml:space="preserve"> 采购单位 </w:t>
      </w:r>
      <w:r>
        <w:rPr>
          <w:highlight w:val="none"/>
        </w:rPr>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兹证明，</w:t>
      </w:r>
      <w:r>
        <w:rPr>
          <w:highlight w:val="none"/>
        </w:rPr>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t xml:space="preserve">姓名</w:t>
      </w:r>
      <w:r>
        <w:rPr>
          <w:rFonts w:hint="eastAsia" w:ascii="宋体" w:hAnsi="宋体"/>
          <w:sz w:val="24"/>
          <w:szCs w:val="24"/>
          <w:highlight w:val="none"/>
        </w:rPr>
        <w:t xml:space="preserve">：</w:t>
      </w:r>
      <w:r>
        <w:rPr>
          <w:rFonts w:ascii="宋体" w:hAnsi="宋体"/>
          <w:sz w:val="24"/>
          <w:szCs w:val="24"/>
          <w:highlight w:val="none"/>
        </w:rPr>
        <w:t xml:space="preserve">性别：年龄：职务：</w:t>
      </w:r>
      <w:r>
        <w:rPr>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r>
      <w:r>
        <w:rPr>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t xml:space="preserve">系</w:t>
      </w:r>
      <w:r>
        <w:rPr>
          <w:sz w:val="24"/>
          <w:szCs w:val="24"/>
          <w:highlight w:val="none"/>
          <w:u w:val="single"/>
        </w:rPr>
        <w:t xml:space="preserve">（</w:t>
      </w:r>
      <w:r>
        <w:rPr>
          <w:rFonts w:hint="eastAsia"/>
          <w:sz w:val="24"/>
          <w:szCs w:val="24"/>
          <w:highlight w:val="none"/>
          <w:u w:val="single"/>
        </w:rPr>
        <w:t xml:space="preserve">供应商</w:t>
      </w:r>
      <w:r>
        <w:rPr>
          <w:sz w:val="24"/>
          <w:szCs w:val="24"/>
          <w:highlight w:val="none"/>
          <w:u w:val="single"/>
        </w:rPr>
        <w:t xml:space="preserve">名称）</w:t>
      </w:r>
      <w:r>
        <w:rPr>
          <w:rFonts w:ascii="宋体" w:hAnsi="宋体"/>
          <w:sz w:val="24"/>
          <w:szCs w:val="24"/>
          <w:highlight w:val="none"/>
        </w:rPr>
        <w:t xml:space="preserve">的法定代表人（单位负责人）。</w:t>
      </w:r>
      <w:r>
        <w:rPr>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r>
      <w:r>
        <w:rPr>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r>
      <w:r>
        <w:rPr>
          <w:highlight w:val="none"/>
        </w:rPr>
      </w:r>
      <w:r/>
    </w:p>
    <w:p>
      <w:pPr>
        <w:ind w:right="-46"/>
        <w:spacing w:before="120" w:line="583" w:lineRule="auto"/>
        <w:tabs>
          <w:tab w:val="left" w:pos="567" w:leader="none"/>
        </w:tabs>
        <w:rPr>
          <w:rFonts w:ascii="宋体" w:hAnsi="宋体"/>
          <w:spacing w:val="-3"/>
          <w:sz w:val="24"/>
          <w:szCs w:val="24"/>
          <w:highlight w:val="none"/>
        </w:rPr>
        <w:pBdr>
          <w:top w:val="none" w:color="auto" w:sz="0" w:space="1"/>
          <w:left w:val="none" w:color="auto" w:sz="0" w:space="4"/>
          <w:bottom w:val="none" w:color="auto" w:sz="0" w:space="1"/>
          <w:right w:val="none" w:color="auto" w:sz="0" w:space="4"/>
        </w:pBdr>
      </w:pPr>
      <w:r>
        <w:rPr>
          <w:rFonts w:ascii="宋体" w:hAnsi="宋体"/>
          <w:spacing w:val="-3"/>
          <w:sz w:val="24"/>
          <w:szCs w:val="24"/>
          <w:highlight w:val="none"/>
        </w:rPr>
        <w:t xml:space="preserve">法</w:t>
      </w:r>
      <w:r>
        <w:rPr>
          <w:rFonts w:ascii="宋体" w:hAnsi="宋体"/>
          <w:sz w:val="24"/>
          <w:szCs w:val="24"/>
          <w:highlight w:val="none"/>
        </w:rPr>
        <w:t xml:space="preserve">定</w:t>
      </w:r>
      <w:r>
        <w:rPr>
          <w:rFonts w:ascii="宋体" w:hAnsi="宋体"/>
          <w:spacing w:val="-3"/>
          <w:sz w:val="24"/>
          <w:szCs w:val="24"/>
          <w:highlight w:val="none"/>
        </w:rPr>
        <w:t xml:space="preserve">代</w:t>
      </w:r>
      <w:r>
        <w:rPr>
          <w:rFonts w:ascii="宋体" w:hAnsi="宋体"/>
          <w:sz w:val="24"/>
          <w:szCs w:val="24"/>
          <w:highlight w:val="none"/>
        </w:rPr>
        <w:t xml:space="preserve">表</w:t>
      </w:r>
      <w:r>
        <w:rPr>
          <w:rFonts w:ascii="宋体" w:hAnsi="宋体"/>
          <w:spacing w:val="-3"/>
          <w:sz w:val="24"/>
          <w:szCs w:val="24"/>
          <w:highlight w:val="none"/>
        </w:rPr>
        <w:t xml:space="preserve">人</w:t>
      </w:r>
      <w:r>
        <w:rPr>
          <w:rFonts w:ascii="宋体" w:hAnsi="宋体"/>
          <w:sz w:val="24"/>
          <w:szCs w:val="24"/>
          <w:highlight w:val="none"/>
        </w:rPr>
        <w:t xml:space="preserve">（</w:t>
      </w:r>
      <w:r>
        <w:rPr>
          <w:rFonts w:ascii="宋体" w:hAnsi="宋体"/>
          <w:spacing w:val="-3"/>
          <w:sz w:val="24"/>
          <w:szCs w:val="24"/>
          <w:highlight w:val="none"/>
        </w:rPr>
        <w:t xml:space="preserve">单</w:t>
      </w:r>
      <w:r>
        <w:rPr>
          <w:rFonts w:ascii="宋体" w:hAnsi="宋体"/>
          <w:sz w:val="24"/>
          <w:szCs w:val="24"/>
          <w:highlight w:val="none"/>
        </w:rPr>
        <w:t xml:space="preserve">位</w:t>
      </w:r>
      <w:r>
        <w:rPr>
          <w:rFonts w:ascii="宋体" w:hAnsi="宋体"/>
          <w:spacing w:val="-3"/>
          <w:sz w:val="24"/>
          <w:szCs w:val="24"/>
          <w:highlight w:val="none"/>
        </w:rPr>
        <w:t xml:space="preserve">负</w:t>
      </w:r>
      <w:r>
        <w:rPr>
          <w:rFonts w:ascii="宋体" w:hAnsi="宋体"/>
          <w:sz w:val="24"/>
          <w:szCs w:val="24"/>
          <w:highlight w:val="none"/>
        </w:rPr>
        <w:t xml:space="preserve">责人</w:t>
      </w:r>
      <w:r>
        <w:rPr>
          <w:rFonts w:ascii="宋体" w:hAnsi="宋体"/>
          <w:spacing w:val="-3"/>
          <w:sz w:val="24"/>
          <w:szCs w:val="24"/>
          <w:highlight w:val="none"/>
        </w:rPr>
        <w:t xml:space="preserve">）有效期内的身</w:t>
      </w:r>
      <w:r>
        <w:rPr>
          <w:rFonts w:hint="eastAsia" w:ascii="宋体" w:hAnsi="宋体"/>
          <w:spacing w:val="-3"/>
          <w:sz w:val="24"/>
          <w:szCs w:val="24"/>
          <w:highlight w:val="none"/>
        </w:rPr>
        <w:t xml:space="preserve">份</w:t>
      </w:r>
      <w:r>
        <w:rPr>
          <w:rFonts w:ascii="宋体" w:hAnsi="宋体"/>
          <w:spacing w:val="-3"/>
          <w:sz w:val="24"/>
          <w:szCs w:val="24"/>
          <w:highlight w:val="none"/>
        </w:rPr>
        <w:t xml:space="preserve">证正反面</w:t>
      </w:r>
      <w:r>
        <w:rPr>
          <w:rFonts w:hint="eastAsia" w:ascii="宋体" w:hAnsi="宋体"/>
          <w:spacing w:val="-3"/>
          <w:sz w:val="24"/>
          <w:szCs w:val="24"/>
          <w:highlight w:val="none"/>
        </w:rPr>
        <w:t xml:space="preserve">电子</w:t>
      </w:r>
      <w:r>
        <w:rPr>
          <w:rFonts w:ascii="宋体" w:hAnsi="宋体"/>
          <w:spacing w:val="-3"/>
          <w:sz w:val="24"/>
          <w:szCs w:val="24"/>
          <w:highlight w:val="none"/>
        </w:rPr>
        <w:t xml:space="preserve">件</w:t>
      </w:r>
      <w:r>
        <w:rPr>
          <w:rFonts w:hint="eastAsia" w:ascii="宋体" w:hAnsi="宋体"/>
          <w:spacing w:val="-3"/>
          <w:sz w:val="24"/>
          <w:szCs w:val="24"/>
          <w:highlight w:val="none"/>
        </w:rPr>
        <w:t xml:space="preserve">：</w:t>
      </w:r>
      <w:r>
        <w:rPr>
          <w:highlight w:val="none"/>
        </w:rPr>
      </w:r>
      <w:r/>
    </w:p>
    <w:tbl>
      <w:tblPr>
        <w:tblStyle w:val="73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r/>
          </w:p>
        </w:tc>
      </w:tr>
    </w:tbl>
    <w:p>
      <w:pPr>
        <w:ind w:right="4305"/>
        <w:spacing w:before="120" w:line="583" w:lineRule="auto"/>
        <w:tabs>
          <w:tab w:val="left" w:pos="567" w:leader="none"/>
        </w:tabs>
        <w:rPr>
          <w:rFonts w:ascii="宋体" w:hAnsi="宋体"/>
          <w:spacing w:val="-3"/>
          <w:sz w:val="24"/>
          <w:szCs w:val="24"/>
          <w:highlight w:val="none"/>
        </w:rPr>
        <w:pBdr>
          <w:top w:val="none" w:color="auto" w:sz="0" w:space="1"/>
          <w:left w:val="none" w:color="auto" w:sz="0" w:space="4"/>
          <w:bottom w:val="none" w:color="auto" w:sz="0" w:space="1"/>
          <w:right w:val="none" w:color="auto" w:sz="0" w:space="4"/>
        </w:pBdr>
      </w:pPr>
      <w:r>
        <w:rPr>
          <w:rFonts w:ascii="宋体" w:hAnsi="宋体"/>
          <w:spacing w:val="-3"/>
          <w:sz w:val="24"/>
          <w:szCs w:val="24"/>
          <w:highlight w:val="none"/>
        </w:rPr>
      </w:r>
      <w:r>
        <w:rPr>
          <w:highlight w:val="none"/>
        </w:rPr>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供应商</w:t>
      </w:r>
      <w:r>
        <w:rPr>
          <w:rFonts w:ascii="宋体" w:hAnsi="宋体"/>
          <w:color w:val="000000"/>
          <w:sz w:val="24"/>
          <w:szCs w:val="24"/>
          <w:highlight w:val="none"/>
        </w:rPr>
        <w:t xml:space="preserve">名称（加盖公章）</w:t>
      </w:r>
      <w:r>
        <w:rPr>
          <w:rFonts w:ascii="宋体" w:hAnsi="宋体"/>
          <w:color w:val="000000"/>
          <w:sz w:val="24"/>
          <w:szCs w:val="24"/>
          <w:highlight w:val="none"/>
          <w:lang w:val="zh-CN"/>
        </w:rPr>
        <w:t xml:space="preserve">：</w:t>
      </w:r>
      <w:r>
        <w:rPr>
          <w:highlight w:val="none"/>
        </w:rPr>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pacing w:val="-3"/>
          <w:sz w:val="24"/>
          <w:szCs w:val="24"/>
          <w:highlight w:val="none"/>
        </w:rPr>
        <w:t xml:space="preserve">法定代表人（</w:t>
      </w:r>
      <w:r>
        <w:rPr>
          <w:rFonts w:ascii="宋体" w:hAnsi="宋体"/>
          <w:sz w:val="24"/>
          <w:szCs w:val="24"/>
          <w:highlight w:val="none"/>
        </w:rPr>
        <w:t xml:space="preserve">单位负责人</w:t>
      </w:r>
      <w:r>
        <w:rPr>
          <w:rFonts w:hint="eastAsia" w:ascii="宋体" w:hAnsi="宋体"/>
          <w:spacing w:val="-3"/>
          <w:sz w:val="24"/>
          <w:szCs w:val="24"/>
          <w:highlight w:val="none"/>
        </w:rPr>
        <w:t xml:space="preserve">）（签字、签章或印鉴）：</w:t>
      </w:r>
      <w:r>
        <w:rPr>
          <w:highlight w:val="none"/>
        </w:rPr>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rPr>
          <w:highlight w:val="none"/>
        </w:rPr>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日期：    年     月     日</w:t>
      </w:r>
      <w:r>
        <w:rPr>
          <w:highlight w:val="none"/>
        </w:rPr>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jc w:val="left"/>
        <w:keepLines/>
        <w:keepNext/>
        <w:spacing w:before="260" w:after="260" w:line="416" w:lineRule="auto"/>
        <w:rPr>
          <w:rFonts w:ascii="黑体" w:hAnsi="黑体" w:eastAsia="黑体"/>
          <w:b/>
          <w:i/>
          <w:color w:val="000000"/>
          <w:sz w:val="32"/>
          <w:szCs w:val="32"/>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十、投标函</w:t>
      </w:r>
      <w:r>
        <w:rPr>
          <w:highlight w:val="none"/>
        </w:rPr>
      </w:r>
      <w:r/>
    </w:p>
    <w:p>
      <w:pPr>
        <w:jc w:val="center"/>
        <w:spacing w:line="360" w:lineRule="auto"/>
        <w:tabs>
          <w:tab w:val="left" w:pos="360" w:leader="none"/>
        </w:tabs>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投标函</w:t>
      </w:r>
      <w:r>
        <w:rPr>
          <w:highlight w:val="none"/>
        </w:rPr>
      </w:r>
      <w:r/>
    </w:p>
    <w:p>
      <w:pPr>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致：采购人</w:t>
      </w:r>
      <w:r>
        <w:rPr>
          <w:highlight w:val="none"/>
        </w:rPr>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根据贵方的JSZC-_________________号招标文件，正式授权下述签字人_________________(姓名)代表我方______________（供应商的名称），全权处理本次项目投标的有关事宜。</w:t>
      </w:r>
      <w:r>
        <w:rPr>
          <w:highlight w:val="none"/>
        </w:rPr>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据此函，__________签字人兹宣布同意如下：</w:t>
      </w:r>
      <w:r>
        <w:rPr>
          <w:highlight w:val="none"/>
        </w:rPr>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1.按招标文件规定的各项要求，向买方提供所需货物（包含与货物相关的工程、服务）。</w:t>
      </w:r>
      <w:r>
        <w:rPr>
          <w:highlight w:val="none"/>
        </w:rPr>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2.我们完全理解贵方不一定将合同授予最低报价的供应商。</w:t>
      </w:r>
      <w:r>
        <w:rPr>
          <w:highlight w:val="none"/>
        </w:rPr>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3.我们已详细审核全部招标文件及其有效补充文件，我们知道必须放弃提出含糊不清或误解问题的权利。</w:t>
      </w:r>
      <w:r>
        <w:rPr>
          <w:highlight w:val="none"/>
        </w:rPr>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4.我们同意从规定的开标日期起遵循本投标文件，并在规定的投标有效期期满之前均具有约束力。</w:t>
      </w:r>
      <w:r>
        <w:rPr>
          <w:highlight w:val="none"/>
        </w:rPr>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rPr>
          <w:highlight w:val="none"/>
        </w:rPr>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.一旦我方中标,我方将根据招标文件的规定，严格履行合同的责任和义务,并保证在招标文件规定的时间完成项目，交付买方验收、使用。</w:t>
      </w:r>
      <w:r>
        <w:rPr>
          <w:highlight w:val="none"/>
        </w:rPr>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rPr>
          <w:highlight w:val="none"/>
        </w:rPr>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地        址：</w:t>
      </w:r>
      <w:r>
        <w:rPr>
          <w:highlight w:val="none"/>
        </w:rPr>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邮        编：</w:t>
      </w:r>
      <w:r>
        <w:rPr>
          <w:highlight w:val="none"/>
        </w:rPr>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电        话：</w:t>
      </w:r>
      <w:r>
        <w:rPr>
          <w:highlight w:val="none"/>
        </w:rPr>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传        真：</w:t>
      </w:r>
      <w:r>
        <w:rPr>
          <w:highlight w:val="none"/>
        </w:rPr>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供应商开户行：</w:t>
      </w:r>
      <w:r>
        <w:rPr>
          <w:highlight w:val="none"/>
        </w:rPr>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账        号： </w:t>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供应商（盖章）：</w:t>
      </w:r>
      <w:r>
        <w:rPr>
          <w:highlight w:val="none"/>
        </w:rPr>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rPr>
          <w:highlight w:val="none"/>
        </w:rPr>
      </w:r>
      <w:r/>
    </w:p>
    <w:p>
      <w:pPr>
        <w:ind w:firstLine="480"/>
        <w:spacing w:line="500" w:lineRule="exact"/>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日期：    年     月     日</w:t>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jc w:val="left"/>
        <w:keepLines/>
        <w:keepNext/>
        <w:spacing w:before="360" w:after="200" w:line="360" w:lineRule="auto"/>
        <w:rPr>
          <w:rFonts w:ascii="Arial" w:hAnsi="Arial" w:cs="Arial"/>
          <w:sz w:val="36"/>
          <w:highlight w:val="none"/>
        </w:rPr>
        <w:pBdr>
          <w:top w:val="none" w:color="auto" w:sz="0" w:space="1"/>
          <w:left w:val="none" w:color="auto" w:sz="0" w:space="4"/>
          <w:bottom w:val="none" w:color="auto" w:sz="0" w:space="1"/>
          <w:right w:val="none" w:color="auto" w:sz="0" w:space="4"/>
        </w:pBdr>
        <w:outlineLvl w:val="1"/>
      </w:pPr>
      <w:r>
        <w:rPr>
          <w:rFonts w:hint="eastAsia" w:ascii="Arial" w:hAnsi="Arial" w:cs="Arial"/>
          <w:sz w:val="36"/>
          <w:highlight w:val="none"/>
        </w:rPr>
        <w:t xml:space="preserve">十一、中小企业声明函（货物）（分包号：**）</w:t>
      </w:r>
      <w:r>
        <w:rPr>
          <w:highlight w:val="none"/>
        </w:rPr>
      </w:r>
      <w:r/>
    </w:p>
    <w:p>
      <w:pPr>
        <w:jc w:val="center"/>
        <w:spacing w:line="360" w:lineRule="auto"/>
        <w:tabs>
          <w:tab w:val="left" w:pos="360" w:leader="none"/>
        </w:tabs>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中小企业声明函</w:t>
      </w:r>
      <w:r>
        <w:rPr>
          <w:highlight w:val="none"/>
        </w:rPr>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olor w:val="000000"/>
          <w:sz w:val="24"/>
          <w:szCs w:val="24"/>
          <w:highlight w:val="none"/>
          <w:u w:val="single"/>
        </w:rPr>
        <w:t xml:space="preserve">（单位名称）</w:t>
      </w:r>
      <w:r>
        <w:rPr>
          <w:rFonts w:hint="eastAsia" w:ascii="宋体" w:hAnsi="宋体"/>
          <w:color w:val="000000"/>
          <w:sz w:val="24"/>
          <w:szCs w:val="24"/>
          <w:highlight w:val="none"/>
        </w:rPr>
        <w:t xml:space="preserve">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rPr>
          <w:highlight w:val="none"/>
        </w:rPr>
      </w:r>
      <w:r/>
    </w:p>
    <w:p>
      <w:pPr>
        <w:ind w:firstLine="480"/>
        <w:spacing w:line="500" w:lineRule="exact"/>
        <w:rPr>
          <w:rFonts w:ascii="宋体" w:hAnsi="宋体"/>
          <w:i/>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（采购文件中明确的所属行业）</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，从业人员人，营业收入为万元，资产总额为万元，属于</w:t>
      </w:r>
      <w:r>
        <w:rPr>
          <w:rFonts w:hint="eastAsia" w:ascii="宋体" w:hAnsi="宋体"/>
          <w:color w:val="000000"/>
          <w:sz w:val="24"/>
          <w:szCs w:val="24"/>
          <w:highlight w:val="none"/>
          <w:u w:val="single"/>
        </w:rPr>
        <w:t xml:space="preserve">（中型企业、小型企业、微型企业）</w:t>
      </w:r>
      <w:r>
        <w:rPr>
          <w:rFonts w:hint="eastAsia" w:ascii="宋体" w:hAnsi="宋体"/>
          <w:color w:val="000000"/>
          <w:sz w:val="24"/>
          <w:szCs w:val="24"/>
          <w:highlight w:val="none"/>
        </w:rPr>
        <w:t xml:space="preserve">；</w:t>
      </w:r>
      <w:r>
        <w:rPr>
          <w:highlight w:val="none"/>
        </w:rPr>
      </w:r>
      <w:r/>
    </w:p>
    <w:p>
      <w:pPr>
        <w:ind w:firstLine="480"/>
        <w:spacing w:line="500" w:lineRule="exact"/>
        <w:rPr>
          <w:rFonts w:ascii="宋体" w:hAnsi="宋体"/>
          <w:i/>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（采购文件中明确的所属行业）</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，从业人员人，营业收入为万元，资产总额为万元，属于</w:t>
      </w:r>
      <w:r>
        <w:rPr>
          <w:rFonts w:hint="eastAsia" w:ascii="宋体" w:hAnsi="宋体"/>
          <w:color w:val="000000"/>
          <w:sz w:val="24"/>
          <w:szCs w:val="24"/>
          <w:highlight w:val="none"/>
          <w:u w:val="single"/>
        </w:rPr>
        <w:t xml:space="preserve">（中型企业、小型企业、微型企业）</w:t>
      </w:r>
      <w:r>
        <w:rPr>
          <w:rFonts w:hint="eastAsia" w:ascii="宋体" w:hAnsi="宋体"/>
          <w:color w:val="000000"/>
          <w:sz w:val="24"/>
          <w:szCs w:val="24"/>
          <w:highlight w:val="none"/>
        </w:rPr>
        <w:t xml:space="preserve">；</w:t>
      </w:r>
      <w:r>
        <w:rPr>
          <w:highlight w:val="none"/>
        </w:rPr>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w:t>
      </w:r>
      <w:r>
        <w:rPr>
          <w:highlight w:val="none"/>
        </w:rPr>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highlight w:val="none"/>
        </w:rPr>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本企业对上述声明内容的真实性负责。如有虚假，将依法承担相应责任。</w:t>
      </w:r>
      <w:r>
        <w:rPr>
          <w:highlight w:val="none"/>
        </w:rPr>
      </w:r>
      <w:r/>
    </w:p>
    <w:p>
      <w:pPr>
        <w:ind w:right="1620"/>
        <w:spacing w:line="56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p>
      <w:pPr>
        <w:ind w:right="1620" w:firstLine="2880"/>
        <w:spacing w:line="56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企业名称（盖章）：</w:t>
      </w:r>
      <w:r>
        <w:rPr>
          <w:highlight w:val="none"/>
        </w:rPr>
      </w:r>
      <w:r/>
    </w:p>
    <w:p>
      <w:pPr>
        <w:ind w:right="1140" w:firstLine="2880"/>
        <w:spacing w:line="56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日   期：</w:t>
      </w:r>
      <w:r>
        <w:rPr>
          <w:highlight w:val="none"/>
        </w:rPr>
      </w:r>
      <w:r/>
    </w:p>
    <w:p>
      <w:pPr>
        <w:ind w:right="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r>
      <w:r>
        <w:rPr>
          <w:highlight w:val="none"/>
        </w:rPr>
      </w:r>
      <w:r/>
    </w:p>
    <w:p>
      <w:pPr>
        <w:ind w:right="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r>
      <w:r>
        <w:rPr>
          <w:highlight w:val="none"/>
        </w:rPr>
      </w:r>
      <w:r/>
    </w:p>
    <w:p>
      <w:pPr>
        <w:ind w:right="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填报说明：</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w:t>
      </w:r>
      <w:r>
        <w:rPr>
          <w:rFonts w:ascii="宋体" w:hAnsi="宋体"/>
          <w:sz w:val="24"/>
          <w:szCs w:val="24"/>
          <w:highlight w:val="none"/>
        </w:rPr>
        <w:t xml:space="preserve">从业人员、营业收入、资产总额填报上一年度数据，无上一年度数据的新成立企业可不填报。</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2、请供应商如实填写，所填内容须与投标分项报价表一致，如填写不完整或不一致或填写有误，将承担一切不利后果。</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3、中标人的《中小企业声明函》随中标结果公开，接受社会监督。</w:t>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jc w:val="left"/>
        <w:keepLines/>
        <w:keepNext/>
        <w:spacing w:before="360" w:after="200" w:line="360" w:lineRule="auto"/>
        <w:rPr>
          <w:rFonts w:ascii="Arial" w:hAnsi="Arial" w:cs="Arial"/>
          <w:sz w:val="36"/>
          <w:highlight w:val="none"/>
        </w:rPr>
        <w:pBdr>
          <w:top w:val="none" w:color="auto" w:sz="0" w:space="1"/>
          <w:left w:val="none" w:color="auto" w:sz="0" w:space="4"/>
          <w:bottom w:val="none" w:color="auto" w:sz="0" w:space="1"/>
          <w:right w:val="none" w:color="auto" w:sz="0" w:space="4"/>
        </w:pBdr>
        <w:outlineLvl w:val="1"/>
      </w:pPr>
      <w:r>
        <w:rPr>
          <w:rFonts w:hint="eastAsia" w:ascii="Arial" w:hAnsi="Arial" w:cs="Arial"/>
          <w:sz w:val="36"/>
          <w:highlight w:val="none"/>
        </w:rPr>
        <w:t xml:space="preserve">十二、残疾人福利性单位声明函（分包号：**）</w:t>
      </w:r>
      <w:r>
        <w:rPr>
          <w:highlight w:val="none"/>
        </w:rPr>
      </w:r>
      <w:r/>
    </w:p>
    <w:p>
      <w:pPr>
        <w:jc w:val="center"/>
        <w:spacing w:line="360" w:lineRule="auto"/>
        <w:tabs>
          <w:tab w:val="left" w:pos="360" w:leader="none"/>
        </w:tabs>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残疾人福利性单位声明函</w:t>
      </w:r>
      <w:r>
        <w:rPr>
          <w:highlight w:val="none"/>
        </w:rPr>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本单位郑重声明，根据《财政部 民政部 中国残疾人联合会关于促进残疾人就业政府采购政策的通知》（财库</w:t>
      </w:r>
      <w:r>
        <w:rPr>
          <w:rFonts w:hint="eastAsia" w:ascii="宋体" w:hAnsi="宋体"/>
          <w:color w:val="000000"/>
          <w:sz w:val="24"/>
          <w:szCs w:val="24"/>
          <w:highlight w:val="none"/>
        </w:rPr>
        <w:t xml:space="preserve">〔2017〕</w:t>
      </w:r>
      <w:r>
        <w:rPr>
          <w:rFonts w:hint="eastAsia" w:ascii="宋体" w:hAnsi="宋体"/>
          <w:color w:val="000000"/>
          <w:sz w:val="24"/>
          <w:szCs w:val="21"/>
          <w:highlight w:val="none"/>
        </w:rPr>
        <w:t xml:space="preserve">141号）的规定，本单位为符合条件的残疾人福利性单位，且本单位参加单位的项目（</w:t>
      </w:r>
      <w:r>
        <w:rPr>
          <w:rFonts w:hint="eastAsia" w:ascii="宋体" w:hAnsi="宋体"/>
          <w:color w:val="000000"/>
          <w:sz w:val="24"/>
          <w:szCs w:val="24"/>
          <w:highlight w:val="none"/>
        </w:rPr>
        <w:t xml:space="preserve">项目编号：，分包号：</w:t>
      </w:r>
      <w:r>
        <w:rPr>
          <w:rFonts w:hint="eastAsia" w:ascii="宋体" w:hAnsi="宋体"/>
          <w:color w:val="000000"/>
          <w:sz w:val="24"/>
          <w:szCs w:val="21"/>
          <w:highlight w:val="none"/>
        </w:rPr>
        <w:t xml:space="preserve">）采购活动提供本单位制造的货物，或者提供其他残疾人福利性单位制造的货物（不包括使用非残疾人福利性单位注册商标的货物）。相关企业的具体情况如下：</w:t>
      </w:r>
      <w:r>
        <w:rPr>
          <w:highlight w:val="none"/>
        </w:rPr>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1.</w:t>
      </w:r>
      <w:r>
        <w:rPr>
          <w:rFonts w:hint="eastAsia" w:ascii="宋体" w:hAnsi="宋体"/>
          <w:color w:val="000000"/>
          <w:sz w:val="24"/>
          <w:szCs w:val="21"/>
          <w:highlight w:val="none"/>
          <w:u w:val="single"/>
        </w:rPr>
        <w:t xml:space="preserve">（标的名称）</w:t>
      </w:r>
      <w:r>
        <w:rPr>
          <w:rFonts w:hint="eastAsia" w:ascii="宋体" w:hAnsi="宋体"/>
          <w:color w:val="000000"/>
          <w:sz w:val="24"/>
          <w:szCs w:val="21"/>
          <w:highlight w:val="none"/>
        </w:rPr>
        <w:t xml:space="preserve">，制造商为</w:t>
      </w:r>
      <w:r>
        <w:rPr>
          <w:rFonts w:hint="eastAsia" w:ascii="宋体" w:hAnsi="宋体"/>
          <w:color w:val="000000"/>
          <w:sz w:val="24"/>
          <w:szCs w:val="21"/>
          <w:highlight w:val="none"/>
          <w:u w:val="single"/>
        </w:rPr>
        <w:t xml:space="preserve">（企业名称）</w:t>
      </w:r>
      <w:r>
        <w:rPr>
          <w:rFonts w:hint="eastAsia" w:ascii="宋体" w:hAnsi="宋体"/>
          <w:color w:val="000000"/>
          <w:sz w:val="24"/>
          <w:szCs w:val="21"/>
          <w:highlight w:val="none"/>
        </w:rPr>
        <w:t xml:space="preserve">，属于残疾人福利性单位； </w:t>
      </w:r>
      <w:r>
        <w:rPr>
          <w:highlight w:val="none"/>
        </w:rPr>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2.</w:t>
      </w:r>
      <w:r>
        <w:rPr>
          <w:rFonts w:hint="eastAsia" w:ascii="宋体" w:hAnsi="宋体"/>
          <w:color w:val="000000"/>
          <w:sz w:val="24"/>
          <w:szCs w:val="21"/>
          <w:highlight w:val="none"/>
          <w:u w:val="single"/>
        </w:rPr>
        <w:t xml:space="preserve">（标的名称）</w:t>
      </w:r>
      <w:r>
        <w:rPr>
          <w:rFonts w:hint="eastAsia" w:ascii="宋体" w:hAnsi="宋体"/>
          <w:color w:val="000000"/>
          <w:sz w:val="24"/>
          <w:szCs w:val="21"/>
          <w:highlight w:val="none"/>
        </w:rPr>
        <w:t xml:space="preserve">，制造商为</w:t>
      </w:r>
      <w:r>
        <w:rPr>
          <w:rFonts w:hint="eastAsia" w:ascii="宋体" w:hAnsi="宋体"/>
          <w:color w:val="000000"/>
          <w:sz w:val="24"/>
          <w:szCs w:val="21"/>
          <w:highlight w:val="none"/>
          <w:u w:val="single"/>
        </w:rPr>
        <w:t xml:space="preserve">（企业名称）</w:t>
      </w:r>
      <w:r>
        <w:rPr>
          <w:rFonts w:hint="eastAsia" w:ascii="宋体" w:hAnsi="宋体"/>
          <w:color w:val="000000"/>
          <w:sz w:val="24"/>
          <w:szCs w:val="21"/>
          <w:highlight w:val="none"/>
        </w:rPr>
        <w:t xml:space="preserve">，属于残疾人福利性单位；</w:t>
      </w:r>
      <w:r>
        <w:rPr>
          <w:highlight w:val="none"/>
        </w:rPr>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w:t>
      </w:r>
      <w:r>
        <w:rPr>
          <w:highlight w:val="none"/>
        </w:rPr>
      </w:r>
      <w:r/>
    </w:p>
    <w:p>
      <w:pPr>
        <w:ind w:firstLine="480"/>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本单位对上述声明的真实性负责。如有虚假，将依法承担相应责任。</w:t>
      </w:r>
      <w:r>
        <w:rPr>
          <w:highlight w:val="none"/>
        </w:rPr>
      </w:r>
      <w:r/>
    </w:p>
    <w:p>
      <w:pPr>
        <w:ind w:firstLine="480"/>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r>
      <w:r>
        <w:rPr>
          <w:highlight w:val="none"/>
        </w:rPr>
      </w:r>
      <w:r/>
    </w:p>
    <w:p>
      <w:pPr>
        <w:ind w:right="1620" w:firstLine="2880"/>
        <w:spacing w:line="56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单位名称（盖章）：</w:t>
      </w:r>
      <w:r>
        <w:rPr>
          <w:highlight w:val="none"/>
        </w:rPr>
      </w:r>
      <w:r/>
    </w:p>
    <w:p>
      <w:pPr>
        <w:ind w:right="1140" w:firstLine="2880"/>
        <w:spacing w:line="56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日   期：</w:t>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spacing w:line="360" w:lineRule="auto"/>
        <w:rPr>
          <w:rFonts w:ascii="宋体" w:hAnsi="宋体"/>
          <w:bCs/>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bCs/>
          <w:sz w:val="24"/>
          <w:szCs w:val="24"/>
          <w:highlight w:val="none"/>
        </w:rPr>
        <w:t xml:space="preserve">填报说明：</w:t>
      </w:r>
      <w:r>
        <w:rPr>
          <w:highlight w:val="none"/>
        </w:rPr>
      </w:r>
      <w:r/>
    </w:p>
    <w:p>
      <w:pPr>
        <w:ind w:firstLine="480"/>
        <w:jc w:val="left"/>
        <w:spacing w:line="360" w:lineRule="auto"/>
        <w:rPr>
          <w:rFonts w:ascii="宋体" w:hAnsi="宋体"/>
          <w:bCs/>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bCs/>
          <w:sz w:val="24"/>
          <w:szCs w:val="24"/>
          <w:highlight w:val="none"/>
        </w:rPr>
        <w:t xml:space="preserve">1、</w:t>
      </w:r>
      <w:r>
        <w:rPr>
          <w:rFonts w:hint="eastAsia" w:ascii="宋体" w:hAnsi="宋体"/>
          <w:sz w:val="24"/>
          <w:szCs w:val="24"/>
          <w:highlight w:val="none"/>
        </w:rPr>
        <w:t xml:space="preserve">请供应商如实填写，所填内容须与投标分项报价表一致，如填写不完整或不一致或填写有误，将承担一切不利后果。</w:t>
      </w:r>
      <w:r>
        <w:rPr>
          <w:highlight w:val="none"/>
        </w:rPr>
      </w:r>
      <w:r/>
    </w:p>
    <w:p>
      <w:pPr>
        <w:ind w:firstLine="480"/>
        <w:jc w:val="left"/>
        <w:spacing w:line="360" w:lineRule="auto"/>
        <w:rPr>
          <w:rFonts w:ascii="Times New Roman" w:hAnsi="Times New Roman"/>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bCs/>
          <w:sz w:val="24"/>
          <w:szCs w:val="24"/>
          <w:highlight w:val="none"/>
        </w:rPr>
        <w:t xml:space="preserve">2、中标人的《残疾人福利性单位声明函》随中标结果公开</w:t>
      </w:r>
      <w:r>
        <w:rPr>
          <w:rFonts w:hint="eastAsia" w:ascii="宋体" w:hAnsi="宋体"/>
          <w:sz w:val="24"/>
          <w:szCs w:val="24"/>
          <w:highlight w:val="none"/>
        </w:rPr>
        <w:t xml:space="preserve">，接受社会监督</w:t>
      </w:r>
      <w:r>
        <w:rPr>
          <w:rFonts w:hint="eastAsia" w:ascii="宋体" w:hAnsi="宋体"/>
          <w:bCs/>
          <w:sz w:val="24"/>
          <w:szCs w:val="24"/>
          <w:highlight w:val="none"/>
        </w:rPr>
        <w:t xml:space="preserve">。</w:t>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jc w:val="left"/>
        <w:keepLines/>
        <w:keepNext/>
        <w:spacing w:before="360" w:after="200" w:line="360" w:lineRule="auto"/>
        <w:rPr>
          <w:rFonts w:ascii="Arial" w:hAnsi="Arial" w:cs="Arial"/>
          <w:sz w:val="36"/>
          <w:highlight w:val="none"/>
        </w:rPr>
        <w:pBdr>
          <w:top w:val="none" w:color="auto" w:sz="0" w:space="1"/>
          <w:left w:val="none" w:color="auto" w:sz="0" w:space="4"/>
          <w:bottom w:val="none" w:color="auto" w:sz="0" w:space="1"/>
          <w:right w:val="none" w:color="auto" w:sz="0" w:space="4"/>
        </w:pBdr>
        <w:outlineLvl w:val="1"/>
      </w:pPr>
      <w:r>
        <w:rPr>
          <w:rFonts w:hint="eastAsia" w:ascii="Arial" w:hAnsi="Arial" w:cs="Arial"/>
          <w:sz w:val="36"/>
          <w:highlight w:val="none"/>
        </w:rPr>
        <w:t xml:space="preserve">十三、联合体协议（参考格式）（分包号：**）</w:t>
      </w:r>
      <w:r>
        <w:rPr>
          <w:highlight w:val="none"/>
        </w:rPr>
      </w:r>
      <w:r/>
    </w:p>
    <w:p>
      <w:pPr>
        <w:jc w:val="center"/>
        <w:spacing w:line="360" w:lineRule="auto"/>
        <w:tabs>
          <w:tab w:val="left" w:pos="360" w:leader="none"/>
        </w:tabs>
        <w:rPr>
          <w:rFonts w:ascii="宋体" w:hAnsi="宋体"/>
          <w:color w:val="000000"/>
          <w:sz w:val="24"/>
          <w:szCs w:val="21"/>
          <w:highlight w:val="none"/>
          <w:u w:val="singl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联合体协议</w:t>
      </w:r>
      <w:r>
        <w:rPr>
          <w:highlight w:val="none"/>
        </w:rPr>
      </w:r>
      <w:r/>
    </w:p>
    <w:p>
      <w:pPr>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u w:val="single"/>
        </w:rPr>
        <w:t xml:space="preserve">（联合体中各供应商全称）</w:t>
      </w:r>
      <w:r>
        <w:rPr>
          <w:rFonts w:hint="eastAsia" w:ascii="宋体" w:hAnsi="宋体"/>
          <w:color w:val="000000"/>
          <w:sz w:val="24"/>
          <w:szCs w:val="21"/>
          <w:highlight w:val="none"/>
        </w:rPr>
        <w:t xml:space="preserve">在此达成以下协议：</w:t>
      </w:r>
      <w:r>
        <w:rPr>
          <w:highlight w:val="none"/>
        </w:rPr>
      </w:r>
      <w:r/>
    </w:p>
    <w:p>
      <w:pPr>
        <w:ind w:firstLine="480"/>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、我们</w:t>
      </w:r>
      <w:r>
        <w:rPr>
          <w:rFonts w:hint="eastAsia" w:ascii="宋体" w:hAnsi="宋体"/>
          <w:color w:val="000000"/>
          <w:sz w:val="24"/>
          <w:szCs w:val="21"/>
          <w:highlight w:val="none"/>
          <w:u w:val="single"/>
        </w:rPr>
        <w:t xml:space="preserve"> （供应商1），（供应商2） ，</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自愿组成联合体，参加连云港市疾病预防控制中心组织的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（项目编号：，分包号：）</w:t>
      </w:r>
      <w:r>
        <w:rPr>
          <w:rFonts w:hint="eastAsia" w:ascii="宋体" w:hAnsi="宋体"/>
          <w:color w:val="000000"/>
          <w:sz w:val="24"/>
          <w:szCs w:val="21"/>
          <w:highlight w:val="none"/>
        </w:rPr>
        <w:t xml:space="preserve">的政府采购活动，我联合体指定</w:t>
      </w:r>
      <w:r>
        <w:rPr>
          <w:rFonts w:hint="eastAsia" w:ascii="宋体" w:hAnsi="宋体"/>
          <w:color w:val="000000"/>
          <w:sz w:val="24"/>
          <w:szCs w:val="21"/>
          <w:highlight w:val="none"/>
          <w:u w:val="single"/>
        </w:rPr>
        <w:t xml:space="preserve">（供应商*）</w:t>
      </w:r>
      <w:r>
        <w:rPr>
          <w:rFonts w:hint="eastAsia" w:ascii="宋体" w:hAnsi="宋体"/>
          <w:color w:val="000000"/>
          <w:sz w:val="24"/>
          <w:szCs w:val="21"/>
          <w:highlight w:val="none"/>
        </w:rPr>
        <w:t xml:space="preserve">为牵头单位（牵头单位必须为联合体成员）。</w:t>
      </w:r>
      <w:r>
        <w:rPr>
          <w:highlight w:val="none"/>
        </w:rPr>
      </w:r>
      <w:r/>
    </w:p>
    <w:p>
      <w:pPr>
        <w:ind w:firstLine="480"/>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、若我们联合中标、成交，</w:t>
      </w:r>
      <w:r>
        <w:rPr>
          <w:rFonts w:hint="eastAsia" w:ascii="宋体" w:hAnsi="宋体"/>
          <w:color w:val="000000"/>
          <w:sz w:val="24"/>
          <w:szCs w:val="21"/>
          <w:highlight w:val="none"/>
          <w:u w:val="single"/>
        </w:rPr>
        <w:t xml:space="preserve">（供应商单位</w:t>
      </w:r>
      <w:r>
        <w:rPr>
          <w:rFonts w:ascii="宋体" w:hAnsi="宋体"/>
          <w:color w:val="000000"/>
          <w:sz w:val="24"/>
          <w:szCs w:val="21"/>
          <w:highlight w:val="none"/>
          <w:u w:val="single"/>
        </w:rPr>
        <w:t xml:space="preserve">1</w:t>
      </w:r>
      <w:r>
        <w:rPr>
          <w:rFonts w:hint="eastAsia" w:ascii="宋体" w:hAnsi="宋体"/>
          <w:color w:val="000000"/>
          <w:sz w:val="24"/>
          <w:szCs w:val="21"/>
          <w:highlight w:val="none"/>
          <w:u w:val="single"/>
        </w:rPr>
        <w:t xml:space="preserve">全称）</w:t>
      </w:r>
      <w:r>
        <w:rPr>
          <w:rFonts w:hint="eastAsia" w:ascii="宋体" w:hAnsi="宋体"/>
          <w:color w:val="000000"/>
          <w:sz w:val="24"/>
          <w:szCs w:val="21"/>
          <w:highlight w:val="none"/>
        </w:rPr>
        <w:t xml:space="preserve">实施项目中</w:t>
      </w:r>
      <w:r>
        <w:rPr>
          <w:rFonts w:hint="eastAsia" w:ascii="宋体" w:hAnsi="宋体"/>
          <w:color w:val="000000"/>
          <w:sz w:val="24"/>
          <w:szCs w:val="21"/>
          <w:highlight w:val="none"/>
          <w:u w:val="single"/>
        </w:rPr>
        <w:t xml:space="preserve">（工作内容）</w:t>
      </w:r>
      <w:r>
        <w:rPr>
          <w:rFonts w:hint="eastAsia" w:ascii="宋体" w:hAnsi="宋体"/>
          <w:color w:val="000000"/>
          <w:sz w:val="24"/>
          <w:szCs w:val="21"/>
          <w:highlight w:val="none"/>
        </w:rPr>
        <w:t xml:space="preserve">部分工作，并承担相应的责任。</w:t>
      </w:r>
      <w:r>
        <w:rPr>
          <w:rFonts w:hint="eastAsia" w:ascii="宋体" w:hAnsi="宋体"/>
          <w:color w:val="000000"/>
          <w:sz w:val="24"/>
          <w:szCs w:val="21"/>
          <w:highlight w:val="none"/>
          <w:u w:val="single"/>
        </w:rPr>
        <w:t xml:space="preserve">（供应商单位</w:t>
      </w:r>
      <w:r>
        <w:rPr>
          <w:rFonts w:ascii="宋体" w:hAnsi="宋体"/>
          <w:color w:val="000000"/>
          <w:sz w:val="24"/>
          <w:szCs w:val="21"/>
          <w:highlight w:val="none"/>
          <w:u w:val="single"/>
        </w:rPr>
        <w:t xml:space="preserve">2</w:t>
      </w:r>
      <w:r>
        <w:rPr>
          <w:rFonts w:hint="eastAsia" w:ascii="宋体" w:hAnsi="宋体"/>
          <w:color w:val="000000"/>
          <w:sz w:val="24"/>
          <w:szCs w:val="21"/>
          <w:highlight w:val="none"/>
          <w:u w:val="single"/>
        </w:rPr>
        <w:t xml:space="preserve">全称）</w:t>
      </w:r>
      <w:r>
        <w:rPr>
          <w:rFonts w:hint="eastAsia" w:ascii="宋体" w:hAnsi="宋体"/>
          <w:color w:val="000000"/>
          <w:sz w:val="24"/>
          <w:szCs w:val="21"/>
          <w:highlight w:val="none"/>
        </w:rPr>
        <w:t xml:space="preserve">实施项目中</w:t>
      </w:r>
      <w:r>
        <w:rPr>
          <w:rFonts w:hint="eastAsia" w:ascii="宋体" w:hAnsi="宋体"/>
          <w:color w:val="000000"/>
          <w:sz w:val="24"/>
          <w:szCs w:val="21"/>
          <w:highlight w:val="none"/>
          <w:u w:val="single"/>
        </w:rPr>
        <w:t xml:space="preserve">（工作内容）</w:t>
      </w:r>
      <w:r>
        <w:rPr>
          <w:rFonts w:hint="eastAsia" w:ascii="宋体" w:hAnsi="宋体"/>
          <w:color w:val="000000"/>
          <w:sz w:val="24"/>
          <w:szCs w:val="21"/>
          <w:highlight w:val="none"/>
        </w:rPr>
        <w:t xml:space="preserve">部分工作，并承担相应的责任……。（注：联合体中各供应商都应明示所承担的工作和相应的责任）。</w:t>
      </w:r>
      <w:r>
        <w:rPr>
          <w:highlight w:val="none"/>
        </w:rPr>
      </w:r>
      <w:r/>
    </w:p>
    <w:p>
      <w:pPr>
        <w:ind w:firstLine="480"/>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。（可选）</w:t>
      </w:r>
      <w:r>
        <w:rPr>
          <w:highlight w:val="none"/>
        </w:rPr>
      </w:r>
      <w:r/>
    </w:p>
    <w:p>
      <w:pPr>
        <w:ind w:firstLine="480"/>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r>
      <w:r>
        <w:rPr>
          <w:highlight w:val="none"/>
        </w:rPr>
      </w:r>
      <w:r/>
    </w:p>
    <w:p>
      <w:pPr>
        <w:ind w:firstLine="480"/>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r>
      <w:r>
        <w:rPr>
          <w:highlight w:val="none"/>
        </w:rPr>
      </w:r>
      <w:r/>
    </w:p>
    <w:p>
      <w:pPr>
        <w:ind w:firstLine="480"/>
        <w:spacing w:line="360" w:lineRule="auto"/>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供应商1全称（公章）：</w:t>
      </w:r>
      <w:r>
        <w:rPr>
          <w:highlight w:val="none"/>
        </w:rPr>
      </w:r>
      <w:r/>
    </w:p>
    <w:p>
      <w:pPr>
        <w:ind w:firstLine="480"/>
        <w:spacing w:line="360" w:lineRule="auto"/>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法定代表人</w:t>
      </w:r>
      <w:r>
        <w:rPr>
          <w:rFonts w:ascii="宋体" w:hAnsi="宋体"/>
          <w:color w:val="000000"/>
          <w:sz w:val="24"/>
          <w:szCs w:val="21"/>
          <w:highlight w:val="none"/>
        </w:rPr>
        <w:t xml:space="preserve">（单位负责人）</w:t>
      </w:r>
      <w:r>
        <w:rPr>
          <w:rFonts w:hint="eastAsia" w:ascii="宋体" w:hAnsi="宋体"/>
          <w:color w:val="000000"/>
          <w:sz w:val="24"/>
          <w:szCs w:val="21"/>
          <w:highlight w:val="none"/>
        </w:rPr>
        <w:t xml:space="preserve">或委托代理人（签字或盖章）：</w:t>
      </w:r>
      <w:r>
        <w:rPr>
          <w:highlight w:val="none"/>
        </w:rPr>
      </w:r>
      <w:r/>
    </w:p>
    <w:p>
      <w:pPr>
        <w:ind w:firstLine="480"/>
        <w:spacing w:line="360" w:lineRule="auto"/>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日期：     年   月   日</w:t>
      </w:r>
      <w:r>
        <w:rPr>
          <w:highlight w:val="none"/>
        </w:rPr>
      </w:r>
      <w:r/>
    </w:p>
    <w:p>
      <w:pPr>
        <w:ind w:firstLine="480"/>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r>
      <w:r>
        <w:rPr>
          <w:highlight w:val="none"/>
        </w:rPr>
      </w:r>
      <w:r/>
    </w:p>
    <w:p>
      <w:pPr>
        <w:ind w:firstLine="480"/>
        <w:spacing w:line="360" w:lineRule="auto"/>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供应商2全称（公章）：</w:t>
      </w:r>
      <w:r>
        <w:rPr>
          <w:highlight w:val="none"/>
        </w:rPr>
      </w:r>
      <w:r/>
    </w:p>
    <w:p>
      <w:pPr>
        <w:ind w:firstLine="480"/>
        <w:spacing w:line="360" w:lineRule="auto"/>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法定代表人</w:t>
      </w:r>
      <w:r>
        <w:rPr>
          <w:rFonts w:ascii="宋体" w:hAnsi="宋体"/>
          <w:color w:val="000000"/>
          <w:sz w:val="24"/>
          <w:szCs w:val="21"/>
          <w:highlight w:val="none"/>
        </w:rPr>
        <w:t xml:space="preserve">（单位负责人）</w:t>
      </w:r>
      <w:r>
        <w:rPr>
          <w:rFonts w:hint="eastAsia" w:ascii="宋体" w:hAnsi="宋体"/>
          <w:color w:val="000000"/>
          <w:sz w:val="24"/>
          <w:szCs w:val="21"/>
          <w:highlight w:val="none"/>
        </w:rPr>
        <w:t xml:space="preserve">或委托代理人（签字或盖章）：</w:t>
      </w:r>
      <w:r>
        <w:rPr>
          <w:highlight w:val="none"/>
        </w:rPr>
      </w:r>
      <w:r/>
    </w:p>
    <w:p>
      <w:pPr>
        <w:ind w:firstLine="480"/>
        <w:spacing w:line="360" w:lineRule="auto"/>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日期：     年   月   日</w:t>
      </w:r>
      <w:r>
        <w:rPr>
          <w:highlight w:val="none"/>
        </w:rPr>
      </w:r>
      <w:r/>
    </w:p>
    <w:p>
      <w:pPr>
        <w:ind w:firstLine="480"/>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r>
      <w:r>
        <w:rPr>
          <w:highlight w:val="none"/>
        </w:rPr>
      </w:r>
      <w:r/>
    </w:p>
    <w:p>
      <w:pPr>
        <w:ind w:firstLine="480"/>
        <w:spacing w:line="500" w:lineRule="exact"/>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w:t>
      </w:r>
      <w:r>
        <w:rPr>
          <w:highlight w:val="none"/>
        </w:rPr>
      </w:r>
      <w:r/>
    </w:p>
    <w:p>
      <w:pPr>
        <w:ind w:firstLine="480"/>
        <w:spacing w:line="500" w:lineRule="exact"/>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r>
      <w:r>
        <w:rPr>
          <w:highlight w:val="none"/>
        </w:rPr>
      </w:r>
      <w:r/>
    </w:p>
    <w:p>
      <w:pPr>
        <w:ind w:firstLine="480"/>
        <w:spacing w:line="500" w:lineRule="exact"/>
        <w:rPr>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备注：本招标文件中要求加盖公章的内容，仅需加盖牵头单位的公章。</w:t>
      </w:r>
      <w:r>
        <w:rPr>
          <w:highlight w:val="none"/>
        </w:rPr>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十四、投标分项报价表（分包号：**）</w:t>
      </w:r>
      <w:r>
        <w:rPr>
          <w:highlight w:val="none"/>
        </w:rPr>
      </w:r>
      <w:r/>
    </w:p>
    <w:p>
      <w:pPr>
        <w:jc w:val="center"/>
        <w:spacing w:line="360" w:lineRule="auto"/>
        <w:tabs>
          <w:tab w:val="left" w:pos="360" w:leader="none"/>
        </w:tabs>
        <w:rPr>
          <w:rFonts w:ascii="黑体" w:hAnsi="黑体" w:eastAsia="黑体" w:cs="宋体"/>
          <w:bCs/>
          <w:sz w:val="36"/>
          <w:szCs w:val="28"/>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投标分项报价表</w:t>
      </w:r>
      <w:r>
        <w:rPr>
          <w:highlight w:val="none"/>
        </w:rPr>
      </w:r>
      <w:r/>
    </w:p>
    <w:p>
      <w:pPr>
        <w:jc w:val="left"/>
        <w:spacing w:line="360" w:lineRule="auto"/>
        <w:rPr>
          <w:rFonts w:ascii="宋体" w:hAnsi="宋体"/>
          <w:bCs/>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highlight w:val="none"/>
        </w:rPr>
        <w:t xml:space="preserve">项目名称：      项目编号：      分包号：</w:t>
      </w:r>
      <w:r>
        <w:rPr>
          <w:highlight w:val="none"/>
        </w:rPr>
      </w:r>
      <w:r/>
    </w:p>
    <w:p>
      <w:pPr>
        <w:jc w:val="right"/>
        <w:spacing w:line="360" w:lineRule="auto"/>
        <w:rPr>
          <w:rFonts w:ascii="宋体" w:hAnsi="宋体"/>
          <w:color w:val="000000"/>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4"/>
          <w:highlight w:val="none"/>
        </w:rPr>
        <w:t xml:space="preserve">单位：元</w:t>
      </w:r>
      <w:r>
        <w:rPr>
          <w:highlight w:val="none"/>
        </w:rPr>
      </w:r>
      <w:r/>
    </w:p>
    <w:tbl>
      <w:tblPr>
        <w:tblStyle w:val="73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1" w:type="dxa"/>
            <w:vAlign w:val="center"/>
            <w:textDirection w:val="lrTb"/>
            <w:noWrap/>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序号</w:t>
            </w:r>
            <w:r>
              <w:rPr>
                <w:highlight w:val="none"/>
              </w:rPr>
            </w:r>
            <w:r/>
          </w:p>
        </w:tc>
        <w:tc>
          <w:tcPr>
            <w:tcW w:w="1204"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货物（标的）名称</w:t>
            </w:r>
            <w:r>
              <w:rPr>
                <w:highlight w:val="none"/>
              </w:rPr>
            </w:r>
            <w:r/>
          </w:p>
        </w:tc>
        <w:tc>
          <w:tcPr>
            <w:tcW w:w="663"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品牌</w:t>
            </w:r>
            <w:r>
              <w:rPr>
                <w:highlight w:val="none"/>
              </w:rPr>
            </w:r>
            <w:r/>
          </w:p>
        </w:tc>
        <w:tc>
          <w:tcPr>
            <w:tcW w:w="794"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规格型号</w:t>
            </w:r>
            <w:r>
              <w:rPr>
                <w:highlight w:val="none"/>
              </w:rPr>
            </w:r>
            <w:r/>
          </w:p>
        </w:tc>
        <w:tc>
          <w:tcPr>
            <w:tcW w:w="701"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制造商</w:t>
            </w:r>
            <w:r>
              <w:rPr>
                <w:highlight w:val="none"/>
              </w:rPr>
            </w:r>
            <w:r/>
          </w:p>
        </w:tc>
        <w:tc>
          <w:tcPr>
            <w:gridSpan w:val="2"/>
            <w:tcW w:w="1120"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制造商企业类型</w:t>
            </w:r>
            <w:r>
              <w:rPr>
                <w:highlight w:val="none"/>
              </w:rPr>
            </w:r>
            <w:r/>
          </w:p>
        </w:tc>
        <w:tc>
          <w:tcPr>
            <w:tcW w:w="701"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单价</w:t>
            </w:r>
            <w:r>
              <w:rPr>
                <w:highlight w:val="none"/>
              </w:rPr>
            </w:r>
            <w:r/>
          </w:p>
        </w:tc>
        <w:tc>
          <w:tcPr>
            <w:tcW w:w="701"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数量</w:t>
            </w:r>
            <w:r>
              <w:rPr>
                <w:highlight w:val="none"/>
              </w:rPr>
            </w:r>
            <w:r/>
          </w:p>
        </w:tc>
        <w:tc>
          <w:tcPr>
            <w:tcW w:w="1120"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计量单位</w:t>
            </w:r>
            <w:r>
              <w:rPr>
                <w:highlight w:val="none"/>
              </w:rPr>
            </w:r>
            <w:r/>
          </w:p>
        </w:tc>
        <w:tc>
          <w:tcPr>
            <w:tcW w:w="980"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单项合计价</w:t>
            </w:r>
            <w:r>
              <w:rPr>
                <w:highlight w:val="none"/>
              </w:rPr>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none"/>
              </w:rPr>
              <w:t xml:space="preserve">1</w:t>
            </w:r>
            <w:r>
              <w:rPr>
                <w:highlight w:val="none"/>
              </w:rPr>
            </w:r>
            <w:r/>
          </w:p>
        </w:tc>
        <w:tc>
          <w:tcPr>
            <w:tcW w:w="1204"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663"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794"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gridSpan w:val="2"/>
            <w:tcW w:w="112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701" w:type="dxa"/>
            <w:vAlign w:val="center"/>
            <w:textDirection w:val="lrTb"/>
            <w:noWrap w:val="false"/>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112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98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none"/>
              </w:rPr>
              <w:t xml:space="preserve">2</w:t>
            </w:r>
            <w:r>
              <w:rPr>
                <w:highlight w:val="none"/>
              </w:rPr>
            </w:r>
            <w:r/>
          </w:p>
        </w:tc>
        <w:tc>
          <w:tcPr>
            <w:tcW w:w="1204"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663"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794"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gridSpan w:val="2"/>
            <w:tcW w:w="112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701" w:type="dxa"/>
            <w:vAlign w:val="center"/>
            <w:textDirection w:val="lrTb"/>
            <w:noWrap w:val="false"/>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112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98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none"/>
              </w:rPr>
              <w:t xml:space="preserve">3</w:t>
            </w:r>
            <w:r>
              <w:rPr>
                <w:highlight w:val="none"/>
              </w:rPr>
            </w:r>
            <w:r/>
          </w:p>
        </w:tc>
        <w:tc>
          <w:tcPr>
            <w:tcW w:w="1204"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663"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794"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gridSpan w:val="2"/>
            <w:tcW w:w="112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701" w:type="dxa"/>
            <w:vAlign w:val="center"/>
            <w:textDirection w:val="lrTb"/>
            <w:noWrap w:val="false"/>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112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98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t xml:space="preserve">…</w:t>
            </w:r>
            <w:r>
              <w:rPr>
                <w:highlight w:val="none"/>
              </w:rPr>
            </w:r>
            <w:r/>
          </w:p>
        </w:tc>
        <w:tc>
          <w:tcPr>
            <w:tcW w:w="1204"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663"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794"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gridSpan w:val="2"/>
            <w:tcW w:w="112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112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98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none"/>
              </w:rPr>
              <w:t xml:space="preserve">总计（元）</w:t>
            </w:r>
            <w:r>
              <w:rPr>
                <w:highlight w:val="none"/>
              </w:rPr>
            </w:r>
            <w:r/>
          </w:p>
        </w:tc>
        <w:tc>
          <w:tcPr>
            <w:gridSpan w:val="5"/>
            <w:tcW w:w="4015" w:type="dxa"/>
            <w:vAlign w:val="center"/>
            <w:textDirection w:val="lrTb"/>
            <w:noWrap w:val="false"/>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r>
      <w:tr>
        <w:trPr>
          <w:jc w:val="center"/>
          <w:trHeight w:val="567"/>
        </w:trPr>
        <w:tc>
          <w:tcPr>
            <w:gridSpan w:val="11"/>
            <w:tcW w:w="8505"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宋体" w:hAnsi="宋体" w:eastAsia="宋体" w:cs="宋体"/>
                <w:color w:val="000000"/>
                <w:sz w:val="21"/>
                <w:highlight w:val="none"/>
              </w:rPr>
              <w:t xml:space="preserve">本采购包中提供的符合本国产品标准的产品成本之和占该采购包提供的全部产品成本之和的比例为</w:t>
            </w:r>
            <w:r>
              <w:rPr>
                <w:rFonts w:ascii="宋体" w:hAnsi="宋体" w:eastAsia="宋体" w:cs="宋体"/>
                <w:color w:val="000000"/>
                <w:sz w:val="21"/>
                <w:highlight w:val="none"/>
                <w:u w:val="single"/>
              </w:rPr>
              <w:t xml:space="preserve">    </w:t>
            </w:r>
            <w:r>
              <w:rPr>
                <w:rFonts w:ascii="Times New Roman" w:hAnsi="Times New Roman" w:eastAsia="Times New Roman" w:cs="Times New Roman"/>
                <w:color w:val="000000"/>
                <w:sz w:val="21"/>
                <w:highlight w:val="none"/>
              </w:rPr>
              <w:t xml:space="preserve">%</w:t>
            </w:r>
            <w:r>
              <w:rPr>
                <w:rFonts w:ascii="宋体" w:hAnsi="宋体" w:eastAsia="宋体" w:cs="宋体"/>
                <w:color w:val="000000"/>
                <w:sz w:val="21"/>
                <w:highlight w:val="none"/>
              </w:rPr>
              <w:t xml:space="preserve">。</w:t>
            </w:r>
            <w:r>
              <w:rPr>
                <w:highlight w:val="none"/>
              </w:rPr>
            </w:r>
            <w:r/>
          </w:p>
        </w:tc>
      </w:tr>
    </w:tbl>
    <w:p>
      <w:pPr>
        <w:ind w:firstLine="420"/>
        <w:spacing w:line="360" w:lineRule="auto"/>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p>
      <w:pPr>
        <w:ind w:firstLine="420"/>
        <w:spacing w:line="360" w:lineRule="auto"/>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none"/>
        </w:rPr>
        <w:t xml:space="preserve">供应商（盖章）：</w:t>
      </w:r>
      <w:r>
        <w:rPr>
          <w:highlight w:val="none"/>
        </w:rPr>
      </w:r>
      <w:r/>
    </w:p>
    <w:p>
      <w:pPr>
        <w:ind w:firstLine="420"/>
        <w:spacing w:line="360" w:lineRule="auto"/>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none"/>
        </w:rPr>
        <w:t xml:space="preserve">法定代表人</w:t>
      </w:r>
      <w:r>
        <w:rPr>
          <w:rFonts w:ascii="Times New Roman" w:hAnsi="Times New Roman"/>
          <w:color w:val="000000"/>
          <w:szCs w:val="24"/>
          <w:highlight w:val="none"/>
        </w:rPr>
        <w:t xml:space="preserve">（单位负责人）</w:t>
      </w:r>
      <w:r>
        <w:rPr>
          <w:rFonts w:hint="eastAsia" w:ascii="Times New Roman" w:hAnsi="Times New Roman"/>
          <w:color w:val="000000"/>
          <w:szCs w:val="24"/>
          <w:highlight w:val="none"/>
        </w:rPr>
        <w:t xml:space="preserve">或委托代理人（签字或盖章）：</w:t>
      </w:r>
      <w:r>
        <w:rPr>
          <w:highlight w:val="none"/>
        </w:rPr>
      </w:r>
      <w:r/>
    </w:p>
    <w:p>
      <w:pPr>
        <w:ind w:firstLine="420"/>
        <w:spacing w:line="360" w:lineRule="auto"/>
        <w:rPr>
          <w:rFonts w:ascii="宋体" w:hAnsi="宋体"/>
          <w:color w:val="000000"/>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none"/>
        </w:rPr>
        <w:t xml:space="preserve">日期：    年     月     日</w:t>
      </w:r>
      <w:r>
        <w:rPr>
          <w:highlight w:val="none"/>
        </w:rPr>
      </w:r>
      <w:r/>
    </w:p>
    <w:p>
      <w:pPr>
        <w:spacing w:line="360" w:lineRule="auto"/>
        <w:rPr>
          <w:rFonts w:ascii="宋体" w:hAnsi="宋体"/>
          <w:color w:val="000000"/>
          <w:szCs w:val="20"/>
          <w:highlight w:val="none"/>
        </w:rPr>
        <w:pBdr>
          <w:top w:val="none" w:color="auto" w:sz="0" w:space="1"/>
          <w:left w:val="none" w:color="auto" w:sz="0" w:space="4"/>
          <w:bottom w:val="none" w:color="auto" w:sz="0" w:space="1"/>
          <w:right w:val="none" w:color="auto" w:sz="0" w:space="4"/>
        </w:pBdr>
      </w:pPr>
      <w:r>
        <w:rPr>
          <w:rFonts w:ascii="宋体" w:hAnsi="宋体"/>
          <w:color w:val="000000"/>
          <w:szCs w:val="20"/>
          <w:highlight w:val="none"/>
        </w:rPr>
      </w:r>
      <w:r>
        <w:rPr>
          <w:highlight w:val="none"/>
        </w:rPr>
      </w:r>
      <w:r/>
    </w:p>
    <w:p>
      <w:pPr>
        <w:spacing w:line="360" w:lineRule="auto"/>
        <w:rPr>
          <w:rFonts w:ascii="宋体" w:hAnsi="宋体"/>
          <w:color w:val="000000"/>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4"/>
          <w:highlight w:val="none"/>
        </w:rPr>
        <w:t xml:space="preserve">填报说明：</w:t>
      </w:r>
      <w:r>
        <w:rPr>
          <w:highlight w:val="none"/>
        </w:rPr>
      </w:r>
      <w:r/>
    </w:p>
    <w:p>
      <w:pPr>
        <w:ind w:firstLine="420"/>
        <w:spacing w:line="360" w:lineRule="auto"/>
        <w:rPr>
          <w:rFonts w:ascii="宋体" w:hAnsi="宋体"/>
          <w:color w:val="000000"/>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4"/>
          <w:highlight w:val="none"/>
        </w:rPr>
        <w:t xml:space="preserve">1、“制造商企业类型”栏填写内容为“大型”“中型”“小型”“微型”“监狱企业”或“残疾人福利性单位”。</w:t>
      </w:r>
      <w:r>
        <w:rPr>
          <w:highlight w:val="none"/>
        </w:rPr>
      </w:r>
      <w:r/>
    </w:p>
    <w:p>
      <w:pPr>
        <w:ind w:firstLine="420"/>
        <w:spacing w:line="360" w:lineRule="auto"/>
        <w:rPr>
          <w:rFonts w:ascii="宋体" w:hAnsi="宋体"/>
          <w:color w:val="000000"/>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4"/>
          <w:highlight w:val="none"/>
        </w:rPr>
        <w:t xml:space="preserve">2、以上报价包含货物费用、运杂费、安装施工费、集成费、税金、制造商保修费用和其他费用。</w:t>
      </w:r>
      <w:r>
        <w:rPr>
          <w:highlight w:val="none"/>
        </w:rPr>
      </w:r>
      <w:r/>
    </w:p>
    <w:p>
      <w:pPr>
        <w:ind w:firstLine="420"/>
        <w:spacing w:line="360" w:lineRule="auto"/>
        <w:rPr>
          <w:rFonts w:ascii="宋体" w:hAnsi="宋体"/>
          <w:color w:val="000000"/>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4"/>
          <w:highlight w:val="none"/>
        </w:rPr>
        <w:t xml:space="preserve">3、请供应商如实、正确填写本表，所填内容将作为评审的依据，其内容应与对应的证明资料相符</w:t>
      </w:r>
      <w:r>
        <w:rPr>
          <w:highlight w:val="none"/>
        </w:rPr>
      </w:r>
      <w:r/>
    </w:p>
    <w:p>
      <w:pPr>
        <w:ind w:firstLine="420"/>
        <w:spacing w:line="360" w:lineRule="auto"/>
        <w:rPr>
          <w:rFonts w:ascii="Times New Roman" w:hAnsi="宋体"/>
          <w:color w:val="000000"/>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4"/>
          <w:highlight w:val="none"/>
        </w:rPr>
        <w:t xml:space="preserve">4、行数或事项不够，可自行增加</w:t>
      </w:r>
      <w:r>
        <w:rPr>
          <w:rFonts w:hint="eastAsia" w:ascii="Times New Roman" w:hAnsi="宋体"/>
          <w:color w:val="000000"/>
          <w:szCs w:val="24"/>
          <w:highlight w:val="none"/>
        </w:rPr>
        <w:t xml:space="preserve">。</w:t>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十五、技术要求响应及偏离表（分包号：**）</w:t>
      </w:r>
      <w:r>
        <w:rPr>
          <w:highlight w:val="none"/>
        </w:rPr>
      </w:r>
      <w:r/>
    </w:p>
    <w:p>
      <w:pPr>
        <w:jc w:val="center"/>
        <w:spacing w:line="360" w:lineRule="auto"/>
        <w:tabs>
          <w:tab w:val="left" w:pos="360" w:leader="none"/>
        </w:tabs>
        <w:rPr>
          <w:rFonts w:ascii="黑体" w:hAnsi="黑体" w:eastAsia="黑体" w:cs="宋体"/>
          <w:bCs/>
          <w:sz w:val="36"/>
          <w:szCs w:val="28"/>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技术要求响应及偏离表</w:t>
      </w:r>
      <w:r>
        <w:rPr>
          <w:highlight w:val="none"/>
        </w:rPr>
      </w:r>
      <w:r/>
    </w:p>
    <w:p>
      <w:pPr>
        <w:jc w:val="left"/>
        <w:spacing w:line="360" w:lineRule="auto"/>
        <w:rPr>
          <w:rFonts w:ascii="Arial" w:hAnsi="Arial" w:cs="Arial"/>
          <w:sz w:val="36"/>
          <w:highlight w:val="none"/>
        </w:rPr>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highlight w:val="none"/>
        </w:rPr>
        <w:t xml:space="preserve">项目名称：      项目编号：      分包号：</w:t>
      </w:r>
      <w:r>
        <w:rPr>
          <w:highlight w:val="none"/>
        </w:rPr>
      </w:r>
      <w:r/>
    </w:p>
    <w:tbl>
      <w:tblPr>
        <w:tblStyle w:val="73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序号</w:t>
            </w:r>
            <w:r>
              <w:rPr>
                <w:highlight w:val="none"/>
              </w:rPr>
            </w:r>
            <w:r/>
          </w:p>
        </w:tc>
        <w:tc>
          <w:tcPr>
            <w:tcW w:w="327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招标文件要求</w:t>
            </w:r>
            <w:r>
              <w:rPr>
                <w:highlight w:val="none"/>
              </w:rPr>
            </w:r>
            <w:r/>
          </w:p>
        </w:tc>
        <w:tc>
          <w:tcPr>
            <w:tcW w:w="302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投标响应情况</w:t>
            </w:r>
            <w:r>
              <w:rPr>
                <w:highlight w:val="none"/>
              </w:rPr>
            </w:r>
            <w:r/>
          </w:p>
        </w:tc>
        <w:tc>
          <w:tcPr>
            <w:tcW w:w="139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超出、符合或偏离</w:t>
            </w:r>
            <w:r>
              <w:rPr>
                <w:highlight w:val="none"/>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1</w:t>
            </w:r>
            <w:r>
              <w:rPr>
                <w:highlight w:val="none"/>
              </w:rPr>
            </w:r>
            <w:r/>
          </w:p>
        </w:tc>
        <w:tc>
          <w:tcPr>
            <w:tcW w:w="327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302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39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2</w:t>
            </w:r>
            <w:r>
              <w:rPr>
                <w:highlight w:val="none"/>
              </w:rPr>
            </w:r>
            <w:r/>
          </w:p>
        </w:tc>
        <w:tc>
          <w:tcPr>
            <w:tcW w:w="327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302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39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3</w:t>
            </w:r>
            <w:r>
              <w:rPr>
                <w:highlight w:val="none"/>
              </w:rPr>
            </w:r>
            <w:r/>
          </w:p>
        </w:tc>
        <w:tc>
          <w:tcPr>
            <w:tcW w:w="327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302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39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t xml:space="preserve">…</w:t>
            </w:r>
            <w:r>
              <w:rPr>
                <w:highlight w:val="none"/>
              </w:rPr>
            </w:r>
            <w:r/>
          </w:p>
        </w:tc>
        <w:tc>
          <w:tcPr>
            <w:tcW w:w="327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302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39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r>
    </w:tbl>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供应商（盖章）：</w:t>
      </w:r>
      <w:r>
        <w:rPr>
          <w:highlight w:val="none"/>
        </w:rPr>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rPr>
          <w:highlight w:val="none"/>
        </w:rPr>
      </w:r>
      <w:r/>
    </w:p>
    <w:p>
      <w:pPr>
        <w:ind w:firstLine="480"/>
        <w:spacing w:line="500" w:lineRule="exact"/>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日期：    年     月     日</w:t>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highlight w:val="none"/>
        </w:rPr>
      </w:r>
      <w:bookmarkStart w:id="16" w:name="_Hlt26955054"/>
      <w:r>
        <w:rPr>
          <w:highlight w:val="none"/>
        </w:rPr>
      </w:r>
      <w:bookmarkEnd w:id="16"/>
      <w:r>
        <w:rPr>
          <w:rFonts w:hint="eastAsia" w:ascii="Arial" w:hAnsi="Arial" w:cs="Arial"/>
          <w:i/>
          <w:iCs/>
          <w:sz w:val="36"/>
          <w:highlight w:val="none"/>
          <w:u w:val="single"/>
        </w:rPr>
        <w:t xml:space="preserve">十六、商务要求响应及偏离表（分包号：**）</w:t>
      </w:r>
      <w:r>
        <w:rPr>
          <w:highlight w:val="none"/>
        </w:rPr>
      </w:r>
      <w:r/>
    </w:p>
    <w:p>
      <w:pPr>
        <w:jc w:val="center"/>
        <w:spacing w:line="360" w:lineRule="auto"/>
        <w:tabs>
          <w:tab w:val="left" w:pos="360" w:leader="none"/>
        </w:tabs>
        <w:rPr>
          <w:rFonts w:ascii="黑体" w:hAnsi="黑体" w:eastAsia="黑体" w:cs="宋体"/>
          <w:bCs/>
          <w:sz w:val="36"/>
          <w:szCs w:val="28"/>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商务要求响应及偏离表</w:t>
      </w:r>
      <w:r>
        <w:rPr>
          <w:highlight w:val="none"/>
        </w:rPr>
      </w:r>
      <w:r/>
    </w:p>
    <w:p>
      <w:pPr>
        <w:jc w:val="left"/>
        <w:spacing w:line="360" w:lineRule="auto"/>
        <w:rPr>
          <w:highlight w:val="none"/>
        </w:rPr>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highlight w:val="none"/>
        </w:rPr>
        <w:t xml:space="preserve">项目名称：      项目编号：      分包号：</w:t>
      </w:r>
      <w:r>
        <w:rPr>
          <w:highlight w:val="none"/>
        </w:rPr>
      </w:r>
      <w:r/>
    </w:p>
    <w:tbl>
      <w:tblPr>
        <w:tblStyle w:val="734"/>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highlight w:val="none"/>
              </w:rPr>
            </w:r>
            <w:bookmarkStart w:id="17" w:name="_Hlt26609391"/>
            <w:r>
              <w:rPr>
                <w:highlight w:val="none"/>
              </w:rPr>
            </w:r>
            <w:bookmarkEnd w:id="17"/>
            <w:r>
              <w:rPr>
                <w:highlight w:val="none"/>
              </w:rPr>
            </w:r>
            <w:bookmarkStart w:id="18" w:name="_Hlt26955064"/>
            <w:r>
              <w:rPr>
                <w:highlight w:val="none"/>
              </w:rPr>
            </w:r>
            <w:bookmarkEnd w:id="18"/>
            <w:r>
              <w:rPr>
                <w:highlight w:val="none"/>
              </w:rPr>
            </w:r>
            <w:bookmarkStart w:id="19" w:name="_Hlt24879081"/>
            <w:r>
              <w:rPr>
                <w:highlight w:val="none"/>
              </w:rPr>
            </w:r>
            <w:bookmarkEnd w:id="19"/>
            <w:r>
              <w:rPr>
                <w:highlight w:val="none"/>
              </w:rPr>
            </w:r>
            <w:bookmarkStart w:id="20" w:name="_Hlt26580838"/>
            <w:r>
              <w:rPr>
                <w:highlight w:val="none"/>
              </w:rPr>
            </w:r>
            <w:bookmarkEnd w:id="20"/>
            <w:r>
              <w:rPr>
                <w:highlight w:val="none"/>
              </w:rPr>
            </w:r>
            <w:bookmarkStart w:id="21" w:name="_Hlt26955056"/>
            <w:r>
              <w:rPr>
                <w:highlight w:val="none"/>
              </w:rPr>
            </w:r>
            <w:bookmarkEnd w:id="21"/>
            <w:r>
              <w:rPr>
                <w:highlight w:val="none"/>
              </w:rPr>
            </w:r>
            <w:bookmarkStart w:id="22" w:name="_Hlt26782999"/>
            <w:r>
              <w:rPr>
                <w:highlight w:val="none"/>
              </w:rPr>
            </w:r>
            <w:bookmarkEnd w:id="22"/>
            <w:r>
              <w:rPr>
                <w:highlight w:val="none"/>
              </w:rPr>
            </w:r>
            <w:bookmarkStart w:id="23" w:name="_Hlt26671372"/>
            <w:r>
              <w:rPr>
                <w:highlight w:val="none"/>
              </w:rPr>
            </w:r>
            <w:bookmarkEnd w:id="23"/>
            <w:r>
              <w:rPr>
                <w:highlight w:val="none"/>
              </w:rPr>
            </w:r>
            <w:bookmarkStart w:id="24" w:name="_Hlt26671343"/>
            <w:r>
              <w:rPr>
                <w:highlight w:val="none"/>
              </w:rPr>
            </w:r>
            <w:bookmarkEnd w:id="24"/>
            <w:r>
              <w:rPr>
                <w:rFonts w:hint="eastAsia" w:ascii="宋体" w:hAnsi="宋体"/>
                <w:color w:val="000000"/>
                <w:sz w:val="24"/>
                <w:szCs w:val="24"/>
                <w:highlight w:val="none"/>
              </w:rPr>
              <w:t xml:space="preserve">序号</w:t>
            </w:r>
            <w:r>
              <w:rPr>
                <w:highlight w:val="none"/>
              </w:rPr>
            </w:r>
            <w:r/>
          </w:p>
        </w:tc>
        <w:tc>
          <w:tcPr>
            <w:tcW w:w="326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招标文件要求</w:t>
            </w:r>
            <w:r>
              <w:rPr>
                <w:highlight w:val="none"/>
              </w:rPr>
            </w:r>
            <w:r/>
          </w:p>
        </w:tc>
        <w:tc>
          <w:tcPr>
            <w:tcW w:w="30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投标响应情况</w:t>
            </w:r>
            <w:r>
              <w:rPr>
                <w:highlight w:val="none"/>
              </w:rPr>
            </w:r>
            <w:r/>
          </w:p>
        </w:tc>
        <w:tc>
          <w:tcPr>
            <w:tcW w:w="139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超出、符合或偏离</w:t>
            </w:r>
            <w:r>
              <w:rPr>
                <w:highlight w:val="none"/>
              </w:rPr>
            </w:r>
            <w:r/>
          </w:p>
        </w:tc>
      </w:tr>
      <w:tr>
        <w:trPr>
          <w:cantSplit/>
          <w:trHeight w:val="640"/>
        </w:trPr>
        <w:tc>
          <w:tcPr>
            <w:tcW w:w="817"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1</w:t>
            </w:r>
            <w:r>
              <w:rPr>
                <w:highlight w:val="none"/>
              </w:rPr>
            </w:r>
            <w:r/>
          </w:p>
        </w:tc>
        <w:tc>
          <w:tcPr>
            <w:tcW w:w="326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30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39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r>
      <w:tr>
        <w:trPr>
          <w:cantSplit/>
          <w:trHeight w:val="640"/>
        </w:trPr>
        <w:tc>
          <w:tcPr>
            <w:tcW w:w="817"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2</w:t>
            </w:r>
            <w:r>
              <w:rPr>
                <w:highlight w:val="none"/>
              </w:rPr>
            </w:r>
            <w:r/>
          </w:p>
        </w:tc>
        <w:tc>
          <w:tcPr>
            <w:tcW w:w="326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30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39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r>
      <w:tr>
        <w:trPr>
          <w:cantSplit/>
          <w:trHeight w:val="640"/>
        </w:trPr>
        <w:tc>
          <w:tcPr>
            <w:tcW w:w="817"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3</w:t>
            </w:r>
            <w:r>
              <w:rPr>
                <w:highlight w:val="none"/>
              </w:rPr>
            </w:r>
            <w:r/>
          </w:p>
        </w:tc>
        <w:tc>
          <w:tcPr>
            <w:tcW w:w="326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30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39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r>
      <w:tr>
        <w:trPr>
          <w:cantSplit/>
          <w:trHeight w:val="640"/>
        </w:trPr>
        <w:tc>
          <w:tcPr>
            <w:tcW w:w="817"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t xml:space="preserve">…</w:t>
            </w:r>
            <w:r>
              <w:rPr>
                <w:highlight w:val="none"/>
              </w:rPr>
            </w:r>
            <w:r/>
          </w:p>
        </w:tc>
        <w:tc>
          <w:tcPr>
            <w:tcW w:w="326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30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39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r>
    </w:tbl>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供应商（盖章）：</w:t>
      </w:r>
      <w:r>
        <w:rPr>
          <w:highlight w:val="none"/>
        </w:rPr>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rPr>
          <w:highlight w:val="none"/>
        </w:rPr>
      </w:r>
      <w:r/>
    </w:p>
    <w:p>
      <w:pPr>
        <w:ind w:firstLine="480"/>
        <w:spacing w:line="500" w:lineRule="exact"/>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日期：    年     月     日</w:t>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bookmarkStart w:id="25" w:name="_格式2__法定代表人授权书"/>
      <w:r>
        <w:rPr>
          <w:highlight w:val="none"/>
        </w:rPr>
      </w:r>
      <w:bookmarkEnd w:id="25"/>
      <w:r>
        <w:rPr>
          <w:highlight w:val="none"/>
        </w:rPr>
      </w:r>
      <w:bookmarkStart w:id="26" w:name="_Hlt26955066"/>
      <w:r>
        <w:rPr>
          <w:highlight w:val="none"/>
        </w:rPr>
      </w:r>
      <w:bookmarkEnd w:id="26"/>
      <w:r>
        <w:rPr>
          <w:highlight w:val="none"/>
        </w:rPr>
      </w:r>
      <w:bookmarkStart w:id="27" w:name="_Hlt26609389"/>
      <w:r>
        <w:rPr>
          <w:highlight w:val="none"/>
        </w:rPr>
      </w:r>
      <w:bookmarkEnd w:id="27"/>
      <w:r>
        <w:rPr>
          <w:highlight w:val="none"/>
        </w:rPr>
      </w:r>
      <w:bookmarkStart w:id="28" w:name="_Hlt26671374"/>
      <w:r>
        <w:rPr>
          <w:highlight w:val="none"/>
        </w:rPr>
      </w:r>
      <w:bookmarkEnd w:id="28"/>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jc w:val="left"/>
        <w:keepLines/>
        <w:keepNext/>
        <w:spacing w:before="360" w:after="200" w:line="360" w:lineRule="auto"/>
        <w:rPr>
          <w:rFonts w:ascii="Arial" w:hAnsi="Arial" w:cs="Arial"/>
          <w:iCs/>
          <w:sz w:val="36"/>
          <w:highlight w:val="none"/>
        </w:rPr>
        <w:pBdr>
          <w:top w:val="none" w:color="auto" w:sz="0" w:space="1"/>
          <w:left w:val="none" w:color="auto" w:sz="0" w:space="4"/>
          <w:bottom w:val="none" w:color="auto" w:sz="0" w:space="1"/>
          <w:right w:val="none" w:color="auto" w:sz="0" w:space="4"/>
        </w:pBdr>
        <w:outlineLvl w:val="1"/>
      </w:pPr>
      <w:r>
        <w:rPr>
          <w:rFonts w:hint="eastAsia" w:ascii="Arial" w:hAnsi="Arial" w:cs="Arial"/>
          <w:iCs/>
          <w:sz w:val="36"/>
          <w:highlight w:val="none"/>
        </w:rPr>
        <w:t xml:space="preserve">十七、类似项目业绩一览表（分包号：**）</w:t>
      </w:r>
      <w:r>
        <w:rPr>
          <w:highlight w:val="none"/>
        </w:rPr>
      </w:r>
      <w:r/>
    </w:p>
    <w:p>
      <w:pPr>
        <w:jc w:val="center"/>
        <w:spacing w:line="360" w:lineRule="auto"/>
        <w:tabs>
          <w:tab w:val="left" w:pos="360" w:leader="none"/>
        </w:tabs>
        <w:rPr>
          <w:rFonts w:ascii="黑体" w:hAnsi="黑体" w:eastAsia="黑体" w:cs="宋体"/>
          <w:bCs/>
          <w:sz w:val="36"/>
          <w:szCs w:val="28"/>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类似项目业绩一览表</w:t>
      </w:r>
      <w:r>
        <w:rPr>
          <w:highlight w:val="none"/>
        </w:rPr>
      </w:r>
      <w:r/>
    </w:p>
    <w:p>
      <w:pPr>
        <w:jc w:val="left"/>
        <w:spacing w:line="360" w:lineRule="auto"/>
        <w:rPr>
          <w:highlight w:val="none"/>
        </w:rPr>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highlight w:val="none"/>
        </w:rPr>
        <w:t xml:space="preserve">项目名称：      项目编号：      分包号：</w:t>
      </w:r>
      <w:r>
        <w:rPr>
          <w:highlight w:val="none"/>
        </w:rPr>
      </w:r>
      <w:r/>
    </w:p>
    <w:tbl>
      <w:tblPr>
        <w:tblStyle w:val="73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序号</w:t>
            </w:r>
            <w:r>
              <w:rPr>
                <w:highlight w:val="none"/>
              </w:rPr>
            </w:r>
            <w:r/>
          </w:p>
        </w:tc>
        <w:tc>
          <w:tcPr>
            <w:tcW w:w="268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项目名称</w:t>
            </w:r>
            <w:r>
              <w:rPr>
                <w:highlight w:val="none"/>
              </w:rPr>
            </w:r>
            <w:r/>
          </w:p>
        </w:tc>
        <w:tc>
          <w:tcPr>
            <w:tcW w:w="1850"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签订时间</w:t>
            </w:r>
            <w:r>
              <w:rPr>
                <w:highlight w:val="none"/>
              </w:rPr>
            </w:r>
            <w:r/>
          </w:p>
        </w:tc>
        <w:tc>
          <w:tcPr>
            <w:tcW w:w="198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采购单位</w:t>
            </w:r>
            <w:r>
              <w:rPr>
                <w:highlight w:val="none"/>
              </w:rPr>
            </w:r>
            <w:r/>
          </w:p>
        </w:tc>
        <w:tc>
          <w:tcPr>
            <w:tcW w:w="13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主要标的</w:t>
            </w:r>
            <w:r>
              <w:rPr>
                <w:highlight w:val="none"/>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1</w:t>
            </w:r>
            <w:r>
              <w:rPr>
                <w:highlight w:val="none"/>
              </w:rPr>
            </w:r>
            <w:r/>
          </w:p>
        </w:tc>
        <w:tc>
          <w:tcPr>
            <w:tcW w:w="268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850"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98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3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2</w:t>
            </w:r>
            <w:r>
              <w:rPr>
                <w:highlight w:val="none"/>
              </w:rPr>
            </w:r>
            <w:r/>
          </w:p>
        </w:tc>
        <w:tc>
          <w:tcPr>
            <w:tcW w:w="268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850"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98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3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3</w:t>
            </w:r>
            <w:r>
              <w:rPr>
                <w:highlight w:val="none"/>
              </w:rPr>
            </w:r>
            <w:r/>
          </w:p>
        </w:tc>
        <w:tc>
          <w:tcPr>
            <w:tcW w:w="268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850"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98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3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t xml:space="preserve">…</w:t>
            </w:r>
            <w:r>
              <w:rPr>
                <w:highlight w:val="none"/>
              </w:rPr>
            </w:r>
            <w:r/>
          </w:p>
        </w:tc>
        <w:tc>
          <w:tcPr>
            <w:tcW w:w="268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850"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98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3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r>
    </w:tbl>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供应商（盖章）：</w:t>
      </w:r>
      <w:r>
        <w:rPr>
          <w:highlight w:val="none"/>
        </w:rPr>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rPr>
          <w:highlight w:val="none"/>
        </w:rPr>
      </w:r>
      <w:r/>
    </w:p>
    <w:p>
      <w:pPr>
        <w:ind w:firstLine="480"/>
        <w:spacing w:line="500" w:lineRule="exact"/>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日期：    年     月     日</w:t>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jc w:val="left"/>
        <w:keepLines/>
        <w:keepNext/>
        <w:spacing w:before="360" w:after="200" w:line="360" w:lineRule="auto"/>
        <w:rPr>
          <w:rFonts w:ascii="Arial" w:hAnsi="Arial" w:cs="Arial"/>
          <w:iCs/>
          <w:sz w:val="36"/>
          <w:highlight w:val="none"/>
        </w:rPr>
        <w:pBdr>
          <w:top w:val="none" w:color="auto" w:sz="0" w:space="1"/>
          <w:left w:val="none" w:color="auto" w:sz="0" w:space="4"/>
          <w:bottom w:val="none" w:color="auto" w:sz="0" w:space="1"/>
          <w:right w:val="none" w:color="auto" w:sz="0" w:space="4"/>
        </w:pBdr>
        <w:outlineLvl w:val="1"/>
      </w:pPr>
      <w:r>
        <w:rPr>
          <w:rFonts w:hint="eastAsia" w:ascii="Arial" w:hAnsi="Arial" w:cs="Arial"/>
          <w:iCs/>
          <w:sz w:val="36"/>
          <w:highlight w:val="none"/>
        </w:rPr>
        <w:t xml:space="preserve">十八、项目团队人员一览表（分包号：**）</w:t>
      </w:r>
      <w:r>
        <w:rPr>
          <w:highlight w:val="none"/>
        </w:rPr>
      </w:r>
      <w:r/>
    </w:p>
    <w:p>
      <w:pPr>
        <w:jc w:val="center"/>
        <w:spacing w:line="360" w:lineRule="auto"/>
        <w:tabs>
          <w:tab w:val="left" w:pos="360" w:leader="none"/>
        </w:tabs>
        <w:rPr>
          <w:rFonts w:ascii="黑体" w:hAnsi="黑体" w:eastAsia="黑体" w:cs="宋体"/>
          <w:bCs/>
          <w:sz w:val="36"/>
          <w:szCs w:val="28"/>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项目团队人员一览表</w:t>
      </w:r>
      <w:r>
        <w:rPr>
          <w:highlight w:val="none"/>
        </w:rPr>
      </w:r>
      <w:r/>
    </w:p>
    <w:p>
      <w:pPr>
        <w:jc w:val="left"/>
        <w:spacing w:line="360" w:lineRule="auto"/>
        <w:rPr>
          <w:highlight w:val="none"/>
        </w:rPr>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highlight w:val="none"/>
        </w:rPr>
        <w:t xml:space="preserve">项目名称：      项目编号：      分包号：</w:t>
      </w:r>
      <w:r>
        <w:rPr>
          <w:highlight w:val="none"/>
        </w:rPr>
      </w:r>
      <w:r/>
    </w:p>
    <w:tbl>
      <w:tblPr>
        <w:tblStyle w:val="73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姓名</w:t>
            </w:r>
            <w:r>
              <w:rPr>
                <w:highlight w:val="none"/>
              </w:rPr>
            </w:r>
            <w:r/>
          </w:p>
        </w:tc>
        <w:tc>
          <w:tcPr>
            <w:tcW w:w="144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本项目拟担任职务</w:t>
            </w:r>
            <w:r>
              <w:rPr>
                <w:highlight w:val="none"/>
              </w:rPr>
            </w:r>
            <w:r/>
          </w:p>
        </w:tc>
        <w:tc>
          <w:tcPr>
            <w:tcW w:w="223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技术职称、专业资质</w:t>
            </w:r>
            <w:r>
              <w:rPr>
                <w:highlight w:val="none"/>
              </w:rPr>
            </w:r>
            <w:r/>
          </w:p>
        </w:tc>
        <w:tc>
          <w:tcPr>
            <w:tcW w:w="11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学历</w:t>
            </w:r>
            <w:r>
              <w:rPr>
                <w:highlight w:val="none"/>
              </w:rPr>
            </w:r>
            <w:r/>
          </w:p>
        </w:tc>
        <w:tc>
          <w:tcPr>
            <w:tcW w:w="11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年龄</w:t>
            </w:r>
            <w:r>
              <w:rPr>
                <w:highlight w:val="none"/>
              </w:rPr>
            </w:r>
            <w:r/>
          </w:p>
        </w:tc>
        <w:tc>
          <w:tcPr>
            <w:tcW w:w="160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主要资历及担任过的职务</w:t>
            </w:r>
            <w:r>
              <w:rPr>
                <w:highlight w:val="none"/>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44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2239"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134"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1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60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44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2239"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134"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1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60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44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2239"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134"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1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60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44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2239"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134"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1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60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r>
    </w:tbl>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供应商（盖章）：</w:t>
      </w:r>
      <w:r>
        <w:rPr>
          <w:highlight w:val="none"/>
        </w:rPr>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rPr>
          <w:highlight w:val="none"/>
        </w:rPr>
      </w:r>
      <w:r/>
    </w:p>
    <w:p>
      <w:pPr>
        <w:ind w:firstLine="480"/>
        <w:spacing w:line="500" w:lineRule="exact"/>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日期：    年     月     日</w:t>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jc w:val="left"/>
        <w:rPr>
          <w:rFonts w:ascii="Times New Roman" w:hAnsi="Times New Roman" w:eastAsia="仿宋_GB2312"/>
          <w:iCs/>
          <w:color w:val="000000"/>
          <w:sz w:val="24"/>
          <w:szCs w:val="20"/>
          <w:highlight w:val="none"/>
        </w:rPr>
        <w:pBdr>
          <w:top w:val="none" w:color="auto" w:sz="0" w:space="1"/>
          <w:left w:val="none" w:color="auto" w:sz="0" w:space="4"/>
          <w:bottom w:val="none" w:color="auto" w:sz="0" w:space="1"/>
          <w:right w:val="none" w:color="auto" w:sz="0" w:space="4"/>
        </w:pBdr>
      </w:pPr>
      <w:r>
        <w:rPr>
          <w:rFonts w:hint="eastAsia" w:ascii="宋体" w:hAnsi="宋体" w:cs="宋体"/>
          <w:bCs/>
          <w:iCs/>
          <w:color w:val="000000"/>
          <w:sz w:val="36"/>
          <w:szCs w:val="36"/>
          <w:highlight w:val="none"/>
        </w:rPr>
        <w:t xml:space="preserve">十九、开标一览表</w:t>
      </w:r>
      <w:r>
        <w:rPr>
          <w:highlight w:val="none"/>
        </w:rPr>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供应商全称（CA公章）：</w:t>
      </w:r>
      <w:r>
        <w:rPr>
          <w:highlight w:val="none"/>
        </w:rPr>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项目名称：</w:t>
      </w:r>
      <w:r>
        <w:rPr>
          <w:highlight w:val="none"/>
        </w:rPr>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项目编号：                                   分包号：</w:t>
      </w:r>
      <w:r>
        <w:rPr>
          <w:highlight w:val="none"/>
        </w:rPr>
      </w:r>
      <w:r/>
    </w:p>
    <w:tbl>
      <w:tblPr>
        <w:tblStyle w:val="734"/>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textDirection w:val="lrTb"/>
            <w:noWrap w:val="false"/>
          </w:tcPr>
          <w:p>
            <w:pPr>
              <w:jc w:val="center"/>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投标货物名称</w:t>
            </w:r>
            <w:r>
              <w:rPr>
                <w:highlight w:val="none"/>
              </w:rPr>
            </w:r>
            <w:r/>
          </w:p>
        </w:tc>
        <w:tc>
          <w:tcPr>
            <w:tcW w:w="5703" w:type="dxa"/>
            <w:textDirection w:val="lrTb"/>
            <w:noWrap w:val="false"/>
          </w:tcPr>
          <w:p>
            <w:pPr>
              <w:jc w:val="center"/>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总价（小写）</w:t>
            </w:r>
            <w:r>
              <w:rPr>
                <w:highlight w:val="none"/>
              </w:rPr>
            </w:r>
            <w:r/>
          </w:p>
        </w:tc>
      </w:tr>
      <w:tr>
        <w:trPr/>
        <w:tc>
          <w:tcPr>
            <w:tcW w:w="2802" w:type="dxa"/>
            <w:textDirection w:val="lrTb"/>
            <w:noWrap w:val="false"/>
          </w:tcPr>
          <w:p>
            <w:pPr>
              <w:jc w:val="center"/>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5703" w:type="dxa"/>
            <w:textDirection w:val="lrTb"/>
            <w:noWrap w:val="false"/>
          </w:tcPr>
          <w:p>
            <w:pPr>
              <w:jc w:val="center"/>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元</w:t>
            </w:r>
            <w:r>
              <w:rPr>
                <w:highlight w:val="none"/>
              </w:rPr>
            </w:r>
            <w:r/>
          </w:p>
        </w:tc>
      </w:tr>
      <w:tr>
        <w:trPr/>
        <w:tc>
          <w:tcPr>
            <w:tcW w:w="2802" w:type="dxa"/>
            <w:textDirection w:val="lrTb"/>
            <w:noWrap w:val="false"/>
          </w:tcPr>
          <w:p>
            <w:pPr>
              <w:jc w:val="center"/>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核心产品</w:t>
            </w:r>
            <w:r>
              <w:rPr>
                <w:highlight w:val="none"/>
              </w:rPr>
            </w:r>
            <w:r/>
          </w:p>
        </w:tc>
        <w:tc>
          <w:tcPr>
            <w:tcW w:w="5703" w:type="dxa"/>
            <w:textDirection w:val="lrTb"/>
            <w:noWrap w:val="false"/>
          </w:tcPr>
          <w:p>
            <w:pPr>
              <w:jc w:val="center"/>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r>
    </w:tbl>
    <w:p>
      <w:pPr>
        <w:ind w:firstLine="480"/>
        <w:jc w:val="center"/>
        <w:spacing w:line="500" w:lineRule="exact"/>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sectPr>
          <w:footerReference w:type="default" r:id="rId10"/>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Times New Roman" w:hAnsi="Times New Roman"/>
          <w:color w:val="000000"/>
          <w:sz w:val="24"/>
          <w:szCs w:val="24"/>
          <w:highlight w:val="none"/>
        </w:rPr>
        <w:t xml:space="preserve">          年     月     日</w:t>
      </w:r>
      <w:r>
        <w:rPr>
          <w:highlight w:val="none"/>
        </w:rPr>
      </w:r>
      <w:r/>
    </w:p>
    <w:p>
      <w:pPr>
        <w:jc w:val="left"/>
        <w:rPr>
          <w:rFonts w:ascii="宋体" w:hAnsi="宋体" w:cs="宋体"/>
          <w:bCs/>
          <w:iCs/>
          <w:color w:val="000000"/>
          <w:sz w:val="36"/>
          <w:szCs w:val="36"/>
          <w:highlight w:val="none"/>
        </w:rPr>
        <w:pBdr>
          <w:top w:val="none" w:color="auto" w:sz="0" w:space="1"/>
          <w:left w:val="none" w:color="auto" w:sz="0" w:space="4"/>
          <w:bottom w:val="none" w:color="auto" w:sz="0" w:space="1"/>
          <w:right w:val="none" w:color="auto" w:sz="0" w:space="4"/>
        </w:pBdr>
      </w:pPr>
      <w:r>
        <w:rPr>
          <w:rFonts w:hint="eastAsia" w:ascii="宋体" w:hAnsi="宋体" w:cs="宋体"/>
          <w:bCs/>
          <w:iCs/>
          <w:color w:val="000000"/>
          <w:sz w:val="36"/>
          <w:szCs w:val="36"/>
          <w:highlight w:val="none"/>
        </w:rPr>
        <w:t xml:space="preserve">二十、关于符合本国产品标准的声明函</w:t>
      </w:r>
      <w:r>
        <w:rPr>
          <w:rFonts w:hint="eastAsia" w:ascii="宋体" w:hAnsi="宋体" w:cs="宋体"/>
          <w:bCs/>
          <w:iCs/>
          <w:color w:val="000000"/>
          <w:sz w:val="36"/>
          <w:szCs w:val="36"/>
          <w:highlight w:val="none"/>
        </w:rPr>
        <w:tab/>
      </w:r>
      <w:r>
        <w:rPr>
          <w:highlight w:val="none"/>
        </w:rPr>
      </w:r>
      <w:r/>
    </w:p>
    <w:p>
      <w:pPr>
        <w:jc w:val="left"/>
        <w:rPr>
          <w:rFonts w:ascii="宋体" w:hAnsi="宋体" w:cs="宋体"/>
          <w:bCs/>
          <w:i/>
          <w:color w:val="000000"/>
          <w:sz w:val="36"/>
          <w:szCs w:val="36"/>
          <w:highlight w:val="none"/>
          <w:u w:val="single"/>
        </w:rPr>
        <w:pBdr>
          <w:top w:val="none" w:color="auto" w:sz="0" w:space="1"/>
          <w:left w:val="none" w:color="auto" w:sz="0" w:space="4"/>
          <w:bottom w:val="none" w:color="auto" w:sz="0" w:space="1"/>
          <w:right w:val="none" w:color="auto" w:sz="0" w:space="4"/>
        </w:pBdr>
      </w:pPr>
      <w:r>
        <w:rPr>
          <w:rFonts w:ascii="宋体" w:hAnsi="宋体" w:cs="宋体"/>
          <w:bCs/>
          <w:i/>
          <w:color w:val="000000"/>
          <w:sz w:val="36"/>
          <w:szCs w:val="36"/>
          <w:highlight w:val="none"/>
          <w:u w:val="single"/>
        </w:rPr>
      </w:r>
      <w:r>
        <w:rPr>
          <w:highlight w:val="none"/>
        </w:rPr>
      </w:r>
      <w:r/>
    </w:p>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b/>
          <w:bCs/>
          <w:color w:val="000000"/>
          <w:sz w:val="24"/>
          <w:szCs w:val="24"/>
          <w:highlight w:val="none"/>
        </w:rPr>
        <w:t xml:space="preserve">关于符合本国产品标准的声明函</w:t>
      </w:r>
      <w:r>
        <w:rPr>
          <w:highlight w:val="none"/>
        </w:rPr>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p>
      <w:pPr>
        <w:ind w:firstLine="480"/>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highlight w:val="none"/>
        </w:rPr>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p>
      <w:pPr>
        <w:ind w:firstLine="480"/>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（产品名称1）</w:t>
      </w:r>
      <w:r>
        <w:rPr>
          <w:rFonts w:hint="eastAsia" w:ascii="宋体" w:hAnsi="宋体"/>
          <w:color w:val="000000"/>
          <w:sz w:val="24"/>
          <w:szCs w:val="24"/>
          <w:highlight w:val="none"/>
        </w:rPr>
        <w:t xml:space="preserve">1，生产厂为</w:t>
      </w:r>
      <w:r>
        <w:rPr>
          <w:rFonts w:hint="eastAsia" w:ascii="宋体" w:hAnsi="宋体"/>
          <w:color w:val="000000"/>
          <w:sz w:val="24"/>
          <w:szCs w:val="24"/>
          <w:highlight w:val="none"/>
          <w:u w:val="single"/>
        </w:rPr>
        <w:t xml:space="preserve">（厂名）</w:t>
      </w:r>
      <w:r>
        <w:rPr>
          <w:rFonts w:hint="eastAsia" w:ascii="宋体" w:hAnsi="宋体"/>
          <w:color w:val="000000"/>
          <w:sz w:val="24"/>
          <w:szCs w:val="24"/>
          <w:highlight w:val="none"/>
        </w:rPr>
        <w:t xml:space="preserve">2，厂址为</w:t>
      </w:r>
      <w:r>
        <w:rPr>
          <w:rFonts w:hint="eastAsia" w:ascii="宋体" w:hAnsi="宋体"/>
          <w:color w:val="000000"/>
          <w:sz w:val="24"/>
          <w:szCs w:val="24"/>
          <w:highlight w:val="none"/>
          <w:u w:val="single"/>
        </w:rPr>
        <w:t xml:space="preserve">（生产厂址）</w:t>
      </w:r>
      <w:r>
        <w:rPr>
          <w:rFonts w:hint="eastAsia" w:ascii="宋体" w:hAnsi="宋体"/>
          <w:color w:val="000000"/>
          <w:sz w:val="24"/>
          <w:szCs w:val="24"/>
          <w:highlight w:val="none"/>
        </w:rPr>
        <w:t xml:space="preserve">。</w:t>
      </w:r>
      <w:r>
        <w:rPr>
          <w:rFonts w:hint="eastAsia" w:ascii="宋体" w:hAnsi="宋体"/>
          <w:strike/>
          <w:color w:val="000000"/>
          <w:sz w:val="24"/>
          <w:szCs w:val="24"/>
          <w:highlight w:val="none"/>
          <w:u w:val="single"/>
        </w:rPr>
        <w:t xml:space="preserve">（产品名称1）</w:t>
      </w:r>
      <w:r>
        <w:rPr>
          <w:rFonts w:hint="eastAsia" w:ascii="宋体" w:hAnsi="宋体"/>
          <w:color w:val="000000"/>
          <w:sz w:val="24"/>
          <w:szCs w:val="24"/>
          <w:highlight w:val="none"/>
        </w:rPr>
        <w:t xml:space="preserve">的中国境内生产的组件成本占比≥</w:t>
      </w:r>
      <w:r>
        <w:rPr>
          <w:rFonts w:hint="eastAsia" w:ascii="宋体" w:hAnsi="宋体"/>
          <w:strike/>
          <w:color w:val="000000"/>
          <w:sz w:val="24"/>
          <w:szCs w:val="24"/>
          <w:highlight w:val="none"/>
          <w:u w:val="single"/>
        </w:rPr>
        <w:t xml:space="preserve">（规定比例）</w:t>
      </w:r>
      <w:r>
        <w:rPr>
          <w:rFonts w:hint="eastAsia" w:ascii="宋体" w:hAnsi="宋体"/>
          <w:color w:val="000000"/>
          <w:sz w:val="24"/>
          <w:szCs w:val="24"/>
          <w:highlight w:val="none"/>
        </w:rPr>
        <w:t xml:space="preserve">3。</w:t>
      </w:r>
      <w:r>
        <w:rPr>
          <w:rFonts w:hint="eastAsia" w:ascii="宋体" w:hAnsi="宋体"/>
          <w:strike/>
          <w:color w:val="000000"/>
          <w:sz w:val="24"/>
          <w:szCs w:val="24"/>
          <w:highlight w:val="none"/>
          <w:u w:val="single"/>
        </w:rPr>
        <w:t xml:space="preserve">（产品名称1）</w:t>
      </w:r>
      <w:r>
        <w:rPr>
          <w:rFonts w:hint="eastAsia" w:ascii="宋体" w:hAnsi="宋体"/>
          <w:color w:val="000000"/>
          <w:sz w:val="24"/>
          <w:szCs w:val="24"/>
          <w:highlight w:val="none"/>
        </w:rPr>
        <w:t xml:space="preserve">的</w:t>
      </w:r>
      <w:r>
        <w:rPr>
          <w:rFonts w:hint="eastAsia" w:ascii="宋体" w:hAnsi="宋体"/>
          <w:strike/>
          <w:color w:val="000000"/>
          <w:sz w:val="24"/>
          <w:szCs w:val="24"/>
          <w:highlight w:val="none"/>
          <w:u w:val="single"/>
        </w:rPr>
        <w:t xml:space="preserve">（关键组件）</w:t>
      </w:r>
      <w:r>
        <w:rPr>
          <w:rFonts w:hint="eastAsia" w:ascii="宋体" w:hAnsi="宋体"/>
          <w:color w:val="000000"/>
          <w:sz w:val="24"/>
          <w:szCs w:val="24"/>
          <w:highlight w:val="none"/>
        </w:rPr>
        <w:t xml:space="preserve">4在中国境内生产。</w:t>
      </w:r>
      <w:r>
        <w:rPr>
          <w:rFonts w:hint="eastAsia" w:ascii="宋体" w:hAnsi="宋体"/>
          <w:strike/>
          <w:color w:val="000000"/>
          <w:sz w:val="24"/>
          <w:szCs w:val="24"/>
          <w:highlight w:val="none"/>
          <w:u w:val="single"/>
        </w:rPr>
        <w:t xml:space="preserve">（产品名称1）</w:t>
      </w:r>
      <w:r>
        <w:rPr>
          <w:rFonts w:hint="eastAsia" w:ascii="宋体" w:hAnsi="宋体"/>
          <w:color w:val="000000"/>
          <w:sz w:val="24"/>
          <w:szCs w:val="24"/>
          <w:highlight w:val="none"/>
        </w:rPr>
        <w:t xml:space="preserve">的</w:t>
      </w:r>
      <w:r>
        <w:rPr>
          <w:rFonts w:hint="eastAsia" w:ascii="宋体" w:hAnsi="宋体"/>
          <w:strike/>
          <w:color w:val="000000"/>
          <w:sz w:val="24"/>
          <w:szCs w:val="24"/>
          <w:highlight w:val="none"/>
          <w:u w:val="single"/>
        </w:rPr>
        <w:t xml:space="preserve">（关键工序）</w:t>
      </w:r>
      <w:r>
        <w:rPr>
          <w:rFonts w:hint="eastAsia" w:ascii="宋体" w:hAnsi="宋体"/>
          <w:color w:val="000000"/>
          <w:sz w:val="24"/>
          <w:szCs w:val="24"/>
          <w:highlight w:val="none"/>
        </w:rPr>
        <w:t xml:space="preserve">5在中国境内完成。</w:t>
      </w:r>
      <w:r>
        <w:rPr>
          <w:highlight w:val="none"/>
        </w:rPr>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p>
      <w:pPr>
        <w:ind w:firstLine="480"/>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（产品名称2）</w:t>
      </w:r>
      <w:r>
        <w:rPr>
          <w:rFonts w:hint="eastAsia" w:ascii="宋体" w:hAnsi="宋体"/>
          <w:color w:val="000000"/>
          <w:sz w:val="24"/>
          <w:szCs w:val="24"/>
          <w:highlight w:val="none"/>
        </w:rPr>
        <w:t xml:space="preserve">，生产厂为</w:t>
      </w:r>
      <w:r>
        <w:rPr>
          <w:rFonts w:hint="eastAsia" w:ascii="宋体" w:hAnsi="宋体"/>
          <w:color w:val="000000"/>
          <w:sz w:val="24"/>
          <w:szCs w:val="24"/>
          <w:highlight w:val="none"/>
          <w:u w:val="single"/>
        </w:rPr>
        <w:t xml:space="preserve">（厂名）</w:t>
      </w:r>
      <w:r>
        <w:rPr>
          <w:rFonts w:hint="eastAsia" w:ascii="宋体" w:hAnsi="宋体"/>
          <w:color w:val="000000"/>
          <w:sz w:val="24"/>
          <w:szCs w:val="24"/>
          <w:highlight w:val="none"/>
        </w:rPr>
        <w:t xml:space="preserve">，厂址为</w:t>
      </w:r>
      <w:r>
        <w:rPr>
          <w:rFonts w:hint="eastAsia" w:ascii="宋体" w:hAnsi="宋体"/>
          <w:color w:val="000000"/>
          <w:sz w:val="24"/>
          <w:szCs w:val="24"/>
          <w:highlight w:val="none"/>
          <w:u w:val="single"/>
        </w:rPr>
        <w:t xml:space="preserve">（生产厂址）</w:t>
      </w:r>
      <w:r>
        <w:rPr>
          <w:rFonts w:hint="eastAsia" w:ascii="宋体" w:hAnsi="宋体"/>
          <w:color w:val="000000"/>
          <w:sz w:val="24"/>
          <w:szCs w:val="24"/>
          <w:highlight w:val="none"/>
        </w:rPr>
        <w:t xml:space="preserve">。</w:t>
      </w:r>
      <w:r>
        <w:rPr>
          <w:rFonts w:hint="eastAsia" w:ascii="宋体" w:hAnsi="宋体"/>
          <w:strike/>
          <w:color w:val="000000"/>
          <w:sz w:val="24"/>
          <w:szCs w:val="24"/>
          <w:highlight w:val="none"/>
          <w:u w:val="single"/>
        </w:rPr>
        <w:t xml:space="preserve">（产品名称2）</w:t>
      </w:r>
      <w:r>
        <w:rPr>
          <w:rFonts w:hint="eastAsia" w:ascii="宋体" w:hAnsi="宋体"/>
          <w:color w:val="000000"/>
          <w:sz w:val="24"/>
          <w:szCs w:val="24"/>
          <w:highlight w:val="none"/>
        </w:rPr>
        <w:t xml:space="preserve">的中国境内生产的组件成本占比≥</w:t>
      </w:r>
      <w:r>
        <w:rPr>
          <w:rFonts w:hint="eastAsia" w:ascii="宋体" w:hAnsi="宋体"/>
          <w:strike/>
          <w:color w:val="000000"/>
          <w:sz w:val="24"/>
          <w:szCs w:val="24"/>
          <w:highlight w:val="none"/>
          <w:u w:val="single"/>
        </w:rPr>
        <w:t xml:space="preserve">（规定比例）</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w:t>
      </w:r>
      <w:r>
        <w:rPr>
          <w:rFonts w:hint="eastAsia" w:ascii="宋体" w:hAnsi="宋体"/>
          <w:strike/>
          <w:color w:val="000000"/>
          <w:sz w:val="24"/>
          <w:szCs w:val="24"/>
          <w:highlight w:val="none"/>
          <w:u w:val="single"/>
        </w:rPr>
        <w:t xml:space="preserve">产品名称2）</w:t>
      </w:r>
      <w:r>
        <w:rPr>
          <w:rFonts w:hint="eastAsia" w:ascii="宋体" w:hAnsi="宋体"/>
          <w:color w:val="000000"/>
          <w:sz w:val="24"/>
          <w:szCs w:val="24"/>
          <w:highlight w:val="none"/>
        </w:rPr>
        <w:t xml:space="preserve">的</w:t>
      </w:r>
      <w:r>
        <w:rPr>
          <w:rFonts w:hint="eastAsia" w:ascii="宋体" w:hAnsi="宋体"/>
          <w:strike/>
          <w:color w:val="000000"/>
          <w:sz w:val="24"/>
          <w:szCs w:val="24"/>
          <w:highlight w:val="none"/>
          <w:u w:val="single"/>
        </w:rPr>
        <w:t xml:space="preserve">（关键组件）</w:t>
      </w:r>
      <w:r>
        <w:rPr>
          <w:rFonts w:hint="eastAsia" w:ascii="宋体" w:hAnsi="宋体"/>
          <w:color w:val="000000"/>
          <w:sz w:val="24"/>
          <w:szCs w:val="24"/>
          <w:highlight w:val="none"/>
        </w:rPr>
        <w:t xml:space="preserve">在中国境内生产。</w:t>
      </w:r>
      <w:r>
        <w:rPr>
          <w:rFonts w:hint="eastAsia" w:ascii="宋体" w:hAnsi="宋体"/>
          <w:strike/>
          <w:color w:val="000000"/>
          <w:sz w:val="24"/>
          <w:szCs w:val="24"/>
          <w:highlight w:val="none"/>
          <w:u w:val="single"/>
        </w:rPr>
        <w:t xml:space="preserve">（产品名称2）</w:t>
      </w:r>
      <w:r>
        <w:rPr>
          <w:rFonts w:hint="eastAsia" w:ascii="宋体" w:hAnsi="宋体"/>
          <w:color w:val="000000"/>
          <w:sz w:val="24"/>
          <w:szCs w:val="24"/>
          <w:highlight w:val="none"/>
        </w:rPr>
        <w:t xml:space="preserve">的</w:t>
      </w:r>
      <w:r>
        <w:rPr>
          <w:rFonts w:hint="eastAsia" w:ascii="宋体" w:hAnsi="宋体"/>
          <w:strike/>
          <w:color w:val="000000"/>
          <w:sz w:val="24"/>
          <w:szCs w:val="24"/>
          <w:highlight w:val="none"/>
          <w:u w:val="single"/>
        </w:rPr>
        <w:t xml:space="preserve">（关键工序）</w:t>
      </w:r>
      <w:r>
        <w:rPr>
          <w:rFonts w:hint="eastAsia" w:ascii="宋体" w:hAnsi="宋体"/>
          <w:color w:val="000000"/>
          <w:sz w:val="24"/>
          <w:szCs w:val="24"/>
          <w:highlight w:val="none"/>
        </w:rPr>
        <w:t xml:space="preserve">在中国境内完成。</w:t>
      </w:r>
      <w:r>
        <w:rPr>
          <w:highlight w:val="none"/>
        </w:rPr>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p>
      <w:pPr>
        <w:ind w:firstLine="480"/>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w:t>
      </w:r>
      <w:r>
        <w:rPr>
          <w:highlight w:val="none"/>
        </w:rPr>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p>
      <w:pPr>
        <w:ind w:firstLine="480"/>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本公司（单位）对上述声明内容的真实性负责。如有虚假，愿承担相应法律责任。</w:t>
      </w:r>
      <w:r>
        <w:rPr>
          <w:highlight w:val="none"/>
        </w:rPr>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 </w:t>
      </w:r>
      <w:r>
        <w:rPr>
          <w:highlight w:val="none"/>
        </w:rPr>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p>
      <w:pPr>
        <w:ind w:firstLine="5040"/>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公司（单位）名称（盖章）：　        </w:t>
      </w:r>
      <w:r>
        <w:rPr>
          <w:highlight w:val="none"/>
        </w:rPr>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p>
      <w:pPr>
        <w:ind w:firstLine="5040"/>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日期：　     年　  月　  日</w:t>
      </w:r>
      <w:r>
        <w:rPr>
          <w:highlight w:val="none"/>
        </w:rPr>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1、产品如有型号，请在“产品名称”栏一并填写。</w:t>
      </w:r>
      <w:r>
        <w:rPr>
          <w:highlight w:val="none"/>
        </w:rPr>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2、生产厂名与厂址应与生产厂营业执照载明的相关信息保持一致。</w:t>
      </w:r>
      <w:r>
        <w:rPr>
          <w:highlight w:val="none"/>
        </w:rPr>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3、该产品的中国境内生产的组件成本占比相关要求实施前，“规定比例”栏可不填，下同。</w:t>
      </w:r>
      <w:r>
        <w:rPr>
          <w:highlight w:val="none"/>
        </w:rPr>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4、该产品的关键组件要求实施前，“关键组件”栏可不填。</w:t>
      </w:r>
      <w:r>
        <w:rPr>
          <w:highlight w:val="none"/>
        </w:rPr>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5、该产品的关键工序要求实施前，“关键工序”栏可不填。</w:t>
      </w:r>
      <w:r>
        <w:rPr>
          <w:highlight w:val="none"/>
        </w:rPr>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6、划除栏无需填写。</w:t>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jc w:val="left"/>
        <w:tabs>
          <w:tab w:val="left" w:pos="1562" w:leader="none"/>
        </w:tabs>
        <w:rPr>
          <w:highlight w:val="none"/>
        </w:rPr>
        <w:pBdr>
          <w:top w:val="none" w:color="auto" w:sz="0" w:space="1"/>
          <w:left w:val="none" w:color="auto" w:sz="0" w:space="4"/>
          <w:bottom w:val="none" w:color="auto" w:sz="0" w:space="1"/>
          <w:right w:val="none" w:color="auto" w:sz="0" w:space="4"/>
        </w:pBdr>
        <w:sectPr>
          <w:footnotePr/>
          <w:endnotePr/>
          <w:type w:val="nextPage"/>
          <w:pgSz w:w="11906" w:h="16838" w:orient="portrait"/>
          <w:pgMar w:top="1134" w:right="1134" w:bottom="1134" w:left="1134" w:header="851" w:footer="992" w:gutter="0"/>
          <w:cols w:num="1" w:sep="0" w:space="1701" w:equalWidth="1"/>
          <w:docGrid w:linePitch="360"/>
        </w:sectPr>
      </w:pPr>
      <w:r>
        <w:rPr>
          <w:rFonts w:hint="eastAsia"/>
          <w:highlight w:val="none"/>
        </w:rPr>
        <w:tab/>
      </w:r>
      <w:r>
        <w:rPr>
          <w:highlight w:val="none"/>
        </w:rPr>
      </w:r>
      <w:r/>
    </w:p>
    <w:p>
      <w:pPr>
        <w:jc w:val="left"/>
        <w:widowControl/>
        <w:rPr>
          <w:rFonts w:ascii="黑体" w:hAnsi="黑体" w:eastAsia="黑体" w:cs="仿宋"/>
          <w:bCs/>
          <w:color w:val="000000"/>
          <w:sz w:val="40"/>
          <w:szCs w:val="32"/>
          <w:highlight w:val="none"/>
        </w:rPr>
        <w:pBdr>
          <w:top w:val="none" w:color="auto" w:sz="0" w:space="1"/>
          <w:left w:val="none" w:color="auto" w:sz="0" w:space="4"/>
          <w:bottom w:val="none" w:color="auto" w:sz="0" w:space="1"/>
          <w:right w:val="none" w:color="auto" w:sz="0" w:space="4"/>
        </w:pBdr>
      </w:pPr>
      <w:r>
        <w:rPr>
          <w:rFonts w:ascii="黑体" w:hAnsi="黑体" w:eastAsia="黑体" w:cs="仿宋"/>
          <w:bCs/>
          <w:color w:val="000000"/>
          <w:sz w:val="40"/>
          <w:szCs w:val="32"/>
          <w:highlight w:val="none"/>
        </w:rPr>
      </w:r>
      <w:r>
        <w:rPr>
          <w:highlight w:val="none"/>
        </w:rPr>
      </w:r>
      <w:r/>
    </w:p>
    <w:p>
      <w:pPr>
        <w:jc w:val="center"/>
        <w:rPr>
          <w:rFonts w:ascii="黑体" w:hAnsi="黑体" w:eastAsia="黑体" w:cs="仿宋"/>
          <w:bCs/>
          <w:color w:val="000000"/>
          <w:sz w:val="40"/>
          <w:szCs w:val="32"/>
          <w:highlight w:val="none"/>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40"/>
          <w:szCs w:val="32"/>
          <w:highlight w:val="none"/>
        </w:rPr>
        <w:t xml:space="preserve">质疑函范本</w:t>
      </w:r>
      <w:r>
        <w:rPr>
          <w:highlight w:val="none"/>
        </w:rPr>
      </w:r>
      <w:r/>
    </w:p>
    <w:p>
      <w:pPr>
        <w:spacing w:line="500" w:lineRule="exact"/>
        <w:rPr>
          <w:rFonts w:ascii="黑体" w:hAnsi="黑体" w:eastAsia="黑体" w:cs="仿宋"/>
          <w:bCs/>
          <w:color w:val="000000"/>
          <w:sz w:val="24"/>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24"/>
          <w:szCs w:val="24"/>
          <w:highlight w:val="none"/>
        </w:rPr>
        <w:t xml:space="preserve">一、质疑供应商基本信息</w:t>
      </w:r>
      <w:r>
        <w:rPr>
          <w:highlight w:val="none"/>
        </w:rPr>
      </w: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质疑供应商：</w:t>
      </w:r>
      <w:r>
        <w:rPr>
          <w:highlight w:val="none"/>
        </w:rPr>
      </w: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地址：邮编：</w:t>
      </w:r>
      <w:r>
        <w:rPr>
          <w:highlight w:val="none"/>
        </w:rPr>
      </w: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联系人：联系电话：</w:t>
      </w:r>
      <w:r>
        <w:rPr>
          <w:highlight w:val="none"/>
        </w:rPr>
      </w: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授权代表：</w:t>
      </w:r>
      <w:r>
        <w:rPr>
          <w:highlight w:val="none"/>
        </w:rPr>
      </w: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联系电话：</w:t>
      </w:r>
      <w:r>
        <w:rPr>
          <w:highlight w:val="none"/>
        </w:rPr>
      </w: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地址：邮编：</w:t>
      </w:r>
      <w:r>
        <w:rPr>
          <w:highlight w:val="none"/>
        </w:rPr>
      </w:r>
      <w:r/>
    </w:p>
    <w:p>
      <w:pPr>
        <w:spacing w:line="500" w:lineRule="exact"/>
        <w:rPr>
          <w:rFonts w:ascii="黑体" w:hAnsi="黑体" w:eastAsia="黑体" w:cs="仿宋"/>
          <w:bCs/>
          <w:color w:val="000000"/>
          <w:sz w:val="24"/>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24"/>
          <w:szCs w:val="24"/>
          <w:highlight w:val="none"/>
        </w:rPr>
        <w:t xml:space="preserve">二、质疑项目基本情况</w:t>
      </w:r>
      <w:r>
        <w:rPr>
          <w:highlight w:val="none"/>
        </w:rPr>
      </w: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质疑项目的名称：</w:t>
      </w:r>
      <w:r>
        <w:rPr>
          <w:highlight w:val="none"/>
        </w:rPr>
      </w: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质疑项目的编号：包号：</w:t>
      </w:r>
      <w:r>
        <w:rPr>
          <w:highlight w:val="none"/>
        </w:rPr>
      </w: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采购人名称：</w:t>
      </w:r>
      <w:r>
        <w:rPr>
          <w:highlight w:val="none"/>
        </w:rPr>
      </w: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采购文件获取日期：</w:t>
      </w:r>
      <w:r>
        <w:rPr>
          <w:highlight w:val="none"/>
        </w:rPr>
      </w:r>
      <w:r/>
    </w:p>
    <w:p>
      <w:pPr>
        <w:spacing w:line="500" w:lineRule="exact"/>
        <w:rPr>
          <w:rFonts w:ascii="黑体" w:hAnsi="黑体" w:eastAsia="黑体" w:cs="仿宋"/>
          <w:bCs/>
          <w:color w:val="000000"/>
          <w:sz w:val="24"/>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24"/>
          <w:szCs w:val="24"/>
          <w:highlight w:val="none"/>
        </w:rPr>
        <w:t xml:space="preserve">三、质疑事项具体内容</w:t>
      </w:r>
      <w:r>
        <w:rPr>
          <w:highlight w:val="none"/>
        </w:rPr>
      </w: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质疑事项1：</w:t>
      </w:r>
      <w:r>
        <w:rPr>
          <w:highlight w:val="none"/>
        </w:rPr>
      </w: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事实依据：</w:t>
      </w:r>
      <w:r>
        <w:rPr>
          <w:highlight w:val="none"/>
        </w:rPr>
      </w: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s="仿宋"/>
          <w:color w:val="000000"/>
          <w:sz w:val="24"/>
          <w:szCs w:val="24"/>
          <w:highlight w:val="none"/>
        </w:rPr>
      </w:r>
      <w:r>
        <w:rPr>
          <w:highlight w:val="none"/>
        </w:rPr>
      </w: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法律依据：</w:t>
      </w:r>
      <w:r>
        <w:rPr>
          <w:highlight w:val="none"/>
        </w:rPr>
      </w: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ascii="宋体" w:hAnsi="宋体" w:cs="仿宋"/>
          <w:color w:val="000000"/>
          <w:sz w:val="24"/>
          <w:szCs w:val="24"/>
          <w:highlight w:val="none"/>
          <w:u w:val="single"/>
        </w:rPr>
      </w:r>
      <w:r>
        <w:rPr>
          <w:highlight w:val="none"/>
        </w:rPr>
      </w: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质疑事项2</w:t>
      </w:r>
      <w:r>
        <w:rPr>
          <w:highlight w:val="none"/>
        </w:rPr>
      </w: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w:t>
      </w:r>
      <w:r>
        <w:rPr>
          <w:highlight w:val="none"/>
        </w:rPr>
      </w:r>
      <w:r/>
    </w:p>
    <w:p>
      <w:pPr>
        <w:spacing w:line="500" w:lineRule="exact"/>
        <w:rPr>
          <w:rFonts w:ascii="黑体" w:hAnsi="黑体" w:eastAsia="黑体" w:cs="仿宋"/>
          <w:bCs/>
          <w:color w:val="000000"/>
          <w:sz w:val="24"/>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24"/>
          <w:szCs w:val="24"/>
          <w:highlight w:val="none"/>
        </w:rPr>
        <w:t xml:space="preserve">四、与质疑事项相关的质疑请求</w:t>
      </w:r>
      <w:r>
        <w:rPr>
          <w:highlight w:val="none"/>
        </w:rPr>
      </w: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请求：</w:t>
      </w:r>
      <w:r>
        <w:rPr>
          <w:highlight w:val="none"/>
        </w:rPr>
      </w:r>
      <w:r/>
    </w:p>
    <w:p>
      <w:pPr>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签字（签章）：                   公章：                      </w:t>
      </w:r>
      <w:r>
        <w:rPr>
          <w:highlight w:val="none"/>
        </w:rPr>
      </w:r>
      <w:r/>
    </w:p>
    <w:p>
      <w:pPr>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日期：    </w:t>
      </w:r>
      <w:r>
        <w:rPr>
          <w:highlight w:val="none"/>
        </w:rPr>
      </w:r>
      <w:r/>
    </w:p>
    <w:p>
      <w:pPr>
        <w:spacing w:line="500" w:lineRule="exact"/>
        <w:rPr>
          <w:rFonts w:ascii="宋体" w:hAnsi="宋体"/>
          <w:b/>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b/>
          <w:color w:val="000000"/>
          <w:sz w:val="24"/>
          <w:szCs w:val="24"/>
          <w:highlight w:val="none"/>
        </w:rPr>
        <w:t xml:space="preserve">质疑函制作说明：</w:t>
      </w:r>
      <w:r>
        <w:rPr>
          <w:highlight w:val="none"/>
        </w:rPr>
      </w:r>
      <w:r/>
    </w:p>
    <w:p>
      <w:pPr>
        <w:ind w:firstLine="480"/>
        <w:jc w:val="left"/>
        <w:spacing w:line="500" w:lineRule="exact"/>
        <w:widowControl/>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1.供应商提出质疑时，应提交质疑函和必要的证明材料。</w:t>
      </w:r>
      <w:r>
        <w:rPr>
          <w:highlight w:val="none"/>
        </w:rPr>
      </w:r>
      <w:r/>
    </w:p>
    <w:p>
      <w:pPr>
        <w:ind w:firstLine="480"/>
        <w:jc w:val="left"/>
        <w:spacing w:line="500" w:lineRule="exact"/>
        <w:widowControl/>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highlight w:val="none"/>
        </w:rPr>
      </w:r>
      <w:r/>
    </w:p>
    <w:p>
      <w:pPr>
        <w:ind w:firstLine="480"/>
        <w:jc w:val="left"/>
        <w:spacing w:line="500" w:lineRule="exact"/>
        <w:widowControl/>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3.质疑供应商若对项目的某一分包进行质疑，质疑函中应列明具体分包号。</w:t>
      </w:r>
      <w:r>
        <w:rPr>
          <w:highlight w:val="none"/>
        </w:rPr>
      </w:r>
      <w:r/>
    </w:p>
    <w:p>
      <w:pPr>
        <w:ind w:firstLine="480"/>
        <w:jc w:val="left"/>
        <w:spacing w:line="500" w:lineRule="exact"/>
        <w:widowControl/>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4.质疑函的质疑事项应具体、明确，并有必要的事实依据和法律依据。</w:t>
      </w:r>
      <w:r>
        <w:rPr>
          <w:highlight w:val="none"/>
        </w:rPr>
      </w:r>
      <w:r/>
    </w:p>
    <w:p>
      <w:pPr>
        <w:ind w:firstLine="480"/>
        <w:jc w:val="left"/>
        <w:spacing w:line="500" w:lineRule="exact"/>
        <w:widowControl/>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5.质疑函的质疑请求应与质疑事项相关。</w:t>
      </w:r>
      <w:r>
        <w:rPr>
          <w:highlight w:val="none"/>
        </w:rPr>
      </w:r>
      <w:r/>
    </w:p>
    <w:p>
      <w:pPr>
        <w:ind w:firstLine="480"/>
        <w:jc w:val="left"/>
        <w:spacing w:line="500" w:lineRule="exact"/>
        <w:widowControl/>
        <w:rPr>
          <w:rFonts w:ascii="宋体" w:hAnsi="宋体"/>
          <w:b/>
          <w:color w:val="ff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b/>
          <w:color w:val="ff0000"/>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rPr>
          <w:highlight w:val="none"/>
        </w:rPr>
      </w: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汉仪书宋二S">
    <w:panose1 w:val="020B0503020202020204"/>
  </w:font>
  <w:font w:name="Helvetica">
    <w:panose1 w:val="020B0604020202020204"/>
  </w:font>
  <w:font w:name="SimSun">
    <w:panose1 w:val="02010600030101010101"/>
  </w:font>
  <w:font w:name="Symbol">
    <w:panose1 w:val="05050102010706020507"/>
  </w:font>
  <w:font w:name="楷体_GB2312">
    <w:panose1 w:val="02010609060101010101"/>
  </w:font>
  <w:font w:name="华文楷体">
    <w:panose1 w:val="02010600040101010101"/>
  </w:font>
  <w:font w:name="Wingdings">
    <w:panose1 w:val="05000000000000000000"/>
  </w:font>
  <w:font w:name="华文中宋">
    <w:panose1 w:val="02010600040101010101"/>
  </w:font>
  <w:font w:name="仿宋_GB2312">
    <w:panose1 w:val="02010609060101010101"/>
  </w:font>
  <w:font w:name="黑体">
    <w:panose1 w:val="02010609060101010101"/>
  </w:font>
  <w:font w:name="MS Mincho">
    <w:panose1 w:val="02020603050405090304"/>
  </w:font>
  <w:font w:name="Cambria">
    <w:panose1 w:val="02040503050406030204"/>
  </w:font>
  <w:font w:name="仿宋">
    <w:panose1 w:val="02010609060101010101"/>
  </w:font>
  <w:font w:name="等线 Light">
    <w:panose1 w:val="02010600030101010101"/>
  </w:font>
  <w:font w:name="Cambria Math">
    <w:panose1 w:val="02040503050406030204"/>
  </w:font>
  <w:font w:name="Courier New">
    <w:panose1 w:val="02070309020205020404"/>
  </w:font>
  <w:font w:name="金山简黑体">
    <w:panose1 w:val="020B050302020202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center"/>
    </w:pPr>
    <w:r/>
    <w:r/>
  </w:p>
  <w:p>
    <w:pPr>
      <w:pStyle w:val="95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6850" cy="243840"/>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97018" cy="2439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5pt;height:19.2pt;mso-wrap-distance-left:9.0pt;mso-wrap-distance-top:0.0pt;mso-wrap-distance-right:9.0pt;mso-wrap-distance-bottom:0.0pt;v-text-anchor:top;visibility:visible;" filled="f" stroked="f" strokeweight="0.50pt">
              <v:textbox inset="0,0,0,0">
                <w:txbxContent>
                  <w:p>
                    <w:pPr>
                      <w:pStyle w:val="74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rPr>
        <w:rFonts w:hint="default"/>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8"/>
  </w:num>
  <w:num w:numId="4">
    <w:abstractNumId w:val="1"/>
  </w:num>
  <w:num w:numId="5">
    <w:abstractNumId w:val="0"/>
  </w:num>
  <w:num w:numId="6">
    <w:abstractNumId w:val="6"/>
  </w:num>
  <w:num w:numId="7">
    <w:abstractNumId w:val="7"/>
  </w:num>
  <w:num w:numId="8">
    <w:abstractNumId w:val="9"/>
  </w:num>
  <w:num w:numId="9">
    <w:abstractNumId w:val="5"/>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03">
    <w:name w:val="Plain Table 1"/>
    <w:basedOn w:val="7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2"/>
    <w:basedOn w:val="7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3"/>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6">
    <w:name w:val="Plain Table 4"/>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7">
    <w:name w:val="Plain Table 5"/>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8">
    <w:name w:val="Grid Table 1 Light"/>
    <w:basedOn w:val="7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9">
    <w:name w:val="Grid Table 2"/>
    <w:basedOn w:val="7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0">
    <w:name w:val="Grid Table 3"/>
    <w:basedOn w:val="7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4"/>
    <w:basedOn w:val="7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2">
    <w:name w:val="Grid Table 5 Dark"/>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3">
    <w:name w:val="Grid Table 6 Colorful"/>
    <w:basedOn w:val="7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4">
    <w:name w:val="Grid Table 7 Colorful"/>
    <w:basedOn w:val="7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5">
    <w:name w:val="List Table 1 Light"/>
    <w:basedOn w:val="7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6">
    <w:name w:val="List Table 2"/>
    <w:basedOn w:val="7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7">
    <w:name w:val="List Table 3"/>
    <w:basedOn w:val="7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8">
    <w:name w:val="List Table 4"/>
    <w:basedOn w:val="7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9">
    <w:name w:val="List Table 5 Dark"/>
    <w:basedOn w:val="7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0">
    <w:name w:val="List Table 6 Colorful"/>
    <w:basedOn w:val="7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1">
    <w:name w:val="List Table 7 Colorful"/>
    <w:basedOn w:val="7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2">
    <w:name w:val="TOC Heading"/>
    <w:uiPriority w:val="39"/>
    <w:unhideWhenUsed/>
  </w:style>
  <w:style w:type="paragraph" w:styleId="723"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24">
    <w:name w:val="Heading 1"/>
    <w:basedOn w:val="723"/>
    <w:next w:val="723"/>
    <w:link w:val="804"/>
    <w:uiPriority w:val="9"/>
    <w:qFormat/>
    <w:pPr>
      <w:keepLines/>
      <w:keepNext/>
      <w:spacing w:before="480" w:after="200"/>
      <w:outlineLvl w:val="0"/>
    </w:pPr>
    <w:rPr>
      <w:rFonts w:ascii="Arial" w:hAnsi="Arial" w:eastAsia="Arial" w:cs="Arial"/>
      <w:sz w:val="40"/>
      <w:szCs w:val="40"/>
    </w:rPr>
  </w:style>
  <w:style w:type="paragraph" w:styleId="725">
    <w:name w:val="Heading 2"/>
    <w:basedOn w:val="723"/>
    <w:next w:val="723"/>
    <w:link w:val="805"/>
    <w:uiPriority w:val="9"/>
    <w:unhideWhenUsed/>
    <w:qFormat/>
    <w:pPr>
      <w:keepLines/>
      <w:keepNext/>
      <w:spacing w:before="360" w:after="200"/>
      <w:outlineLvl w:val="1"/>
    </w:pPr>
    <w:rPr>
      <w:rFonts w:ascii="Arial" w:hAnsi="Arial" w:eastAsia="Arial" w:cs="Arial"/>
      <w:sz w:val="34"/>
    </w:rPr>
  </w:style>
  <w:style w:type="paragraph" w:styleId="726">
    <w:name w:val="Heading 3"/>
    <w:basedOn w:val="723"/>
    <w:next w:val="735"/>
    <w:link w:val="806"/>
    <w:uiPriority w:val="9"/>
    <w:unhideWhenUsed/>
    <w:qFormat/>
    <w:pPr>
      <w:keepLines/>
      <w:keepNext/>
      <w:spacing w:before="320" w:after="200"/>
      <w:outlineLvl w:val="2"/>
    </w:pPr>
    <w:rPr>
      <w:rFonts w:ascii="Arial" w:hAnsi="Arial" w:eastAsia="Arial" w:cs="Arial"/>
      <w:sz w:val="30"/>
      <w:szCs w:val="30"/>
    </w:rPr>
  </w:style>
  <w:style w:type="paragraph" w:styleId="727">
    <w:name w:val="Heading 4"/>
    <w:basedOn w:val="723"/>
    <w:next w:val="723"/>
    <w:link w:val="807"/>
    <w:uiPriority w:val="9"/>
    <w:unhideWhenUsed/>
    <w:qFormat/>
    <w:pPr>
      <w:keepLines/>
      <w:keepNext/>
      <w:spacing w:before="320" w:after="200"/>
      <w:outlineLvl w:val="3"/>
    </w:pPr>
    <w:rPr>
      <w:rFonts w:ascii="Arial" w:hAnsi="Arial" w:eastAsia="Arial" w:cs="Arial"/>
      <w:b/>
      <w:bCs/>
      <w:sz w:val="26"/>
      <w:szCs w:val="26"/>
    </w:rPr>
  </w:style>
  <w:style w:type="paragraph" w:styleId="728">
    <w:name w:val="Heading 5"/>
    <w:basedOn w:val="723"/>
    <w:next w:val="723"/>
    <w:link w:val="808"/>
    <w:uiPriority w:val="9"/>
    <w:unhideWhenUsed/>
    <w:qFormat/>
    <w:pPr>
      <w:keepLines/>
      <w:keepNext/>
      <w:spacing w:before="320" w:after="200"/>
      <w:outlineLvl w:val="4"/>
    </w:pPr>
    <w:rPr>
      <w:rFonts w:ascii="Arial" w:hAnsi="Arial" w:eastAsia="Arial" w:cs="Arial"/>
      <w:b/>
      <w:bCs/>
      <w:sz w:val="24"/>
      <w:szCs w:val="24"/>
    </w:rPr>
  </w:style>
  <w:style w:type="paragraph" w:styleId="729">
    <w:name w:val="Heading 6"/>
    <w:basedOn w:val="723"/>
    <w:next w:val="723"/>
    <w:link w:val="809"/>
    <w:uiPriority w:val="9"/>
    <w:unhideWhenUsed/>
    <w:qFormat/>
    <w:pPr>
      <w:keepLines/>
      <w:keepNext/>
      <w:spacing w:before="320" w:after="200"/>
      <w:outlineLvl w:val="5"/>
    </w:pPr>
    <w:rPr>
      <w:rFonts w:ascii="Arial" w:hAnsi="Arial" w:eastAsia="Arial" w:cs="Arial"/>
      <w:b/>
      <w:bCs/>
      <w:sz w:val="22"/>
    </w:rPr>
  </w:style>
  <w:style w:type="paragraph" w:styleId="730">
    <w:name w:val="Heading 7"/>
    <w:basedOn w:val="723"/>
    <w:next w:val="723"/>
    <w:link w:val="810"/>
    <w:uiPriority w:val="9"/>
    <w:unhideWhenUsed/>
    <w:qFormat/>
    <w:pPr>
      <w:keepLines/>
      <w:keepNext/>
      <w:spacing w:before="320" w:after="200"/>
      <w:outlineLvl w:val="6"/>
    </w:pPr>
    <w:rPr>
      <w:rFonts w:ascii="Arial" w:hAnsi="Arial" w:eastAsia="Arial" w:cs="Arial"/>
      <w:b/>
      <w:bCs/>
      <w:i/>
      <w:iCs/>
      <w:sz w:val="22"/>
    </w:rPr>
  </w:style>
  <w:style w:type="paragraph" w:styleId="731">
    <w:name w:val="Heading 8"/>
    <w:basedOn w:val="723"/>
    <w:next w:val="723"/>
    <w:link w:val="811"/>
    <w:uiPriority w:val="9"/>
    <w:unhideWhenUsed/>
    <w:qFormat/>
    <w:pPr>
      <w:keepLines/>
      <w:keepNext/>
      <w:spacing w:before="320" w:after="200"/>
      <w:outlineLvl w:val="7"/>
    </w:pPr>
    <w:rPr>
      <w:rFonts w:ascii="Arial" w:hAnsi="Arial" w:eastAsia="Arial" w:cs="Arial"/>
      <w:i/>
      <w:iCs/>
      <w:sz w:val="22"/>
    </w:rPr>
  </w:style>
  <w:style w:type="paragraph" w:styleId="732">
    <w:name w:val="Heading 9"/>
    <w:basedOn w:val="723"/>
    <w:next w:val="723"/>
    <w:link w:val="812"/>
    <w:uiPriority w:val="9"/>
    <w:unhideWhenUsed/>
    <w:qFormat/>
    <w:pPr>
      <w:keepLines/>
      <w:keepNext/>
      <w:spacing w:before="320" w:after="200"/>
      <w:outlineLvl w:val="8"/>
    </w:pPr>
    <w:rPr>
      <w:rFonts w:ascii="Arial" w:hAnsi="Arial" w:eastAsia="Arial" w:cs="Arial"/>
      <w:i/>
      <w:iCs/>
      <w:szCs w:val="21"/>
    </w:rPr>
  </w:style>
  <w:style w:type="character" w:styleId="733" w:default="1">
    <w:name w:val="Default Paragraph Font"/>
    <w:uiPriority w:val="1"/>
    <w:unhideWhenUsed/>
    <w:qFormat/>
  </w:style>
  <w:style w:type="table" w:styleId="734" w:default="1">
    <w:name w:val="Normal Table"/>
    <w:uiPriority w:val="99"/>
    <w:semiHidden/>
    <w:unhideWhenUsed/>
    <w:qFormat/>
    <w:tblPr>
      <w:tblCellMar>
        <w:left w:w="108" w:type="dxa"/>
        <w:top w:w="0" w:type="dxa"/>
        <w:right w:w="108" w:type="dxa"/>
        <w:bottom w:w="0" w:type="dxa"/>
      </w:tblCellMar>
    </w:tblPr>
  </w:style>
  <w:style w:type="paragraph" w:styleId="735">
    <w:name w:val="Normal Indent"/>
    <w:basedOn w:val="723"/>
    <w:uiPriority w:val="99"/>
    <w:unhideWhenUsed/>
    <w:qFormat/>
    <w:pPr>
      <w:ind w:firstLine="420"/>
    </w:pPr>
  </w:style>
  <w:style w:type="paragraph" w:styleId="736">
    <w:name w:val="toc 7"/>
    <w:basedOn w:val="723"/>
    <w:next w:val="723"/>
    <w:uiPriority w:val="39"/>
    <w:unhideWhenUsed/>
    <w:qFormat/>
    <w:pPr>
      <w:ind w:left="1701"/>
      <w:spacing w:after="57"/>
    </w:pPr>
  </w:style>
  <w:style w:type="paragraph" w:styleId="737">
    <w:name w:val="Caption"/>
    <w:basedOn w:val="723"/>
    <w:next w:val="72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8">
    <w:name w:val="annotation text"/>
    <w:basedOn w:val="723"/>
    <w:link w:val="971"/>
    <w:uiPriority w:val="99"/>
    <w:semiHidden/>
    <w:unhideWhenUsed/>
    <w:qFormat/>
    <w:pPr>
      <w:jc w:val="left"/>
    </w:pPr>
  </w:style>
  <w:style w:type="paragraph" w:styleId="739">
    <w:name w:val="Body Text"/>
    <w:basedOn w:val="723"/>
    <w:next w:val="723"/>
    <w:uiPriority w:val="0"/>
    <w:qFormat/>
    <w:rPr>
      <w:rFonts w:ascii="金山简黑体" w:hAnsi="Courier New" w:eastAsia="金山简黑体"/>
      <w:b/>
      <w:spacing w:val="-8"/>
      <w:sz w:val="44"/>
      <w:szCs w:val="20"/>
    </w:rPr>
  </w:style>
  <w:style w:type="paragraph" w:styleId="740">
    <w:name w:val="Body Text Indent"/>
    <w:basedOn w:val="723"/>
    <w:uiPriority w:val="0"/>
    <w:qFormat/>
    <w:pPr>
      <w:ind w:left="420"/>
      <w:spacing w:after="120"/>
    </w:pPr>
  </w:style>
  <w:style w:type="paragraph" w:styleId="741">
    <w:name w:val="toc 5"/>
    <w:basedOn w:val="723"/>
    <w:next w:val="723"/>
    <w:uiPriority w:val="39"/>
    <w:unhideWhenUsed/>
    <w:qFormat/>
    <w:pPr>
      <w:ind w:left="1134"/>
      <w:spacing w:after="57"/>
    </w:pPr>
  </w:style>
  <w:style w:type="paragraph" w:styleId="742">
    <w:name w:val="toc 3"/>
    <w:basedOn w:val="723"/>
    <w:next w:val="723"/>
    <w:uiPriority w:val="39"/>
    <w:unhideWhenUsed/>
    <w:qFormat/>
    <w:pPr>
      <w:ind w:left="567"/>
      <w:spacing w:after="57"/>
    </w:pPr>
  </w:style>
  <w:style w:type="paragraph" w:styleId="743">
    <w:name w:val="toc 8"/>
    <w:basedOn w:val="723"/>
    <w:next w:val="723"/>
    <w:uiPriority w:val="39"/>
    <w:unhideWhenUsed/>
    <w:qFormat/>
    <w:pPr>
      <w:ind w:left="1984"/>
      <w:spacing w:after="57"/>
    </w:pPr>
  </w:style>
  <w:style w:type="paragraph" w:styleId="744">
    <w:name w:val="Date"/>
    <w:basedOn w:val="723"/>
    <w:next w:val="723"/>
    <w:uiPriority w:val="0"/>
    <w:qFormat/>
    <w:rPr>
      <w:sz w:val="24"/>
      <w:szCs w:val="20"/>
    </w:rPr>
  </w:style>
  <w:style w:type="paragraph" w:styleId="745">
    <w:name w:val="endnote text"/>
    <w:basedOn w:val="723"/>
    <w:link w:val="931"/>
    <w:uiPriority w:val="99"/>
    <w:semiHidden/>
    <w:unhideWhenUsed/>
    <w:qFormat/>
    <w:rPr>
      <w:sz w:val="20"/>
    </w:rPr>
  </w:style>
  <w:style w:type="paragraph" w:styleId="746">
    <w:name w:val="Balloon Text"/>
    <w:basedOn w:val="723"/>
    <w:link w:val="970"/>
    <w:uiPriority w:val="99"/>
    <w:semiHidden/>
    <w:unhideWhenUsed/>
    <w:qFormat/>
    <w:rPr>
      <w:sz w:val="18"/>
      <w:szCs w:val="18"/>
    </w:rPr>
  </w:style>
  <w:style w:type="paragraph" w:styleId="747">
    <w:name w:val="Footer"/>
    <w:basedOn w:val="723"/>
    <w:link w:val="823"/>
    <w:uiPriority w:val="99"/>
    <w:unhideWhenUsed/>
    <w:qFormat/>
    <w:pPr>
      <w:tabs>
        <w:tab w:val="center" w:pos="7143" w:leader="none"/>
        <w:tab w:val="right" w:pos="14287" w:leader="none"/>
      </w:tabs>
    </w:pPr>
  </w:style>
  <w:style w:type="paragraph" w:styleId="748">
    <w:name w:val="Header"/>
    <w:basedOn w:val="723"/>
    <w:link w:val="821"/>
    <w:uiPriority w:val="99"/>
    <w:unhideWhenUsed/>
    <w:qFormat/>
    <w:pPr>
      <w:tabs>
        <w:tab w:val="center" w:pos="7143" w:leader="none"/>
        <w:tab w:val="right" w:pos="14287" w:leader="none"/>
      </w:tabs>
    </w:pPr>
  </w:style>
  <w:style w:type="paragraph" w:styleId="749">
    <w:name w:val="toc 1"/>
    <w:basedOn w:val="723"/>
    <w:next w:val="723"/>
    <w:uiPriority w:val="39"/>
    <w:unhideWhenUsed/>
    <w:qFormat/>
    <w:pPr>
      <w:spacing w:after="57"/>
    </w:pPr>
  </w:style>
  <w:style w:type="paragraph" w:styleId="750">
    <w:name w:val="toc 4"/>
    <w:basedOn w:val="723"/>
    <w:next w:val="723"/>
    <w:uiPriority w:val="39"/>
    <w:unhideWhenUsed/>
    <w:qFormat/>
    <w:pPr>
      <w:ind w:left="850"/>
      <w:spacing w:after="57"/>
    </w:pPr>
  </w:style>
  <w:style w:type="paragraph" w:styleId="751">
    <w:name w:val="Subtitle"/>
    <w:basedOn w:val="723"/>
    <w:next w:val="723"/>
    <w:link w:val="816"/>
    <w:uiPriority w:val="11"/>
    <w:qFormat/>
    <w:pPr>
      <w:spacing w:before="200" w:after="200"/>
    </w:pPr>
    <w:rPr>
      <w:sz w:val="24"/>
      <w:szCs w:val="24"/>
    </w:rPr>
  </w:style>
  <w:style w:type="paragraph" w:styleId="752">
    <w:name w:val="footnote text"/>
    <w:basedOn w:val="723"/>
    <w:link w:val="930"/>
    <w:uiPriority w:val="99"/>
    <w:semiHidden/>
    <w:unhideWhenUsed/>
    <w:qFormat/>
    <w:pPr>
      <w:spacing w:after="40"/>
    </w:pPr>
    <w:rPr>
      <w:sz w:val="18"/>
    </w:rPr>
  </w:style>
  <w:style w:type="paragraph" w:styleId="753">
    <w:name w:val="toc 6"/>
    <w:basedOn w:val="723"/>
    <w:next w:val="723"/>
    <w:uiPriority w:val="39"/>
    <w:unhideWhenUsed/>
    <w:qFormat/>
    <w:pPr>
      <w:ind w:left="1417"/>
      <w:spacing w:after="57"/>
    </w:pPr>
  </w:style>
  <w:style w:type="paragraph" w:styleId="754">
    <w:name w:val="table of figures"/>
    <w:basedOn w:val="723"/>
    <w:next w:val="723"/>
    <w:uiPriority w:val="99"/>
    <w:unhideWhenUsed/>
    <w:qFormat/>
  </w:style>
  <w:style w:type="paragraph" w:styleId="755">
    <w:name w:val="toc 2"/>
    <w:basedOn w:val="723"/>
    <w:next w:val="723"/>
    <w:uiPriority w:val="39"/>
    <w:unhideWhenUsed/>
    <w:qFormat/>
    <w:pPr>
      <w:ind w:left="283"/>
      <w:spacing w:after="57"/>
    </w:pPr>
  </w:style>
  <w:style w:type="paragraph" w:styleId="756">
    <w:name w:val="toc 9"/>
    <w:basedOn w:val="723"/>
    <w:next w:val="723"/>
    <w:uiPriority w:val="39"/>
    <w:unhideWhenUsed/>
    <w:qFormat/>
    <w:pPr>
      <w:ind w:left="2268"/>
      <w:spacing w:after="57"/>
    </w:pPr>
  </w:style>
  <w:style w:type="paragraph" w:styleId="757">
    <w:name w:val="Title"/>
    <w:basedOn w:val="723"/>
    <w:next w:val="723"/>
    <w:link w:val="815"/>
    <w:uiPriority w:val="10"/>
    <w:qFormat/>
    <w:pPr>
      <w:contextualSpacing/>
      <w:spacing w:before="300" w:after="200"/>
    </w:pPr>
    <w:rPr>
      <w:sz w:val="48"/>
      <w:szCs w:val="48"/>
    </w:rPr>
  </w:style>
  <w:style w:type="paragraph" w:styleId="758">
    <w:name w:val="annotation subject"/>
    <w:basedOn w:val="738"/>
    <w:next w:val="738"/>
    <w:link w:val="972"/>
    <w:uiPriority w:val="99"/>
    <w:semiHidden/>
    <w:unhideWhenUsed/>
    <w:qFormat/>
    <w:rPr>
      <w:b/>
      <w:bCs/>
    </w:rPr>
  </w:style>
  <w:style w:type="table" w:styleId="75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0">
    <w:name w:val="Strong"/>
    <w:basedOn w:val="733"/>
    <w:uiPriority w:val="22"/>
    <w:qFormat/>
    <w:rPr>
      <w:b/>
    </w:rPr>
  </w:style>
  <w:style w:type="character" w:styleId="761">
    <w:name w:val="endnote reference"/>
    <w:uiPriority w:val="99"/>
    <w:semiHidden/>
    <w:unhideWhenUsed/>
    <w:qFormat/>
    <w:rPr>
      <w:vertAlign w:val="superscript"/>
    </w:rPr>
  </w:style>
  <w:style w:type="character" w:styleId="762">
    <w:name w:val="Emphasis"/>
    <w:basedOn w:val="733"/>
    <w:uiPriority w:val="20"/>
    <w:qFormat/>
    <w:rPr>
      <w:i/>
    </w:rPr>
  </w:style>
  <w:style w:type="character" w:styleId="763">
    <w:name w:val="Hyperlink"/>
    <w:uiPriority w:val="99"/>
    <w:unhideWhenUsed/>
    <w:qFormat/>
    <w:rPr>
      <w:color w:val="0000ff" w:themeColor="hyperlink"/>
      <w:u w:val="single"/>
      <w14:textFill>
        <w14:solidFill>
          <w14:schemeClr w14:val="hlink"/>
        </w14:solidFill>
      </w14:textFill>
    </w:rPr>
  </w:style>
  <w:style w:type="character" w:styleId="764">
    <w:name w:val="annotation reference"/>
    <w:uiPriority w:val="0"/>
    <w:qFormat/>
    <w:rPr>
      <w:rFonts w:ascii="Cambria Math" w:hAnsi="Cambria Math" w:eastAsia="等线 Light" w:cs="Cambria Math"/>
      <w:sz w:val="21"/>
      <w:szCs w:val="21"/>
    </w:rPr>
  </w:style>
  <w:style w:type="character" w:styleId="765">
    <w:name w:val="footnote reference"/>
    <w:uiPriority w:val="99"/>
    <w:unhideWhenUsed/>
    <w:qFormat/>
    <w:rPr>
      <w:vertAlign w:val="superscript"/>
    </w:rPr>
  </w:style>
  <w:style w:type="table" w:styleId="766" w:customStyle="1">
    <w:name w:val="无格式表格 11"/>
    <w:basedOn w:val="73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无格式表格 21"/>
    <w:basedOn w:val="73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无格式表格 31"/>
    <w:basedOn w:val="734"/>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customStyle="1">
    <w:name w:val="无格式表格 41"/>
    <w:basedOn w:val="734"/>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customStyle="1">
    <w:name w:val="无格式表格 51"/>
    <w:basedOn w:val="734"/>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1" w:customStyle="1">
    <w:name w:val="网格表 1 浅色1"/>
    <w:basedOn w:val="73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2" w:customStyle="1">
    <w:name w:val="网格表 21"/>
    <w:basedOn w:val="73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3" w:customStyle="1">
    <w:name w:val="网格表 31"/>
    <w:basedOn w:val="73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网格表 41"/>
    <w:basedOn w:val="73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customStyle="1">
    <w:name w:val="网格表 5 深色1"/>
    <w:basedOn w:val="7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6" w:customStyle="1">
    <w:name w:val="网格表 6 彩色1"/>
    <w:basedOn w:val="73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7" w:customStyle="1">
    <w:name w:val="网格表 7 彩色1"/>
    <w:basedOn w:val="73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8" w:customStyle="1">
    <w:name w:val="清单表 1 浅色1"/>
    <w:basedOn w:val="734"/>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customStyle="1">
    <w:name w:val="清单表 21"/>
    <w:basedOn w:val="73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0" w:customStyle="1">
    <w:name w:val="清单表 31"/>
    <w:basedOn w:val="73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1" w:customStyle="1">
    <w:name w:val="清单表 41"/>
    <w:basedOn w:val="73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清单表 5 深色1"/>
    <w:basedOn w:val="73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清单表 6 彩色1"/>
    <w:basedOn w:val="734"/>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4" w:customStyle="1">
    <w:name w:val="清单表 7 彩色1"/>
    <w:basedOn w:val="734"/>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5" w:customStyle="1">
    <w:name w:val="TOC 标题1"/>
    <w:uiPriority w:val="39"/>
    <w:unhideWhenUsed/>
    <w:qFormat/>
    <w:rPr>
      <w:rFonts w:ascii="Times New Roman" w:hAnsi="Times New Roman" w:eastAsia="宋体" w:cs="Times New Roman"/>
      <w:lang w:val="en-US" w:eastAsia="zh-CN" w:bidi="ar-SA"/>
    </w:rPr>
  </w:style>
  <w:style w:type="character" w:styleId="786" w:customStyle="1">
    <w:name w:val="Heading 1 Char"/>
    <w:basedOn w:val="733"/>
    <w:uiPriority w:val="9"/>
    <w:qFormat/>
    <w:rPr>
      <w:rFonts w:ascii="Arial" w:hAnsi="Arial" w:eastAsia="Arial" w:cs="Arial"/>
      <w:sz w:val="40"/>
      <w:szCs w:val="40"/>
    </w:rPr>
  </w:style>
  <w:style w:type="character" w:styleId="787" w:customStyle="1">
    <w:name w:val="Heading 2 Char"/>
    <w:basedOn w:val="733"/>
    <w:uiPriority w:val="9"/>
    <w:qFormat/>
    <w:rPr>
      <w:rFonts w:ascii="Arial" w:hAnsi="Arial" w:eastAsia="Arial" w:cs="Arial"/>
      <w:sz w:val="34"/>
    </w:rPr>
  </w:style>
  <w:style w:type="character" w:styleId="788" w:customStyle="1">
    <w:name w:val="Heading 3 Char"/>
    <w:basedOn w:val="733"/>
    <w:uiPriority w:val="9"/>
    <w:qFormat/>
    <w:rPr>
      <w:rFonts w:ascii="Arial" w:hAnsi="Arial" w:eastAsia="Arial" w:cs="Arial"/>
      <w:sz w:val="30"/>
      <w:szCs w:val="30"/>
    </w:rPr>
  </w:style>
  <w:style w:type="character" w:styleId="789" w:customStyle="1">
    <w:name w:val="Heading 4 Char"/>
    <w:basedOn w:val="733"/>
    <w:uiPriority w:val="9"/>
    <w:qFormat/>
    <w:rPr>
      <w:rFonts w:ascii="Arial" w:hAnsi="Arial" w:eastAsia="Arial" w:cs="Arial"/>
      <w:b/>
      <w:bCs/>
      <w:sz w:val="26"/>
      <w:szCs w:val="26"/>
    </w:rPr>
  </w:style>
  <w:style w:type="character" w:styleId="790" w:customStyle="1">
    <w:name w:val="Heading 5 Char"/>
    <w:basedOn w:val="733"/>
    <w:uiPriority w:val="9"/>
    <w:qFormat/>
    <w:rPr>
      <w:rFonts w:ascii="Arial" w:hAnsi="Arial" w:eastAsia="Arial" w:cs="Arial"/>
      <w:b/>
      <w:bCs/>
      <w:sz w:val="24"/>
      <w:szCs w:val="24"/>
    </w:rPr>
  </w:style>
  <w:style w:type="character" w:styleId="791" w:customStyle="1">
    <w:name w:val="Heading 6 Char"/>
    <w:basedOn w:val="733"/>
    <w:uiPriority w:val="9"/>
    <w:qFormat/>
    <w:rPr>
      <w:rFonts w:ascii="Arial" w:hAnsi="Arial" w:eastAsia="Arial" w:cs="Arial"/>
      <w:b/>
      <w:bCs/>
      <w:sz w:val="22"/>
      <w:szCs w:val="22"/>
    </w:rPr>
  </w:style>
  <w:style w:type="character" w:styleId="792" w:customStyle="1">
    <w:name w:val="Heading 7 Char"/>
    <w:basedOn w:val="733"/>
    <w:uiPriority w:val="9"/>
    <w:qFormat/>
    <w:rPr>
      <w:rFonts w:ascii="Arial" w:hAnsi="Arial" w:eastAsia="Arial" w:cs="Arial"/>
      <w:b/>
      <w:bCs/>
      <w:i/>
      <w:iCs/>
      <w:sz w:val="22"/>
      <w:szCs w:val="22"/>
    </w:rPr>
  </w:style>
  <w:style w:type="character" w:styleId="793" w:customStyle="1">
    <w:name w:val="Heading 8 Char"/>
    <w:basedOn w:val="733"/>
    <w:uiPriority w:val="9"/>
    <w:qFormat/>
    <w:rPr>
      <w:rFonts w:ascii="Arial" w:hAnsi="Arial" w:eastAsia="Arial" w:cs="Arial"/>
      <w:i/>
      <w:iCs/>
      <w:sz w:val="22"/>
      <w:szCs w:val="22"/>
    </w:rPr>
  </w:style>
  <w:style w:type="character" w:styleId="794" w:customStyle="1">
    <w:name w:val="Heading 9 Char"/>
    <w:basedOn w:val="733"/>
    <w:uiPriority w:val="9"/>
    <w:qFormat/>
    <w:rPr>
      <w:rFonts w:ascii="Arial" w:hAnsi="Arial" w:eastAsia="Arial" w:cs="Arial"/>
      <w:i/>
      <w:iCs/>
      <w:sz w:val="21"/>
      <w:szCs w:val="21"/>
    </w:rPr>
  </w:style>
  <w:style w:type="character" w:styleId="795" w:customStyle="1">
    <w:name w:val="Title Char"/>
    <w:basedOn w:val="733"/>
    <w:uiPriority w:val="10"/>
    <w:qFormat/>
    <w:rPr>
      <w:sz w:val="48"/>
      <w:szCs w:val="48"/>
    </w:rPr>
  </w:style>
  <w:style w:type="character" w:styleId="796" w:customStyle="1">
    <w:name w:val="Subtitle Char"/>
    <w:basedOn w:val="733"/>
    <w:uiPriority w:val="11"/>
    <w:qFormat/>
    <w:rPr>
      <w:sz w:val="24"/>
      <w:szCs w:val="24"/>
    </w:rPr>
  </w:style>
  <w:style w:type="character" w:styleId="797" w:customStyle="1">
    <w:name w:val="Quote Char"/>
    <w:uiPriority w:val="29"/>
    <w:qFormat/>
    <w:rPr>
      <w:i/>
    </w:rPr>
  </w:style>
  <w:style w:type="character" w:styleId="798" w:customStyle="1">
    <w:name w:val="Intense Quote Char"/>
    <w:uiPriority w:val="30"/>
    <w:qFormat/>
    <w:rPr>
      <w:i/>
    </w:rPr>
  </w:style>
  <w:style w:type="character" w:styleId="799" w:customStyle="1">
    <w:name w:val="Header Char"/>
    <w:basedOn w:val="733"/>
    <w:uiPriority w:val="99"/>
    <w:qFormat/>
  </w:style>
  <w:style w:type="character" w:styleId="800" w:customStyle="1">
    <w:name w:val="Caption Char"/>
    <w:uiPriority w:val="99"/>
    <w:qFormat/>
  </w:style>
  <w:style w:type="character" w:styleId="801" w:customStyle="1">
    <w:name w:val="Footnote Text Char"/>
    <w:uiPriority w:val="99"/>
    <w:qFormat/>
    <w:rPr>
      <w:sz w:val="18"/>
    </w:rPr>
  </w:style>
  <w:style w:type="character" w:styleId="802" w:customStyle="1">
    <w:name w:val="Endnote Text Char"/>
    <w:uiPriority w:val="99"/>
    <w:qFormat/>
    <w:rPr>
      <w:sz w:val="20"/>
    </w:rPr>
  </w:style>
  <w:style w:type="paragraph" w:styleId="803" w:customStyle="1">
    <w:name w:val="TOC 标题111"/>
    <w:uiPriority w:val="39"/>
    <w:unhideWhenUsed/>
    <w:qFormat/>
    <w:rPr>
      <w:rFonts w:ascii="Times New Roman" w:hAnsi="Times New Roman" w:eastAsia="宋体" w:cs="Times New Roman"/>
      <w:lang w:val="en-US" w:eastAsia="zh-CN" w:bidi="ar-SA"/>
    </w:rPr>
  </w:style>
  <w:style w:type="character" w:styleId="804" w:customStyle="1">
    <w:name w:val="标题 1 字符"/>
    <w:link w:val="724"/>
    <w:uiPriority w:val="9"/>
    <w:qFormat/>
    <w:rPr>
      <w:rFonts w:ascii="Arial" w:hAnsi="Arial" w:eastAsia="Arial" w:cs="Arial"/>
      <w:sz w:val="40"/>
      <w:szCs w:val="40"/>
    </w:rPr>
  </w:style>
  <w:style w:type="character" w:styleId="805" w:customStyle="1">
    <w:name w:val="标题 2 字符"/>
    <w:link w:val="725"/>
    <w:uiPriority w:val="9"/>
    <w:qFormat/>
    <w:rPr>
      <w:rFonts w:ascii="Arial" w:hAnsi="Arial" w:eastAsia="Arial" w:cs="Arial"/>
      <w:sz w:val="34"/>
    </w:rPr>
  </w:style>
  <w:style w:type="character" w:styleId="806" w:customStyle="1">
    <w:name w:val="标题 3 字符"/>
    <w:link w:val="726"/>
    <w:uiPriority w:val="9"/>
    <w:qFormat/>
    <w:rPr>
      <w:rFonts w:ascii="Arial" w:hAnsi="Arial" w:eastAsia="Arial" w:cs="Arial"/>
      <w:sz w:val="30"/>
      <w:szCs w:val="30"/>
    </w:rPr>
  </w:style>
  <w:style w:type="character" w:styleId="807" w:customStyle="1">
    <w:name w:val="标题 4 字符"/>
    <w:link w:val="727"/>
    <w:uiPriority w:val="9"/>
    <w:qFormat/>
    <w:rPr>
      <w:rFonts w:ascii="Arial" w:hAnsi="Arial" w:eastAsia="Arial" w:cs="Arial"/>
      <w:b/>
      <w:bCs/>
      <w:sz w:val="26"/>
      <w:szCs w:val="26"/>
    </w:rPr>
  </w:style>
  <w:style w:type="character" w:styleId="808" w:customStyle="1">
    <w:name w:val="标题 5 字符"/>
    <w:link w:val="728"/>
    <w:uiPriority w:val="9"/>
    <w:qFormat/>
    <w:rPr>
      <w:rFonts w:ascii="Arial" w:hAnsi="Arial" w:eastAsia="Arial" w:cs="Arial"/>
      <w:b/>
      <w:bCs/>
      <w:sz w:val="24"/>
      <w:szCs w:val="24"/>
    </w:rPr>
  </w:style>
  <w:style w:type="character" w:styleId="809" w:customStyle="1">
    <w:name w:val="标题 6 字符"/>
    <w:link w:val="729"/>
    <w:uiPriority w:val="9"/>
    <w:qFormat/>
    <w:rPr>
      <w:rFonts w:ascii="Arial" w:hAnsi="Arial" w:eastAsia="Arial" w:cs="Arial"/>
      <w:b/>
      <w:bCs/>
      <w:sz w:val="22"/>
      <w:szCs w:val="22"/>
    </w:rPr>
  </w:style>
  <w:style w:type="character" w:styleId="810" w:customStyle="1">
    <w:name w:val="标题 7 字符"/>
    <w:link w:val="730"/>
    <w:uiPriority w:val="9"/>
    <w:qFormat/>
    <w:rPr>
      <w:rFonts w:ascii="Arial" w:hAnsi="Arial" w:eastAsia="Arial" w:cs="Arial"/>
      <w:b/>
      <w:bCs/>
      <w:i/>
      <w:iCs/>
      <w:sz w:val="22"/>
      <w:szCs w:val="22"/>
    </w:rPr>
  </w:style>
  <w:style w:type="character" w:styleId="811" w:customStyle="1">
    <w:name w:val="标题 8 字符"/>
    <w:link w:val="731"/>
    <w:uiPriority w:val="9"/>
    <w:qFormat/>
    <w:rPr>
      <w:rFonts w:ascii="Arial" w:hAnsi="Arial" w:eastAsia="Arial" w:cs="Arial"/>
      <w:i/>
      <w:iCs/>
      <w:sz w:val="22"/>
      <w:szCs w:val="22"/>
    </w:rPr>
  </w:style>
  <w:style w:type="character" w:styleId="812" w:customStyle="1">
    <w:name w:val="标题 9 字符"/>
    <w:link w:val="732"/>
    <w:uiPriority w:val="9"/>
    <w:qFormat/>
    <w:rPr>
      <w:rFonts w:ascii="Arial" w:hAnsi="Arial" w:eastAsia="Arial" w:cs="Arial"/>
      <w:i/>
      <w:iCs/>
      <w:sz w:val="21"/>
      <w:szCs w:val="21"/>
    </w:rPr>
  </w:style>
  <w:style w:type="paragraph" w:styleId="813">
    <w:name w:val="List Paragraph"/>
    <w:basedOn w:val="723"/>
    <w:uiPriority w:val="34"/>
    <w:qFormat/>
    <w:pPr>
      <w:contextualSpacing/>
      <w:ind w:left="720"/>
    </w:pPr>
  </w:style>
  <w:style w:type="paragraph" w:styleId="814">
    <w:name w:val="No Spacing"/>
    <w:uiPriority w:val="1"/>
    <w:qFormat/>
    <w:rPr>
      <w:rFonts w:ascii="Times New Roman" w:hAnsi="Times New Roman" w:eastAsia="宋体" w:cs="Times New Roman"/>
      <w:lang w:val="en-US" w:eastAsia="zh-CN" w:bidi="ar-SA"/>
    </w:rPr>
  </w:style>
  <w:style w:type="character" w:styleId="815" w:customStyle="1">
    <w:name w:val="标题 字符"/>
    <w:link w:val="757"/>
    <w:uiPriority w:val="10"/>
    <w:qFormat/>
    <w:rPr>
      <w:sz w:val="48"/>
      <w:szCs w:val="48"/>
    </w:rPr>
  </w:style>
  <w:style w:type="character" w:styleId="816" w:customStyle="1">
    <w:name w:val="副标题 字符"/>
    <w:link w:val="751"/>
    <w:uiPriority w:val="11"/>
    <w:qFormat/>
    <w:rPr>
      <w:sz w:val="24"/>
      <w:szCs w:val="24"/>
    </w:rPr>
  </w:style>
  <w:style w:type="paragraph" w:styleId="817">
    <w:name w:val="Quote"/>
    <w:basedOn w:val="723"/>
    <w:next w:val="723"/>
    <w:link w:val="818"/>
    <w:uiPriority w:val="29"/>
    <w:qFormat/>
    <w:pPr>
      <w:ind w:left="720" w:right="720"/>
    </w:pPr>
    <w:rPr>
      <w:i/>
    </w:rPr>
  </w:style>
  <w:style w:type="character" w:styleId="818" w:customStyle="1">
    <w:name w:val="引用 字符"/>
    <w:link w:val="817"/>
    <w:uiPriority w:val="29"/>
    <w:qFormat/>
    <w:rPr>
      <w:i/>
    </w:rPr>
  </w:style>
  <w:style w:type="paragraph" w:styleId="819">
    <w:name w:val="Intense Quote"/>
    <w:basedOn w:val="723"/>
    <w:next w:val="723"/>
    <w:link w:val="8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customStyle="1">
    <w:name w:val="明显引用 字符"/>
    <w:link w:val="819"/>
    <w:uiPriority w:val="30"/>
    <w:qFormat/>
    <w:rPr>
      <w:i/>
    </w:rPr>
  </w:style>
  <w:style w:type="character" w:styleId="821" w:customStyle="1">
    <w:name w:val="页眉 字符"/>
    <w:link w:val="748"/>
    <w:uiPriority w:val="99"/>
    <w:qFormat/>
  </w:style>
  <w:style w:type="character" w:styleId="822" w:customStyle="1">
    <w:name w:val="Footer Char"/>
    <w:uiPriority w:val="99"/>
    <w:qFormat/>
  </w:style>
  <w:style w:type="character" w:styleId="823" w:customStyle="1">
    <w:name w:val="页脚 字符"/>
    <w:link w:val="747"/>
    <w:uiPriority w:val="99"/>
    <w:qFormat/>
  </w:style>
  <w:style w:type="table" w:styleId="82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0" w:customStyle="1">
    <w:name w:val="脚注文本 字符"/>
    <w:link w:val="752"/>
    <w:uiPriority w:val="99"/>
    <w:qFormat/>
    <w:rPr>
      <w:sz w:val="18"/>
    </w:rPr>
  </w:style>
  <w:style w:type="character" w:styleId="931" w:customStyle="1">
    <w:name w:val="尾注文本 字符"/>
    <w:link w:val="745"/>
    <w:uiPriority w:val="99"/>
    <w:qFormat/>
    <w:rPr>
      <w:sz w:val="20"/>
    </w:rPr>
  </w:style>
  <w:style w:type="paragraph" w:styleId="932" w:customStyle="1">
    <w:name w:val="TOC 标题11"/>
    <w:uiPriority w:val="39"/>
    <w:unhideWhenUsed/>
    <w:qFormat/>
    <w:rPr>
      <w:rFonts w:ascii="Times New Roman" w:hAnsi="Times New Roman" w:eastAsia="宋体" w:cs="Times New Roman"/>
      <w:lang w:val="en-US" w:eastAsia="zh-CN" w:bidi="ar-SA"/>
    </w:rPr>
  </w:style>
  <w:style w:type="paragraph" w:styleId="933" w:customStyle="1">
    <w:name w:val="标题 11"/>
    <w:basedOn w:val="723"/>
    <w:next w:val="723"/>
    <w:link w:val="939"/>
    <w:uiPriority w:val="0"/>
    <w:qFormat/>
    <w:pPr>
      <w:keepLines/>
      <w:keepNext/>
      <w:spacing w:before="340" w:after="330" w:line="578" w:lineRule="auto"/>
      <w:outlineLvl w:val="0"/>
    </w:pPr>
    <w:rPr>
      <w:rFonts w:ascii="Times New Roman" w:hAnsi="Times New Roman"/>
      <w:b/>
      <w:bCs/>
      <w:sz w:val="44"/>
      <w:szCs w:val="44"/>
    </w:rPr>
  </w:style>
  <w:style w:type="paragraph" w:styleId="934" w:customStyle="1">
    <w:name w:val="标题 21"/>
    <w:basedOn w:val="723"/>
    <w:next w:val="723"/>
    <w:link w:val="940"/>
    <w:uiPriority w:val="0"/>
    <w:qFormat/>
    <w:pPr>
      <w:keepLines/>
      <w:keepNext/>
      <w:spacing w:before="260" w:after="260" w:line="416" w:lineRule="auto"/>
      <w:outlineLvl w:val="1"/>
    </w:pPr>
    <w:rPr>
      <w:rFonts w:ascii="Cambria" w:hAnsi="Cambria"/>
      <w:b/>
      <w:bCs/>
      <w:sz w:val="32"/>
      <w:szCs w:val="32"/>
    </w:rPr>
  </w:style>
  <w:style w:type="paragraph" w:styleId="935" w:customStyle="1">
    <w:name w:val="标题 31"/>
    <w:basedOn w:val="723"/>
    <w:next w:val="723"/>
    <w:link w:val="941"/>
    <w:uiPriority w:val="0"/>
    <w:qFormat/>
    <w:pPr>
      <w:keepLines/>
      <w:keepNext/>
      <w:spacing w:before="260" w:after="260" w:line="416" w:lineRule="auto"/>
      <w:outlineLvl w:val="2"/>
    </w:pPr>
    <w:rPr>
      <w:rFonts w:ascii="Times New Roman" w:hAnsi="Times New Roman"/>
      <w:b/>
      <w:bCs/>
      <w:sz w:val="32"/>
      <w:szCs w:val="32"/>
    </w:rPr>
  </w:style>
  <w:style w:type="character" w:styleId="936" w:customStyle="1">
    <w:name w:val="默认段落字体1"/>
    <w:uiPriority w:val="0"/>
    <w:qFormat/>
    <w:rPr>
      <w:rFonts w:ascii="Times New Roman" w:hAnsi="Times New Roman" w:eastAsia="宋体" w:cs="Times New Roman"/>
    </w:rPr>
  </w:style>
  <w:style w:type="table" w:styleId="937" w:customStyle="1">
    <w:name w:val="普通表格1"/>
    <w:uiPriority w:val="0"/>
    <w:qFormat/>
    <w:tblPr>
      <w:tblCellMar>
        <w:left w:w="0" w:type="dxa"/>
        <w:top w:w="0" w:type="dxa"/>
        <w:right w:w="0" w:type="dxa"/>
        <w:bottom w:w="0" w:type="dxa"/>
      </w:tblCellMar>
    </w:tblPr>
  </w:style>
  <w:style w:type="paragraph" w:styleId="938" w:customStyle="1">
    <w:name w:val="Default"/>
    <w:uiPriority w:val="0"/>
    <w:qFormat/>
    <w:pPr>
      <w:widowControl w:val="off"/>
    </w:pPr>
    <w:rPr>
      <w:rFonts w:ascii="MS Mincho" w:hAnsi="Calibri" w:eastAsia="宋体" w:cs="Times New Roman"/>
      <w:color w:val="000000"/>
      <w:sz w:val="21"/>
      <w:szCs w:val="24"/>
      <w:lang w:val="en-US" w:eastAsia="zh-CN" w:bidi="ar-SA"/>
    </w:rPr>
  </w:style>
  <w:style w:type="character" w:styleId="939" w:customStyle="1">
    <w:name w:val="标题 1 Char"/>
    <w:basedOn w:val="936"/>
    <w:link w:val="933"/>
    <w:uiPriority w:val="0"/>
    <w:qFormat/>
    <w:rPr>
      <w:rFonts w:ascii="Times New Roman" w:hAnsi="Times New Roman" w:eastAsia="宋体" w:cs="Times New Roman"/>
      <w:b/>
      <w:bCs/>
      <w:sz w:val="44"/>
      <w:szCs w:val="44"/>
    </w:rPr>
  </w:style>
  <w:style w:type="character" w:styleId="940" w:customStyle="1">
    <w:name w:val="标题 2 Char"/>
    <w:basedOn w:val="936"/>
    <w:link w:val="934"/>
    <w:uiPriority w:val="0"/>
    <w:qFormat/>
    <w:rPr>
      <w:rFonts w:ascii="Cambria" w:hAnsi="Cambria" w:eastAsia="宋体" w:cs="Times New Roman"/>
      <w:b/>
      <w:bCs/>
      <w:sz w:val="32"/>
      <w:szCs w:val="32"/>
    </w:rPr>
  </w:style>
  <w:style w:type="character" w:styleId="941" w:customStyle="1">
    <w:name w:val="标题 3 Char"/>
    <w:basedOn w:val="936"/>
    <w:link w:val="935"/>
    <w:uiPriority w:val="0"/>
    <w:qFormat/>
    <w:rPr>
      <w:rFonts w:ascii="Times New Roman" w:hAnsi="Times New Roman" w:eastAsia="宋体" w:cs="Times New Roman"/>
      <w:b/>
      <w:bCs/>
      <w:sz w:val="32"/>
      <w:szCs w:val="32"/>
    </w:rPr>
  </w:style>
  <w:style w:type="paragraph" w:styleId="942" w:customStyle="1">
    <w:name w:val="文档结构图1"/>
    <w:basedOn w:val="723"/>
    <w:link w:val="943"/>
    <w:uiPriority w:val="0"/>
    <w:qFormat/>
    <w:rPr>
      <w:rFonts w:ascii="宋体" w:hAnsi="Times New Roman"/>
      <w:sz w:val="18"/>
      <w:szCs w:val="18"/>
    </w:rPr>
  </w:style>
  <w:style w:type="character" w:styleId="943" w:customStyle="1">
    <w:name w:val="文档结构图 Char"/>
    <w:basedOn w:val="936"/>
    <w:link w:val="942"/>
    <w:uiPriority w:val="0"/>
    <w:qFormat/>
    <w:rPr>
      <w:rFonts w:ascii="宋体" w:hAnsi="Times New Roman" w:eastAsia="宋体" w:cs="Times New Roman"/>
      <w:sz w:val="18"/>
      <w:szCs w:val="18"/>
    </w:rPr>
  </w:style>
  <w:style w:type="paragraph" w:styleId="944" w:customStyle="1">
    <w:name w:val="批注文字1"/>
    <w:basedOn w:val="723"/>
    <w:link w:val="945"/>
    <w:uiPriority w:val="0"/>
    <w:qFormat/>
    <w:pPr>
      <w:ind w:firstLine="922"/>
      <w:jc w:val="left"/>
      <w:spacing w:line="360" w:lineRule="auto"/>
    </w:pPr>
    <w:rPr>
      <w:rFonts w:ascii="Times New Roman" w:hAnsi="Times New Roman"/>
      <w:szCs w:val="24"/>
    </w:rPr>
  </w:style>
  <w:style w:type="character" w:styleId="945" w:customStyle="1">
    <w:name w:val="批注文字 Char"/>
    <w:basedOn w:val="936"/>
    <w:link w:val="944"/>
    <w:uiPriority w:val="0"/>
    <w:qFormat/>
    <w:rPr>
      <w:rFonts w:ascii="Times New Roman" w:hAnsi="Times New Roman" w:eastAsia="宋体" w:cs="Times New Roman"/>
      <w:szCs w:val="24"/>
    </w:rPr>
  </w:style>
  <w:style w:type="paragraph" w:styleId="946" w:customStyle="1">
    <w:name w:val="正文文本1"/>
    <w:basedOn w:val="723"/>
    <w:next w:val="723"/>
    <w:link w:val="947"/>
    <w:uiPriority w:val="0"/>
    <w:qFormat/>
    <w:pPr>
      <w:spacing w:after="120"/>
    </w:pPr>
  </w:style>
  <w:style w:type="character" w:styleId="947" w:customStyle="1">
    <w:name w:val="正文文本 Char"/>
    <w:basedOn w:val="936"/>
    <w:link w:val="946"/>
    <w:uiPriority w:val="0"/>
    <w:qFormat/>
    <w:rPr>
      <w:rFonts w:ascii="Calibri" w:hAnsi="Calibri" w:eastAsia="宋体" w:cs="Times New Roman"/>
    </w:rPr>
  </w:style>
  <w:style w:type="paragraph" w:styleId="948" w:customStyle="1">
    <w:name w:val="正文文本缩进1"/>
    <w:basedOn w:val="723"/>
    <w:link w:val="949"/>
    <w:uiPriority w:val="0"/>
    <w:qFormat/>
    <w:pPr>
      <w:ind w:left="420"/>
      <w:spacing w:after="120"/>
    </w:pPr>
    <w:rPr>
      <w:rFonts w:ascii="Times New Roman" w:hAnsi="Times New Roman"/>
      <w:szCs w:val="24"/>
    </w:rPr>
  </w:style>
  <w:style w:type="character" w:styleId="949" w:customStyle="1">
    <w:name w:val="正文文本缩进 Char"/>
    <w:basedOn w:val="936"/>
    <w:link w:val="948"/>
    <w:uiPriority w:val="0"/>
    <w:qFormat/>
    <w:rPr>
      <w:rFonts w:ascii="Times New Roman" w:hAnsi="Times New Roman" w:eastAsia="宋体" w:cs="Times New Roman"/>
      <w:szCs w:val="24"/>
    </w:rPr>
  </w:style>
  <w:style w:type="paragraph" w:styleId="950" w:customStyle="1">
    <w:name w:val="纯文本1"/>
    <w:basedOn w:val="723"/>
    <w:link w:val="951"/>
    <w:uiPriority w:val="0"/>
    <w:qFormat/>
    <w:rPr>
      <w:rFonts w:ascii="宋体" w:hAnsi="Courier New" w:cs="Courier New"/>
      <w:szCs w:val="21"/>
    </w:rPr>
  </w:style>
  <w:style w:type="character" w:styleId="951" w:customStyle="1">
    <w:name w:val="纯文本 Char"/>
    <w:basedOn w:val="936"/>
    <w:link w:val="950"/>
    <w:uiPriority w:val="0"/>
    <w:qFormat/>
    <w:rPr>
      <w:rFonts w:ascii="宋体" w:hAnsi="Courier New" w:eastAsia="宋体" w:cs="Courier New"/>
      <w:szCs w:val="21"/>
    </w:rPr>
  </w:style>
  <w:style w:type="paragraph" w:styleId="952" w:customStyle="1">
    <w:name w:val="日期1"/>
    <w:basedOn w:val="723"/>
    <w:next w:val="723"/>
    <w:link w:val="953"/>
    <w:uiPriority w:val="0"/>
    <w:qFormat/>
    <w:pPr>
      <w:ind w:left="100"/>
    </w:pPr>
    <w:rPr>
      <w:rFonts w:ascii="Times New Roman" w:hAnsi="Times New Roman"/>
    </w:rPr>
  </w:style>
  <w:style w:type="character" w:styleId="953" w:customStyle="1">
    <w:name w:val="日期 Char"/>
    <w:basedOn w:val="936"/>
    <w:link w:val="952"/>
    <w:uiPriority w:val="0"/>
    <w:qFormat/>
    <w:rPr>
      <w:rFonts w:ascii="Times New Roman" w:hAnsi="Times New Roman" w:eastAsia="宋体" w:cs="Times New Roman"/>
    </w:rPr>
  </w:style>
  <w:style w:type="paragraph" w:styleId="954" w:customStyle="1">
    <w:name w:val="批注框文本1"/>
    <w:basedOn w:val="723"/>
    <w:link w:val="955"/>
    <w:uiPriority w:val="0"/>
    <w:qFormat/>
    <w:rPr>
      <w:rFonts w:ascii="Times New Roman" w:hAnsi="Times New Roman"/>
      <w:sz w:val="18"/>
      <w:szCs w:val="18"/>
    </w:rPr>
  </w:style>
  <w:style w:type="character" w:styleId="955" w:customStyle="1">
    <w:name w:val="批注框文本 Char"/>
    <w:basedOn w:val="936"/>
    <w:link w:val="954"/>
    <w:uiPriority w:val="0"/>
    <w:qFormat/>
    <w:rPr>
      <w:rFonts w:ascii="Times New Roman" w:hAnsi="Times New Roman" w:eastAsia="宋体" w:cs="Times New Roman"/>
      <w:sz w:val="18"/>
      <w:szCs w:val="18"/>
    </w:rPr>
  </w:style>
  <w:style w:type="paragraph" w:styleId="956" w:customStyle="1">
    <w:name w:val="页脚1"/>
    <w:basedOn w:val="723"/>
    <w:link w:val="957"/>
    <w:uiPriority w:val="0"/>
    <w:qFormat/>
    <w:pPr>
      <w:jc w:val="left"/>
      <w:tabs>
        <w:tab w:val="center" w:pos="4153" w:leader="none"/>
        <w:tab w:val="right" w:pos="8306" w:leader="none"/>
      </w:tabs>
    </w:pPr>
    <w:rPr>
      <w:rFonts w:ascii="Times New Roman" w:hAnsi="Times New Roman"/>
      <w:sz w:val="18"/>
      <w:szCs w:val="18"/>
    </w:rPr>
  </w:style>
  <w:style w:type="character" w:styleId="957" w:customStyle="1">
    <w:name w:val="页脚 Char"/>
    <w:basedOn w:val="936"/>
    <w:link w:val="956"/>
    <w:uiPriority w:val="0"/>
    <w:qFormat/>
    <w:rPr>
      <w:rFonts w:ascii="Times New Roman" w:hAnsi="Times New Roman" w:eastAsia="宋体" w:cs="Times New Roman"/>
      <w:sz w:val="18"/>
      <w:szCs w:val="18"/>
    </w:rPr>
  </w:style>
  <w:style w:type="paragraph" w:styleId="958" w:customStyle="1">
    <w:name w:val="页眉1"/>
    <w:basedOn w:val="723"/>
    <w:link w:val="959"/>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59" w:customStyle="1">
    <w:name w:val="页眉 Char"/>
    <w:basedOn w:val="936"/>
    <w:link w:val="958"/>
    <w:uiPriority w:val="0"/>
    <w:qFormat/>
    <w:rPr>
      <w:rFonts w:ascii="Times New Roman" w:hAnsi="Times New Roman" w:eastAsia="宋体" w:cs="Times New Roman"/>
      <w:sz w:val="18"/>
      <w:szCs w:val="18"/>
    </w:rPr>
  </w:style>
  <w:style w:type="paragraph" w:styleId="960" w:customStyle="1">
    <w:name w:val="目录 11"/>
    <w:basedOn w:val="723"/>
    <w:next w:val="723"/>
    <w:uiPriority w:val="0"/>
    <w:qFormat/>
    <w:pPr>
      <w:jc w:val="center"/>
      <w:tabs>
        <w:tab w:val="right" w:pos="8296" w:leader="dot"/>
      </w:tabs>
    </w:pPr>
    <w:rPr>
      <w:rFonts w:ascii="黑体" w:hAnsi="黑体" w:eastAsia="黑体"/>
      <w:sz w:val="44"/>
      <w:szCs w:val="44"/>
    </w:rPr>
  </w:style>
  <w:style w:type="paragraph" w:styleId="961" w:customStyle="1">
    <w:name w:val="普通(网站)1"/>
    <w:basedOn w:val="723"/>
    <w:uiPriority w:val="0"/>
    <w:qFormat/>
    <w:rPr>
      <w:rFonts w:ascii="Times New Roman" w:hAnsi="Times New Roman"/>
      <w:sz w:val="24"/>
    </w:rPr>
  </w:style>
  <w:style w:type="table" w:styleId="962" w:customStyle="1">
    <w:name w:val="网格型1"/>
    <w:basedOn w:val="937"/>
    <w:uiPriority w:val="0"/>
    <w:qFormat/>
    <w:tblPr/>
  </w:style>
  <w:style w:type="character" w:styleId="963" w:customStyle="1">
    <w:name w:val="超链接1"/>
    <w:uiPriority w:val="0"/>
    <w:qFormat/>
    <w:rPr>
      <w:rFonts w:ascii="Times New Roman" w:hAnsi="Times New Roman" w:eastAsia="宋体" w:cs="Times New Roman"/>
      <w:color w:val="0000ff"/>
      <w:u w:val="none"/>
    </w:rPr>
  </w:style>
  <w:style w:type="character" w:styleId="964" w:customStyle="1">
    <w:name w:val="批注引用1"/>
    <w:uiPriority w:val="0"/>
    <w:qFormat/>
    <w:rPr>
      <w:rFonts w:ascii="Times New Roman" w:hAnsi="Times New Roman" w:eastAsia="宋体" w:cs="Times New Roman"/>
      <w:sz w:val="21"/>
      <w:szCs w:val="21"/>
    </w:rPr>
  </w:style>
  <w:style w:type="paragraph" w:styleId="96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66" w:customStyle="1">
    <w:name w:val="列出段落1"/>
    <w:basedOn w:val="723"/>
    <w:uiPriority w:val="0"/>
    <w:qFormat/>
    <w:pPr>
      <w:ind w:firstLine="420"/>
    </w:pPr>
    <w:rPr>
      <w:rFonts w:ascii="Times New Roman" w:hAnsi="Times New Roman"/>
      <w:szCs w:val="21"/>
    </w:rPr>
  </w:style>
  <w:style w:type="paragraph" w:styleId="967" w:customStyle="1">
    <w:name w:val="无间隔1"/>
    <w:basedOn w:val="723"/>
    <w:uiPriority w:val="0"/>
    <w:qFormat/>
    <w:rPr>
      <w:rFonts w:ascii="Times New Roman" w:hAnsi="Times New Roman"/>
    </w:rPr>
  </w:style>
  <w:style w:type="paragraph" w:styleId="968" w:customStyle="1">
    <w:name w:val="正文文本11"/>
    <w:basedOn w:val="723"/>
    <w:next w:val="723"/>
    <w:uiPriority w:val="0"/>
    <w:qFormat/>
    <w:rPr>
      <w:rFonts w:ascii="楷体_GB2312" w:hAnsi="Arial" w:eastAsia="楷体_GB2312"/>
      <w:sz w:val="28"/>
      <w:szCs w:val="28"/>
      <w:lang w:eastAsia="en-US"/>
    </w:rPr>
  </w:style>
  <w:style w:type="paragraph" w:styleId="969" w:customStyle="1">
    <w:name w:val="正文首行缩进11"/>
    <w:basedOn w:val="968"/>
    <w:uiPriority w:val="0"/>
    <w:qFormat/>
    <w:pPr>
      <w:ind w:firstLine="200"/>
      <w:spacing w:line="360" w:lineRule="auto"/>
    </w:pPr>
    <w:rPr>
      <w:rFonts w:ascii="仿宋_GB2312" w:hAnsi="Times New Roman" w:eastAsia="仿宋_GB2312"/>
      <w:sz w:val="30"/>
      <w:szCs w:val="30"/>
    </w:rPr>
  </w:style>
  <w:style w:type="character" w:styleId="970" w:customStyle="1">
    <w:name w:val="批注框文本 字符"/>
    <w:basedOn w:val="733"/>
    <w:link w:val="746"/>
    <w:uiPriority w:val="99"/>
    <w:semiHidden/>
    <w:qFormat/>
    <w:rPr>
      <w:rFonts w:ascii="Calibri" w:hAnsi="Calibri"/>
      <w:sz w:val="18"/>
      <w:szCs w:val="18"/>
    </w:rPr>
  </w:style>
  <w:style w:type="character" w:styleId="971" w:customStyle="1">
    <w:name w:val="批注文字 字符"/>
    <w:basedOn w:val="733"/>
    <w:link w:val="738"/>
    <w:uiPriority w:val="99"/>
    <w:semiHidden/>
    <w:qFormat/>
    <w:rPr>
      <w:rFonts w:ascii="Calibri" w:hAnsi="Calibri"/>
      <w:sz w:val="21"/>
      <w:szCs w:val="22"/>
    </w:rPr>
  </w:style>
  <w:style w:type="character" w:styleId="972" w:customStyle="1">
    <w:name w:val="批注主题 字符"/>
    <w:basedOn w:val="971"/>
    <w:link w:val="758"/>
    <w:uiPriority w:val="99"/>
    <w:semiHidden/>
    <w:qFormat/>
    <w:rPr>
      <w:rFonts w:ascii="Calibri" w:hAnsi="Calibri"/>
      <w:b/>
      <w:bCs/>
      <w:sz w:val="21"/>
      <w:szCs w:val="22"/>
    </w:rPr>
  </w:style>
  <w:style w:type="numbering" w:styleId="9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dc:creator>
  <dc:description>2024年8</dc:description>
  <cp:lastModifiedBy>陈岩</cp:lastModifiedBy>
  <cp:revision>50</cp:revision>
  <dcterms:created xsi:type="dcterms:W3CDTF">2025-09-09T08:03:00Z</dcterms:created>
  <dcterms:modified xsi:type="dcterms:W3CDTF">2026-08-24T09:38:48Z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eyJoZGlkIjoiYWYyNWYzZTMyZjU5YmU5MzY0MjRkYmM3ZTUzMGM1NjkiLCJ1c2VySWQiOiI5MjU1NTA0NDYifQ==</vt:lpwstr>
  </property>
  <property fmtid="{D5CDD505-2E9C-101B-9397-08002B2CF9AE}" pid="3" name="KSOProductBuildVer">
    <vt:lpwstr>2052-12.1.0.26391</vt:lpwstr>
  </property>
  <property fmtid="{D5CDD505-2E9C-101B-9397-08002B2CF9AE}" pid="4" name="ICV">
    <vt:lpwstr>3D10D19F7FE24480B70CEE435D4F9B01_13</vt:lpwstr>
  </property>
</Properties>
</file>