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7778371"/>
      <w:r/>
      <w:bookmarkStart w:id="1" w:name="_Hlk74841385"/>
      <w:r/>
      <w:r/>
    </w:p>
    <w:p>
      <w:pPr>
        <w:pStyle w:val="994"/>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52"/>
          <w:szCs w:val="52"/>
        </w:rPr>
      </w:pPr>
      <w:r>
        <w:rPr>
          <w:rFonts w:ascii="宋体" w:hAnsi="宋体" w:cs="宋体"/>
          <w:b/>
          <w:bCs/>
          <w:sz w:val="52"/>
          <w:szCs w:val="52"/>
        </w:rPr>
        <w:t xml:space="preserve">2026年江苏省基本避孕药具第二轮政府采购</w:t>
      </w:r>
      <w:r>
        <w:rPr>
          <w:rFonts w:hint="eastAsia" w:ascii="宋体" w:hAnsi="宋体" w:cs="宋体"/>
          <w:b/>
          <w:bCs/>
          <w:sz w:val="52"/>
          <w:szCs w:val="52"/>
        </w:rPr>
        <w:t xml:space="preserve">项目</w:t>
      </w:r>
      <w:r/>
    </w:p>
    <w:p>
      <w:pPr>
        <w:pStyle w:val="994"/>
        <w:rPr>
          <w:rFonts w:hint="eastAsia" w:ascii="宋体" w:hAnsi="宋体" w:cs="宋体"/>
        </w:rPr>
      </w:pPr>
      <w:r>
        <w:rPr>
          <w:rFonts w:hint="eastAsia" w:ascii="宋体" w:hAnsi="宋体" w:cs="宋体"/>
        </w:rPr>
      </w:r>
      <w:r/>
    </w:p>
    <w:p>
      <w:pPr>
        <w:pStyle w:val="994"/>
        <w:rPr>
          <w:rFonts w:hint="eastAsia" w:ascii="宋体" w:hAnsi="宋体" w:cs="宋体"/>
        </w:rPr>
      </w:pPr>
      <w:r>
        <w:rPr>
          <w:rFonts w:hint="eastAsia" w:ascii="宋体" w:hAnsi="宋体" w:cs="宋体"/>
        </w:rPr>
      </w:r>
      <w:r/>
    </w:p>
    <w:p>
      <w:pPr>
        <w:pStyle w:val="994"/>
        <w:rPr>
          <w:rFonts w:hint="eastAsia" w:ascii="宋体" w:hAnsi="宋体" w:cs="宋体"/>
        </w:rPr>
      </w:pPr>
      <w:r>
        <w:rPr>
          <w:rFonts w:hint="eastAsia" w:ascii="宋体" w:hAnsi="宋体" w:cs="宋体"/>
        </w:rPr>
      </w:r>
      <w:r/>
    </w:p>
    <w:p>
      <w:pPr>
        <w:pStyle w:val="994"/>
        <w:rPr>
          <w:rFonts w:hint="eastAsia" w:ascii="宋体" w:hAnsi="宋体" w:cs="宋体"/>
        </w:rPr>
      </w:pPr>
      <w:r>
        <w:rPr>
          <w:rFonts w:hint="eastAsia" w:ascii="宋体" w:hAnsi="宋体" w:cs="宋体"/>
        </w:rPr>
      </w:r>
      <w:r/>
    </w:p>
    <w:p>
      <w:pPr>
        <w:pStyle w:val="994"/>
        <w:rPr>
          <w:rFonts w:hint="eastAsia" w:ascii="宋体" w:hAnsi="宋体" w:cs="宋体"/>
        </w:rPr>
      </w:pPr>
      <w:r>
        <w:rPr>
          <w:rFonts w:hint="eastAsia" w:ascii="宋体" w:hAnsi="宋体" w:cs="宋体"/>
        </w:rPr>
      </w:r>
      <w:r/>
    </w:p>
    <w:p>
      <w:pPr>
        <w:pStyle w:val="994"/>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项目编号：JSZC-320000-JCEC-G2026-0306</w:t>
      </w:r>
      <w:r>
        <w:rPr>
          <w:rFonts w:hint="eastAsia" w:ascii="宋体" w:hAnsi="宋体" w:cs="宋体"/>
          <w:b/>
          <w:sz w:val="32"/>
          <w:szCs w:val="32"/>
        </w:rPr>
        <w:tab/>
      </w:r>
      <w:r>
        <w:rPr>
          <w:rFonts w:hint="eastAsia" w:ascii="宋体" w:hAnsi="宋体" w:cs="宋体"/>
          <w:b/>
          <w:sz w:val="32"/>
          <w:szCs w:val="32"/>
        </w:rPr>
        <w:tab/>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spacing w:line="360" w:lineRule="auto"/>
        <w:shd w:val="clear" w:color="auto" w:fill="ffffff"/>
        <w:widowControl/>
        <w:rPr>
          <w:rFonts w:hint="eastAsia" w:ascii="宋体" w:hAnsi="宋体" w:cs="宋体"/>
          <w:b/>
          <w:sz w:val="36"/>
          <w:szCs w:val="36"/>
        </w:rPr>
      </w:pPr>
      <w:r>
        <w:rPr>
          <w:rFonts w:hint="eastAsia" w:ascii="宋体" w:hAnsi="宋体" w:cs="宋体"/>
          <w:sz w:val="32"/>
          <w:szCs w:val="32"/>
        </w:rPr>
        <w:t xml:space="preserve">  </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Arial" w:hAnsi="宋体" w:cs="Arial"/>
          <w:b/>
          <w:color w:val="000000"/>
          <w:sz w:val="28"/>
          <w:szCs w:val="28"/>
        </w:rPr>
      </w:pPr>
      <w:r>
        <w:rPr>
          <w:rFonts w:hint="eastAsia" w:ascii="Arial" w:hAnsi="宋体" w:cs="Arial"/>
          <w:b/>
          <w:color w:val="000000"/>
          <w:sz w:val="28"/>
          <w:szCs w:val="28"/>
        </w:rPr>
        <w:t xml:space="preserve">采购人：江苏省卫生健康委员会药品药具管理中心</w:t>
      </w:r>
      <w:r/>
    </w:p>
    <w:p>
      <w:pPr>
        <w:jc w:val="center"/>
        <w:spacing w:line="360" w:lineRule="auto"/>
        <w:rPr>
          <w:rFonts w:hint="eastAsia" w:ascii="Arial" w:hAnsi="宋体" w:cs="Arial"/>
          <w:b/>
          <w:color w:val="000000"/>
          <w:sz w:val="28"/>
          <w:szCs w:val="28"/>
        </w:rPr>
      </w:pPr>
      <w:r>
        <w:rPr>
          <w:rFonts w:hint="eastAsia" w:ascii="Arial" w:hAnsi="宋体" w:cs="Arial"/>
          <w:b/>
          <w:color w:val="000000"/>
          <w:sz w:val="28"/>
          <w:szCs w:val="28"/>
        </w:rPr>
        <w:t xml:space="preserve">采购代理机构：</w:t>
      </w:r>
      <w:r>
        <w:rPr>
          <w:rFonts w:ascii="Arial" w:hAnsi="宋体" w:cs="Arial"/>
          <w:b/>
          <w:color w:val="000000"/>
          <w:sz w:val="28"/>
          <w:szCs w:val="28"/>
        </w:rPr>
        <w:t xml:space="preserve">江苏省设备成套股份有限公司</w:t>
      </w:r>
      <w:r/>
    </w:p>
    <w:p>
      <w:pPr>
        <w:jc w:val="center"/>
        <w:spacing w:line="360" w:lineRule="auto"/>
        <w:rPr>
          <w:rFonts w:hint="eastAsia" w:ascii="Arial" w:hAnsi="宋体" w:cs="Arial"/>
          <w:b/>
          <w:color w:val="000000"/>
          <w:sz w:val="28"/>
          <w:szCs w:val="28"/>
        </w:rPr>
      </w:pPr>
      <w:r>
        <w:rPr>
          <w:rFonts w:hint="eastAsia" w:ascii="Arial" w:hAnsi="宋体" w:cs="Arial"/>
          <w:b/>
          <w:color w:val="000000"/>
          <w:sz w:val="28"/>
          <w:szCs w:val="28"/>
        </w:rPr>
        <w:t xml:space="preserve">2026年8月</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br w:type="page" w:clear="all"/>
      </w:r>
      <w:r/>
    </w:p>
    <w:p>
      <w:pPr>
        <w:pStyle w:val="1098"/>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970"/>
        <w:tabs>
          <w:tab w:val="right" w:pos="8296" w:leader="dot"/>
        </w:tabs>
        <w:rPr>
          <w:rFonts w:hint="eastAsia" w:ascii="宋体" w:hAnsi="宋体" w:cs="宋体"/>
          <w:sz w:val="28"/>
          <w:szCs w:val="28"/>
        </w:rPr>
      </w:pPr>
      <w:r>
        <w:rPr>
          <w:rFonts w:hint="eastAsia" w:ascii="宋体" w:hAnsi="宋体" w:cs="宋体"/>
          <w:sz w:val="28"/>
          <w:szCs w:val="28"/>
        </w:rPr>
      </w:r>
      <w:r/>
    </w:p>
    <w:p>
      <w:pPr>
        <w:pStyle w:val="970"/>
        <w:tabs>
          <w:tab w:val="right" w:pos="8289" w:leader="dot"/>
        </w:tabs>
        <w:rPr>
          <w:rFonts w:asciiTheme="minorHAnsi" w:hAnsiTheme="minorHAnsi" w:eastAsiaTheme="minorEastAsia" w:cstheme="minorBidi"/>
          <w:sz w:val="22"/>
          <w14:ligatures w14:val="standardContextual"/>
        </w:rPr>
      </w:pPr>
      <w:r>
        <w:rPr>
          <w:rFonts w:hint="eastAsia" w:ascii="宋体" w:hAnsi="宋体" w:cs="宋体"/>
          <w:sz w:val="52"/>
          <w:szCs w:val="52"/>
        </w:rPr>
        <w:fldChar w:fldCharType="begin"/>
      </w:r>
      <w:r>
        <w:rPr>
          <w:rFonts w:hint="eastAsia" w:ascii="宋体" w:hAnsi="宋体" w:cs="宋体"/>
          <w:sz w:val="52"/>
          <w:szCs w:val="52"/>
        </w:rPr>
        <w:instrText xml:space="preserve">TOC \o "1-1" \h \u </w:instrText>
      </w:r>
      <w:r>
        <w:rPr>
          <w:rFonts w:hint="eastAsia" w:ascii="宋体" w:hAnsi="宋体" w:cs="宋体"/>
          <w:sz w:val="52"/>
          <w:szCs w:val="52"/>
        </w:rPr>
        <w:fldChar w:fldCharType="separate"/>
      </w:r>
      <w:r>
        <w:fldChar w:fldCharType="begin"/>
      </w:r>
      <w:r>
        <w:instrText xml:space="preserve"> HYPERLINK \l "_Toc237454164" </w:instrText>
      </w:r>
      <w:r>
        <w:fldChar w:fldCharType="separate"/>
      </w:r>
      <w:r>
        <w:rPr>
          <w:rStyle w:val="988"/>
          <w:rFonts w:ascii="宋体" w:hAnsi="宋体" w:cs="宋体"/>
        </w:rPr>
        <w:t xml:space="preserve">第一章</w:t>
      </w:r>
      <w:r>
        <w:rPr>
          <w:rStyle w:val="988"/>
          <w:rFonts w:ascii="宋体" w:hAnsi="宋体" w:cs="宋体"/>
        </w:rPr>
        <w:t xml:space="preserve"> 采购公告</w:t>
      </w:r>
      <w:r>
        <w:rPr>
          <w:rFonts w:hint="eastAsia"/>
        </w:rPr>
        <w:tab/>
      </w:r>
      <w:r>
        <w:rPr>
          <w:rFonts w:hint="eastAsia"/>
        </w:rPr>
        <w:fldChar w:fldCharType="begin"/>
      </w:r>
      <w:r>
        <w:rPr>
          <w:rFonts w:hint="eastAsia"/>
        </w:rPr>
        <w:instrText xml:space="preserve"> </w:instrText>
      </w:r>
      <w:r>
        <w:instrText xml:space="preserve">PAGEREF _Toc237454164 \h</w:instrText>
      </w:r>
      <w:r>
        <w:rPr>
          <w:rFonts w:hint="eastAsia"/>
        </w:rPr>
        <w:instrText xml:space="preserve"> </w:instrText>
      </w:r>
      <w:r>
        <w:rPr>
          <w:rFonts w:hint="eastAsia"/>
        </w:rPr>
        <w:fldChar w:fldCharType="separate"/>
      </w:r>
      <w:r>
        <w:t xml:space="preserve">1</w:t>
      </w:r>
      <w:r>
        <w:rPr>
          <w:rFonts w:hint="eastAsia"/>
        </w:rPr>
        <w:fldChar w:fldCharType="end"/>
      </w:r>
      <w:r>
        <w:rPr>
          <w:rFonts w:hint="eastAsia"/>
        </w:rPr>
        <w:fldChar w:fldCharType="end"/>
      </w:r>
      <w:r/>
    </w:p>
    <w:p>
      <w:pPr>
        <w:pStyle w:val="970"/>
        <w:tabs>
          <w:tab w:val="right" w:pos="8289" w:leader="dot"/>
        </w:tabs>
        <w:rPr>
          <w:rFonts w:asciiTheme="minorHAnsi" w:hAnsiTheme="minorHAnsi" w:eastAsiaTheme="minorEastAsia" w:cstheme="minorBidi"/>
          <w:sz w:val="22"/>
          <w14:ligatures w14:val="standardContextual"/>
        </w:rPr>
      </w:pPr>
      <w:r>
        <w:fldChar w:fldCharType="begin"/>
      </w:r>
      <w:r>
        <w:instrText xml:space="preserve"> HYPERLINK \l "_Toc237454165" </w:instrText>
      </w:r>
      <w:r>
        <w:fldChar w:fldCharType="separate"/>
      </w:r>
      <w:r>
        <w:rPr>
          <w:rStyle w:val="988"/>
          <w:rFonts w:ascii="宋体" w:hAnsi="宋体" w:cs="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_Toc237454165 \h</w:instrText>
      </w:r>
      <w:r>
        <w:rPr>
          <w:rFonts w:hint="eastAsia"/>
        </w:rPr>
        <w:instrText xml:space="preserve"> </w:instrText>
      </w:r>
      <w:r>
        <w:rPr>
          <w:rFonts w:hint="eastAsia"/>
        </w:rPr>
        <w:fldChar w:fldCharType="separate"/>
      </w:r>
      <w:r>
        <w:t xml:space="preserve">6</w:t>
      </w:r>
      <w:r>
        <w:rPr>
          <w:rFonts w:hint="eastAsia"/>
        </w:rPr>
        <w:fldChar w:fldCharType="end"/>
      </w:r>
      <w:r>
        <w:rPr>
          <w:rFonts w:hint="eastAsia"/>
        </w:rPr>
        <w:fldChar w:fldCharType="end"/>
      </w:r>
      <w:r/>
    </w:p>
    <w:p>
      <w:pPr>
        <w:pStyle w:val="970"/>
        <w:tabs>
          <w:tab w:val="right" w:pos="8289" w:leader="dot"/>
        </w:tabs>
        <w:rPr>
          <w:rFonts w:asciiTheme="minorHAnsi" w:hAnsiTheme="minorHAnsi" w:eastAsiaTheme="minorEastAsia" w:cstheme="minorBidi"/>
          <w:sz w:val="22"/>
          <w14:ligatures w14:val="standardContextual"/>
        </w:rPr>
      </w:pPr>
      <w:r>
        <w:fldChar w:fldCharType="begin"/>
      </w:r>
      <w:r>
        <w:instrText xml:space="preserve"> HYPERLINK \l "_Toc237454166" </w:instrText>
      </w:r>
      <w:r>
        <w:fldChar w:fldCharType="separate"/>
      </w:r>
      <w:r>
        <w:rPr>
          <w:rStyle w:val="988"/>
          <w:rFonts w:ascii="宋体" w:hAnsi="宋体" w:cs="宋体"/>
        </w:rPr>
        <w:t xml:space="preserve">第三章 评标标准</w:t>
      </w:r>
      <w:r>
        <w:rPr>
          <w:rFonts w:hint="eastAsia"/>
        </w:rPr>
        <w:tab/>
      </w:r>
      <w:r>
        <w:rPr>
          <w:rFonts w:hint="eastAsia"/>
        </w:rPr>
        <w:fldChar w:fldCharType="begin"/>
      </w:r>
      <w:r>
        <w:rPr>
          <w:rFonts w:hint="eastAsia"/>
        </w:rPr>
        <w:instrText xml:space="preserve"> </w:instrText>
      </w:r>
      <w:r>
        <w:instrText xml:space="preserve">PAGEREF _Toc237454166 \h</w:instrText>
      </w:r>
      <w:r>
        <w:rPr>
          <w:rFonts w:hint="eastAsia"/>
        </w:rPr>
        <w:instrText xml:space="preserve"> </w:instrText>
      </w:r>
      <w:r>
        <w:rPr>
          <w:rFonts w:hint="eastAsia"/>
        </w:rPr>
        <w:fldChar w:fldCharType="separate"/>
      </w:r>
      <w:r>
        <w:t xml:space="preserve">21</w:t>
      </w:r>
      <w:r>
        <w:rPr>
          <w:rFonts w:hint="eastAsia"/>
        </w:rPr>
        <w:fldChar w:fldCharType="end"/>
      </w:r>
      <w:r>
        <w:rPr>
          <w:rFonts w:hint="eastAsia"/>
        </w:rPr>
        <w:fldChar w:fldCharType="end"/>
      </w:r>
      <w:r/>
    </w:p>
    <w:p>
      <w:pPr>
        <w:pStyle w:val="970"/>
        <w:tabs>
          <w:tab w:val="right" w:pos="8289" w:leader="dot"/>
        </w:tabs>
        <w:rPr>
          <w:rFonts w:asciiTheme="minorHAnsi" w:hAnsiTheme="minorHAnsi" w:eastAsiaTheme="minorEastAsia" w:cstheme="minorBidi"/>
          <w:sz w:val="22"/>
          <w14:ligatures w14:val="standardContextual"/>
        </w:rPr>
      </w:pPr>
      <w:r>
        <w:fldChar w:fldCharType="begin"/>
      </w:r>
      <w:r>
        <w:instrText xml:space="preserve"> HYPERLINK \l "_Toc237454167" </w:instrText>
      </w:r>
      <w:r>
        <w:fldChar w:fldCharType="separate"/>
      </w:r>
      <w:r>
        <w:rPr>
          <w:rStyle w:val="988"/>
          <w:rFonts w:ascii="宋体" w:hAnsi="宋体" w:cs="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_Toc237454167 \h</w:instrText>
      </w:r>
      <w:r>
        <w:rPr>
          <w:rFonts w:hint="eastAsia"/>
        </w:rPr>
        <w:instrText xml:space="preserve"> </w:instrText>
      </w:r>
      <w:r>
        <w:rPr>
          <w:rFonts w:hint="eastAsia"/>
        </w:rPr>
        <w:fldChar w:fldCharType="separate"/>
      </w:r>
      <w:r>
        <w:t xml:space="preserve">27</w:t>
      </w:r>
      <w:r>
        <w:rPr>
          <w:rFonts w:hint="eastAsia"/>
        </w:rPr>
        <w:fldChar w:fldCharType="end"/>
      </w:r>
      <w:r>
        <w:rPr>
          <w:rFonts w:hint="eastAsia"/>
        </w:rPr>
        <w:fldChar w:fldCharType="end"/>
      </w:r>
      <w:r/>
    </w:p>
    <w:p>
      <w:pPr>
        <w:pStyle w:val="970"/>
        <w:tabs>
          <w:tab w:val="right" w:pos="8289" w:leader="dot"/>
        </w:tabs>
        <w:rPr>
          <w:rFonts w:asciiTheme="minorHAnsi" w:hAnsiTheme="minorHAnsi" w:eastAsiaTheme="minorEastAsia" w:cstheme="minorBidi"/>
          <w:sz w:val="22"/>
          <w14:ligatures w14:val="standardContextual"/>
        </w:rPr>
      </w:pPr>
      <w:r>
        <w:fldChar w:fldCharType="begin"/>
      </w:r>
      <w:r>
        <w:instrText xml:space="preserve"> HYPERLINK \l "_Toc237454168" </w:instrText>
      </w:r>
      <w:r>
        <w:fldChar w:fldCharType="separate"/>
      </w:r>
      <w:r>
        <w:rPr>
          <w:rStyle w:val="988"/>
          <w:rFonts w:ascii="宋体" w:hAnsi="宋体" w:cs="宋体"/>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_Toc237454168 \h</w:instrText>
      </w:r>
      <w:r>
        <w:rPr>
          <w:rFonts w:hint="eastAsia"/>
        </w:rPr>
        <w:instrText xml:space="preserve"> </w:instrText>
      </w:r>
      <w:r>
        <w:rPr>
          <w:rFonts w:hint="eastAsia"/>
        </w:rPr>
        <w:fldChar w:fldCharType="separate"/>
      </w:r>
      <w:r>
        <w:t xml:space="preserve">34</w:t>
      </w:r>
      <w:r>
        <w:rPr>
          <w:rFonts w:hint="eastAsia"/>
        </w:rPr>
        <w:fldChar w:fldCharType="end"/>
      </w:r>
      <w:r>
        <w:rPr>
          <w:rFonts w:hint="eastAsia"/>
        </w:rPr>
        <w:fldChar w:fldCharType="end"/>
      </w:r>
      <w:r/>
    </w:p>
    <w:p>
      <w:pPr>
        <w:pStyle w:val="970"/>
        <w:tabs>
          <w:tab w:val="right" w:pos="8289" w:leader="dot"/>
        </w:tabs>
        <w:rPr>
          <w:rFonts w:asciiTheme="minorHAnsi" w:hAnsiTheme="minorHAnsi" w:eastAsiaTheme="minorEastAsia" w:cstheme="minorBidi"/>
          <w:sz w:val="22"/>
          <w14:ligatures w14:val="standardContextual"/>
        </w:rPr>
      </w:pPr>
      <w:r>
        <w:fldChar w:fldCharType="begin"/>
      </w:r>
      <w:r>
        <w:instrText xml:space="preserve"> HYPERLINK \l "_Toc237454169" </w:instrText>
      </w:r>
      <w:r>
        <w:fldChar w:fldCharType="separate"/>
      </w:r>
      <w:r>
        <w:rPr>
          <w:rStyle w:val="988"/>
          <w:rFonts w:ascii="宋体" w:hAnsi="宋体" w:cs="宋体"/>
        </w:rPr>
        <w:t xml:space="preserve">第六章 附件</w:t>
      </w:r>
      <w:r>
        <w:rPr>
          <w:rFonts w:hint="eastAsia"/>
        </w:rPr>
        <w:tab/>
      </w:r>
      <w:r>
        <w:rPr>
          <w:rFonts w:hint="eastAsia"/>
        </w:rPr>
        <w:fldChar w:fldCharType="begin"/>
      </w:r>
      <w:r>
        <w:rPr>
          <w:rFonts w:hint="eastAsia"/>
        </w:rPr>
        <w:instrText xml:space="preserve"> </w:instrText>
      </w:r>
      <w:r>
        <w:instrText xml:space="preserve">PAGEREF _Toc237454169 \h</w:instrText>
      </w:r>
      <w:r>
        <w:rPr>
          <w:rFonts w:hint="eastAsia"/>
        </w:rPr>
        <w:instrText xml:space="preserve"> </w:instrText>
      </w:r>
      <w:r>
        <w:rPr>
          <w:rFonts w:hint="eastAsia"/>
        </w:rPr>
        <w:fldChar w:fldCharType="separate"/>
      </w:r>
      <w:r>
        <w:t xml:space="preserve">53</w:t>
      </w:r>
      <w:r>
        <w:rPr>
          <w:rFonts w:hint="eastAsia"/>
        </w:rPr>
        <w:fldChar w:fldCharType="end"/>
      </w:r>
      <w:r>
        <w:rPr>
          <w:rFonts w:hint="eastAsia"/>
        </w:rPr>
        <w:fldChar w:fldCharType="end"/>
      </w:r>
      <w:r/>
    </w:p>
    <w:p>
      <w:pPr>
        <w:spacing w:line="360" w:lineRule="auto"/>
        <w:rPr>
          <w:rFonts w:hint="eastAsia" w:ascii="宋体" w:hAnsi="宋体" w:cs="宋体"/>
          <w:b/>
          <w:sz w:val="36"/>
          <w:szCs w:val="36"/>
        </w:rPr>
      </w:pPr>
      <w:r>
        <w:rPr>
          <w:rFonts w:hint="eastAsia" w:ascii="宋体" w:hAnsi="宋体" w:cs="宋体"/>
          <w:szCs w:val="52"/>
        </w:rPr>
        <w:fldChar w:fldCharType="end"/>
      </w:r>
      <w:r/>
    </w:p>
    <w:p>
      <w:pPr>
        <w:pStyle w:val="935"/>
        <w:rPr>
          <w:rFonts w:hint="eastAsia"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935"/>
        <w:rPr>
          <w:rFonts w:hint="eastAsia" w:ascii="宋体" w:hAnsi="宋体" w:cs="宋体"/>
          <w:szCs w:val="21"/>
        </w:rPr>
      </w:pPr>
      <w:r/>
      <w:bookmarkStart w:id="3" w:name="_Hlk85716974"/>
      <w:r>
        <w:rPr>
          <w:rFonts w:hint="eastAsia" w:ascii="宋体" w:hAnsi="宋体" w:cs="宋体"/>
        </w:rPr>
        <w:t xml:space="preserve"> </w:t>
      </w:r>
      <w:bookmarkStart w:id="4" w:name="_Toc237454164"/>
      <w:r>
        <w:rPr>
          <w:rFonts w:hint="eastAsia" w:ascii="宋体" w:hAnsi="宋体" w:cs="宋体"/>
        </w:rPr>
        <w:t xml:space="preserve">采购公告</w:t>
      </w:r>
      <w:bookmarkEnd w:id="2"/>
      <w:r/>
      <w:bookmarkEnd w:id="4"/>
      <w:r/>
      <w:bookmarkStart w:id="5" w:name="OLE_LINK5"/>
      <w:r/>
      <w:bookmarkStart w:id="6" w:name="OLE_LINK7"/>
      <w:r/>
      <w:bookmarkStart w:id="7" w:name="OLE_LINK6"/>
      <w:r/>
      <w:bookmarkStart w:id="8" w:name="OLE_LINK1"/>
      <w:r/>
      <w:bookmarkStart w:id="9" w:name="_Hlk74842529"/>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宋体" w:hAnsi="宋体" w:cs="宋体"/>
          <w:b/>
          <w:bCs/>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2026年江苏省基本避孕药具第二轮政府采购项目</w:t>
      </w:r>
      <w:r>
        <w:rPr>
          <w:rFonts w:hint="eastAsia" w:ascii="宋体" w:hAnsi="宋体" w:cs="宋体"/>
          <w:spacing w:val="8"/>
          <w:szCs w:val="21"/>
        </w:rPr>
        <w:t xml:space="preserve">招标项目的潜在供应商应在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pacing w:val="8"/>
          <w:szCs w:val="21"/>
        </w:rPr>
        <w:t xml:space="preserve">获取招标文件，并于</w:t>
      </w:r>
      <w:r>
        <w:rPr>
          <w:rFonts w:hint="eastAsia" w:ascii="宋体" w:hAnsi="宋体" w:cs="宋体"/>
          <w:b/>
          <w:bCs/>
          <w:szCs w:val="21"/>
          <w:u w:val="single"/>
        </w:rPr>
        <w:t xml:space="preserve">2026年9月10日9点00分</w:t>
      </w:r>
      <w:r>
        <w:rPr>
          <w:rFonts w:hint="eastAsia" w:ascii="宋体" w:hAnsi="宋体" w:cs="宋体"/>
          <w:spacing w:val="8"/>
          <w:szCs w:val="21"/>
        </w:rPr>
        <w:t xml:space="preserve">（北京时间）前递交投标文件。</w:t>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1.1项目编号：JSZC-320000-JCEC-G2026-0306</w:t>
      </w:r>
      <w:r>
        <w:rPr>
          <w:rFonts w:hint="eastAsia" w:ascii="宋体" w:hAnsi="宋体" w:cs="宋体"/>
          <w:spacing w:val="8"/>
          <w:szCs w:val="21"/>
        </w:rPr>
        <w:tab/>
      </w:r>
      <w:bookmarkStart w:id="72" w:name="_GoBack"/>
      <w:r/>
      <w:bookmarkEnd w:id="72"/>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1.2项目名称：2026年江苏省基本避孕药具第二轮政府采购项目</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w:t>
      </w:r>
      <w:r>
        <w:rPr>
          <w:rFonts w:ascii="宋体" w:hAnsi="宋体" w:cs="宋体"/>
          <w:spacing w:val="8"/>
          <w:szCs w:val="21"/>
        </w:rPr>
        <w:t xml:space="preserve">人民币</w:t>
      </w:r>
      <w:r>
        <w:rPr>
          <w:rFonts w:hint="eastAsia" w:ascii="宋体" w:hAnsi="宋体" w:cs="宋体"/>
          <w:spacing w:val="8"/>
          <w:szCs w:val="21"/>
        </w:rPr>
        <w:t xml:space="preserve">334.5028</w:t>
      </w:r>
      <w:r>
        <w:rPr>
          <w:rFonts w:ascii="宋体" w:hAnsi="宋体" w:cs="宋体"/>
          <w:spacing w:val="8"/>
          <w:szCs w:val="21"/>
        </w:rPr>
        <w:t xml:space="preserve">万元（采购包1：</w:t>
      </w:r>
      <w:r>
        <w:rPr>
          <w:rFonts w:hint="eastAsia" w:ascii="宋体" w:hAnsi="宋体" w:cs="宋体"/>
          <w:spacing w:val="8"/>
          <w:szCs w:val="21"/>
        </w:rPr>
        <w:t xml:space="preserve">127.88</w:t>
      </w:r>
      <w:r>
        <w:rPr>
          <w:rFonts w:ascii="宋体" w:hAnsi="宋体" w:cs="宋体"/>
          <w:spacing w:val="8"/>
          <w:szCs w:val="21"/>
        </w:rPr>
        <w:t xml:space="preserve">万元；采购包2：</w:t>
      </w:r>
      <w:r>
        <w:rPr>
          <w:rFonts w:hint="eastAsia" w:ascii="宋体" w:hAnsi="宋体" w:cs="宋体"/>
          <w:spacing w:val="8"/>
          <w:szCs w:val="21"/>
        </w:rPr>
        <w:t xml:space="preserve">81.88</w:t>
      </w:r>
      <w:r>
        <w:rPr>
          <w:rFonts w:ascii="宋体" w:hAnsi="宋体" w:cs="宋体"/>
          <w:spacing w:val="8"/>
          <w:szCs w:val="21"/>
        </w:rPr>
        <w:t xml:space="preserve">万元；采购包3：</w:t>
      </w:r>
      <w:r>
        <w:rPr>
          <w:rFonts w:hint="eastAsia" w:ascii="宋体" w:hAnsi="宋体" w:cs="宋体"/>
          <w:spacing w:val="8"/>
          <w:szCs w:val="21"/>
        </w:rPr>
        <w:t xml:space="preserve">65.4028</w:t>
      </w:r>
      <w:r>
        <w:rPr>
          <w:rFonts w:ascii="宋体" w:hAnsi="宋体" w:cs="宋体"/>
          <w:spacing w:val="8"/>
          <w:szCs w:val="21"/>
        </w:rPr>
        <w:t xml:space="preserve">万元；采购包4：</w:t>
      </w:r>
      <w:r>
        <w:rPr>
          <w:rFonts w:hint="eastAsia" w:ascii="宋体" w:hAnsi="宋体" w:cs="宋体"/>
          <w:spacing w:val="8"/>
          <w:szCs w:val="21"/>
        </w:rPr>
        <w:t xml:space="preserve">59.34</w:t>
      </w:r>
      <w:r>
        <w:rPr>
          <w:rFonts w:ascii="宋体" w:hAnsi="宋体" w:cs="宋体"/>
          <w:spacing w:val="8"/>
          <w:szCs w:val="21"/>
        </w:rPr>
        <w:t xml:space="preserve">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w:t>
      </w:r>
      <w:r/>
    </w:p>
    <w:p>
      <w:pPr>
        <w:ind w:firstLine="422"/>
        <w:jc w:val="center"/>
        <w:spacing w:line="360" w:lineRule="auto"/>
        <w:rPr>
          <w:rFonts w:hint="eastAsia" w:ascii="宋体" w:hAnsi="宋体" w:cs="宋体"/>
          <w:b/>
          <w:szCs w:val="21"/>
        </w:rPr>
      </w:pPr>
      <w:r>
        <w:rPr>
          <w:rFonts w:ascii="宋体" w:hAnsi="宋体" w:cs="宋体"/>
          <w:b/>
          <w:szCs w:val="21"/>
        </w:rPr>
        <w:t xml:space="preserve">表1</w:t>
      </w:r>
      <w:r/>
    </w:p>
    <w:tbl>
      <w:tblPr>
        <w:tblStyle w:val="945"/>
        <w:tblW w:w="5283" w:type="pct"/>
        <w:jc w:val="center"/>
        <w:tblLayout w:type="fixed"/>
        <w:tblCellMar>
          <w:left w:w="108" w:type="dxa"/>
          <w:top w:w="0" w:type="dxa"/>
          <w:right w:w="108" w:type="dxa"/>
          <w:bottom w:w="0" w:type="dxa"/>
        </w:tblCellMar>
        <w:tblLook w:val="04A0" w:firstRow="1" w:lastRow="0" w:firstColumn="1" w:lastColumn="0" w:noHBand="0" w:noVBand="1"/>
      </w:tblPr>
      <w:tblGrid>
        <w:gridCol w:w="705"/>
        <w:gridCol w:w="2469"/>
        <w:gridCol w:w="726"/>
        <w:gridCol w:w="593"/>
        <w:gridCol w:w="677"/>
        <w:gridCol w:w="1174"/>
        <w:gridCol w:w="1386"/>
        <w:gridCol w:w="1486"/>
      </w:tblGrid>
      <w:tr>
        <w:trPr>
          <w:jc w:val="center"/>
          <w:trHeight w:val="856"/>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hint="eastAsia" w:ascii="宋体" w:hAnsi="宋体" w:cs="宋体"/>
                <w:b/>
                <w:bCs/>
                <w:szCs w:val="21"/>
              </w:rPr>
            </w:pPr>
            <w:r/>
            <w:bookmarkStart w:id="14" w:name="OLE_LINK9"/>
            <w:r>
              <w:rPr>
                <w:b/>
                <w:bCs/>
                <w:szCs w:val="21"/>
              </w:rPr>
              <w:t xml:space="preserve">采购包号</w:t>
            </w:r>
            <w:r/>
          </w:p>
        </w:tc>
        <w:tc>
          <w:tcPr>
            <w:tcBorders>
              <w:top w:val="single" w:color="auto" w:sz="4" w:space="0"/>
              <w:left w:val="none" w:color="000000" w:sz="4" w:space="0"/>
              <w:bottom w:val="single" w:color="auto" w:sz="4" w:space="0"/>
              <w:right w:val="single" w:color="auto" w:sz="4" w:space="0"/>
            </w:tcBorders>
            <w:tcW w:w="1338" w:type="pct"/>
            <w:vAlign w:val="center"/>
            <w:textDirection w:val="lrTb"/>
            <w:noWrap w:val="false"/>
          </w:tcPr>
          <w:p>
            <w:pPr>
              <w:jc w:val="center"/>
              <w:spacing w:line="360" w:lineRule="auto"/>
              <w:widowControl/>
              <w:rPr>
                <w:b/>
                <w:bCs/>
                <w:szCs w:val="21"/>
              </w:rPr>
            </w:pPr>
            <w:r>
              <w:rPr>
                <w:b/>
                <w:bCs/>
                <w:szCs w:val="21"/>
              </w:rPr>
              <w:t xml:space="preserve">品种名称</w:t>
            </w:r>
            <w:r/>
          </w:p>
          <w:p>
            <w:pPr>
              <w:jc w:val="center"/>
              <w:widowControl/>
              <w:rPr>
                <w:rFonts w:hint="eastAsia" w:ascii="宋体" w:hAnsi="宋体" w:cs="宋体"/>
                <w:b/>
                <w:bCs/>
                <w:szCs w:val="21"/>
              </w:rPr>
            </w:pPr>
            <w:r>
              <w:rPr>
                <w:b/>
                <w:bCs/>
                <w:szCs w:val="21"/>
              </w:rPr>
              <w:t xml:space="preserve">（标的名称）</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规格</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单位</w:t>
            </w:r>
            <w:r/>
          </w:p>
        </w:tc>
        <w:tc>
          <w:tcPr>
            <w:tcBorders>
              <w:top w:val="single" w:color="auto"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每件</w:t>
            </w:r>
            <w:r>
              <w:rPr>
                <w:rFonts w:ascii="宋体" w:hAnsi="宋体" w:cs="宋体"/>
                <w:b/>
                <w:bCs/>
                <w:szCs w:val="21"/>
              </w:rPr>
              <w:br/>
            </w:r>
            <w:r>
              <w:rPr>
                <w:rFonts w:ascii="宋体" w:hAnsi="宋体" w:cs="宋体"/>
                <w:b/>
                <w:bCs/>
                <w:szCs w:val="21"/>
              </w:rPr>
              <w:t xml:space="preserve">内装</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需求</w:t>
            </w:r>
            <w:r/>
          </w:p>
          <w:p>
            <w:pPr>
              <w:jc w:val="center"/>
              <w:widowControl/>
              <w:rPr>
                <w:rFonts w:hint="eastAsia" w:ascii="宋体" w:hAnsi="宋体" w:cs="宋体"/>
                <w:b/>
                <w:bCs/>
                <w:szCs w:val="21"/>
              </w:rPr>
            </w:pPr>
            <w:r>
              <w:rPr>
                <w:rFonts w:ascii="宋体" w:hAnsi="宋体" w:cs="宋体"/>
                <w:b/>
                <w:bCs/>
                <w:szCs w:val="21"/>
              </w:rPr>
              <w:t xml:space="preserve">数量</w:t>
            </w:r>
            <w:r/>
          </w:p>
        </w:tc>
        <w:tc>
          <w:tcPr>
            <w:tcBorders>
              <w:top w:val="single" w:color="auto" w:sz="4" w:space="0"/>
              <w:left w:val="none" w:color="000000" w:sz="4" w:space="0"/>
              <w:bottom w:val="single" w:color="auto" w:sz="4" w:space="0"/>
              <w:right w:val="single" w:color="auto" w:sz="4" w:space="0"/>
            </w:tcBorders>
            <w:tcW w:w="752"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最高限价（元）</w:t>
            </w:r>
            <w:r/>
          </w:p>
        </w:tc>
        <w:tc>
          <w:tcPr>
            <w:tcBorders>
              <w:top w:val="single" w:color="auto" w:sz="4" w:space="0"/>
              <w:left w:val="none" w:color="000000" w:sz="4" w:space="0"/>
              <w:bottom w:val="single" w:color="auto" w:sz="4" w:space="0"/>
              <w:right w:val="single" w:color="auto" w:sz="4" w:space="0"/>
            </w:tcBorders>
            <w:tcW w:w="80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合计最高限价（元）</w:t>
            </w:r>
            <w:r/>
          </w:p>
        </w:tc>
      </w:tr>
      <w:tr>
        <w:trPr>
          <w:jc w:val="center"/>
          <w:trHeight w:val="807"/>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天然橡胶胶乳男用避孕套（超薄）</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52mm</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tcBorders>
              <w:top w:val="single" w:color="auto"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5560000 </w:t>
            </w:r>
            <w:r/>
          </w:p>
        </w:tc>
        <w:tc>
          <w:tcPr>
            <w:tcBorders>
              <w:top w:val="single" w:color="auto"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1278800.00 </w:t>
            </w:r>
            <w:r/>
          </w:p>
        </w:tc>
        <w:tc>
          <w:tcPr>
            <w:tcBorders>
              <w:top w:val="single" w:color="auto" w:sz="4" w:space="0"/>
              <w:left w:val="none" w:color="000000" w:sz="4" w:space="0"/>
              <w:bottom w:val="single" w:color="auto" w:sz="4" w:space="0"/>
              <w:right w:val="single" w:color="auto" w:sz="4" w:space="0"/>
            </w:tcBorders>
            <w:tcW w:w="806"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1278800.00 </w:t>
            </w:r>
            <w:r/>
          </w:p>
        </w:tc>
      </w:tr>
      <w:tr>
        <w:trPr>
          <w:jc w:val="center"/>
          <w:trHeight w:val="794"/>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天然橡胶胶乳男用避孕套（超薄-水溶性）</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52mm</w:t>
            </w:r>
            <w:r/>
          </w:p>
        </w:tc>
        <w:tc>
          <w:tcPr>
            <w:tcBorders>
              <w:top w:val="single" w:color="auto"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tcBorders>
              <w:top w:val="single" w:color="auto"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3560000 </w:t>
            </w:r>
            <w:r/>
          </w:p>
        </w:tc>
        <w:tc>
          <w:tcPr>
            <w:tcBorders>
              <w:top w:val="single" w:color="auto"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818800.00 </w:t>
            </w:r>
            <w:r/>
          </w:p>
        </w:tc>
        <w:tc>
          <w:tcPr>
            <w:tcBorders>
              <w:top w:val="single" w:color="auto" w:sz="4" w:space="0"/>
              <w:left w:val="none" w:color="000000" w:sz="4" w:space="0"/>
              <w:bottom w:val="single" w:color="auto" w:sz="4" w:space="0"/>
              <w:right w:val="single" w:color="auto" w:sz="4" w:space="0"/>
            </w:tcBorders>
            <w:tcW w:w="806"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818800.00 </w:t>
            </w:r>
            <w:r/>
          </w:p>
        </w:tc>
      </w:tr>
      <w:tr>
        <w:trPr>
          <w:jc w:val="center"/>
          <w:trHeight w:val="632"/>
        </w:trPr>
        <w:tc>
          <w:tcPr>
            <w:tcBorders>
              <w:top w:val="none" w:color="000000" w:sz="4" w:space="0"/>
              <w:left w:val="single" w:color="auto" w:sz="4" w:space="0"/>
              <w:bottom w:val="single" w:color="000000" w:sz="4" w:space="0"/>
              <w:right w:val="single" w:color="auto" w:sz="4" w:space="0"/>
            </w:tcBorders>
            <w:tcW w:w="382" w:type="pct"/>
            <w:vAlign w:val="center"/>
            <w:vMerge w:val="restart"/>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天然橡胶胶乳男用避孕套（非光面）</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52mm</w:t>
            </w:r>
            <w:r/>
          </w:p>
        </w:tc>
        <w:tc>
          <w:tcPr>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2280000 </w:t>
            </w:r>
            <w:r/>
          </w:p>
        </w:tc>
        <w:tc>
          <w:tcPr>
            <w:tcBorders>
              <w:top w:val="none" w:color="000000"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524400.00 </w:t>
            </w:r>
            <w:r/>
          </w:p>
        </w:tc>
        <w:tc>
          <w:tcPr>
            <w:tcBorders>
              <w:top w:val="none" w:color="000000" w:sz="4" w:space="0"/>
              <w:left w:val="single" w:color="auto" w:sz="4" w:space="0"/>
              <w:bottom w:val="single" w:color="000000" w:sz="4" w:space="0"/>
              <w:right w:val="single" w:color="auto" w:sz="4" w:space="0"/>
            </w:tcBorders>
            <w:tcW w:w="806" w:type="pct"/>
            <w:vAlign w:val="center"/>
            <w:vMerge w:val="restart"/>
            <w:textDirection w:val="lrTb"/>
            <w:noWrap w:val="false"/>
          </w:tcPr>
          <w:p>
            <w:pPr>
              <w:jc w:val="right"/>
              <w:widowControl/>
              <w:rPr>
                <w:rFonts w:hint="eastAsia" w:ascii="宋体" w:hAnsi="宋体" w:cs="宋体"/>
                <w:szCs w:val="21"/>
              </w:rPr>
            </w:pPr>
            <w:r>
              <w:rPr>
                <w:rFonts w:ascii="宋体" w:hAnsi="宋体" w:cs="宋体"/>
                <w:szCs w:val="21"/>
              </w:rPr>
              <w:t xml:space="preserve">654028.00 </w:t>
            </w:r>
            <w:r/>
          </w:p>
        </w:tc>
      </w:tr>
      <w:tr>
        <w:trPr>
          <w:jc w:val="center"/>
          <w:trHeight w:val="632"/>
        </w:trPr>
        <w:tc>
          <w:tcPr>
            <w:tcBorders>
              <w:top w:val="none" w:color="000000" w:sz="4" w:space="0"/>
              <w:left w:val="single" w:color="auto" w:sz="4" w:space="0"/>
              <w:bottom w:val="single" w:color="000000" w:sz="4" w:space="0"/>
              <w:right w:val="single" w:color="auto" w:sz="4" w:space="0"/>
            </w:tcBorders>
            <w:tcW w:w="382"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天然橡胶胶乳男用避孕套（非光面3只装）</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52mm</w:t>
            </w:r>
            <w:r/>
          </w:p>
        </w:tc>
        <w:tc>
          <w:tcPr>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1800</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3600 </w:t>
            </w:r>
            <w:r/>
          </w:p>
        </w:tc>
        <w:tc>
          <w:tcPr>
            <w:tcBorders>
              <w:top w:val="none" w:color="000000"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828.00 </w:t>
            </w:r>
            <w:r/>
          </w:p>
        </w:tc>
        <w:tc>
          <w:tcPr>
            <w:tcBorders>
              <w:top w:val="none" w:color="000000" w:sz="4" w:space="0"/>
              <w:left w:val="single" w:color="auto" w:sz="4" w:space="0"/>
              <w:bottom w:val="single" w:color="000000" w:sz="4" w:space="0"/>
              <w:right w:val="single" w:color="auto" w:sz="4" w:space="0"/>
            </w:tcBorders>
            <w:tcW w:w="806"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632"/>
        </w:trPr>
        <w:tc>
          <w:tcPr>
            <w:tcBorders>
              <w:top w:val="none" w:color="000000" w:sz="4" w:space="0"/>
              <w:left w:val="single" w:color="auto" w:sz="4" w:space="0"/>
              <w:bottom w:val="single" w:color="000000" w:sz="4" w:space="0"/>
              <w:right w:val="single" w:color="auto" w:sz="4" w:space="0"/>
            </w:tcBorders>
            <w:tcW w:w="382"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天然橡胶胶乳男用避孕套（非光面5只装）</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52mm</w:t>
            </w:r>
            <w:r/>
          </w:p>
        </w:tc>
        <w:tc>
          <w:tcPr>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560000 </w:t>
            </w:r>
            <w:r/>
          </w:p>
        </w:tc>
        <w:tc>
          <w:tcPr>
            <w:tcBorders>
              <w:top w:val="none" w:color="000000"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128800.00 </w:t>
            </w:r>
            <w:r/>
          </w:p>
        </w:tc>
        <w:tc>
          <w:tcPr>
            <w:tcBorders>
              <w:top w:val="none" w:color="000000" w:sz="4" w:space="0"/>
              <w:left w:val="single" w:color="auto" w:sz="4" w:space="0"/>
              <w:bottom w:val="single" w:color="000000" w:sz="4" w:space="0"/>
              <w:right w:val="single" w:color="auto" w:sz="4" w:space="0"/>
            </w:tcBorders>
            <w:tcW w:w="806"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617"/>
        </w:trPr>
        <w:tc>
          <w:tcPr>
            <w:tcBorders>
              <w:top w:val="none" w:color="000000" w:sz="4" w:space="0"/>
              <w:left w:val="single" w:color="auto" w:sz="4" w:space="0"/>
              <w:right w:val="single" w:color="auto" w:sz="4" w:space="0"/>
            </w:tcBorders>
            <w:tcW w:w="382" w:type="pct"/>
            <w:vAlign w:val="center"/>
            <w:vMerge w:val="restart"/>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tcBorders>
              <w:top w:val="none" w:color="000000" w:sz="4" w:space="0"/>
              <w:left w:val="none" w:color="000000" w:sz="4" w:space="0"/>
              <w:right w:val="single" w:color="auto" w:sz="4" w:space="0"/>
            </w:tcBorders>
            <w:tcW w:w="1338" w:type="pct"/>
            <w:vAlign w:val="center"/>
            <w:vMerge w:val="restart"/>
            <w:textDirection w:val="lrTb"/>
            <w:noWrap w:val="false"/>
          </w:tcPr>
          <w:p>
            <w:pPr>
              <w:jc w:val="left"/>
              <w:widowControl/>
              <w:rPr>
                <w:rFonts w:hint="eastAsia" w:ascii="宋体" w:hAnsi="宋体" w:cs="宋体"/>
                <w:szCs w:val="21"/>
              </w:rPr>
            </w:pPr>
            <w:r>
              <w:rPr>
                <w:rFonts w:ascii="宋体" w:hAnsi="宋体" w:cs="宋体"/>
                <w:szCs w:val="21"/>
              </w:rPr>
              <w:t xml:space="preserve">天然橡胶胶乳男用避孕套（光面）</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52mm</w:t>
            </w:r>
            <w:r/>
          </w:p>
        </w:tc>
        <w:tc>
          <w:tcPr>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2560000 </w:t>
            </w:r>
            <w:r/>
          </w:p>
        </w:tc>
        <w:tc>
          <w:tcPr>
            <w:tcBorders>
              <w:top w:val="none" w:color="000000"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588800.00 </w:t>
            </w:r>
            <w:r/>
          </w:p>
        </w:tc>
        <w:tc>
          <w:tcPr>
            <w:tcBorders>
              <w:top w:val="none" w:color="000000" w:sz="4" w:space="0"/>
              <w:left w:val="none" w:color="000000" w:sz="4" w:space="0"/>
              <w:right w:val="single" w:color="auto" w:sz="4" w:space="0"/>
            </w:tcBorders>
            <w:tcW w:w="806" w:type="pct"/>
            <w:vAlign w:val="center"/>
            <w:vMerge w:val="restart"/>
            <w:textDirection w:val="lrTb"/>
            <w:noWrap w:val="false"/>
          </w:tcPr>
          <w:p>
            <w:pPr>
              <w:jc w:val="right"/>
              <w:widowControl/>
              <w:rPr>
                <w:rFonts w:hint="eastAsia" w:ascii="宋体" w:hAnsi="宋体" w:cs="宋体"/>
                <w:szCs w:val="21"/>
              </w:rPr>
            </w:pPr>
            <w:r>
              <w:rPr>
                <w:rFonts w:ascii="宋体" w:hAnsi="宋体" w:cs="宋体"/>
                <w:szCs w:val="21"/>
              </w:rPr>
              <w:t xml:space="preserve">593400.00 </w:t>
            </w:r>
            <w:r/>
          </w:p>
        </w:tc>
      </w:tr>
      <w:tr>
        <w:trPr>
          <w:jc w:val="center"/>
          <w:trHeight w:val="617"/>
        </w:trPr>
        <w:tc>
          <w:tcPr>
            <w:tcBorders>
              <w:left w:val="single" w:color="auto" w:sz="4" w:space="0"/>
              <w:bottom w:val="single" w:color="auto" w:sz="4" w:space="0"/>
              <w:right w:val="single" w:color="auto" w:sz="4" w:space="0"/>
            </w:tcBorders>
            <w:tcW w:w="382"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133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55mm</w:t>
            </w:r>
            <w:r/>
          </w:p>
        </w:tc>
        <w:tc>
          <w:tcPr>
            <w:tcBorders>
              <w:top w:val="none" w:color="000000" w:sz="4" w:space="0"/>
              <w:left w:val="none" w:color="000000"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20000 </w:t>
            </w:r>
            <w:r/>
          </w:p>
        </w:tc>
        <w:tc>
          <w:tcPr>
            <w:tcBorders>
              <w:top w:val="none" w:color="000000"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4600.00 </w:t>
            </w:r>
            <w:r/>
          </w:p>
        </w:tc>
        <w:tc>
          <w:tcPr>
            <w:tcBorders>
              <w:left w:val="none" w:color="000000" w:sz="4" w:space="0"/>
              <w:bottom w:val="single" w:color="auto" w:sz="4" w:space="0"/>
              <w:right w:val="single" w:color="auto" w:sz="4" w:space="0"/>
            </w:tcBorders>
            <w:tcW w:w="806" w:type="pct"/>
            <w:vAlign w:val="center"/>
            <w:vMerge w:val="continue"/>
            <w:textDirection w:val="lrTb"/>
            <w:noWrap w:val="false"/>
          </w:tcPr>
          <w:p>
            <w:pPr>
              <w:jc w:val="right"/>
              <w:widowControl/>
              <w:rPr>
                <w:rFonts w:hint="eastAsia" w:ascii="宋体" w:hAnsi="宋体" w:cs="宋体"/>
                <w:szCs w:val="21"/>
              </w:rPr>
            </w:pPr>
            <w:r>
              <w:rPr>
                <w:rFonts w:hint="eastAsia" w:ascii="宋体" w:hAnsi="宋体" w:cs="宋体"/>
                <w:szCs w:val="21"/>
              </w:rPr>
            </w:r>
            <w:r/>
          </w:p>
        </w:tc>
      </w:tr>
      <w:tr>
        <w:trPr>
          <w:jc w:val="center"/>
          <w:trHeight w:val="458"/>
        </w:trPr>
        <w:tc>
          <w:tcPr>
            <w:gridSpan w:val="5"/>
            <w:tcBorders>
              <w:top w:val="none" w:color="000000" w:sz="4" w:space="0"/>
              <w:left w:val="single" w:color="auto" w:sz="4" w:space="0"/>
              <w:bottom w:val="single" w:color="auto" w:sz="4" w:space="0"/>
              <w:right w:val="single" w:color="auto" w:sz="4" w:space="0"/>
            </w:tcBorders>
            <w:tcW w:w="2803"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合计　</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14543600 </w:t>
            </w:r>
            <w:r/>
          </w:p>
        </w:tc>
        <w:tc>
          <w:tcPr>
            <w:tcBorders>
              <w:top w:val="none" w:color="000000" w:sz="4" w:space="0"/>
              <w:left w:val="none" w:color="000000" w:sz="4" w:space="0"/>
              <w:bottom w:val="single" w:color="auto" w:sz="4" w:space="0"/>
              <w:right w:val="single" w:color="auto" w:sz="4" w:space="0"/>
            </w:tcBorders>
            <w:tcW w:w="752"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3345028.00 </w:t>
            </w:r>
            <w:r/>
          </w:p>
        </w:tc>
        <w:tc>
          <w:tcPr>
            <w:tcBorders>
              <w:top w:val="none" w:color="000000" w:sz="4" w:space="0"/>
              <w:left w:val="none" w:color="000000" w:sz="4" w:space="0"/>
              <w:bottom w:val="single" w:color="auto" w:sz="4" w:space="0"/>
              <w:right w:val="single" w:color="auto" w:sz="4" w:space="0"/>
            </w:tcBorders>
            <w:tcW w:w="806" w:type="pct"/>
            <w:vAlign w:val="center"/>
            <w:textDirection w:val="lrTb"/>
            <w:noWrap w:val="false"/>
          </w:tcPr>
          <w:p>
            <w:pPr>
              <w:jc w:val="right"/>
              <w:widowControl/>
              <w:rPr>
                <w:rFonts w:hint="eastAsia" w:ascii="宋体" w:hAnsi="宋体" w:cs="宋体"/>
                <w:szCs w:val="21"/>
              </w:rPr>
            </w:pPr>
            <w:r>
              <w:rPr>
                <w:rFonts w:ascii="宋体" w:hAnsi="宋体" w:cs="宋体"/>
                <w:szCs w:val="21"/>
              </w:rPr>
              <w:t xml:space="preserve">3345028.00 </w:t>
            </w:r>
            <w:bookmarkEnd w:id="14"/>
            <w:r/>
            <w:r/>
          </w:p>
        </w:tc>
      </w:tr>
    </w:tbl>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1.5采购需求：</w:t>
      </w:r>
      <w:r>
        <w:rPr>
          <w:rFonts w:ascii="宋体" w:hAnsi="宋体" w:cs="宋体"/>
          <w:spacing w:val="8"/>
          <w:szCs w:val="21"/>
        </w:rPr>
        <w:t xml:space="preserve">本次采购按照不同的品类，共分为</w:t>
      </w:r>
      <w:r>
        <w:rPr>
          <w:rFonts w:hint="eastAsia" w:ascii="宋体" w:hAnsi="宋体" w:cs="宋体"/>
          <w:spacing w:val="8"/>
          <w:szCs w:val="21"/>
        </w:rPr>
        <w:t xml:space="preserve">4</w:t>
      </w:r>
      <w:r>
        <w:rPr>
          <w:rFonts w:ascii="宋体" w:hAnsi="宋体" w:cs="宋体"/>
          <w:spacing w:val="8"/>
          <w:szCs w:val="21"/>
        </w:rPr>
        <w:t xml:space="preserve">个采购包，详见表1，技术参数详见采购文件。本项目评标顺序依次为采购包1到采购包</w:t>
      </w:r>
      <w:r>
        <w:rPr>
          <w:rFonts w:hint="eastAsia" w:ascii="宋体" w:hAnsi="宋体" w:cs="宋体"/>
          <w:spacing w:val="8"/>
          <w:szCs w:val="21"/>
        </w:rPr>
        <w:t xml:space="preserve">4</w:t>
      </w:r>
      <w:r>
        <w:rPr>
          <w:rFonts w:ascii="宋体" w:hAnsi="宋体" w:cs="宋体"/>
          <w:spacing w:val="8"/>
          <w:szCs w:val="21"/>
        </w:rPr>
        <w:t xml:space="preserve">。采购包</w:t>
      </w:r>
      <w:r>
        <w:rPr>
          <w:rFonts w:hint="eastAsia" w:ascii="宋体" w:hAnsi="宋体" w:cs="宋体"/>
          <w:spacing w:val="8"/>
          <w:szCs w:val="21"/>
        </w:rPr>
        <w:t xml:space="preserve">1</w:t>
      </w:r>
      <w:r>
        <w:rPr>
          <w:rFonts w:ascii="宋体" w:hAnsi="宋体" w:cs="宋体"/>
          <w:spacing w:val="8"/>
          <w:szCs w:val="21"/>
        </w:rPr>
        <w:t xml:space="preserve">到采购包</w:t>
      </w:r>
      <w:r>
        <w:rPr>
          <w:rFonts w:hint="eastAsia" w:ascii="宋体" w:hAnsi="宋体" w:cs="宋体"/>
          <w:spacing w:val="8"/>
          <w:szCs w:val="21"/>
        </w:rPr>
        <w:t xml:space="preserve">4</w:t>
      </w:r>
      <w:r>
        <w:rPr>
          <w:rFonts w:ascii="宋体" w:hAnsi="宋体" w:cs="宋体"/>
          <w:spacing w:val="8"/>
          <w:szCs w:val="21"/>
        </w:rPr>
        <w:t xml:space="preserve">兼投不兼中。</w:t>
      </w:r>
      <w:r/>
    </w:p>
    <w:p>
      <w:pPr>
        <w:ind w:firstLine="420"/>
        <w:spacing w:line="360" w:lineRule="auto"/>
        <w:rPr>
          <w:rFonts w:hint="eastAsia" w:ascii="宋体" w:hAnsi="宋体" w:cs="宋体"/>
          <w:bCs/>
          <w:szCs w:val="21"/>
        </w:rPr>
      </w:pPr>
      <w:r>
        <w:rPr>
          <w:rFonts w:hint="eastAsia" w:ascii="宋体" w:hAnsi="宋体" w:cs="宋体"/>
          <w:bCs/>
          <w:szCs w:val="21"/>
        </w:rPr>
        <w:t xml:space="preserve">1.6合同履行期限：</w:t>
      </w:r>
      <w:r>
        <w:rPr>
          <w:rFonts w:hint="eastAsia" w:ascii="宋体" w:hAnsi="宋体" w:cs="宋体"/>
          <w:spacing w:val="8"/>
          <w:szCs w:val="21"/>
        </w:rPr>
        <w:t xml:space="preserve">至所有合同内容履行完毕。</w:t>
      </w:r>
      <w:r/>
    </w:p>
    <w:p>
      <w:pPr>
        <w:ind w:firstLine="420"/>
        <w:spacing w:line="360" w:lineRule="auto"/>
        <w:rPr>
          <w:rFonts w:ascii="Arial" w:hAnsi="Arial" w:cs="Arial"/>
          <w:spacing w:val="8"/>
          <w:szCs w:val="21"/>
        </w:rPr>
      </w:pPr>
      <w:r>
        <w:rPr>
          <w:rFonts w:hint="eastAsia" w:ascii="宋体" w:hAnsi="宋体" w:cs="宋体"/>
          <w:bCs/>
          <w:szCs w:val="21"/>
        </w:rPr>
        <w:t xml:space="preserve">1.7行业划分</w:t>
      </w:r>
      <w:r>
        <w:rPr>
          <w:rFonts w:hint="eastAsia" w:ascii="Arial" w:hAnsi="Arial" w:cs="Arial"/>
          <w:spacing w:val="8"/>
          <w:szCs w:val="21"/>
        </w:rPr>
        <w:t xml:space="preserve">：工业。</w:t>
      </w:r>
      <w:r/>
    </w:p>
    <w:p>
      <w:pPr>
        <w:ind w:firstLine="420"/>
        <w:spacing w:line="360" w:lineRule="auto"/>
        <w:rPr>
          <w:rFonts w:hint="eastAsia" w:ascii="宋体" w:hAnsi="宋体" w:cs="宋体"/>
          <w:bCs/>
          <w:szCs w:val="21"/>
        </w:rPr>
      </w:pPr>
      <w:r>
        <w:rPr>
          <w:rFonts w:hint="eastAsia" w:ascii="宋体" w:hAnsi="宋体" w:cs="宋体"/>
          <w:bCs/>
          <w:szCs w:val="21"/>
        </w:rPr>
        <w:t xml:space="preserve">1.8</w:t>
      </w:r>
      <w:r>
        <w:rPr>
          <w:rFonts w:hint="eastAsia" w:ascii="Arial" w:hAnsi="Arial" w:cs="Arial"/>
          <w:spacing w:val="8"/>
          <w:szCs w:val="21"/>
        </w:rPr>
        <w:t xml:space="preserve">本项目不接受联合体投标。</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ascii="宋体" w:hAnsi="宋体" w:cs="宋体"/>
          <w:bCs/>
          <w:szCs w:val="21"/>
        </w:rPr>
        <w:t xml:space="preserve">（2）具有良好的商业信誉和健全的财务会计制度（提供2025年度的财务报表，或投标截止时间前六个月内银行出具的资信证明）；</w:t>
      </w:r>
      <w:r/>
    </w:p>
    <w:p>
      <w:pPr>
        <w:ind w:firstLine="420"/>
        <w:spacing w:line="360" w:lineRule="auto"/>
        <w:rPr>
          <w:rFonts w:hint="eastAsia" w:ascii="宋体" w:hAnsi="宋体" w:cs="宋体"/>
          <w:bCs/>
          <w:szCs w:val="21"/>
        </w:rPr>
      </w:pPr>
      <w:r>
        <w:rPr>
          <w:rFonts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rPr>
      </w:pPr>
      <w:r>
        <w:rPr>
          <w:rFonts w:ascii="宋体" w:hAnsi="宋体" w:cs="宋体"/>
          <w:bCs/>
          <w:szCs w:val="21"/>
        </w:rPr>
        <w:t xml:space="preserve">（5）参加采购活动前三年内，在经营活动中没有重大违法记录（提供承诺书）；</w:t>
      </w:r>
      <w:r/>
    </w:p>
    <w:p>
      <w:pPr>
        <w:ind w:firstLine="420"/>
        <w:spacing w:line="360" w:lineRule="auto"/>
        <w:rPr>
          <w:rFonts w:hint="eastAsia" w:ascii="宋体" w:hAnsi="宋体" w:cs="宋体"/>
          <w:bCs/>
          <w:szCs w:val="21"/>
        </w:rPr>
      </w:pPr>
      <w:r>
        <w:rPr>
          <w:rFonts w:ascii="宋体" w:hAnsi="宋体" w:cs="宋体"/>
          <w:bCs/>
          <w:szCs w:val="21"/>
        </w:rPr>
        <w:t xml:space="preserve">（6）法律、行政法规规定的其他条件：无。</w:t>
      </w:r>
      <w:r/>
    </w:p>
    <w:p>
      <w:pPr>
        <w:ind w:firstLine="458"/>
        <w:spacing w:line="360" w:lineRule="auto"/>
        <w:rPr>
          <w:rFonts w:hint="eastAsia" w:ascii="宋体" w:hAnsi="宋体" w:cs="宋体"/>
          <w:b/>
          <w:spacing w:val="8"/>
          <w:szCs w:val="21"/>
        </w:rPr>
      </w:pPr>
      <w:r>
        <w:rPr>
          <w:rFonts w:ascii="宋体" w:hAnsi="宋体" w:cs="宋体"/>
          <w:b/>
          <w:spacing w:val="8"/>
          <w:szCs w:val="21"/>
        </w:rPr>
        <w:t xml:space="preserve">2.2落实政府采购政策需满足的资格要求：</w:t>
      </w:r>
      <w:r/>
    </w:p>
    <w:p>
      <w:pPr>
        <w:ind w:firstLine="458"/>
        <w:spacing w:line="360" w:lineRule="auto"/>
        <w:rPr>
          <w:rFonts w:hint="eastAsia" w:ascii="宋体" w:hAnsi="宋体" w:cs="宋体"/>
          <w:b/>
          <w:spacing w:val="8"/>
          <w:szCs w:val="21"/>
        </w:rPr>
      </w:pPr>
      <w:r>
        <w:rPr>
          <w:rFonts w:ascii="宋体" w:hAnsi="宋体" w:cs="宋体"/>
          <w:b/>
          <w:spacing w:val="8"/>
          <w:szCs w:val="21"/>
        </w:rPr>
        <w:t xml:space="preserve">本项目专门面向中小企业（或监狱企业或残疾人福利性单位）采购。（须提供《中小企业声明函》或《残疾人福利性单位声明函》或属于监狱企业的证明文件）</w:t>
      </w:r>
      <w:r/>
    </w:p>
    <w:p>
      <w:pPr>
        <w:ind w:firstLine="458"/>
        <w:spacing w:line="360" w:lineRule="auto"/>
        <w:rPr>
          <w:rFonts w:hint="eastAsia" w:ascii="宋体" w:hAnsi="宋体" w:cs="宋体"/>
          <w:b/>
          <w:spacing w:val="8"/>
          <w:szCs w:val="21"/>
        </w:rPr>
      </w:pPr>
      <w:r>
        <w:rPr>
          <w:rFonts w:ascii="宋体" w:hAnsi="宋体" w:cs="宋体"/>
          <w:b/>
          <w:spacing w:val="8"/>
          <w:szCs w:val="21"/>
        </w:rPr>
        <w:t xml:space="preserve">2.3采购人根据采购项目的特殊要求规定的特定条件，并提供符合特殊要求的证明</w:t>
      </w:r>
      <w:r>
        <w:rPr>
          <w:rFonts w:ascii="宋体" w:hAnsi="宋体" w:cs="宋体"/>
          <w:b/>
          <w:szCs w:val="21"/>
        </w:rPr>
        <w:t xml:space="preserve">材料或者情况</w:t>
      </w:r>
      <w:r>
        <w:rPr>
          <w:rFonts w:ascii="宋体" w:hAnsi="宋体" w:cs="宋体"/>
          <w:b/>
          <w:spacing w:val="8"/>
          <w:szCs w:val="21"/>
        </w:rPr>
        <w:t xml:space="preserve">说明：</w:t>
      </w:r>
      <w:r/>
    </w:p>
    <w:p>
      <w:pPr>
        <w:ind w:firstLine="458"/>
        <w:spacing w:line="360" w:lineRule="auto"/>
        <w:rPr>
          <w:rFonts w:hint="eastAsia" w:ascii="宋体" w:hAnsi="宋体" w:cs="宋体"/>
          <w:b/>
          <w:spacing w:val="8"/>
          <w:szCs w:val="21"/>
        </w:rPr>
      </w:pPr>
      <w:r>
        <w:rPr>
          <w:rFonts w:ascii="宋体" w:hAnsi="宋体" w:cs="宋体"/>
          <w:b/>
          <w:spacing w:val="8"/>
          <w:szCs w:val="21"/>
        </w:rPr>
        <w:t xml:space="preserve">投标人须具有所投采购包产品有效的《医疗器械生产许可证》和《医疗器械注册证》（须提供有效证书复印件并加盖投标人公章）。</w:t>
      </w:r>
      <w:r/>
    </w:p>
    <w:p>
      <w:pPr>
        <w:ind w:firstLine="454"/>
        <w:spacing w:line="360" w:lineRule="auto"/>
        <w:rPr>
          <w:rFonts w:ascii="宋体" w:hAnsi="宋体" w:eastAsia="宋体" w:cs="宋体"/>
          <w:b/>
          <w:spacing w:val="8"/>
          <w:szCs w:val="21"/>
        </w:rPr>
      </w:pPr>
      <w:r>
        <w:rPr>
          <w:rFonts w:hint="eastAsia" w:ascii="宋体" w:hAnsi="宋体" w:eastAsia="宋体" w:cs="宋体"/>
          <w:b/>
          <w:spacing w:val="8"/>
          <w:szCs w:val="21"/>
        </w:rPr>
        <w:t xml:space="preserve">2.4 拒绝下述供应商参加本次招标活动：</w:t>
      </w:r>
      <w:r/>
    </w:p>
    <w:p>
      <w:pPr>
        <w:ind w:firstLine="452"/>
        <w:spacing w:line="360" w:lineRule="auto"/>
        <w:rPr>
          <w:rFonts w:ascii="宋体" w:hAnsi="宋体" w:eastAsia="宋体" w:cs="宋体"/>
          <w:bCs/>
          <w:spacing w:val="8"/>
          <w:szCs w:val="21"/>
        </w:rPr>
      </w:pPr>
      <w:r>
        <w:rPr>
          <w:rFonts w:hint="eastAsia" w:ascii="宋体" w:hAnsi="宋体" w:eastAsia="宋体" w:cs="宋体"/>
          <w:bCs/>
          <w:spacing w:val="8"/>
          <w:szCs w:val="21"/>
        </w:rPr>
        <w:t xml:space="preserve">（1）单位负责人为同一人或者存在直接控股、管理关系的不同供应商，不得参加同一合同项下的政府采购活动。</w:t>
      </w:r>
      <w:r/>
    </w:p>
    <w:p>
      <w:pPr>
        <w:ind w:firstLine="452"/>
        <w:spacing w:line="360" w:lineRule="auto"/>
        <w:rPr>
          <w:rFonts w:ascii="宋体" w:hAnsi="宋体" w:eastAsia="宋体" w:cs="宋体"/>
          <w:bCs/>
          <w:spacing w:val="8"/>
          <w:szCs w:val="21"/>
        </w:rPr>
      </w:pPr>
      <w:r>
        <w:rPr>
          <w:rFonts w:hint="eastAsia" w:ascii="宋体" w:hAnsi="宋体" w:eastAsia="宋体" w:cs="宋体"/>
          <w:bCs/>
          <w:spacing w:val="8"/>
          <w:szCs w:val="21"/>
        </w:rPr>
        <w:t xml:space="preserve">（2）为采购项目提供整体设计、规范编制或者项目管理、监理、检测等服务的供应商，不得参加本项目的采购活动。</w:t>
      </w:r>
      <w:r/>
    </w:p>
    <w:p>
      <w:pPr>
        <w:ind w:firstLine="452"/>
        <w:spacing w:line="360" w:lineRule="auto"/>
        <w:rPr>
          <w:rFonts w:ascii="宋体" w:hAnsi="宋体" w:eastAsia="宋体" w:cs="宋体"/>
          <w:bCs/>
          <w:szCs w:val="21"/>
        </w:rPr>
      </w:pPr>
      <w:r>
        <w:rPr>
          <w:rFonts w:hint="eastAsia" w:ascii="宋体" w:hAnsi="宋体" w:eastAsia="宋体" w:cs="宋体"/>
          <w:bCs/>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eastAsia="宋体" w:cs="宋体"/>
          <w:bCs/>
          <w:szCs w:val="21"/>
        </w:rPr>
        <w:t xml:space="preserve">。</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3.2地点：江苏政府采购网苏采云系统注册登记成功后在系统内免费下载 </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 </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四、提交投标文件开始时间、截止时间、地点和开标时间、地点</w:t>
      </w:r>
      <w:r/>
    </w:p>
    <w:p>
      <w:pPr>
        <w:ind w:firstLine="420"/>
        <w:spacing w:line="360" w:lineRule="auto"/>
        <w:rPr>
          <w:rFonts w:hint="eastAsia" w:ascii="宋体" w:hAnsi="宋体" w:cs="宋体"/>
          <w:bCs/>
          <w:szCs w:val="21"/>
        </w:rPr>
      </w:pPr>
      <w:r>
        <w:rPr>
          <w:rFonts w:hint="eastAsia" w:ascii="宋体" w:hAnsi="宋体" w:cs="宋体"/>
          <w:bCs/>
          <w:szCs w:val="21"/>
        </w:rPr>
        <w:t xml:space="preserve">4.1提交投标文件截止时间、开标时间：2026年9月10日09点00分（北京时间）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4.2提交投标文件地点：江苏省政府采购管理交易系统（苏采云）（以下简称“苏采云”）（网址：http://jszfcg.jsczt.cn）</w:t>
      </w:r>
      <w:r/>
    </w:p>
    <w:p>
      <w:pPr>
        <w:ind w:firstLine="420"/>
        <w:spacing w:line="360" w:lineRule="auto"/>
        <w:rPr>
          <w:rFonts w:hint="eastAsia" w:ascii="宋体" w:hAnsi="宋体" w:cs="宋体"/>
          <w:bCs/>
          <w:szCs w:val="21"/>
        </w:rPr>
      </w:pPr>
      <w:r>
        <w:rPr>
          <w:rFonts w:hint="eastAsia" w:ascii="宋体" w:hAnsi="宋体" w:cs="宋体"/>
          <w:bCs/>
          <w:szCs w:val="21"/>
        </w:rPr>
        <w:t xml:space="preserve">4.3开标地点：“苏采云”网上开标大厅。</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420"/>
        <w:spacing w:line="360" w:lineRule="auto"/>
        <w:shd w:val="clear" w:color="auto" w:fill="ffffff"/>
        <w:widowControl/>
        <w:rPr>
          <w:rFonts w:hint="eastAsia" w:ascii="宋体" w:hAnsi="宋体" w:cs="宋体"/>
          <w:shd w:val="clear" w:color="auto" w:fill="ffffff"/>
          <w:lang w:val="zh-CN"/>
        </w:rPr>
      </w:pPr>
      <w:r>
        <w:rPr>
          <w:rFonts w:hint="eastAsia" w:ascii="宋体" w:hAnsi="宋体" w:cs="宋体"/>
          <w:shd w:val="clear" w:color="auto" w:fill="ffffff"/>
          <w:lang w:val="zh-CN"/>
        </w:rPr>
        <w:t xml:space="preserve">6.1本项目在</w:t>
      </w:r>
      <w:r>
        <w:rPr>
          <w:rFonts w:hint="eastAsia" w:ascii="Arial" w:hAnsi="Arial" w:cs="Arial"/>
          <w:b/>
          <w:szCs w:val="21"/>
          <w:u w:val="single"/>
        </w:rPr>
        <w:t xml:space="preserve">江苏政府采购网、中国政府采购网</w:t>
      </w:r>
      <w:r>
        <w:rPr>
          <w:rFonts w:hint="eastAsia" w:ascii="宋体" w:hAnsi="宋体" w:cs="宋体"/>
          <w:shd w:val="clear" w:color="auto" w:fill="ffffff"/>
          <w:lang w:val="zh-CN"/>
        </w:rPr>
        <w:t xml:space="preserve">发布公告。</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6.2勘察现场：无。</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③“CA数字证书”的获取：</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“苏采云”江苏省客服热线025-83633744、025-83633743。</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7.1采购人信息</w:t>
      </w:r>
      <w:bookmarkEnd w:id="3"/>
      <w:r/>
      <w:bookmarkEnd w:id="9"/>
      <w:r/>
      <w:bookmarkEnd w:id="13"/>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    称：江苏省卫生健康委员会药品药具管理中心</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    址：南京市湖南路37号</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 系 人：许梦雨</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联系电话：025-83225586</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7.2采购代理机构信息</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    称：江苏省设备成套股份有限公司</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 系 人：阮真真  唐大维</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电子邮箱：ruanzz@jcec.cn</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联系方式：025-83316480</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7.3项目联系方式</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项目联系人：阮真真  唐大维</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电话：025-83316480</w:t>
      </w:r>
      <w:r/>
    </w:p>
    <w:p>
      <w:pPr>
        <w:rPr>
          <w:rFonts w:hint="eastAsia" w:ascii="宋体" w:hAnsi="宋体" w:cs="宋体"/>
          <w:spacing w:val="15"/>
          <w:shd w:val="clear" w:color="auto" w:fill="ffffff"/>
        </w:rPr>
      </w:pPr>
      <w:r>
        <w:rPr>
          <w:rFonts w:hint="eastAsia" w:ascii="宋体" w:hAnsi="宋体" w:cs="宋体"/>
          <w:spacing w:val="15"/>
          <w:shd w:val="clear" w:color="auto" w:fill="ffffff"/>
        </w:rPr>
        <w:br w:type="page" w:clear="all"/>
      </w:r>
      <w:r/>
    </w:p>
    <w:p>
      <w:pPr>
        <w:pStyle w:val="935"/>
        <w:numPr>
          <w:ilvl w:val="0"/>
          <w:numId w:val="0"/>
        </w:numPr>
        <w:rPr>
          <w:rFonts w:hint="eastAsia" w:ascii="宋体" w:hAnsi="宋体" w:cs="宋体"/>
        </w:rPr>
      </w:pPr>
      <w:r/>
      <w:bookmarkStart w:id="15" w:name="_Toc237454165"/>
      <w:r>
        <w:rPr>
          <w:rFonts w:hint="eastAsia" w:ascii="宋体" w:hAnsi="宋体" w:cs="宋体"/>
        </w:rPr>
        <w:t xml:space="preserve">第二章</w:t>
      </w:r>
      <w:bookmarkStart w:id="16" w:name="_Toc452625218"/>
      <w:r>
        <w:rPr>
          <w:rFonts w:hint="eastAsia" w:ascii="宋体" w:hAnsi="宋体" w:cs="宋体"/>
        </w:rPr>
        <w:t xml:space="preserve"> 供应商须知</w:t>
      </w:r>
      <w:bookmarkEnd w:id="15"/>
      <w:r/>
      <w:bookmarkEnd w:id="16"/>
      <w:r/>
      <w:r/>
    </w:p>
    <w:p>
      <w:pPr>
        <w:ind w:firstLine="424"/>
        <w:spacing w:line="360" w:lineRule="auto"/>
        <w:shd w:val="clear" w:color="auto" w:fill="ffffff"/>
        <w:widowControl/>
        <w:rPr>
          <w:rFonts w:hint="eastAsia" w:ascii="宋体" w:hAnsi="宋体" w:cs="宋体"/>
          <w:szCs w:val="21"/>
        </w:rPr>
      </w:pPr>
      <w:r/>
      <w:bookmarkStart w:id="17" w:name="_Toc25340"/>
      <w:r/>
      <w:bookmarkStart w:id="18" w:name="_Toc481057145"/>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招标的最小单位是采购包。招标货物数量及技术要求中未分标段的，投标人对要求提供的货物和服务不得部分投标；招标货物数量及技术要求中已经分标段的，可以以标段为单位投标。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方正仿宋_GBK"/>
          <w:szCs w:val="21"/>
        </w:rPr>
      </w:pPr>
      <w:r>
        <w:rPr>
          <w:rFonts w:hint="eastAsia" w:ascii="宋体" w:hAnsi="宋体" w:cs="宋体"/>
          <w:szCs w:val="21"/>
        </w:rPr>
        <w:t xml:space="preserve">8.1投标人应当根据招标文件要求编制投标文件，投标文件应对招标文件提出的要求和条件作出实质性响应，</w:t>
      </w:r>
      <w:r>
        <w:rPr>
          <w:rFonts w:ascii="宋体" w:hAnsi="宋体" w:cs="Arial"/>
          <w:szCs w:val="21"/>
        </w:rPr>
        <w:t xml:space="preserve">并在《合同条款偏离表》和《采购需求偏离表》等处逐条标明满足与否。</w:t>
      </w:r>
      <w:r>
        <w:rPr>
          <w:rFonts w:ascii="宋体" w:hAnsi="宋体" w:cs="方正仿宋_GBK"/>
          <w:b/>
          <w:bCs/>
          <w:i/>
          <w:szCs w:val="21"/>
          <w:u w:val="single"/>
        </w:rPr>
        <w:t xml:space="preserve">本招标文件中斜体加粗且有下划线部分为实质性要求和条件</w:t>
      </w:r>
      <w:r>
        <w:rPr>
          <w:rFonts w:ascii="宋体" w:hAnsi="宋体" w:cs="方正仿宋_GBK"/>
          <w:b/>
          <w:bCs/>
          <w:szCs w:val="21"/>
        </w:rPr>
        <w:t xml:space="preserve">，</w:t>
      </w:r>
      <w:r>
        <w:rPr>
          <w:rFonts w:ascii="宋体" w:hAnsi="宋体" w:cs="方正仿宋_GBK"/>
          <w:szCs w:val="21"/>
        </w:rPr>
        <w:t xml:space="preserve">若存在负偏离或缺项或不能满足，将被视为未能实质响应招标文件，</w:t>
      </w:r>
      <w:r>
        <w:rPr>
          <w:rFonts w:hint="eastAsia" w:ascii="宋体" w:hAnsi="宋体" w:cs="方正仿宋_GBK"/>
          <w:szCs w:val="21"/>
        </w:rPr>
        <w:t xml:space="preserve">作无效投标</w:t>
      </w:r>
      <w:r>
        <w:rPr>
          <w:rFonts w:ascii="宋体" w:hAnsi="宋体" w:cs="方正仿宋_GBK"/>
          <w:szCs w:val="21"/>
        </w:rPr>
        <w:t xml:space="preserve">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合同条款偏离表</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11.4.1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宋体" w:hAnsi="宋体" w:cs="Arial"/>
          <w:b/>
          <w:bCs/>
          <w:szCs w:val="21"/>
        </w:rPr>
        <w:t xml:space="preserve">无效投标处理</w:t>
      </w:r>
      <w:r>
        <w:rPr>
          <w:rFonts w:ascii="宋体" w:hAnsi="宋体" w:cs="Arial"/>
          <w:szCs w:val="21"/>
        </w:rPr>
        <w:t xml:space="preserve">。</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11.4.2.1评标过程中出现下列情形之一的，评标委员会应当启动异常低价投标审查程序：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（1）投标报价低于全部通过符合性审查投标人投标报价平均值50%的，即投标报价</w:t>
      </w:r>
      <w:r>
        <w:rPr>
          <w:rFonts w:hint="eastAsia" w:ascii="宋体" w:hAnsi="宋体" w:cs="Arial"/>
          <w:szCs w:val="21"/>
        </w:rPr>
        <w:t xml:space="preserve">＜</w:t>
      </w:r>
      <w:r>
        <w:rPr>
          <w:rFonts w:ascii="宋体" w:hAnsi="宋体" w:cs="Arial"/>
          <w:szCs w:val="21"/>
        </w:rPr>
        <w:t xml:space="preserve">全部通过符合性审查投标人投标报价平均值×50%；</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（2）投标报价低于通过符合性审查的次低报价投标人投标报价50%的，即投标报价</w:t>
      </w:r>
      <w:r>
        <w:rPr>
          <w:rFonts w:hint="eastAsia" w:ascii="宋体" w:hAnsi="宋体" w:cs="Arial"/>
          <w:szCs w:val="21"/>
        </w:rPr>
        <w:t xml:space="preserve">＜</w:t>
      </w:r>
      <w:r>
        <w:rPr>
          <w:rFonts w:ascii="宋体" w:hAnsi="宋体" w:cs="Arial"/>
          <w:szCs w:val="21"/>
        </w:rPr>
        <w:t xml:space="preserve">通过符合性审查的次低报价投标人投标报价×50%；</w:t>
      </w:r>
      <w:r/>
    </w:p>
    <w:p>
      <w:pPr>
        <w:ind w:firstLine="420"/>
        <w:spacing w:line="360" w:lineRule="auto"/>
        <w:shd w:val="clear" w:color="auto" w:fill="ffffff"/>
        <w:widowControl/>
        <w:rPr>
          <w:rFonts w:hint="eastAsia" w:ascii="宋体" w:hAnsi="宋体" w:cs="Arial"/>
          <w:b/>
          <w:bCs/>
          <w:szCs w:val="21"/>
        </w:rPr>
      </w:pPr>
      <w:r>
        <w:rPr>
          <w:rFonts w:ascii="宋体" w:hAnsi="宋体" w:cs="Arial"/>
          <w:b/>
          <w:bCs/>
          <w:szCs w:val="21"/>
        </w:rPr>
        <w:t xml:space="preserve">（3）投标报价低于本项目最高限价</w:t>
      </w:r>
      <w:r>
        <w:rPr>
          <w:rFonts w:hint="eastAsia" w:ascii="宋体" w:hAnsi="宋体" w:cs="Arial"/>
          <w:b/>
          <w:bCs/>
          <w:szCs w:val="21"/>
        </w:rPr>
        <w:t xml:space="preserve">6</w:t>
      </w:r>
      <w:r>
        <w:rPr>
          <w:rFonts w:ascii="宋体" w:hAnsi="宋体" w:cs="Arial"/>
          <w:b/>
          <w:bCs/>
          <w:szCs w:val="21"/>
        </w:rPr>
        <w:t xml:space="preserve">5%的，即投标报价</w:t>
      </w:r>
      <w:r>
        <w:rPr>
          <w:rFonts w:hint="eastAsia" w:ascii="宋体" w:hAnsi="宋体" w:cs="Arial"/>
          <w:szCs w:val="21"/>
        </w:rPr>
        <w:t xml:space="preserve">＜</w:t>
      </w:r>
      <w:r>
        <w:rPr>
          <w:rFonts w:ascii="宋体" w:hAnsi="宋体" w:cs="Arial"/>
          <w:b/>
          <w:bCs/>
          <w:szCs w:val="21"/>
        </w:rPr>
        <w:t xml:space="preserve">本项目最高限价×</w:t>
      </w:r>
      <w:r>
        <w:rPr>
          <w:rFonts w:hint="eastAsia" w:ascii="宋体" w:hAnsi="宋体" w:cs="Arial"/>
          <w:b/>
          <w:bCs/>
          <w:szCs w:val="21"/>
        </w:rPr>
        <w:t xml:space="preserve">6</w:t>
      </w:r>
      <w:r>
        <w:rPr>
          <w:rFonts w:ascii="宋体" w:hAnsi="宋体" w:cs="Arial"/>
          <w:b/>
          <w:bCs/>
          <w:szCs w:val="21"/>
        </w:rPr>
        <w:t xml:space="preserve">5%；</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11.4.2.2评标委员会启动异常低价投标审查后，属于11.4.2.1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11.4.2.1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cs="Arial"/>
          <w:szCs w:val="21"/>
        </w:rPr>
      </w:pPr>
      <w:r>
        <w:rPr>
          <w:rFonts w:ascii="宋体" w:hAnsi="宋体" w:cs="Arial"/>
          <w:szCs w:val="21"/>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11.6本项目预算为：详见第一章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16.2 招标代理服务费</w:t>
      </w:r>
      <w:r>
        <w:rPr>
          <w:rFonts w:hint="eastAsia" w:ascii="新宋体" w:hAnsi="新宋体" w:eastAsia="新宋体" w:cs="新宋体"/>
          <w:bCs/>
          <w:szCs w:val="21"/>
        </w:rPr>
        <w:t xml:space="preserve">：</w:t>
      </w:r>
      <w:r>
        <w:rPr>
          <w:rFonts w:ascii="新宋体" w:hAnsi="新宋体" w:eastAsia="新宋体" w:cs="新宋体"/>
          <w:bCs/>
          <w:szCs w:val="21"/>
        </w:rPr>
        <w:t xml:space="preserve">本次招标，除基本避孕药具采购项目10万元以下的采购包，</w:t>
      </w:r>
      <w:r>
        <w:rPr>
          <w:rFonts w:hint="eastAsia" w:ascii="新宋体" w:hAnsi="新宋体" w:eastAsia="新宋体" w:cs="新宋体"/>
          <w:bCs/>
          <w:szCs w:val="21"/>
        </w:rPr>
        <w:t xml:space="preserve">采购人</w:t>
      </w:r>
      <w:r>
        <w:rPr>
          <w:rFonts w:ascii="新宋体" w:hAnsi="新宋体" w:eastAsia="新宋体" w:cs="新宋体"/>
          <w:bCs/>
          <w:szCs w:val="21"/>
        </w:rPr>
        <w:t xml:space="preserve">按照固定比例</w:t>
      </w:r>
      <w:r>
        <w:rPr>
          <w:rFonts w:hint="eastAsia" w:ascii="新宋体" w:hAnsi="新宋体" w:eastAsia="新宋体" w:cs="新宋体"/>
          <w:bCs/>
          <w:szCs w:val="21"/>
        </w:rPr>
        <w:t xml:space="preserve">：</w:t>
      </w:r>
      <w:r>
        <w:rPr>
          <w:rFonts w:ascii="新宋体" w:hAnsi="新宋体" w:eastAsia="新宋体" w:cs="新宋体"/>
          <w:bCs/>
          <w:szCs w:val="21"/>
        </w:rPr>
        <w:t xml:space="preserve">中标金额的0.85%</w:t>
      </w:r>
      <w:r>
        <w:rPr>
          <w:rFonts w:hint="eastAsia" w:ascii="新宋体" w:hAnsi="新宋体" w:eastAsia="新宋体" w:cs="新宋体"/>
          <w:bCs/>
          <w:szCs w:val="21"/>
        </w:rPr>
        <w:t xml:space="preserve">（</w:t>
      </w:r>
      <w:r>
        <w:rPr>
          <w:rFonts w:ascii="新宋体" w:hAnsi="新宋体" w:eastAsia="新宋体" w:cs="新宋体"/>
          <w:bCs/>
          <w:szCs w:val="21"/>
        </w:rPr>
        <w:t xml:space="preserve">千分之八点五</w:t>
      </w:r>
      <w:r>
        <w:rPr>
          <w:rFonts w:hint="eastAsia" w:ascii="新宋体" w:hAnsi="新宋体" w:eastAsia="新宋体" w:cs="新宋体"/>
          <w:bCs/>
          <w:szCs w:val="21"/>
        </w:rPr>
        <w:t xml:space="preserve">）</w:t>
      </w:r>
      <w:r>
        <w:rPr>
          <w:rFonts w:ascii="新宋体" w:hAnsi="新宋体" w:eastAsia="新宋体" w:cs="新宋体"/>
          <w:bCs/>
          <w:szCs w:val="21"/>
        </w:rPr>
        <w:t xml:space="preserve">按照向招标代理机构支付中标服务费。本项费用无需在投标报价表中单列。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18.2 投标人应充分考虑网络环境、网络带宽等因素可能对投标产生的影响，如因投标人自身原因造成的电子投标文件解密不成功的，作无效投标处理。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（1）投标文件未按照招标文件要求加盖电子公章的或者签字；</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w:t>
      </w:r>
      <w:r>
        <w:rPr>
          <w:rFonts w:ascii="宋体" w:hAnsi="宋体" w:cs="方正仿宋_GBK"/>
          <w:b/>
          <w:bCs/>
          <w:i/>
          <w:szCs w:val="21"/>
          <w:u w:val="single"/>
        </w:rPr>
        <w:t xml:space="preserve">斜体加粗且有下划线部分</w:t>
      </w:r>
      <w:r>
        <w:rPr>
          <w:rFonts w:hint="eastAsia" w:ascii="宋体" w:hAnsi="宋体" w:cs="宋体"/>
          <w:b/>
          <w:bCs/>
          <w:szCs w:val="21"/>
        </w:rPr>
        <w:t xml:space="preserve">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22.2.5相同品牌产品的投标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采用最低评标价法的，评标结果按投标报价由低到高顺序排列。投标报价相同的并列。投标文件满足招标文件全部实质性要求且投标报价最低的供应商为排名第一的中标候选人。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rPr>
          <w:rFonts w:hint="eastAsia" w:ascii="宋体" w:hAnsi="宋体" w:cs="宋体"/>
          <w:szCs w:val="20"/>
        </w:rPr>
      </w:pPr>
      <w:r>
        <w:rPr>
          <w:rFonts w:hint="eastAsia" w:ascii="宋体" w:hAnsi="宋体" w:cs="宋体"/>
          <w:szCs w:val="20"/>
        </w:rPr>
      </w:r>
      <w:r/>
    </w:p>
    <w:p>
      <w:pPr>
        <w:rPr>
          <w:rFonts w:hint="eastAsia" w:ascii="宋体" w:hAnsi="宋体" w:cs="宋体"/>
        </w:rPr>
      </w:pPr>
      <w:r>
        <w:rPr>
          <w:rFonts w:hint="eastAsia" w:ascii="宋体" w:hAnsi="宋体" w:cs="宋体"/>
        </w:rPr>
        <w:br w:type="page" w:clear="all"/>
      </w:r>
      <w:r/>
    </w:p>
    <w:p>
      <w:pPr>
        <w:pStyle w:val="935"/>
        <w:numPr>
          <w:ilvl w:val="0"/>
          <w:numId w:val="0"/>
        </w:numPr>
        <w:rPr>
          <w:rFonts w:hint="eastAsia" w:ascii="宋体" w:hAnsi="宋体" w:cs="宋体"/>
        </w:rPr>
      </w:pPr>
      <w:r/>
      <w:bookmarkStart w:id="19" w:name="_Toc237454166"/>
      <w:r>
        <w:rPr>
          <w:rFonts w:hint="eastAsia" w:ascii="宋体" w:hAnsi="宋体" w:cs="宋体"/>
        </w:rPr>
        <w:t xml:space="preserve">第三章 评标标准</w:t>
      </w:r>
      <w:bookmarkEnd w:id="17"/>
      <w:r/>
      <w:bookmarkEnd w:id="19"/>
      <w:r/>
      <w:bookmarkEnd w:id="18"/>
      <w:r/>
      <w:r/>
    </w:p>
    <w:p>
      <w:pPr>
        <w:ind w:firstLine="420"/>
        <w:spacing w:line="360" w:lineRule="auto"/>
        <w:rPr>
          <w:rFonts w:hint="eastAsia" w:ascii="宋体" w:hAnsi="宋体" w:cs="宋体"/>
        </w:rPr>
      </w:pPr>
      <w:r/>
      <w:bookmarkStart w:id="20" w:name="_Toc481057147"/>
      <w:r>
        <w:rPr>
          <w:rFonts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评标委员会按采购包1至采购包4的顺序依次评标，</w:t>
      </w:r>
      <w:r>
        <w:rPr>
          <w:rFonts w:ascii="宋体" w:hAnsi="宋体" w:cs="宋体"/>
          <w:b/>
          <w:bCs/>
        </w:rPr>
        <w:t xml:space="preserve">本项目采购包1-4：兼投不兼中。</w:t>
      </w:r>
      <w:r>
        <w:rPr>
          <w:rFonts w:ascii="宋体" w:hAnsi="宋体" w:cs="宋体"/>
        </w:rPr>
        <w:t xml:space="preserve">对于兼投不兼中的采购包，各投标人可以参与一个或多个采购包的投标，但最多只能中标一个采购包，已经中标的供应商可以参加后续采购包的评审，但不再被推荐为中标候选人。</w:t>
      </w:r>
      <w:r/>
    </w:p>
    <w:tbl>
      <w:tblPr>
        <w:tblStyle w:val="945"/>
        <w:tblW w:w="51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130"/>
        <w:gridCol w:w="6545"/>
        <w:gridCol w:w="611"/>
      </w:tblGrid>
      <w:tr>
        <w:trPr>
          <w:jc w:val="center"/>
          <w:trHeight w:val="526"/>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60" w:lineRule="exact"/>
              <w:rPr>
                <w:b/>
                <w:bCs/>
                <w:szCs w:val="21"/>
              </w:rPr>
            </w:pPr>
            <w:r>
              <w:rPr>
                <w:b/>
                <w:bCs/>
                <w:szCs w:val="21"/>
              </w:rPr>
              <w:t xml:space="preserve">序号</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360" w:lineRule="exact"/>
              <w:rPr>
                <w:b/>
                <w:bCs/>
                <w:szCs w:val="21"/>
              </w:rPr>
            </w:pPr>
            <w:r>
              <w:rPr>
                <w:b/>
                <w:bCs/>
                <w:szCs w:val="21"/>
              </w:rPr>
              <w:t xml:space="preserve">评审因素</w:t>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jc w:val="center"/>
              <w:spacing w:line="360" w:lineRule="exact"/>
              <w:rPr>
                <w:b/>
                <w:bCs/>
                <w:szCs w:val="21"/>
              </w:rPr>
            </w:pPr>
            <w:r>
              <w:rPr>
                <w:b/>
                <w:bCs/>
                <w:szCs w:val="21"/>
              </w:rPr>
              <w:t xml:space="preserve">评审标准</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b/>
                <w:bCs/>
                <w:szCs w:val="21"/>
              </w:rPr>
            </w:pPr>
            <w:r>
              <w:rPr>
                <w:b/>
                <w:bCs/>
                <w:szCs w:val="21"/>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60" w:lineRule="exact"/>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spacing w:line="360" w:lineRule="exact"/>
              <w:rPr>
                <w:szCs w:val="21"/>
              </w:rPr>
            </w:pPr>
            <w:r>
              <w:rPr>
                <w:szCs w:val="21"/>
              </w:rPr>
              <w:t xml:space="preserve">投标报价</w:t>
            </w:r>
            <w:r/>
          </w:p>
          <w:p>
            <w:pPr>
              <w:spacing w:line="360" w:lineRule="exact"/>
              <w:rPr>
                <w:szCs w:val="21"/>
              </w:rPr>
            </w:pPr>
            <w:r>
              <w:rPr>
                <w:szCs w:val="21"/>
              </w:rPr>
              <w:t xml:space="preserve">（30分）</w:t>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szCs w:val="21"/>
              </w:rPr>
              <w:t xml:space="preserve">采用低价优先法计算，即满足招标文件要求且投标总价最低的投标报价为评标基准价，其价格分为满分。其他投标人的价格分统一按照下列公式计算：投标报价得分=（评标基准价/投标总价）×30（小数点保留2位）。</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30</w:t>
            </w:r>
            <w:r/>
          </w:p>
        </w:tc>
      </w:tr>
      <w:tr>
        <w:trPr>
          <w:jc w:val="center"/>
          <w:trHeight w:val="90"/>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360" w:lineRule="exact"/>
              <w:rPr>
                <w:szCs w:val="21"/>
              </w:rPr>
            </w:pPr>
            <w:r>
              <w:rPr>
                <w:szCs w:val="21"/>
              </w:rPr>
              <w:t xml:space="preserve">2</w:t>
            </w:r>
            <w:r/>
          </w:p>
        </w:tc>
        <w:tc>
          <w:tcPr>
            <w:tcBorders>
              <w:top w:val="single" w:color="auto" w:sz="4" w:space="0"/>
              <w:left w:val="single" w:color="auto" w:sz="4" w:space="0"/>
              <w:right w:val="single" w:color="auto" w:sz="4" w:space="0"/>
            </w:tcBorders>
            <w:tcW w:w="631" w:type="pct"/>
            <w:vAlign w:val="center"/>
            <w:textDirection w:val="lrTb"/>
            <w:noWrap w:val="false"/>
          </w:tcPr>
          <w:p>
            <w:pPr>
              <w:jc w:val="center"/>
              <w:spacing w:line="360" w:lineRule="exact"/>
              <w:rPr>
                <w:szCs w:val="21"/>
              </w:rPr>
            </w:pPr>
            <w:r>
              <w:rPr>
                <w:szCs w:val="21"/>
              </w:rPr>
              <w:t xml:space="preserve">需求响应</w:t>
            </w:r>
            <w:r/>
          </w:p>
          <w:p>
            <w:pPr>
              <w:jc w:val="center"/>
              <w:spacing w:line="360" w:lineRule="exact"/>
              <w:rPr>
                <w:szCs w:val="21"/>
              </w:rPr>
            </w:pPr>
            <w:r>
              <w:rPr>
                <w:szCs w:val="21"/>
              </w:rPr>
              <w:t xml:space="preserve">（16分）</w:t>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szCs w:val="21"/>
              </w:rPr>
            </w:pPr>
            <w:r>
              <w:rPr>
                <w:b/>
                <w:bCs/>
                <w:i/>
                <w:szCs w:val="21"/>
                <w:u w:val="single"/>
              </w:rPr>
              <w:t xml:space="preserve">斜体加粗且有下划线部分为实质性要求和条件，如有任何一项不满足则为无效投标。</w:t>
            </w:r>
            <w:r>
              <w:rPr>
                <w:b/>
                <w:szCs w:val="21"/>
              </w:rPr>
              <w:t xml:space="preserve">投标人</w:t>
            </w:r>
            <w:r>
              <w:rPr>
                <w:szCs w:val="21"/>
              </w:rPr>
              <w:t xml:space="preserve">各采购包投标产品对“招标内容及技术要求”的响应程度，</w:t>
            </w:r>
            <w:r>
              <w:rPr>
                <w:bCs/>
                <w:szCs w:val="21"/>
              </w:rPr>
              <w:t xml:space="preserve">本项最高得16分</w:t>
            </w:r>
            <w:r>
              <w:rPr>
                <w:szCs w:val="21"/>
              </w:rPr>
              <w:t xml:space="preserve">：</w:t>
            </w:r>
            <w:r/>
          </w:p>
          <w:p>
            <w:pPr>
              <w:numPr>
                <w:ilvl w:val="0"/>
                <w:numId w:val="6"/>
              </w:numPr>
              <w:jc w:val="left"/>
              <w:spacing w:line="400" w:lineRule="exact"/>
              <w:shd w:val="clear" w:color="auto" w:fill="ffffff"/>
              <w:widowControl/>
              <w:rPr>
                <w:bCs/>
                <w:szCs w:val="21"/>
              </w:rPr>
            </w:pPr>
            <w:r>
              <w:rPr>
                <w:bCs/>
                <w:szCs w:val="21"/>
              </w:rPr>
              <w:t xml:space="preserve">全部响应即满足招标文件的采购需求的得4分。</w:t>
            </w:r>
            <w:r/>
          </w:p>
          <w:p>
            <w:pPr>
              <w:numPr>
                <w:ilvl w:val="0"/>
                <w:numId w:val="6"/>
              </w:numPr>
              <w:jc w:val="left"/>
              <w:spacing w:line="400" w:lineRule="exact"/>
              <w:shd w:val="clear" w:color="auto" w:fill="ffffff"/>
              <w:widowControl/>
              <w:rPr>
                <w:bCs/>
                <w:szCs w:val="21"/>
              </w:rPr>
            </w:pPr>
            <w:r>
              <w:rPr>
                <w:bCs/>
                <w:szCs w:val="21"/>
              </w:rPr>
              <w:t xml:space="preserve">其他有负偏离的每项减2分，扣完为止；</w:t>
            </w:r>
            <w:r/>
          </w:p>
          <w:p>
            <w:pPr>
              <w:numPr>
                <w:ilvl w:val="255"/>
                <w:numId w:val="0"/>
              </w:numPr>
              <w:spacing w:line="360" w:lineRule="exact"/>
              <w:rPr>
                <w:szCs w:val="21"/>
              </w:rPr>
            </w:pPr>
            <w:r>
              <w:rPr>
                <w:szCs w:val="21"/>
              </w:rPr>
              <w:t xml:space="preserve">（3）有正偏离的加分，其中：</w:t>
            </w:r>
            <w:r>
              <w:rPr>
                <w:rFonts w:ascii="Cambria Math" w:hAnsi="Cambria Math" w:cs="Cambria Math"/>
                <w:szCs w:val="21"/>
              </w:rPr>
              <w:t xml:space="preserve">①</w:t>
            </w:r>
            <w:r>
              <w:rPr>
                <w:szCs w:val="21"/>
              </w:rPr>
              <w:t xml:space="preserve">采购包1-4天然橡胶胶乳避孕套，</w:t>
            </w:r>
            <w:r>
              <w:rPr>
                <w:b/>
                <w:bCs/>
                <w:szCs w:val="21"/>
              </w:rPr>
              <w:t xml:space="preserve">爆破压力不小于1.0 kPa，</w:t>
            </w:r>
            <w:r>
              <w:rPr>
                <w:szCs w:val="21"/>
              </w:rPr>
              <w:t xml:space="preserve">爆破体积不小于20dm³；为正偏离，加3分；</w:t>
            </w:r>
            <w:r>
              <w:rPr>
                <w:rFonts w:ascii="Cambria Math" w:hAnsi="Cambria Math" w:cs="Cambria Math"/>
                <w:szCs w:val="21"/>
              </w:rPr>
              <w:t xml:space="preserve">②</w:t>
            </w:r>
            <w:r>
              <w:rPr>
                <w:szCs w:val="21"/>
              </w:rPr>
              <w:t xml:space="preserve">采购包1-4最小包装为定位印花铝膜方包，为正偏离，加3分；</w:t>
            </w:r>
            <w:r>
              <w:rPr>
                <w:rFonts w:ascii="Cambria Math" w:hAnsi="Cambria Math" w:cs="Cambria Math"/>
                <w:szCs w:val="21"/>
              </w:rPr>
              <w:t xml:space="preserve">③</w:t>
            </w:r>
            <w:r>
              <w:rPr>
                <w:szCs w:val="21"/>
              </w:rPr>
              <w:t xml:space="preserve">采购包2水溶性润滑剂 （玻尿酸）润滑剂含量≥800mg，为正偏离，加3分；其余有正偏离的（需经评标委员会一致认可的实质性正偏离），每项加3分，正偏离最高得12分。</w:t>
            </w:r>
            <w:r/>
          </w:p>
          <w:p>
            <w:pPr>
              <w:spacing w:line="360" w:lineRule="exact"/>
              <w:rPr>
                <w:szCs w:val="21"/>
              </w:rPr>
            </w:pPr>
            <w:r>
              <w:rPr>
                <w:szCs w:val="21"/>
              </w:rPr>
              <w:t xml:space="preserve">注：投标人需在“采购需求</w:t>
            </w:r>
            <w:r>
              <w:rPr>
                <w:szCs w:val="21"/>
              </w:rPr>
              <w:t xml:space="preserve">偏离表</w:t>
            </w:r>
            <w:r>
              <w:rPr>
                <w:szCs w:val="21"/>
              </w:rPr>
              <w:t xml:space="preserve">”中如实逐项填列所投产品的参数，如招标文件要求提供相应证明材料的，应在偏离表中注明证明材料所在投标文件的位置。</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16</w:t>
            </w:r>
            <w:r/>
          </w:p>
        </w:tc>
      </w:tr>
      <w:tr>
        <w:trPr>
          <w:jc w:val="center"/>
          <w:trHeight w:val="1195"/>
        </w:trPr>
        <w:tc>
          <w:tcPr>
            <w:tcBorders>
              <w:top w:val="single" w:color="auto" w:sz="4" w:space="0"/>
              <w:left w:val="single" w:color="auto" w:sz="4" w:space="0"/>
              <w:right w:val="single" w:color="auto" w:sz="4" w:space="0"/>
            </w:tcBorders>
            <w:tcW w:w="374" w:type="pct"/>
            <w:vAlign w:val="center"/>
            <w:vMerge w:val="restart"/>
            <w:textDirection w:val="lrTb"/>
            <w:noWrap w:val="false"/>
          </w:tcPr>
          <w:p>
            <w:pPr>
              <w:jc w:val="center"/>
              <w:spacing w:line="360" w:lineRule="exact"/>
              <w:rPr>
                <w:szCs w:val="21"/>
              </w:rPr>
            </w:pPr>
            <w:r>
              <w:rPr>
                <w:szCs w:val="21"/>
              </w:rPr>
              <w:t xml:space="preserve">3</w:t>
            </w:r>
            <w:r/>
          </w:p>
        </w:tc>
        <w:tc>
          <w:tcPr>
            <w:tcBorders>
              <w:top w:val="single" w:color="auto" w:sz="4" w:space="0"/>
              <w:left w:val="single" w:color="auto" w:sz="4" w:space="0"/>
              <w:right w:val="single" w:color="auto" w:sz="4" w:space="0"/>
            </w:tcBorders>
            <w:tcW w:w="631" w:type="pct"/>
            <w:vAlign w:val="center"/>
            <w:vMerge w:val="restart"/>
            <w:textDirection w:val="lrTb"/>
            <w:noWrap w:val="false"/>
          </w:tcPr>
          <w:p>
            <w:pPr>
              <w:spacing w:line="360" w:lineRule="exact"/>
              <w:rPr>
                <w:szCs w:val="21"/>
              </w:rPr>
            </w:pPr>
            <w:r>
              <w:rPr>
                <w:szCs w:val="21"/>
              </w:rPr>
              <w:t xml:space="preserve">履约能力</w:t>
            </w:r>
            <w:r/>
          </w:p>
          <w:p>
            <w:pPr>
              <w:spacing w:line="360" w:lineRule="exact"/>
              <w:rPr>
                <w:szCs w:val="21"/>
              </w:rPr>
            </w:pPr>
            <w:r>
              <w:rPr>
                <w:szCs w:val="21"/>
              </w:rPr>
              <w:t xml:space="preserve">（</w:t>
            </w:r>
            <w:r>
              <w:rPr>
                <w:rFonts w:hint="eastAsia"/>
                <w:szCs w:val="21"/>
              </w:rPr>
              <w:t xml:space="preserve">20</w:t>
            </w:r>
            <w:r>
              <w:rPr>
                <w:szCs w:val="21"/>
              </w:rPr>
              <w:t xml:space="preserve">分）</w:t>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3.1 管理体系认证</w:t>
            </w:r>
            <w:r/>
          </w:p>
          <w:p>
            <w:pPr>
              <w:spacing w:line="360" w:lineRule="exact"/>
              <w:rPr>
                <w:szCs w:val="21"/>
              </w:rPr>
            </w:pPr>
            <w:r>
              <w:rPr>
                <w:szCs w:val="21"/>
              </w:rPr>
              <w:t xml:space="preserve">投标人具有ISO13485医疗器械质量管理体系认证的得1分，本项最高得1分。</w:t>
            </w:r>
            <w:r/>
          </w:p>
          <w:p>
            <w:pPr>
              <w:spacing w:line="360" w:lineRule="exact"/>
              <w:rPr>
                <w:szCs w:val="21"/>
              </w:rPr>
            </w:pPr>
            <w:r>
              <w:rPr>
                <w:szCs w:val="21"/>
              </w:rPr>
              <w:t xml:space="preserve">注：提供清晰有效的证书复印件。</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1</w:t>
            </w:r>
            <w:r/>
          </w:p>
        </w:tc>
      </w:tr>
      <w:tr>
        <w:trPr>
          <w:jc w:val="center"/>
          <w:trHeight w:val="415"/>
        </w:trPr>
        <w:tc>
          <w:tcPr>
            <w:tcBorders>
              <w:left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3.2 成功案例</w:t>
            </w:r>
            <w:r/>
          </w:p>
          <w:p>
            <w:pPr>
              <w:spacing w:line="360" w:lineRule="exact"/>
              <w:rPr>
                <w:szCs w:val="21"/>
              </w:rPr>
            </w:pPr>
            <w:r>
              <w:rPr>
                <w:szCs w:val="21"/>
              </w:rPr>
              <w:t xml:space="preserve">投标人2024年1月1日至今，每有一项所投品种产品采购业绩的，得1分，最高得3分。</w:t>
            </w:r>
            <w:r/>
          </w:p>
          <w:p>
            <w:pPr>
              <w:spacing w:line="360" w:lineRule="exact"/>
              <w:rPr>
                <w:szCs w:val="21"/>
              </w:rPr>
            </w:pPr>
            <w:r>
              <w:rPr>
                <w:szCs w:val="21"/>
              </w:rPr>
              <w:t xml:space="preserve">注：</w:t>
            </w:r>
            <w:r>
              <w:rPr>
                <w:rFonts w:ascii="Cambria Math" w:hAnsi="Cambria Math" w:cs="Cambria Math"/>
                <w:szCs w:val="21"/>
              </w:rPr>
              <w:t xml:space="preserve">①</w:t>
            </w:r>
            <w:r>
              <w:rPr>
                <w:szCs w:val="21"/>
              </w:rPr>
              <w:t xml:space="preserve">需提供清晰有效的合同复印件，时间以合同签订时间为准；</w:t>
            </w:r>
            <w:r>
              <w:rPr>
                <w:rFonts w:ascii="Cambria Math" w:hAnsi="Cambria Math" w:cs="Cambria Math"/>
                <w:szCs w:val="21"/>
              </w:rPr>
              <w:t xml:space="preserve">②</w:t>
            </w:r>
            <w:r>
              <w:rPr>
                <w:szCs w:val="21"/>
              </w:rPr>
              <w:t xml:space="preserve">需与各分包品种一致，否则不计分；</w:t>
            </w:r>
            <w:r>
              <w:rPr>
                <w:rFonts w:ascii="Cambria Math" w:hAnsi="Cambria Math" w:cs="Cambria Math"/>
                <w:szCs w:val="21"/>
              </w:rPr>
              <w:t xml:space="preserve">③</w:t>
            </w:r>
            <w:r>
              <w:rPr>
                <w:szCs w:val="21"/>
              </w:rPr>
              <w:t xml:space="preserve">与经销商之间的业绩均不计；</w:t>
            </w:r>
            <w:r>
              <w:rPr>
                <w:rFonts w:ascii="Cambria Math" w:hAnsi="Cambria Math" w:cs="Cambria Math"/>
                <w:szCs w:val="21"/>
              </w:rPr>
              <w:t xml:space="preserve">④</w:t>
            </w:r>
            <w:r>
              <w:rPr>
                <w:szCs w:val="21"/>
              </w:rPr>
              <w:t xml:space="preserve">同一业主不同业绩合同只计一次。</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3</w:t>
            </w:r>
            <w:r/>
          </w:p>
        </w:tc>
      </w:tr>
      <w:tr>
        <w:trPr>
          <w:jc w:val="center"/>
          <w:trHeight w:val="2174"/>
        </w:trPr>
        <w:tc>
          <w:tcPr>
            <w:tcBorders>
              <w:left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3.3 用户评价</w:t>
            </w:r>
            <w:r/>
          </w:p>
          <w:p>
            <w:pPr>
              <w:spacing w:line="360" w:lineRule="exact"/>
              <w:rPr>
                <w:szCs w:val="21"/>
              </w:rPr>
            </w:pPr>
            <w:r>
              <w:rPr>
                <w:szCs w:val="21"/>
              </w:rPr>
              <w:t xml:space="preserve">投标人提供上述3.2成功案例（有效计分的业绩）的客户对所投产品的供货评价。</w:t>
            </w:r>
            <w:r/>
          </w:p>
          <w:p>
            <w:pPr>
              <w:spacing w:line="360" w:lineRule="exact"/>
              <w:rPr>
                <w:szCs w:val="21"/>
              </w:rPr>
            </w:pPr>
            <w:r>
              <w:rPr>
                <w:szCs w:val="21"/>
              </w:rPr>
              <w:t xml:space="preserve">（1）履约反馈和用户满意度高，高效完成项目业绩，验收合格率高的，有1份得1分，最高得2分；</w:t>
            </w:r>
            <w:r/>
          </w:p>
          <w:p>
            <w:pPr>
              <w:spacing w:line="360" w:lineRule="exact"/>
              <w:rPr>
                <w:szCs w:val="21"/>
              </w:rPr>
            </w:pPr>
            <w:r>
              <w:rPr>
                <w:szCs w:val="21"/>
              </w:rPr>
              <w:t xml:space="preserve">（2）履约反馈和用户满意度基本满意或一般的，不得分；</w:t>
            </w:r>
            <w:r/>
          </w:p>
          <w:p>
            <w:pPr>
              <w:spacing w:line="360" w:lineRule="exact"/>
              <w:rPr>
                <w:szCs w:val="21"/>
              </w:rPr>
            </w:pPr>
            <w:r>
              <w:rPr>
                <w:szCs w:val="21"/>
              </w:rPr>
              <w:t xml:space="preserve">（3）未提供相关证明材料的，不得分。</w:t>
            </w:r>
            <w:r/>
          </w:p>
          <w:p>
            <w:pPr>
              <w:spacing w:line="360" w:lineRule="exact"/>
              <w:rPr>
                <w:szCs w:val="21"/>
              </w:rPr>
            </w:pPr>
            <w:r>
              <w:rPr>
                <w:szCs w:val="21"/>
              </w:rPr>
              <w:t xml:space="preserve">注：提供评价单位的联系人、联系电话、评价单位或其项目主管部门盖章的评价文件，否则不得分。</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2</w:t>
            </w:r>
            <w:r/>
          </w:p>
        </w:tc>
      </w:tr>
      <w:tr>
        <w:trPr>
          <w:jc w:val="center"/>
          <w:trHeight w:val="90"/>
        </w:trPr>
        <w:tc>
          <w:tcPr>
            <w:tcBorders>
              <w:left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3.4 生产环境</w:t>
            </w:r>
            <w:r/>
          </w:p>
          <w:p>
            <w:pPr>
              <w:spacing w:line="360" w:lineRule="exact"/>
              <w:rPr>
                <w:szCs w:val="21"/>
              </w:rPr>
            </w:pPr>
            <w:r>
              <w:rPr>
                <w:szCs w:val="21"/>
              </w:rPr>
              <w:t xml:space="preserve">投标人的生产环境符合国家规定要求，提供2024年1月1日以来，由第三方检测机构出具的符合10万级洁净度要求的生产环境检测报告的，得1分。</w:t>
            </w:r>
            <w:r/>
          </w:p>
          <w:p>
            <w:pPr>
              <w:spacing w:line="360" w:lineRule="exact"/>
              <w:rPr>
                <w:szCs w:val="21"/>
              </w:rPr>
            </w:pPr>
            <w:r>
              <w:rPr>
                <w:szCs w:val="21"/>
              </w:rPr>
              <w:t xml:space="preserve">注：提供证明材料，否则不得分。</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1</w:t>
            </w:r>
            <w:r/>
          </w:p>
        </w:tc>
      </w:tr>
      <w:tr>
        <w:trPr>
          <w:jc w:val="center"/>
          <w:trHeight w:val="1555"/>
        </w:trPr>
        <w:tc>
          <w:tcPr>
            <w:tcBorders>
              <w:left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3.5 检测能力</w:t>
            </w:r>
            <w:r/>
          </w:p>
          <w:p>
            <w:pPr>
              <w:spacing w:line="360" w:lineRule="exact"/>
              <w:rPr>
                <w:b/>
                <w:bCs/>
                <w:szCs w:val="21"/>
              </w:rPr>
            </w:pPr>
            <w:r>
              <w:rPr>
                <w:b/>
                <w:bCs/>
                <w:szCs w:val="21"/>
              </w:rPr>
              <w:t xml:space="preserve">3.5.1 检测人员</w:t>
            </w:r>
            <w:r/>
          </w:p>
          <w:p>
            <w:pPr>
              <w:spacing w:line="360" w:lineRule="exact"/>
              <w:rPr>
                <w:szCs w:val="21"/>
              </w:rPr>
            </w:pPr>
            <w:r>
              <w:rPr>
                <w:szCs w:val="21"/>
              </w:rPr>
              <w:t xml:space="preserve">投标人具有医疗器械质量管理体系内审员培训合格证书（或由国家乳胶制品质量监督检验中心颁发的橡胶或避孕套产品等标准检测培训合格证书）的检测人员的，每配备1名人员得1分，本项最高2分。</w:t>
            </w:r>
            <w:r/>
          </w:p>
          <w:p>
            <w:pPr>
              <w:spacing w:line="360" w:lineRule="exact"/>
              <w:rPr>
                <w:szCs w:val="21"/>
              </w:rPr>
            </w:pPr>
            <w:r>
              <w:rPr>
                <w:szCs w:val="21"/>
              </w:rPr>
              <w:t xml:space="preserve">注：提供人员证书及投标人为检测人员缴纳的近六个月任意一个月社保证明。</w:t>
            </w:r>
            <w:r/>
          </w:p>
          <w:p>
            <w:pPr>
              <w:spacing w:line="360" w:lineRule="exact"/>
              <w:rPr>
                <w:b/>
                <w:bCs/>
                <w:szCs w:val="21"/>
              </w:rPr>
            </w:pPr>
            <w:r>
              <w:rPr>
                <w:b/>
                <w:bCs/>
                <w:szCs w:val="21"/>
              </w:rPr>
              <w:t xml:space="preserve">3.5.2 检测仪器、设备</w:t>
            </w:r>
            <w:r/>
          </w:p>
          <w:p>
            <w:pPr>
              <w:spacing w:line="360" w:lineRule="exact"/>
              <w:rPr>
                <w:szCs w:val="21"/>
              </w:rPr>
            </w:pPr>
            <w:r>
              <w:rPr>
                <w:szCs w:val="21"/>
              </w:rPr>
              <w:t xml:space="preserve">投标人配备投标产品质量检测相应的仪器、设备：</w:t>
            </w:r>
            <w:r>
              <w:rPr>
                <w:rFonts w:ascii="Cambria Math" w:hAnsi="Cambria Math" w:cs="Cambria Math"/>
                <w:szCs w:val="21"/>
              </w:rPr>
              <w:t xml:space="preserve">①</w:t>
            </w:r>
            <w:r>
              <w:rPr>
                <w:szCs w:val="21"/>
              </w:rPr>
              <w:t xml:space="preserve">爆破容量检测仪；</w:t>
            </w:r>
            <w:r>
              <w:rPr>
                <w:rFonts w:ascii="Cambria Math" w:hAnsi="Cambria Math" w:cs="Cambria Math"/>
                <w:szCs w:val="21"/>
              </w:rPr>
              <w:t xml:space="preserve">②</w:t>
            </w:r>
            <w:r>
              <w:rPr>
                <w:szCs w:val="21"/>
              </w:rPr>
              <w:t xml:space="preserve">针孔检测仪（漏水检测设备/电检检测设备）；</w:t>
            </w:r>
            <w:r>
              <w:rPr>
                <w:rFonts w:ascii="Cambria Math" w:hAnsi="Cambria Math" w:cs="Cambria Math"/>
                <w:szCs w:val="21"/>
              </w:rPr>
              <w:t xml:space="preserve">③</w:t>
            </w:r>
            <w:r>
              <w:rPr>
                <w:szCs w:val="21"/>
              </w:rPr>
              <w:t xml:space="preserve">老化试验箱；</w:t>
            </w:r>
            <w:r>
              <w:rPr>
                <w:rFonts w:ascii="Cambria Math" w:hAnsi="Cambria Math" w:cs="Cambria Math"/>
                <w:szCs w:val="21"/>
              </w:rPr>
              <w:t xml:space="preserve">④</w:t>
            </w:r>
            <w:r>
              <w:rPr>
                <w:szCs w:val="21"/>
              </w:rPr>
              <w:t xml:space="preserve">包装完整性检测设备；以上4项仪器、设备每有1个得1分，最高得4分。 </w:t>
            </w:r>
            <w:r/>
          </w:p>
          <w:p>
            <w:pPr>
              <w:spacing w:line="360" w:lineRule="exact"/>
              <w:rPr>
                <w:szCs w:val="21"/>
              </w:rPr>
            </w:pPr>
            <w:r>
              <w:rPr>
                <w:szCs w:val="21"/>
              </w:rPr>
              <w:t xml:space="preserve">注：提供上述检测仪器一览表（包括仪器名称、品牌型号、购置年限、数量）、上述仪器、设备图片及购置</w:t>
            </w:r>
            <w:r>
              <w:rPr>
                <w:rFonts w:hint="eastAsia"/>
                <w:szCs w:val="21"/>
              </w:rPr>
              <w:t xml:space="preserve">证明</w:t>
            </w:r>
            <w:r>
              <w:rPr>
                <w:rFonts w:hint="eastAsia"/>
                <w:szCs w:val="21"/>
                <w:u w:val="single"/>
              </w:rPr>
              <w:t xml:space="preserve">（发票、付款证明等）</w:t>
            </w:r>
            <w:r>
              <w:rPr>
                <w:szCs w:val="21"/>
              </w:rPr>
              <w:t xml:space="preserve">。</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6</w:t>
            </w:r>
            <w:r/>
          </w:p>
        </w:tc>
      </w:tr>
      <w:tr>
        <w:trPr>
          <w:jc w:val="center"/>
          <w:trHeight w:val="90"/>
        </w:trPr>
        <w:tc>
          <w:tcPr>
            <w:tcBorders>
              <w:left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3.6 产品追溯评价</w:t>
            </w:r>
            <w:r/>
          </w:p>
          <w:p>
            <w:pPr>
              <w:spacing w:line="360" w:lineRule="exact"/>
              <w:rPr>
                <w:szCs w:val="21"/>
              </w:rPr>
            </w:pPr>
            <w:r>
              <w:rPr>
                <w:szCs w:val="21"/>
              </w:rPr>
              <w:t xml:space="preserve">投标人具有产品追溯性，流向、质量的信息化系统的得1分，没有不得分。</w:t>
            </w:r>
            <w:r/>
          </w:p>
          <w:p>
            <w:pPr>
              <w:spacing w:line="360" w:lineRule="exact"/>
              <w:rPr>
                <w:szCs w:val="21"/>
              </w:rPr>
            </w:pPr>
            <w:r>
              <w:rPr>
                <w:szCs w:val="21"/>
              </w:rPr>
              <w:t xml:space="preserve">注：提供相关证明材料。</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1</w:t>
            </w:r>
            <w:r/>
          </w:p>
        </w:tc>
      </w:tr>
      <w:tr>
        <w:trPr>
          <w:jc w:val="center"/>
          <w:trHeight w:val="90"/>
        </w:trPr>
        <w:tc>
          <w:tcPr>
            <w:tcBorders>
              <w:left w:val="single" w:color="auto" w:sz="4" w:space="0"/>
              <w:bottom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3.7 仓储能力</w:t>
            </w:r>
            <w:r/>
          </w:p>
          <w:p>
            <w:pPr>
              <w:spacing w:line="360" w:lineRule="exact"/>
              <w:rPr>
                <w:szCs w:val="21"/>
              </w:rPr>
            </w:pPr>
            <w:r>
              <w:rPr>
                <w:szCs w:val="21"/>
              </w:rPr>
              <w:t xml:space="preserve">投标人应具备完成本项目相应的仓储能力，根据投标人提供的拟投入本项目使用的仓储场地和环境的情况说明以及仓储管理制度、现场照片等进行评审：</w:t>
            </w:r>
            <w:r/>
          </w:p>
          <w:p>
            <w:pPr>
              <w:spacing w:line="360" w:lineRule="exact"/>
              <w:rPr>
                <w:szCs w:val="21"/>
              </w:rPr>
            </w:pPr>
            <w:r>
              <w:rPr>
                <w:szCs w:val="21"/>
              </w:rPr>
              <w:t xml:space="preserve">（1）投标人仓储场地充足、仓储管理制度详细、科学、可行的，得</w:t>
            </w:r>
            <w:r>
              <w:rPr>
                <w:rFonts w:hint="eastAsia"/>
                <w:szCs w:val="21"/>
              </w:rPr>
              <w:t xml:space="preserve">3</w:t>
            </w:r>
            <w:r>
              <w:rPr>
                <w:szCs w:val="21"/>
              </w:rPr>
              <w:t xml:space="preserve">分；</w:t>
            </w:r>
            <w:r/>
          </w:p>
          <w:p>
            <w:pPr>
              <w:spacing w:line="360" w:lineRule="exact"/>
              <w:rPr>
                <w:szCs w:val="21"/>
              </w:rPr>
            </w:pPr>
            <w:r>
              <w:rPr>
                <w:szCs w:val="21"/>
              </w:rPr>
              <w:t xml:space="preserve">（2）投标人仓储场地基本满足、仓储管理制度基本可行的，得</w:t>
            </w:r>
            <w:r>
              <w:rPr>
                <w:rFonts w:hint="eastAsia"/>
                <w:szCs w:val="21"/>
              </w:rPr>
              <w:t xml:space="preserve">2</w:t>
            </w:r>
            <w:r>
              <w:rPr>
                <w:szCs w:val="21"/>
              </w:rPr>
              <w:t xml:space="preserve">分；</w:t>
            </w:r>
            <w:r/>
          </w:p>
          <w:p>
            <w:pPr>
              <w:spacing w:line="360" w:lineRule="exact"/>
              <w:rPr>
                <w:szCs w:val="21"/>
              </w:rPr>
            </w:pPr>
            <w:r>
              <w:rPr>
                <w:szCs w:val="21"/>
              </w:rPr>
              <w:t xml:space="preserve">（3）投标人仓储场地不足、仓储管理制度不够完善的，得</w:t>
            </w:r>
            <w:r>
              <w:rPr>
                <w:rFonts w:hint="eastAsia"/>
                <w:szCs w:val="21"/>
              </w:rPr>
              <w:t xml:space="preserve">1</w:t>
            </w:r>
            <w:r>
              <w:rPr>
                <w:szCs w:val="21"/>
              </w:rPr>
              <w:t xml:space="preserve">分；</w:t>
            </w:r>
            <w:r/>
          </w:p>
          <w:p>
            <w:pPr>
              <w:spacing w:line="360" w:lineRule="exact"/>
              <w:rPr>
                <w:b/>
                <w:bCs/>
                <w:szCs w:val="21"/>
              </w:rPr>
            </w:pPr>
            <w:r>
              <w:rPr>
                <w:szCs w:val="21"/>
              </w:rPr>
              <w:t xml:space="preserve">注：未提供的不得分。</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rFonts w:hint="eastAsia"/>
                <w:szCs w:val="21"/>
              </w:rPr>
              <w:t xml:space="preserve">3</w:t>
            </w:r>
            <w:r/>
          </w:p>
        </w:tc>
      </w:tr>
      <w:tr>
        <w:trPr>
          <w:jc w:val="center"/>
          <w:trHeight w:val="90"/>
        </w:trPr>
        <w:tc>
          <w:tcPr>
            <w:tcBorders>
              <w:left w:val="single" w:color="auto" w:sz="4" w:space="0"/>
              <w:bottom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3.8 配套拎袋供应承诺</w:t>
            </w:r>
            <w:r/>
          </w:p>
          <w:p>
            <w:pPr>
              <w:spacing w:line="360" w:lineRule="exact"/>
              <w:rPr>
                <w:b/>
                <w:bCs/>
                <w:szCs w:val="21"/>
              </w:rPr>
            </w:pPr>
            <w:r>
              <w:rPr>
                <w:b/>
                <w:bCs/>
                <w:szCs w:val="21"/>
              </w:rPr>
              <w:t xml:space="preserve">投标人</w:t>
            </w:r>
            <w:r>
              <w:rPr>
                <w:rFonts w:hint="eastAsia"/>
                <w:b/>
                <w:bCs/>
                <w:szCs w:val="21"/>
              </w:rPr>
              <w:t xml:space="preserve">承诺</w:t>
            </w:r>
            <w:r>
              <w:rPr>
                <w:b/>
                <w:bCs/>
                <w:szCs w:val="21"/>
              </w:rPr>
              <w:t xml:space="preserve">每箱提供10个定制拎袋</w:t>
            </w:r>
            <w:r>
              <w:rPr>
                <w:b/>
                <w:bCs/>
                <w:szCs w:val="21"/>
                <w:u w:val="single"/>
              </w:rPr>
              <w:t xml:space="preserve">（尺寸</w:t>
            </w:r>
            <w:r>
              <w:rPr>
                <w:rFonts w:hint="eastAsia"/>
                <w:b/>
                <w:bCs/>
                <w:szCs w:val="21"/>
                <w:u w:val="single"/>
              </w:rPr>
              <w:t xml:space="preserve">28</w:t>
            </w:r>
            <w:r>
              <w:rPr>
                <w:b/>
                <w:bCs/>
                <w:szCs w:val="21"/>
                <w:u w:val="single"/>
              </w:rPr>
              <w:t xml:space="preserve">×</w:t>
            </w:r>
            <w:r>
              <w:rPr>
                <w:rFonts w:hint="eastAsia"/>
                <w:b/>
                <w:bCs/>
                <w:szCs w:val="21"/>
                <w:u w:val="single"/>
              </w:rPr>
              <w:t xml:space="preserve">2</w:t>
            </w:r>
            <w:r>
              <w:rPr>
                <w:b/>
                <w:bCs/>
                <w:szCs w:val="21"/>
                <w:u w:val="single"/>
              </w:rPr>
              <w:t xml:space="preserve">0×</w:t>
            </w:r>
            <w:r>
              <w:rPr>
                <w:rFonts w:hint="eastAsia"/>
                <w:b/>
                <w:bCs/>
                <w:szCs w:val="21"/>
                <w:u w:val="single"/>
              </w:rPr>
              <w:t xml:space="preserve">10</w:t>
            </w:r>
            <w:r>
              <w:rPr>
                <w:b/>
                <w:bCs/>
                <w:szCs w:val="21"/>
                <w:u w:val="single"/>
              </w:rPr>
              <w:t xml:space="preserve">cm，</w:t>
            </w:r>
            <w:r>
              <w:rPr>
                <w:rFonts w:hint="eastAsia"/>
                <w:b/>
                <w:bCs/>
                <w:szCs w:val="21"/>
                <w:u w:val="single"/>
              </w:rPr>
              <w:t xml:space="preserve">≥</w:t>
            </w:r>
            <w:r>
              <w:rPr>
                <w:b/>
                <w:bCs/>
                <w:szCs w:val="21"/>
                <w:u w:val="single"/>
              </w:rPr>
              <w:t xml:space="preserve">250g牛皮纸，</w:t>
            </w:r>
            <w:r>
              <w:rPr>
                <w:b/>
                <w:bCs/>
                <w:szCs w:val="21"/>
              </w:rPr>
              <w:t xml:space="preserve">印“江苏药品药具公共服务”公众号二维码），得3分。</w:t>
            </w:r>
            <w:r/>
          </w:p>
          <w:p>
            <w:pPr>
              <w:spacing w:line="360" w:lineRule="exact"/>
              <w:rPr>
                <w:szCs w:val="21"/>
              </w:rPr>
            </w:pPr>
            <w:r>
              <w:rPr>
                <w:b/>
                <w:bCs/>
                <w:szCs w:val="21"/>
              </w:rPr>
              <w:t xml:space="preserve">注：提供承诺书加盖公章，未提供或未承诺的不得分</w:t>
            </w:r>
            <w:r>
              <w:rPr>
                <w:rFonts w:hint="eastAsia"/>
                <w:b/>
                <w:bCs/>
                <w:szCs w:val="21"/>
                <w:u w:val="single"/>
              </w:rPr>
              <w:t xml:space="preserve">（无需提供样品）</w:t>
            </w:r>
            <w:r>
              <w:rPr>
                <w:b/>
                <w:bCs/>
                <w:szCs w:val="21"/>
              </w:rPr>
              <w:t xml:space="preserve">。</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3</w:t>
            </w:r>
            <w:r/>
          </w:p>
        </w:tc>
      </w:tr>
      <w:tr>
        <w:trPr>
          <w:jc w:val="center"/>
          <w:trHeight w:val="1820"/>
        </w:trPr>
        <w:tc>
          <w:tcPr>
            <w:tcBorders>
              <w:top w:val="single" w:color="auto" w:sz="4" w:space="0"/>
              <w:left w:val="single" w:color="auto" w:sz="4" w:space="0"/>
              <w:right w:val="single" w:color="auto" w:sz="4" w:space="0"/>
            </w:tcBorders>
            <w:tcW w:w="374" w:type="pct"/>
            <w:vAlign w:val="center"/>
            <w:vMerge w:val="restart"/>
            <w:textDirection w:val="lrTb"/>
            <w:noWrap w:val="false"/>
          </w:tcPr>
          <w:p>
            <w:pPr>
              <w:jc w:val="center"/>
              <w:spacing w:line="360" w:lineRule="exact"/>
              <w:rPr>
                <w:szCs w:val="21"/>
              </w:rPr>
            </w:pPr>
            <w:r>
              <w:rPr>
                <w:szCs w:val="21"/>
              </w:rPr>
              <w:t xml:space="preserve">4</w:t>
            </w:r>
            <w:r/>
          </w:p>
        </w:tc>
        <w:tc>
          <w:tcPr>
            <w:tcBorders>
              <w:top w:val="single" w:color="auto" w:sz="4" w:space="0"/>
              <w:left w:val="single" w:color="auto" w:sz="4" w:space="0"/>
              <w:right w:val="single" w:color="auto" w:sz="4" w:space="0"/>
            </w:tcBorders>
            <w:tcW w:w="631" w:type="pct"/>
            <w:vAlign w:val="center"/>
            <w:vMerge w:val="restart"/>
            <w:textDirection w:val="lrTb"/>
            <w:noWrap w:val="false"/>
          </w:tcPr>
          <w:p>
            <w:pPr>
              <w:spacing w:line="360" w:lineRule="exact"/>
              <w:rPr>
                <w:szCs w:val="21"/>
              </w:rPr>
            </w:pPr>
            <w:r>
              <w:rPr>
                <w:szCs w:val="21"/>
              </w:rPr>
              <w:t xml:space="preserve">质量评价</w:t>
            </w:r>
            <w:r/>
          </w:p>
          <w:p>
            <w:pPr>
              <w:spacing w:line="360" w:lineRule="exact"/>
              <w:rPr>
                <w:szCs w:val="21"/>
              </w:rPr>
            </w:pPr>
            <w:r>
              <w:rPr>
                <w:szCs w:val="21"/>
              </w:rPr>
              <w:t xml:space="preserve">（</w:t>
            </w:r>
            <w:r>
              <w:rPr>
                <w:rFonts w:hint="eastAsia"/>
                <w:szCs w:val="21"/>
              </w:rPr>
              <w:t xml:space="preserve">6</w:t>
            </w:r>
            <w:r>
              <w:rPr>
                <w:szCs w:val="21"/>
              </w:rPr>
              <w:t xml:space="preserve">分）</w:t>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4.1 产品检验</w:t>
            </w:r>
            <w:r/>
          </w:p>
          <w:p>
            <w:pPr>
              <w:spacing w:line="360" w:lineRule="exact"/>
              <w:rPr>
                <w:szCs w:val="21"/>
              </w:rPr>
            </w:pPr>
            <w:r>
              <w:rPr>
                <w:szCs w:val="21"/>
              </w:rPr>
              <w:t xml:space="preserve">提供自2024年1月1日以来，具备法定资质的第三方检验机构出具的所投产品全项检验合格报告（抽检或送检），每提供1批次的检测报告，得1分，最高得3分。</w:t>
            </w:r>
            <w:r/>
          </w:p>
          <w:p>
            <w:pPr>
              <w:spacing w:line="360" w:lineRule="exact"/>
              <w:rPr>
                <w:szCs w:val="21"/>
              </w:rPr>
            </w:pPr>
            <w:r>
              <w:rPr>
                <w:szCs w:val="21"/>
              </w:rPr>
              <w:t xml:space="preserve">注：提供清晰有效的检验报告复印件。</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3</w:t>
            </w:r>
            <w:r/>
          </w:p>
        </w:tc>
      </w:tr>
      <w:tr>
        <w:trPr>
          <w:jc w:val="center"/>
        </w:trPr>
        <w:tc>
          <w:tcPr>
            <w:tcBorders>
              <w:left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4.2</w:t>
            </w:r>
            <w:r>
              <w:rPr>
                <w:rFonts w:hint="eastAsia"/>
                <w:b/>
                <w:bCs/>
                <w:szCs w:val="21"/>
              </w:rPr>
              <w:t xml:space="preserve"> </w:t>
            </w:r>
            <w:r>
              <w:rPr>
                <w:b/>
                <w:bCs/>
                <w:szCs w:val="21"/>
              </w:rPr>
              <w:t xml:space="preserve">供应商管理措施</w:t>
            </w:r>
            <w:r/>
          </w:p>
          <w:p>
            <w:pPr>
              <w:spacing w:line="360" w:lineRule="exact"/>
              <w:rPr>
                <w:szCs w:val="21"/>
              </w:rPr>
            </w:pPr>
            <w:r>
              <w:rPr>
                <w:szCs w:val="21"/>
              </w:rPr>
              <w:t xml:space="preserve">（1）详细、全面、完善，科学、可行的，得3分；</w:t>
            </w:r>
            <w:r/>
          </w:p>
          <w:p>
            <w:pPr>
              <w:spacing w:line="360" w:lineRule="exact"/>
              <w:rPr>
                <w:szCs w:val="21"/>
              </w:rPr>
            </w:pPr>
            <w:r>
              <w:rPr>
                <w:szCs w:val="21"/>
              </w:rPr>
              <w:t xml:space="preserve">（2）基本完整，内容基本可行的，得2分；</w:t>
            </w:r>
            <w:r/>
          </w:p>
          <w:p>
            <w:pPr>
              <w:spacing w:line="360" w:lineRule="exact"/>
              <w:rPr>
                <w:szCs w:val="21"/>
              </w:rPr>
            </w:pPr>
            <w:r>
              <w:rPr>
                <w:szCs w:val="21"/>
              </w:rPr>
              <w:t xml:space="preserve">（3）简单，内容不够完善的，得1分；</w:t>
            </w:r>
            <w:r/>
          </w:p>
          <w:p>
            <w:pPr>
              <w:spacing w:line="360" w:lineRule="exact"/>
              <w:rPr>
                <w:szCs w:val="21"/>
              </w:rPr>
            </w:pPr>
            <w:r>
              <w:rPr>
                <w:szCs w:val="21"/>
              </w:rPr>
              <w:t xml:space="preserve">注：未提供不得分。</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rFonts w:hint="eastAsia"/>
                <w:szCs w:val="21"/>
              </w:rPr>
              <w:t xml:space="preserve">3</w:t>
            </w:r>
            <w:r/>
          </w:p>
        </w:tc>
      </w:tr>
      <w:tr>
        <w:trPr>
          <w:jc w:val="center"/>
        </w:trPr>
        <w:tc>
          <w:tcPr>
            <w:tcBorders>
              <w:left w:val="single" w:color="auto" w:sz="4" w:space="0"/>
              <w:right w:val="single" w:color="auto" w:sz="4" w:space="0"/>
            </w:tcBorders>
            <w:tcW w:w="374" w:type="pct"/>
            <w:vAlign w:val="center"/>
            <w:vMerge w:val="restart"/>
            <w:textDirection w:val="lrTb"/>
            <w:noWrap w:val="false"/>
          </w:tcPr>
          <w:p>
            <w:pPr>
              <w:jc w:val="center"/>
              <w:spacing w:line="360" w:lineRule="exact"/>
              <w:rPr>
                <w:szCs w:val="21"/>
              </w:rPr>
            </w:pPr>
            <w:r>
              <w:rPr>
                <w:szCs w:val="21"/>
              </w:rPr>
              <w:t xml:space="preserve">5</w:t>
            </w:r>
            <w:r/>
          </w:p>
        </w:tc>
        <w:tc>
          <w:tcPr>
            <w:tcBorders>
              <w:top w:val="single" w:color="auto" w:sz="4" w:space="0"/>
              <w:left w:val="single" w:color="auto" w:sz="4" w:space="0"/>
              <w:right w:val="single" w:color="auto" w:sz="4" w:space="0"/>
            </w:tcBorders>
            <w:tcW w:w="631" w:type="pct"/>
            <w:vAlign w:val="center"/>
            <w:vMerge w:val="restart"/>
            <w:textDirection w:val="lrTb"/>
            <w:noWrap w:val="false"/>
          </w:tcPr>
          <w:p>
            <w:pPr>
              <w:spacing w:line="360" w:lineRule="exact"/>
              <w:rPr>
                <w:szCs w:val="21"/>
              </w:rPr>
            </w:pPr>
            <w:r>
              <w:rPr>
                <w:szCs w:val="21"/>
              </w:rPr>
            </w:r>
            <w:r/>
          </w:p>
          <w:p>
            <w:pPr>
              <w:spacing w:line="360" w:lineRule="exact"/>
              <w:rPr>
                <w:szCs w:val="21"/>
              </w:rPr>
            </w:pPr>
            <w:r>
              <w:rPr>
                <w:szCs w:val="21"/>
              </w:rPr>
              <w:t xml:space="preserve">样品评价</w:t>
            </w:r>
            <w:r/>
          </w:p>
          <w:p>
            <w:pPr>
              <w:spacing w:line="360" w:lineRule="exact"/>
              <w:rPr>
                <w:szCs w:val="21"/>
              </w:rPr>
            </w:pPr>
            <w:r>
              <w:rPr>
                <w:szCs w:val="21"/>
              </w:rPr>
              <w:t xml:space="preserve">（18分）</w:t>
            </w:r>
            <w:r/>
          </w:p>
        </w:tc>
        <w:tc>
          <w:tcPr>
            <w:tcBorders>
              <w:top w:val="single" w:color="auto" w:sz="4" w:space="0"/>
              <w:left w:val="single" w:color="auto" w:sz="4" w:space="0"/>
              <w:bottom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5.1 避孕套裸套的延展性（专家现场对每种样品进行实物测评，测试裸套拉伸、回弹、是否易破损等）</w:t>
            </w:r>
            <w:r/>
          </w:p>
          <w:p>
            <w:pPr>
              <w:spacing w:line="360" w:lineRule="exact"/>
              <w:rPr>
                <w:szCs w:val="21"/>
              </w:rPr>
            </w:pPr>
            <w:r>
              <w:rPr>
                <w:szCs w:val="21"/>
              </w:rPr>
              <w:t xml:space="preserve">（1）避孕套裸套的延展性和柔韧性、回弹度高，质地均匀、细腻，易膨胀且形态稳定的，得6分；</w:t>
            </w:r>
            <w:r/>
          </w:p>
          <w:p>
            <w:pPr>
              <w:spacing w:line="360" w:lineRule="exact"/>
              <w:rPr>
                <w:szCs w:val="21"/>
              </w:rPr>
            </w:pPr>
            <w:r>
              <w:rPr>
                <w:szCs w:val="21"/>
              </w:rPr>
              <w:t xml:space="preserve">（2）避孕套裸套的延展性和柔韧性、回弹度较高，质地较均匀、较细腻、膨胀度较好的，得4分；</w:t>
            </w:r>
            <w:r/>
          </w:p>
          <w:p>
            <w:pPr>
              <w:spacing w:line="360" w:lineRule="exact"/>
              <w:rPr>
                <w:szCs w:val="21"/>
              </w:rPr>
            </w:pPr>
            <w:r>
              <w:rPr>
                <w:szCs w:val="21"/>
              </w:rPr>
              <w:t xml:space="preserve">（3）避孕套裸套的延展性和柔韧性、回弹度一般，质地、膨胀度一般的，得2分；</w:t>
            </w:r>
            <w:r/>
          </w:p>
          <w:p>
            <w:pPr>
              <w:spacing w:line="360" w:lineRule="exact"/>
              <w:rPr>
                <w:szCs w:val="21"/>
              </w:rPr>
            </w:pPr>
            <w:r>
              <w:rPr>
                <w:szCs w:val="21"/>
              </w:rPr>
              <w:t xml:space="preserve">（4）避孕套裸套的延展性和柔韧性、回弹度低的，得1分；</w:t>
            </w:r>
            <w:r/>
          </w:p>
          <w:p>
            <w:pPr>
              <w:spacing w:line="360" w:lineRule="exact"/>
              <w:rPr>
                <w:szCs w:val="21"/>
              </w:rPr>
            </w:pPr>
            <w:r>
              <w:rPr>
                <w:szCs w:val="21"/>
              </w:rPr>
              <w:t xml:space="preserve">注：未提供样品的不得分。</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6</w:t>
            </w:r>
            <w:r/>
          </w:p>
        </w:tc>
      </w:tr>
      <w:tr>
        <w:trPr>
          <w:jc w:val="center"/>
          <w:trHeight w:val="3123"/>
        </w:trPr>
        <w:tc>
          <w:tcPr>
            <w:tcBorders>
              <w:left w:val="single" w:color="auto" w:sz="4" w:space="0"/>
              <w:right w:val="single" w:color="auto" w:sz="4" w:space="0"/>
            </w:tcBorders>
            <w:tcW w:w="374"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5.2 样品设计情况 </w:t>
            </w:r>
            <w:r/>
          </w:p>
          <w:p>
            <w:pPr>
              <w:spacing w:line="360" w:lineRule="exact"/>
              <w:rPr>
                <w:szCs w:val="21"/>
              </w:rPr>
            </w:pPr>
            <w:r>
              <w:rPr>
                <w:szCs w:val="21"/>
              </w:rPr>
              <w:t xml:space="preserve">（1）消费包装、铝膜的设计美观度、创意性强，得6分；</w:t>
            </w:r>
            <w:r/>
          </w:p>
          <w:p>
            <w:pPr>
              <w:spacing w:line="360" w:lineRule="exact"/>
              <w:rPr>
                <w:szCs w:val="21"/>
              </w:rPr>
            </w:pPr>
            <w:r>
              <w:rPr>
                <w:szCs w:val="21"/>
              </w:rPr>
              <w:t xml:space="preserve">（2）消费包装、铝膜的设计美观度、创意性良好，得4分；</w:t>
            </w:r>
            <w:r/>
          </w:p>
          <w:p>
            <w:pPr>
              <w:spacing w:line="360" w:lineRule="exact"/>
              <w:rPr>
                <w:szCs w:val="21"/>
              </w:rPr>
            </w:pPr>
            <w:r>
              <w:rPr>
                <w:szCs w:val="21"/>
              </w:rPr>
              <w:t xml:space="preserve">（3）消费包装、铝膜的设计美观度、创意性一般，得2分；</w:t>
            </w:r>
            <w:r/>
          </w:p>
          <w:p>
            <w:pPr>
              <w:spacing w:line="360" w:lineRule="exact"/>
              <w:rPr>
                <w:szCs w:val="21"/>
              </w:rPr>
            </w:pPr>
            <w:r>
              <w:rPr>
                <w:szCs w:val="21"/>
              </w:rPr>
              <w:t xml:space="preserve">（4）消费包装、铝膜的设计美观度、创意性差，得1分。</w:t>
            </w:r>
            <w:r/>
          </w:p>
          <w:p>
            <w:pPr>
              <w:spacing w:line="360" w:lineRule="exact"/>
              <w:rPr>
                <w:szCs w:val="21"/>
              </w:rPr>
            </w:pPr>
            <w:r>
              <w:rPr>
                <w:szCs w:val="21"/>
              </w:rPr>
              <w:t xml:space="preserve">注：未按要求标注“国家免费提供，严禁流入市场”图标字样及“江苏药品药具公共服务”微信公众号的二维码等标识的，或未提供齐全的设计图稿，本项不得分；设计或图案存在版权侵权行为或未提供版权承诺书的此项不得分。</w:t>
            </w:r>
            <w:r/>
          </w:p>
        </w:tc>
        <w:tc>
          <w:tcPr>
            <w:tcBorders>
              <w:left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6</w:t>
            </w:r>
            <w:r/>
          </w:p>
        </w:tc>
      </w:tr>
      <w:tr>
        <w:trPr>
          <w:jc w:val="center"/>
          <w:trHeight w:val="2022"/>
        </w:trPr>
        <w:tc>
          <w:tcPr>
            <w:tcBorders>
              <w:left w:val="single" w:color="auto" w:sz="4" w:space="0"/>
              <w:right w:val="single" w:color="auto" w:sz="4" w:space="0"/>
            </w:tcBorders>
            <w:tcW w:w="374" w:type="pct"/>
            <w:vAlign w:val="center"/>
            <w:vMerge w:val="continue"/>
            <w:textDirection w:val="lrTb"/>
            <w:noWrap w:val="false"/>
          </w:tcPr>
          <w:p>
            <w:pPr>
              <w:jc w:val="center"/>
              <w:spacing w:line="360" w:lineRule="exact"/>
              <w:rPr>
                <w:szCs w:val="21"/>
              </w:rPr>
            </w:pPr>
            <w:r>
              <w:rPr>
                <w:szCs w:val="21"/>
              </w:rPr>
            </w:r>
            <w:r/>
          </w:p>
        </w:tc>
        <w:tc>
          <w:tcPr>
            <w:tcBorders>
              <w:left w:val="single" w:color="auto" w:sz="4" w:space="0"/>
              <w:right w:val="single" w:color="auto" w:sz="4" w:space="0"/>
            </w:tcBorders>
            <w:tcW w:w="631" w:type="pct"/>
            <w:vAlign w:val="center"/>
            <w:vMerge w:val="continue"/>
            <w:textDirection w:val="lrTb"/>
            <w:noWrap w:val="false"/>
          </w:tcPr>
          <w:p>
            <w:pPr>
              <w:spacing w:line="360" w:lineRule="exact"/>
              <w:rPr>
                <w:szCs w:val="21"/>
              </w:rPr>
            </w:pPr>
            <w:r>
              <w:rPr>
                <w:szCs w:val="21"/>
              </w:rPr>
            </w:r>
            <w:r/>
          </w:p>
        </w:tc>
        <w:tc>
          <w:tcPr>
            <w:tcBorders>
              <w:left w:val="single" w:color="auto" w:sz="4" w:space="0"/>
              <w:right w:val="single" w:color="auto" w:sz="4" w:space="0"/>
            </w:tcBorders>
            <w:tcW w:w="3652" w:type="pct"/>
            <w:vAlign w:val="center"/>
            <w:textDirection w:val="lrTb"/>
            <w:noWrap w:val="false"/>
          </w:tcPr>
          <w:p>
            <w:pPr>
              <w:spacing w:line="360" w:lineRule="exact"/>
              <w:rPr>
                <w:b/>
                <w:bCs/>
                <w:szCs w:val="21"/>
              </w:rPr>
            </w:pPr>
            <w:r>
              <w:rPr>
                <w:b/>
                <w:bCs/>
                <w:szCs w:val="21"/>
              </w:rPr>
              <w:t xml:space="preserve">5.3 样品包材情况</w:t>
            </w:r>
            <w:r/>
          </w:p>
          <w:p>
            <w:pPr>
              <w:spacing w:line="360" w:lineRule="exact"/>
              <w:rPr>
                <w:szCs w:val="21"/>
              </w:rPr>
            </w:pPr>
            <w:r>
              <w:rPr>
                <w:szCs w:val="21"/>
              </w:rPr>
              <w:t xml:space="preserve">（1）包装材质质感、耐压抗折性强，得6分；</w:t>
            </w:r>
            <w:r/>
          </w:p>
          <w:p>
            <w:pPr>
              <w:spacing w:line="360" w:lineRule="exact"/>
              <w:rPr>
                <w:szCs w:val="21"/>
              </w:rPr>
            </w:pPr>
            <w:r>
              <w:rPr>
                <w:szCs w:val="21"/>
              </w:rPr>
              <w:t xml:space="preserve">（2）包装材质质感、耐压抗折性良好，得4分；</w:t>
            </w:r>
            <w:r/>
          </w:p>
          <w:p>
            <w:pPr>
              <w:spacing w:line="360" w:lineRule="exact"/>
              <w:rPr>
                <w:szCs w:val="21"/>
              </w:rPr>
            </w:pPr>
            <w:r>
              <w:rPr>
                <w:szCs w:val="21"/>
              </w:rPr>
              <w:t xml:space="preserve">（3）包装材质质感、耐压抗折性一般，得2分；</w:t>
            </w:r>
            <w:r/>
          </w:p>
          <w:p>
            <w:pPr>
              <w:spacing w:line="360" w:lineRule="exact"/>
              <w:rPr>
                <w:szCs w:val="21"/>
              </w:rPr>
            </w:pPr>
            <w:r>
              <w:rPr>
                <w:szCs w:val="21"/>
              </w:rPr>
              <w:t xml:space="preserve">（4）包装材质质感、耐压抗折性差，得1分；</w:t>
            </w:r>
            <w:r/>
          </w:p>
          <w:p>
            <w:pPr>
              <w:spacing w:line="360" w:lineRule="exact"/>
              <w:rPr>
                <w:szCs w:val="21"/>
              </w:rPr>
            </w:pPr>
            <w:r>
              <w:rPr>
                <w:szCs w:val="21"/>
              </w:rPr>
              <w:t xml:space="preserve">注：未按要求提供最小包装、消费包装和大包装裁样此项不得分；</w:t>
            </w:r>
            <w:r>
              <w:rPr>
                <w:b/>
                <w:bCs/>
                <w:szCs w:val="21"/>
              </w:rPr>
              <w:t xml:space="preserve">3只装、5只装、10只装消费包装纸盒分别采用375g、375g、425g的镭射金、银卡纸制作，</w:t>
            </w:r>
            <w:r>
              <w:rPr>
                <w:szCs w:val="21"/>
              </w:rPr>
              <w:t xml:space="preserve">提供相关证明材料（例如采买记录、纸张规格等），</w:t>
            </w:r>
            <w:r>
              <w:rPr>
                <w:b/>
                <w:bCs/>
                <w:szCs w:val="21"/>
              </w:rPr>
              <w:t xml:space="preserve">未使用或未提供材质相关证明，此项不得分。</w:t>
            </w:r>
            <w:r/>
          </w:p>
        </w:tc>
        <w:tc>
          <w:tcPr>
            <w:tcBorders>
              <w:left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6</w:t>
            </w:r>
            <w:r/>
          </w:p>
        </w:tc>
      </w:tr>
      <w:tr>
        <w:trPr>
          <w:jc w:val="center"/>
          <w:trHeight w:val="2970"/>
        </w:trPr>
        <w:tc>
          <w:tcPr>
            <w:tcBorders>
              <w:left w:val="single" w:color="auto" w:sz="4" w:space="0"/>
              <w:right w:val="single" w:color="auto" w:sz="4" w:space="0"/>
            </w:tcBorders>
            <w:tcW w:w="374" w:type="pct"/>
            <w:vAlign w:val="center"/>
            <w:textDirection w:val="lrTb"/>
            <w:noWrap w:val="false"/>
          </w:tcPr>
          <w:p>
            <w:pPr>
              <w:jc w:val="center"/>
              <w:spacing w:line="360" w:lineRule="exact"/>
              <w:rPr>
                <w:szCs w:val="21"/>
              </w:rPr>
            </w:pPr>
            <w:r>
              <w:rPr>
                <w:szCs w:val="21"/>
              </w:rPr>
              <w:t xml:space="preserve">6</w:t>
            </w:r>
            <w:r/>
          </w:p>
        </w:tc>
        <w:tc>
          <w:tcPr>
            <w:tcBorders>
              <w:left w:val="single" w:color="auto" w:sz="4" w:space="0"/>
              <w:right w:val="single" w:color="auto" w:sz="4" w:space="0"/>
            </w:tcBorders>
            <w:tcW w:w="631" w:type="pct"/>
            <w:vAlign w:val="center"/>
            <w:textDirection w:val="lrTb"/>
            <w:noWrap w:val="false"/>
          </w:tcPr>
          <w:p>
            <w:pPr>
              <w:jc w:val="center"/>
              <w:spacing w:line="360" w:lineRule="exact"/>
              <w:rPr>
                <w:szCs w:val="21"/>
              </w:rPr>
            </w:pPr>
            <w:r>
              <w:rPr>
                <w:szCs w:val="21"/>
              </w:rPr>
              <w:t xml:space="preserve">防护保障措施</w:t>
            </w:r>
            <w:r/>
          </w:p>
          <w:p>
            <w:pPr>
              <w:jc w:val="center"/>
              <w:spacing w:line="360" w:lineRule="exact"/>
              <w:rPr>
                <w:szCs w:val="21"/>
              </w:rPr>
            </w:pPr>
            <w:r>
              <w:rPr>
                <w:szCs w:val="21"/>
              </w:rPr>
              <w:t xml:space="preserve">（4分）</w:t>
            </w:r>
            <w:r/>
          </w:p>
        </w:tc>
        <w:tc>
          <w:tcPr>
            <w:tcBorders>
              <w:left w:val="single" w:color="auto" w:sz="4" w:space="0"/>
              <w:right w:val="single" w:color="auto" w:sz="4" w:space="0"/>
            </w:tcBorders>
            <w:tcW w:w="3652" w:type="pct"/>
            <w:vAlign w:val="center"/>
            <w:textDirection w:val="lrTb"/>
            <w:noWrap w:val="false"/>
          </w:tcPr>
          <w:p>
            <w:pPr>
              <w:spacing w:line="360" w:lineRule="exact"/>
              <w:rPr>
                <w:szCs w:val="21"/>
              </w:rPr>
            </w:pPr>
            <w:r>
              <w:rPr>
                <w:szCs w:val="21"/>
              </w:rPr>
              <w:t xml:space="preserve">根据投标人提供的为保证产品在运输过程中不受损，存储过程中防潮、耐压所采取的防护保障（如：运输包装瓦楞纸的型号、厚度、密度等）措施进行评审：</w:t>
            </w:r>
            <w:r/>
          </w:p>
          <w:p>
            <w:pPr>
              <w:spacing w:line="360" w:lineRule="exact"/>
              <w:rPr>
                <w:szCs w:val="21"/>
              </w:rPr>
            </w:pPr>
            <w:r>
              <w:rPr>
                <w:rFonts w:hint="eastAsia"/>
                <w:szCs w:val="21"/>
              </w:rPr>
              <w:t xml:space="preserve">6.1投标人承诺</w:t>
            </w:r>
            <w:r>
              <w:rPr>
                <w:szCs w:val="21"/>
              </w:rPr>
              <w:t xml:space="preserve">运输包装（外包装）参考国家标准《GB/T 6543-2025运输包装用单瓦楞纸箱和双瓦楞纸箱》中对运输包装用双瓦楞纸箱的分类进行设计。</w:t>
            </w:r>
            <w:r/>
          </w:p>
          <w:p>
            <w:pPr>
              <w:spacing w:line="360" w:lineRule="exact"/>
              <w:rPr>
                <w:szCs w:val="21"/>
              </w:rPr>
            </w:pPr>
            <w:r>
              <w:rPr>
                <w:rFonts w:hint="eastAsia"/>
                <w:szCs w:val="21"/>
              </w:rPr>
              <w:t xml:space="preserve">注：提供承诺书加盖公章的得1分，未提供或未承诺的不得分。</w:t>
            </w:r>
            <w:r/>
          </w:p>
          <w:p>
            <w:pPr>
              <w:spacing w:line="360" w:lineRule="exact"/>
              <w:rPr>
                <w:szCs w:val="21"/>
              </w:rPr>
            </w:pPr>
            <w:r>
              <w:rPr>
                <w:rFonts w:hint="eastAsia"/>
                <w:szCs w:val="21"/>
              </w:rPr>
              <w:t xml:space="preserve">6.2</w:t>
            </w:r>
            <w:r>
              <w:rPr>
                <w:szCs w:val="21"/>
              </w:rPr>
              <w:t xml:space="preserve">防护保障措施</w:t>
            </w:r>
            <w:r/>
          </w:p>
          <w:p>
            <w:pPr>
              <w:spacing w:line="360" w:lineRule="exact"/>
              <w:rPr>
                <w:szCs w:val="21"/>
              </w:rPr>
            </w:pPr>
            <w:r>
              <w:rPr>
                <w:szCs w:val="21"/>
              </w:rPr>
              <w:t xml:space="preserve">（1）防护保障措施科学合理，能有效避免产品受到损坏的，得</w:t>
            </w:r>
            <w:r>
              <w:rPr>
                <w:rFonts w:hint="eastAsia"/>
                <w:szCs w:val="21"/>
              </w:rPr>
              <w:t xml:space="preserve">3</w:t>
            </w:r>
            <w:r>
              <w:rPr>
                <w:szCs w:val="21"/>
              </w:rPr>
              <w:t xml:space="preserve">分；</w:t>
            </w:r>
            <w:r/>
          </w:p>
          <w:p>
            <w:pPr>
              <w:spacing w:line="360" w:lineRule="exact"/>
              <w:rPr>
                <w:szCs w:val="21"/>
              </w:rPr>
            </w:pPr>
            <w:r>
              <w:rPr>
                <w:szCs w:val="21"/>
              </w:rPr>
              <w:t xml:space="preserve">（2）防护保障措施完整，能一定程度上避免产品受到损坏的，得</w:t>
            </w:r>
            <w:r>
              <w:rPr>
                <w:rFonts w:hint="eastAsia"/>
                <w:szCs w:val="21"/>
              </w:rPr>
              <w:t xml:space="preserve">2</w:t>
            </w:r>
            <w:r>
              <w:rPr>
                <w:szCs w:val="21"/>
              </w:rPr>
              <w:t xml:space="preserve">分；</w:t>
            </w:r>
            <w:r/>
          </w:p>
          <w:p>
            <w:pPr>
              <w:spacing w:line="360" w:lineRule="exact"/>
              <w:rPr>
                <w:szCs w:val="21"/>
              </w:rPr>
            </w:pPr>
            <w:r>
              <w:rPr>
                <w:szCs w:val="21"/>
              </w:rPr>
              <w:t xml:space="preserve">（3）防护保障措施基本完整，能减少产品受到损坏的，得</w:t>
            </w:r>
            <w:r>
              <w:rPr>
                <w:rFonts w:hint="eastAsia"/>
                <w:szCs w:val="21"/>
              </w:rPr>
              <w:t xml:space="preserve">1</w:t>
            </w:r>
            <w:r>
              <w:rPr>
                <w:szCs w:val="21"/>
              </w:rPr>
              <w:t xml:space="preserve">分；</w:t>
            </w:r>
            <w:r/>
          </w:p>
          <w:p>
            <w:pPr>
              <w:spacing w:line="360" w:lineRule="exact"/>
              <w:rPr>
                <w:szCs w:val="21"/>
              </w:rPr>
            </w:pPr>
            <w:r>
              <w:rPr>
                <w:szCs w:val="21"/>
              </w:rPr>
              <w:t xml:space="preserve">（4）防护保障措施一般，不实际或不能起到明显防护作用的，得</w:t>
            </w:r>
            <w:r>
              <w:rPr>
                <w:rFonts w:hint="eastAsia"/>
                <w:szCs w:val="21"/>
              </w:rPr>
              <w:t xml:space="preserve">0.5</w:t>
            </w:r>
            <w:r>
              <w:rPr>
                <w:szCs w:val="21"/>
              </w:rPr>
              <w:t xml:space="preserve">分；</w:t>
            </w:r>
            <w:r/>
          </w:p>
          <w:p>
            <w:pPr>
              <w:spacing w:line="360" w:lineRule="exact"/>
              <w:rPr>
                <w:szCs w:val="21"/>
              </w:rPr>
            </w:pPr>
            <w:r>
              <w:rPr>
                <w:szCs w:val="21"/>
              </w:rPr>
              <w:t xml:space="preserve">未提供防护保障措施的不得分。</w:t>
            </w:r>
            <w:r/>
          </w:p>
        </w:tc>
        <w:tc>
          <w:tcPr>
            <w:tcBorders>
              <w:left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4</w:t>
            </w:r>
            <w:r/>
          </w:p>
        </w:tc>
      </w:tr>
      <w:tr>
        <w:trPr>
          <w:jc w:val="center"/>
          <w:trHeight w:val="406"/>
        </w:trPr>
        <w:tc>
          <w:tcPr>
            <w:tcBorders>
              <w:left w:val="single" w:color="auto" w:sz="4" w:space="0"/>
              <w:bottom w:val="single" w:color="auto" w:sz="4" w:space="0"/>
              <w:right w:val="single" w:color="auto" w:sz="4" w:space="0"/>
            </w:tcBorders>
            <w:tcW w:w="374" w:type="pct"/>
            <w:vAlign w:val="center"/>
            <w:textDirection w:val="lrTb"/>
            <w:noWrap w:val="false"/>
          </w:tcPr>
          <w:p>
            <w:pPr>
              <w:jc w:val="center"/>
              <w:spacing w:line="360" w:lineRule="exact"/>
              <w:rPr>
                <w:szCs w:val="21"/>
              </w:rPr>
            </w:pPr>
            <w:r>
              <w:rPr>
                <w:szCs w:val="21"/>
              </w:rPr>
              <w:t xml:space="preserve">7</w:t>
            </w:r>
            <w:r/>
          </w:p>
        </w:tc>
        <w:tc>
          <w:tcPr>
            <w:tcBorders>
              <w:left w:val="single" w:color="auto" w:sz="4" w:space="0"/>
              <w:right w:val="single" w:color="auto" w:sz="4" w:space="0"/>
            </w:tcBorders>
            <w:tcW w:w="631" w:type="pct"/>
            <w:vAlign w:val="center"/>
            <w:textDirection w:val="lrTb"/>
            <w:noWrap w:val="false"/>
          </w:tcPr>
          <w:p>
            <w:pPr>
              <w:jc w:val="center"/>
              <w:spacing w:line="360" w:lineRule="exact"/>
              <w:rPr>
                <w:szCs w:val="21"/>
              </w:rPr>
            </w:pPr>
            <w:r>
              <w:rPr>
                <w:szCs w:val="21"/>
              </w:rPr>
              <w:t xml:space="preserve">售后服务及承诺等</w:t>
            </w:r>
            <w:r/>
          </w:p>
          <w:p>
            <w:pPr>
              <w:jc w:val="center"/>
              <w:spacing w:line="360" w:lineRule="exact"/>
              <w:rPr>
                <w:szCs w:val="21"/>
              </w:rPr>
            </w:pPr>
            <w:r>
              <w:rPr>
                <w:szCs w:val="21"/>
              </w:rPr>
              <w:t xml:space="preserve">（4分）</w:t>
            </w:r>
            <w:r/>
          </w:p>
        </w:tc>
        <w:tc>
          <w:tcPr>
            <w:tcBorders>
              <w:left w:val="single" w:color="auto" w:sz="4" w:space="0"/>
              <w:right w:val="single" w:color="auto" w:sz="4" w:space="0"/>
            </w:tcBorders>
            <w:tcW w:w="3652" w:type="pct"/>
            <w:textDirection w:val="lrTb"/>
            <w:noWrap w:val="false"/>
          </w:tcPr>
          <w:p>
            <w:pPr>
              <w:spacing w:line="360" w:lineRule="exact"/>
              <w:rPr>
                <w:szCs w:val="21"/>
              </w:rPr>
            </w:pPr>
            <w:r>
              <w:rPr>
                <w:szCs w:val="21"/>
              </w:rPr>
              <w:t xml:space="preserve">根据投标人的售后服务（如破损件退换货等）承诺、技术支持能力等进行评审：</w:t>
            </w:r>
            <w:r/>
          </w:p>
          <w:p>
            <w:pPr>
              <w:spacing w:line="360" w:lineRule="exact"/>
              <w:rPr>
                <w:szCs w:val="21"/>
              </w:rPr>
            </w:pPr>
            <w:r>
              <w:rPr>
                <w:szCs w:val="21"/>
              </w:rPr>
              <w:t xml:space="preserve">（1）售后服务承诺及措施得力、详细全面、技术支持能力强的，得4分；</w:t>
            </w:r>
            <w:r/>
          </w:p>
          <w:p>
            <w:pPr>
              <w:spacing w:line="360" w:lineRule="exact"/>
              <w:rPr>
                <w:szCs w:val="21"/>
              </w:rPr>
            </w:pPr>
            <w:r>
              <w:rPr>
                <w:szCs w:val="21"/>
              </w:rPr>
              <w:t xml:space="preserve">（2）售后服务承诺及措施全面、技术支持能力较强的，得3分；</w:t>
            </w:r>
            <w:r/>
          </w:p>
          <w:p>
            <w:pPr>
              <w:spacing w:line="360" w:lineRule="exact"/>
              <w:rPr>
                <w:szCs w:val="21"/>
              </w:rPr>
            </w:pPr>
            <w:r>
              <w:rPr>
                <w:szCs w:val="21"/>
              </w:rPr>
              <w:t xml:space="preserve">（3）售后服务承诺及措施基本全面、技术支持能力较弱的，得2分；</w:t>
            </w:r>
            <w:r/>
          </w:p>
          <w:p>
            <w:pPr>
              <w:spacing w:line="360" w:lineRule="exact"/>
              <w:rPr>
                <w:szCs w:val="21"/>
              </w:rPr>
            </w:pPr>
            <w:r>
              <w:rPr>
                <w:szCs w:val="21"/>
              </w:rPr>
              <w:t xml:space="preserve">（4）售后服务承诺及措施不够全面、技术支持能力弱的，得1分；</w:t>
            </w:r>
            <w:r/>
          </w:p>
          <w:p>
            <w:pPr>
              <w:spacing w:line="360" w:lineRule="exact"/>
              <w:rPr>
                <w:szCs w:val="21"/>
              </w:rPr>
            </w:pPr>
            <w:r>
              <w:rPr>
                <w:szCs w:val="21"/>
              </w:rPr>
              <w:t xml:space="preserve">注：未提供的不得分。</w:t>
            </w:r>
            <w:r/>
          </w:p>
        </w:tc>
        <w:tc>
          <w:tcPr>
            <w:tcBorders>
              <w:left w:val="single" w:color="auto" w:sz="4" w:space="0"/>
              <w:right w:val="single" w:color="auto" w:sz="4" w:space="0"/>
            </w:tcBorders>
            <w:tcW w:w="341" w:type="pct"/>
            <w:vAlign w:val="center"/>
            <w:textDirection w:val="lrTb"/>
            <w:noWrap w:val="false"/>
          </w:tcPr>
          <w:p>
            <w:pPr>
              <w:jc w:val="center"/>
              <w:spacing w:line="360" w:lineRule="exact"/>
              <w:rPr>
                <w:szCs w:val="21"/>
              </w:rPr>
            </w:pPr>
            <w:r>
              <w:rPr>
                <w:szCs w:val="21"/>
              </w:rPr>
              <w:t xml:space="preserve">4</w:t>
            </w:r>
            <w:r/>
          </w:p>
        </w:tc>
      </w:tr>
      <w:tr>
        <w:trPr>
          <w:jc w:val="center"/>
          <w:trHeight w:val="408"/>
        </w:trPr>
        <w:tc>
          <w:tcPr>
            <w:tcBorders>
              <w:left w:val="single" w:color="auto" w:sz="4" w:space="0"/>
              <w:bottom w:val="single" w:color="auto" w:sz="4" w:space="0"/>
              <w:right w:val="single" w:color="auto" w:sz="4" w:space="0"/>
            </w:tcBorders>
            <w:tcW w:w="374" w:type="pct"/>
            <w:vAlign w:val="center"/>
            <w:textDirection w:val="lrTb"/>
            <w:noWrap w:val="false"/>
          </w:tcPr>
          <w:p>
            <w:pPr>
              <w:jc w:val="center"/>
              <w:spacing w:line="360" w:lineRule="exact"/>
              <w:shd w:val="clear" w:color="auto" w:fill="ffffff"/>
              <w:widowControl/>
              <w:rPr>
                <w:bCs/>
                <w:szCs w:val="21"/>
              </w:rPr>
            </w:pPr>
            <w:r>
              <w:rPr>
                <w:bCs/>
                <w:szCs w:val="21"/>
              </w:rPr>
              <w:t xml:space="preserve">8.1</w:t>
            </w:r>
            <w:r/>
          </w:p>
        </w:tc>
        <w:tc>
          <w:tcPr>
            <w:tcBorders>
              <w:left w:val="single" w:color="auto" w:sz="4" w:space="0"/>
              <w:right w:val="single" w:color="auto" w:sz="4" w:space="0"/>
            </w:tcBorders>
            <w:tcW w:w="631" w:type="pct"/>
            <w:vAlign w:val="center"/>
            <w:vMerge w:val="restart"/>
            <w:textDirection w:val="lrTb"/>
            <w:noWrap w:val="false"/>
          </w:tcPr>
          <w:p>
            <w:pPr>
              <w:jc w:val="center"/>
              <w:spacing w:line="360" w:lineRule="exact"/>
              <w:shd w:val="clear" w:color="auto" w:fill="ffffff"/>
              <w:widowControl/>
              <w:rPr>
                <w:bCs/>
                <w:szCs w:val="21"/>
              </w:rPr>
            </w:pPr>
            <w:r>
              <w:rPr>
                <w:bCs/>
                <w:szCs w:val="21"/>
              </w:rPr>
              <w:t xml:space="preserve">投标主要产品为环保节能产品</w:t>
            </w:r>
            <w:r/>
          </w:p>
          <w:p>
            <w:pPr>
              <w:jc w:val="center"/>
              <w:spacing w:line="360" w:lineRule="exact"/>
              <w:shd w:val="clear" w:color="auto" w:fill="ffffff"/>
              <w:widowControl/>
              <w:rPr>
                <w:bCs/>
                <w:szCs w:val="21"/>
              </w:rPr>
            </w:pPr>
            <w:r>
              <w:rPr>
                <w:bCs/>
                <w:szCs w:val="21"/>
              </w:rPr>
              <w:t xml:space="preserve">（2分）</w:t>
            </w:r>
            <w:r/>
          </w:p>
        </w:tc>
        <w:tc>
          <w:tcPr>
            <w:tcBorders>
              <w:left w:val="single" w:color="auto" w:sz="4" w:space="0"/>
              <w:right w:val="single" w:color="auto" w:sz="4" w:space="0"/>
            </w:tcBorders>
            <w:tcW w:w="3652" w:type="pct"/>
            <w:vAlign w:val="center"/>
            <w:textDirection w:val="lrTb"/>
            <w:noWrap w:val="false"/>
          </w:tcPr>
          <w:p>
            <w:pPr>
              <w:jc w:val="left"/>
              <w:spacing w:line="360" w:lineRule="exact"/>
              <w:shd w:val="clear" w:color="auto" w:fill="ffffff"/>
              <w:widowControl/>
              <w:rPr>
                <w:bCs/>
                <w:szCs w:val="21"/>
              </w:rPr>
            </w:pPr>
            <w:r>
              <w:rPr>
                <w:bCs/>
                <w:szCs w:val="21"/>
              </w:rPr>
              <w:t xml:space="preserve">（1）投标主要产品属于财政部、国家发展改革委公布的“节能产品品目清单”范围内的，得1分；</w:t>
            </w:r>
            <w:r/>
          </w:p>
          <w:p>
            <w:pPr>
              <w:jc w:val="left"/>
              <w:spacing w:line="360" w:lineRule="exact"/>
              <w:shd w:val="clear" w:color="auto" w:fill="ffffff"/>
              <w:widowControl/>
              <w:rPr>
                <w:bCs/>
                <w:szCs w:val="21"/>
              </w:rPr>
            </w:pPr>
            <w:r>
              <w:rPr>
                <w:bCs/>
                <w:szCs w:val="21"/>
              </w:rPr>
              <w:t xml:space="preserve">（2）投标主要产品均属于政府强制采购节能产品品目清单范围内或未提供的，不得分。</w:t>
            </w:r>
            <w:r/>
          </w:p>
          <w:p>
            <w:pPr>
              <w:jc w:val="left"/>
              <w:spacing w:line="360" w:lineRule="exact"/>
              <w:shd w:val="clear" w:color="auto" w:fill="ffffff"/>
              <w:widowControl/>
              <w:rPr>
                <w:bCs/>
                <w:szCs w:val="21"/>
              </w:rPr>
            </w:pPr>
            <w:r>
              <w:rPr>
                <w:bCs/>
                <w:szCs w:val="21"/>
              </w:rPr>
              <w:t xml:space="preserve">注：投标人提供国家确定的认证机构出具的、处于有效期之内的产品认证证书复印件。</w:t>
            </w:r>
            <w:r/>
          </w:p>
        </w:tc>
        <w:tc>
          <w:tcPr>
            <w:tcBorders>
              <w:left w:val="single" w:color="auto" w:sz="4" w:space="0"/>
              <w:right w:val="single" w:color="auto" w:sz="4" w:space="0"/>
            </w:tcBorders>
            <w:tcW w:w="341" w:type="pct"/>
            <w:vAlign w:val="center"/>
            <w:textDirection w:val="lrTb"/>
            <w:noWrap w:val="false"/>
          </w:tcPr>
          <w:p>
            <w:pPr>
              <w:jc w:val="center"/>
              <w:spacing w:line="360" w:lineRule="exact"/>
              <w:widowControl/>
              <w:rPr>
                <w:bCs/>
                <w:szCs w:val="21"/>
              </w:rPr>
            </w:pPr>
            <w:r>
              <w:rPr>
                <w:bCs/>
                <w:szCs w:val="21"/>
              </w:rPr>
              <w:t xml:space="preserve">1</w:t>
            </w:r>
            <w:r/>
          </w:p>
        </w:tc>
      </w:tr>
      <w:tr>
        <w:trPr>
          <w:jc w:val="center"/>
          <w:trHeight w:val="406"/>
        </w:trPr>
        <w:tc>
          <w:tcPr>
            <w:tcBorders>
              <w:left w:val="single" w:color="auto" w:sz="4" w:space="0"/>
              <w:bottom w:val="single" w:color="auto" w:sz="4" w:space="0"/>
              <w:right w:val="single" w:color="auto" w:sz="4" w:space="0"/>
            </w:tcBorders>
            <w:tcW w:w="374" w:type="pct"/>
            <w:vAlign w:val="center"/>
            <w:textDirection w:val="lrTb"/>
            <w:noWrap w:val="false"/>
          </w:tcPr>
          <w:p>
            <w:pPr>
              <w:jc w:val="center"/>
              <w:spacing w:line="360" w:lineRule="exact"/>
              <w:shd w:val="clear" w:color="auto" w:fill="ffffff"/>
              <w:widowControl/>
              <w:rPr>
                <w:bCs/>
                <w:szCs w:val="21"/>
              </w:rPr>
            </w:pPr>
            <w:r>
              <w:rPr>
                <w:bCs/>
                <w:szCs w:val="21"/>
              </w:rPr>
              <w:t xml:space="preserve">8.2</w:t>
            </w:r>
            <w:r/>
          </w:p>
        </w:tc>
        <w:tc>
          <w:tcPr>
            <w:tcBorders>
              <w:left w:val="single" w:color="auto" w:sz="4" w:space="0"/>
              <w:right w:val="single" w:color="auto" w:sz="4" w:space="0"/>
            </w:tcBorders>
            <w:tcW w:w="631" w:type="pct"/>
            <w:vAlign w:val="center"/>
            <w:vMerge w:val="continue"/>
            <w:textDirection w:val="lrTb"/>
            <w:noWrap w:val="false"/>
          </w:tcPr>
          <w:p>
            <w:pPr>
              <w:jc w:val="center"/>
              <w:spacing w:line="360" w:lineRule="exact"/>
              <w:rPr>
                <w:bCs/>
                <w:szCs w:val="21"/>
              </w:rPr>
            </w:pPr>
            <w:r>
              <w:rPr>
                <w:bCs/>
                <w:szCs w:val="21"/>
              </w:rPr>
            </w:r>
            <w:r/>
          </w:p>
        </w:tc>
        <w:tc>
          <w:tcPr>
            <w:tcBorders>
              <w:left w:val="single" w:color="auto" w:sz="4" w:space="0"/>
              <w:right w:val="single" w:color="auto" w:sz="4" w:space="0"/>
            </w:tcBorders>
            <w:tcW w:w="3652" w:type="pct"/>
            <w:vAlign w:val="center"/>
            <w:textDirection w:val="lrTb"/>
            <w:noWrap w:val="false"/>
          </w:tcPr>
          <w:p>
            <w:pPr>
              <w:jc w:val="left"/>
              <w:spacing w:line="360" w:lineRule="exact"/>
              <w:shd w:val="clear" w:color="auto" w:fill="ffffff"/>
              <w:widowControl/>
              <w:rPr>
                <w:bCs/>
                <w:szCs w:val="21"/>
              </w:rPr>
            </w:pPr>
            <w:r>
              <w:rPr>
                <w:bCs/>
                <w:szCs w:val="21"/>
              </w:rPr>
              <w:t xml:space="preserve">（1）投标主要产品属于财政部、生态环境部公布的“环境标志产品品目清单”范围内的，得1分；</w:t>
            </w:r>
            <w:r/>
          </w:p>
          <w:p>
            <w:pPr>
              <w:jc w:val="left"/>
              <w:spacing w:line="360" w:lineRule="exact"/>
              <w:shd w:val="clear" w:color="auto" w:fill="ffffff"/>
              <w:widowControl/>
              <w:rPr>
                <w:bCs/>
                <w:szCs w:val="21"/>
              </w:rPr>
            </w:pPr>
            <w:r>
              <w:rPr>
                <w:bCs/>
                <w:szCs w:val="21"/>
              </w:rPr>
              <w:t xml:space="preserve">（2）未提供的，不得分。</w:t>
            </w:r>
            <w:r/>
          </w:p>
          <w:p>
            <w:pPr>
              <w:jc w:val="left"/>
              <w:spacing w:line="360" w:lineRule="exact"/>
              <w:shd w:val="clear" w:color="auto" w:fill="ffffff"/>
              <w:widowControl/>
              <w:rPr>
                <w:bCs/>
                <w:szCs w:val="21"/>
              </w:rPr>
            </w:pPr>
            <w:r>
              <w:rPr>
                <w:bCs/>
                <w:szCs w:val="21"/>
              </w:rPr>
              <w:t xml:space="preserve">注：投标人提供国家确定的认证机构出具的、处于有效期内的产品认证证书复印件。</w:t>
            </w:r>
            <w:r/>
          </w:p>
        </w:tc>
        <w:tc>
          <w:tcPr>
            <w:tcBorders>
              <w:left w:val="single" w:color="auto" w:sz="4" w:space="0"/>
              <w:right w:val="single" w:color="auto" w:sz="4" w:space="0"/>
            </w:tcBorders>
            <w:tcW w:w="341" w:type="pct"/>
            <w:vAlign w:val="center"/>
            <w:textDirection w:val="lrTb"/>
            <w:noWrap w:val="false"/>
          </w:tcPr>
          <w:p>
            <w:pPr>
              <w:jc w:val="center"/>
              <w:spacing w:line="360" w:lineRule="exact"/>
              <w:widowControl/>
              <w:rPr>
                <w:bCs/>
                <w:szCs w:val="21"/>
              </w:rPr>
            </w:pPr>
            <w:r>
              <w:rPr>
                <w:bCs/>
                <w:szCs w:val="21"/>
              </w:rPr>
              <w:t xml:space="preserve">1</w:t>
            </w:r>
            <w:r/>
          </w:p>
        </w:tc>
      </w:tr>
      <w:tr>
        <w:trPr>
          <w:jc w:val="center"/>
          <w:trHeight w:val="441"/>
        </w:trPr>
        <w:tc>
          <w:tcPr>
            <w:gridSpan w:val="3"/>
            <w:tcBorders>
              <w:top w:val="single" w:color="auto" w:sz="4" w:space="0"/>
              <w:left w:val="single" w:color="auto" w:sz="4" w:space="0"/>
              <w:bottom w:val="single" w:color="auto" w:sz="4" w:space="0"/>
              <w:right w:val="single" w:color="auto" w:sz="4" w:space="0"/>
            </w:tcBorders>
            <w:tcW w:w="4658" w:type="pct"/>
            <w:vAlign w:val="center"/>
            <w:textDirection w:val="lrTb"/>
            <w:noWrap w:val="false"/>
          </w:tcPr>
          <w:p>
            <w:pPr>
              <w:jc w:val="center"/>
              <w:spacing w:line="360" w:lineRule="exact"/>
              <w:rPr>
                <w:b/>
                <w:bCs/>
                <w:szCs w:val="21"/>
              </w:rPr>
            </w:pPr>
            <w:r>
              <w:rPr>
                <w:b/>
                <w:bCs/>
                <w:szCs w:val="21"/>
              </w:rPr>
              <w:t xml:space="preserve">合计</w:t>
            </w:r>
            <w:r/>
          </w:p>
        </w:tc>
        <w:tc>
          <w:tcPr>
            <w:tcBorders>
              <w:left w:val="single" w:color="auto" w:sz="4" w:space="0"/>
              <w:right w:val="single" w:color="auto" w:sz="4" w:space="0"/>
            </w:tcBorders>
            <w:tcW w:w="341" w:type="pct"/>
            <w:vAlign w:val="center"/>
            <w:textDirection w:val="lrTb"/>
            <w:noWrap w:val="false"/>
          </w:tcPr>
          <w:p>
            <w:pPr>
              <w:jc w:val="center"/>
              <w:spacing w:line="360" w:lineRule="exact"/>
              <w:rPr>
                <w:b/>
                <w:bCs/>
                <w:szCs w:val="21"/>
              </w:rPr>
            </w:pPr>
            <w:r>
              <w:rPr>
                <w:b/>
                <w:bCs/>
                <w:szCs w:val="21"/>
              </w:rPr>
              <w:t xml:space="preserve">100</w:t>
            </w:r>
            <w:r/>
          </w:p>
        </w:tc>
      </w:tr>
    </w:tbl>
    <w:p>
      <w:pPr>
        <w:spacing w:line="360" w:lineRule="auto"/>
        <w:rPr>
          <w:rFonts w:hint="eastAsia" w:ascii="宋体" w:hAnsi="宋体" w:cs="宋体"/>
          <w:bCs/>
          <w:szCs w:val="21"/>
        </w:rPr>
      </w:pPr>
      <w:r>
        <w:rPr>
          <w:rFonts w:ascii="宋体" w:hAnsi="宋体" w:cs="宋体"/>
          <w:bCs/>
          <w:szCs w:val="21"/>
        </w:rPr>
        <w:t xml:space="preserve">说明：</w:t>
      </w:r>
      <w:r/>
    </w:p>
    <w:p>
      <w:pPr>
        <w:spacing w:line="360" w:lineRule="auto"/>
        <w:rPr>
          <w:rFonts w:hint="eastAsia" w:ascii="宋体" w:hAnsi="宋体" w:cs="宋体"/>
          <w:bCs/>
          <w:szCs w:val="21"/>
        </w:rPr>
      </w:pPr>
      <w:r>
        <w:rPr>
          <w:rFonts w:ascii="宋体" w:hAnsi="宋体" w:cs="宋体"/>
          <w:bCs/>
          <w:szCs w:val="21"/>
        </w:rPr>
        <w:t xml:space="preserve">1.所有认证、证明和业绩均以有效清晰的证明文件的复印件为依据，原件备查。</w:t>
      </w:r>
      <w:r/>
    </w:p>
    <w:p>
      <w:pPr>
        <w:spacing w:line="360" w:lineRule="auto"/>
        <w:rPr>
          <w:rFonts w:hint="eastAsia" w:ascii="宋体" w:hAnsi="宋体" w:cs="宋体"/>
          <w:bCs/>
          <w:szCs w:val="21"/>
        </w:rPr>
      </w:pPr>
      <w:r>
        <w:rPr>
          <w:rFonts w:ascii="宋体" w:hAnsi="宋体" w:cs="宋体"/>
          <w:bCs/>
          <w:szCs w:val="21"/>
        </w:rPr>
        <w:t xml:space="preserve">2.</w:t>
      </w:r>
      <w:bookmarkStart w:id="21" w:name="_Hlk188737519"/>
      <w:r>
        <w:rPr>
          <w:rFonts w:ascii="宋体" w:hAnsi="宋体"/>
          <w:b/>
          <w:szCs w:val="21"/>
        </w:rPr>
        <w:t xml:space="preserve">本项目为专门面向中小企业或小型、微型企业的项目</w:t>
      </w:r>
      <w:r>
        <w:rPr>
          <w:rFonts w:ascii="宋体" w:hAnsi="宋体"/>
          <w:bCs/>
          <w:szCs w:val="21"/>
        </w:rPr>
        <w:t xml:space="preserve">，只面向中小企业或小型、微型企业采购，非中小型企业参与本项目投标，将作无效标处理，投标人须提供中小企业声明函原件；监狱企业视同小型、微型企业，提供由省级以上监狱管理局、戒毒管理局(含新疆生产建设兵团)出具的属于监狱企业的证明文件；残疾人福利性单位视同小型、微型企业，提供《残疾人福利性单位声明函》原件。</w:t>
      </w:r>
      <w:bookmarkEnd w:id="21"/>
      <w:r/>
      <w:r/>
    </w:p>
    <w:p>
      <w:pPr>
        <w:spacing w:line="360" w:lineRule="auto"/>
        <w:rPr>
          <w:rFonts w:hint="eastAsia" w:ascii="宋体" w:hAnsi="宋体" w:cs="宋体"/>
          <w:bCs/>
          <w:szCs w:val="21"/>
        </w:rPr>
      </w:pPr>
      <w:r>
        <w:rPr>
          <w:rFonts w:ascii="宋体" w:hAnsi="宋体" w:cs="宋体"/>
          <w:bCs/>
          <w:szCs w:val="21"/>
        </w:rPr>
        <w:t xml:space="preserve">3.本国产品的价格扣除</w:t>
      </w:r>
      <w:r/>
    </w:p>
    <w:p>
      <w:pPr>
        <w:spacing w:line="360" w:lineRule="auto"/>
        <w:rPr>
          <w:rFonts w:hint="eastAsia" w:ascii="宋体" w:hAnsi="宋体" w:cs="宋体"/>
          <w:bCs/>
          <w:szCs w:val="21"/>
        </w:rPr>
      </w:pPr>
      <w:r>
        <w:rPr>
          <w:rFonts w:ascii="宋体" w:hAnsi="宋体" w:cs="宋体"/>
          <w:bCs/>
          <w:szCs w:val="21"/>
        </w:rPr>
        <w:t xml:space="preserve">3.1本国产品标准、本国产品标准的适用范围、对本国产品的支持政策等详见《国务院办公厅关于在政府采购中实施本国产品标准及相关政策的通知》（国办发〔2025〕34号）。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cs="宋体"/>
          <w:bCs/>
          <w:szCs w:val="21"/>
        </w:rPr>
      </w:pPr>
      <w:r>
        <w:rPr>
          <w:rFonts w:ascii="宋体" w:hAnsi="宋体" w:cs="宋体"/>
          <w:bCs/>
          <w:szCs w:val="21"/>
        </w:rPr>
        <w:t xml:space="preserve">3.2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Cs/>
          <w:szCs w:val="21"/>
        </w:rPr>
      </w:pPr>
      <w:r>
        <w:rPr>
          <w:rFonts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s="宋体"/>
          <w:bCs/>
          <w:szCs w:val="21"/>
        </w:rPr>
      </w:pPr>
      <w:r>
        <w:rPr>
          <w:rFonts w:ascii="宋体" w:hAnsi="宋体" w:cs="宋体"/>
          <w:bCs/>
          <w:szCs w:val="21"/>
        </w:rPr>
        <w:t xml:space="preserve">4.异常低价的处理</w:t>
      </w:r>
      <w:r/>
    </w:p>
    <w:p>
      <w:pPr>
        <w:spacing w:line="360" w:lineRule="auto"/>
        <w:rPr>
          <w:rFonts w:hint="eastAsia" w:ascii="宋体" w:hAnsi="宋体" w:cs="宋体"/>
          <w:bCs/>
          <w:szCs w:val="21"/>
        </w:rPr>
      </w:pPr>
      <w:r>
        <w:rPr>
          <w:rFonts w:ascii="宋体" w:hAnsi="宋体" w:cs="宋体"/>
          <w:bCs/>
          <w:szCs w:val="21"/>
        </w:rPr>
        <w:t xml:space="preserve">1）评审过程中出现下列情形之一的，评审委员会将启动异常低价投标（响应）审查程序：</w:t>
      </w:r>
      <w:r/>
    </w:p>
    <w:p>
      <w:pPr>
        <w:spacing w:line="360" w:lineRule="auto"/>
        <w:rPr>
          <w:rFonts w:hint="eastAsia" w:ascii="宋体" w:hAnsi="宋体" w:cs="宋体"/>
          <w:bCs/>
          <w:szCs w:val="21"/>
        </w:rPr>
      </w:pPr>
      <w:r>
        <w:rPr>
          <w:rFonts w:ascii="宋体" w:hAnsi="宋体" w:cs="宋体"/>
          <w:bCs/>
          <w:szCs w:val="21"/>
        </w:rPr>
        <w:t xml:space="preserve">①投标报价低于全部通过符合性审查投标人投标报价平均值50%的，即投标报价</w:t>
      </w:r>
      <w:r>
        <w:rPr>
          <w:rFonts w:hint="eastAsia" w:ascii="宋体" w:hAnsi="宋体" w:cs="Arial"/>
          <w:szCs w:val="21"/>
        </w:rPr>
        <w:t xml:space="preserve">＜</w:t>
      </w:r>
      <w:r>
        <w:rPr>
          <w:rFonts w:ascii="宋体" w:hAnsi="宋体" w:cs="宋体"/>
          <w:bCs/>
          <w:szCs w:val="21"/>
        </w:rPr>
        <w:t xml:space="preserve">全部通过符合性审查投标人投标报价平均值×50%；</w:t>
      </w:r>
      <w:r/>
    </w:p>
    <w:p>
      <w:pPr>
        <w:spacing w:line="360" w:lineRule="auto"/>
        <w:rPr>
          <w:rFonts w:hint="eastAsia" w:ascii="宋体" w:hAnsi="宋体" w:cs="宋体"/>
          <w:bCs/>
          <w:szCs w:val="21"/>
        </w:rPr>
      </w:pPr>
      <w:r>
        <w:rPr>
          <w:rFonts w:ascii="宋体" w:hAnsi="宋体" w:cs="宋体"/>
          <w:bCs/>
          <w:szCs w:val="21"/>
        </w:rPr>
        <w:t xml:space="preserve">②投标报价低于通过符合性审查的次低报价投标人投标报价50%的，即投标报价</w:t>
      </w:r>
      <w:r>
        <w:rPr>
          <w:rFonts w:hint="eastAsia" w:ascii="宋体" w:hAnsi="宋体" w:cs="Arial"/>
          <w:szCs w:val="21"/>
        </w:rPr>
        <w:t xml:space="preserve">＜</w:t>
      </w:r>
      <w:r>
        <w:rPr>
          <w:rFonts w:ascii="宋体" w:hAnsi="宋体" w:cs="宋体"/>
          <w:bCs/>
          <w:szCs w:val="21"/>
        </w:rPr>
        <w:t xml:space="preserve">通过符合性审查的次低报价投标人投标报价×50%；</w:t>
      </w:r>
      <w:r/>
    </w:p>
    <w:p>
      <w:pPr>
        <w:spacing w:line="360" w:lineRule="auto"/>
        <w:rPr>
          <w:rFonts w:hint="eastAsia" w:ascii="宋体" w:hAnsi="宋体" w:cs="宋体"/>
          <w:bCs/>
          <w:szCs w:val="21"/>
        </w:rPr>
      </w:pPr>
      <w:r>
        <w:rPr>
          <w:rFonts w:ascii="宋体" w:hAnsi="宋体" w:cs="宋体"/>
          <w:bCs/>
          <w:szCs w:val="21"/>
        </w:rPr>
        <w:t xml:space="preserve">③</w:t>
      </w:r>
      <w:r>
        <w:rPr>
          <w:rFonts w:ascii="宋体" w:hAnsi="宋体" w:cs="宋体"/>
          <w:b/>
          <w:szCs w:val="21"/>
        </w:rPr>
        <w:t xml:space="preserve">投标报价低于本项目最高限价65%的，即投标报价</w:t>
      </w:r>
      <w:r>
        <w:rPr>
          <w:rFonts w:hint="eastAsia" w:ascii="宋体" w:hAnsi="宋体" w:cs="Arial"/>
          <w:szCs w:val="21"/>
        </w:rPr>
        <w:t xml:space="preserve">＜</w:t>
      </w:r>
      <w:r>
        <w:rPr>
          <w:rFonts w:ascii="宋体" w:hAnsi="宋体" w:cs="宋体"/>
          <w:b/>
          <w:szCs w:val="21"/>
        </w:rPr>
        <w:t xml:space="preserve">本项目最高限价×65%；</w:t>
      </w:r>
      <w:r/>
    </w:p>
    <w:p>
      <w:pPr>
        <w:spacing w:line="360" w:lineRule="auto"/>
        <w:rPr>
          <w:rFonts w:hint="eastAsia" w:ascii="宋体" w:hAnsi="宋体" w:cs="宋体"/>
          <w:bCs/>
          <w:szCs w:val="21"/>
        </w:rPr>
      </w:pPr>
      <w:r>
        <w:rPr>
          <w:rFonts w:ascii="宋体" w:hAnsi="宋体" w:cs="宋体"/>
          <w:bCs/>
          <w:szCs w:val="21"/>
        </w:rPr>
        <w:t xml:space="preserve">④评标委员会基于专业判断，认为投标人报价过低，有可能影响产品质量或者不能诚信履约的其他情形。</w:t>
      </w:r>
      <w:r/>
    </w:p>
    <w:p>
      <w:pPr>
        <w:spacing w:line="360" w:lineRule="auto"/>
        <w:rPr>
          <w:rFonts w:hint="eastAsia" w:ascii="宋体" w:hAnsi="宋体" w:cs="宋体"/>
          <w:bCs/>
          <w:szCs w:val="21"/>
        </w:rPr>
      </w:pPr>
      <w:r>
        <w:rPr>
          <w:rFonts w:ascii="宋体" w:hAnsi="宋体" w:cs="宋体"/>
          <w:bCs/>
          <w:szCs w:val="21"/>
        </w:rPr>
        <w:t xml:space="preserve">2）评标委员会启动异常低价投标审查后，属于1）条第①项至第④项情形的，应当要求相关投标人在评标现场合理的时间内对投标价格作出解释</w:t>
      </w:r>
      <w:r>
        <w:rPr>
          <w:rFonts w:hint="eastAsia" w:ascii="宋体" w:hAnsi="宋体" w:cs="宋体"/>
          <w:bCs/>
          <w:szCs w:val="21"/>
        </w:rPr>
        <w:t xml:space="preserve">，并</w:t>
      </w:r>
      <w:r>
        <w:rPr>
          <w:rFonts w:ascii="宋体" w:hAnsi="宋体" w:cs="宋体"/>
          <w:bCs/>
          <w:szCs w:val="21"/>
        </w:rPr>
        <w:t xml:space="preserve">提供项目具体成本测算等与报价合理性相关的书面说明及必要的证明材料，包括但不限于原材料成本、人工成本、制造费用等，给予相关投标人的合理时间一般不少于30分钟。其中，属于1）条第③项情形的，供应商已随投标文件一并提交相关书面说明及必要的证明材料的，在评标现场可不再重复提交。</w:t>
      </w:r>
      <w:r/>
    </w:p>
    <w:p>
      <w:pPr>
        <w:spacing w:line="360" w:lineRule="auto"/>
        <w:rPr>
          <w:rFonts w:hint="eastAsia" w:ascii="宋体" w:hAnsi="宋体" w:cs="宋体"/>
          <w:bCs/>
          <w:szCs w:val="21"/>
        </w:rPr>
      </w:pPr>
      <w:r>
        <w:rPr>
          <w:rFonts w:ascii="宋体" w:hAnsi="宋体" w:cs="宋体"/>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spacing w:line="360" w:lineRule="auto"/>
        <w:rPr>
          <w:rFonts w:hint="eastAsia" w:ascii="宋体" w:hAnsi="宋体" w:cs="宋体"/>
          <w:bCs/>
          <w:szCs w:val="21"/>
        </w:rPr>
      </w:pPr>
      <w:r>
        <w:rPr>
          <w:rFonts w:ascii="宋体" w:hAnsi="宋体" w:cs="宋体"/>
          <w:bCs/>
          <w:szCs w:val="21"/>
        </w:rPr>
        <w:t xml:space="preserve">异常低价投标审查的启动原因、审查意见和审查结果应当在评标报告中记录，并随投标人提供的相关书面说明及证明材料，以及评标委员会有关互联网浏览、查询历史一并归档。</w:t>
      </w:r>
      <w:r/>
    </w:p>
    <w:p>
      <w:pPr>
        <w:numPr>
          <w:ilvl w:val="0"/>
          <w:numId w:val="7"/>
        </w:numPr>
        <w:spacing w:line="360" w:lineRule="auto"/>
        <w:rPr>
          <w:rFonts w:hint="eastAsia" w:ascii="宋体" w:hAnsi="宋体" w:cs="宋体"/>
          <w:bCs/>
          <w:szCs w:val="21"/>
        </w:rPr>
      </w:pPr>
      <w:r>
        <w:rPr>
          <w:rFonts w:ascii="宋体" w:hAnsi="宋体" w:cs="宋体"/>
          <w:bCs/>
          <w:szCs w:val="21"/>
        </w:rPr>
        <w:t xml:space="preserve">投标人必须逐条响应上述所有评审细则，并在招标文件中提供有效证明材料，否则将可能导致不得分。</w:t>
      </w:r>
      <w:r>
        <w:rPr>
          <w:rFonts w:hint="eastAsia" w:ascii="宋体" w:hAnsi="宋体" w:cs="宋体"/>
          <w:bCs/>
          <w:sz w:val="22"/>
          <w:szCs w:val="28"/>
        </w:rPr>
        <w:br w:type="page" w:clear="all"/>
      </w:r>
      <w:r/>
    </w:p>
    <w:p>
      <w:pPr>
        <w:pStyle w:val="935"/>
        <w:numPr>
          <w:ilvl w:val="0"/>
          <w:numId w:val="0"/>
        </w:numPr>
        <w:rPr>
          <w:rFonts w:hint="eastAsia" w:ascii="宋体" w:hAnsi="宋体" w:cs="宋体"/>
        </w:rPr>
      </w:pPr>
      <w:r/>
      <w:bookmarkStart w:id="22" w:name="_Toc237454167"/>
      <w:r>
        <w:rPr>
          <w:rFonts w:hint="eastAsia" w:ascii="宋体" w:hAnsi="宋体" w:cs="宋体"/>
        </w:rPr>
        <w:t xml:space="preserve">第四章 采购需求</w:t>
      </w:r>
      <w:bookmarkEnd w:id="22"/>
      <w:r/>
      <w:r/>
    </w:p>
    <w:p>
      <w:pPr>
        <w:numPr>
          <w:ilvl w:val="0"/>
          <w:numId w:val="8"/>
        </w:numPr>
        <w:keepLines/>
        <w:keepNext/>
        <w:spacing w:line="360" w:lineRule="auto"/>
        <w:rPr>
          <w:rFonts w:ascii="Calibri" w:hAnsi="Calibri"/>
          <w:b/>
        </w:rPr>
        <w:outlineLvl w:val="2"/>
      </w:pPr>
      <w:r>
        <w:rPr>
          <w:rFonts w:ascii="Calibri" w:hAnsi="Calibri"/>
          <w:b/>
        </w:rPr>
        <w:t xml:space="preserve">采购品种及规格一览表</w:t>
      </w:r>
      <w:r/>
    </w:p>
    <w:tbl>
      <w:tblPr>
        <w:tblStyle w:val="945"/>
        <w:tblW w:w="5501" w:type="pct"/>
        <w:jc w:val="center"/>
        <w:tblLayout w:type="fixed"/>
        <w:tblCellMar>
          <w:left w:w="108" w:type="dxa"/>
          <w:top w:w="0" w:type="dxa"/>
          <w:right w:w="108" w:type="dxa"/>
          <w:bottom w:w="0" w:type="dxa"/>
        </w:tblCellMar>
        <w:tblLook w:val="04A0" w:firstRow="1" w:lastRow="0" w:firstColumn="1" w:lastColumn="0" w:noHBand="0" w:noVBand="1"/>
      </w:tblPr>
      <w:tblGrid>
        <w:gridCol w:w="655"/>
        <w:gridCol w:w="2571"/>
        <w:gridCol w:w="768"/>
        <w:gridCol w:w="633"/>
        <w:gridCol w:w="750"/>
        <w:gridCol w:w="1384"/>
        <w:gridCol w:w="1364"/>
        <w:gridCol w:w="1470"/>
      </w:tblGrid>
      <w:tr>
        <w:trPr>
          <w:jc w:val="center"/>
          <w:trHeight w:val="864"/>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widowControl/>
              <w:rPr>
                <w:rFonts w:hint="eastAsia" w:ascii="宋体" w:hAnsi="宋体" w:cs="宋体"/>
                <w:b/>
                <w:bCs/>
                <w:sz w:val="22"/>
                <w:szCs w:val="22"/>
              </w:rPr>
            </w:pPr>
            <w:r>
              <w:rPr>
                <w:b/>
                <w:bCs/>
                <w:szCs w:val="21"/>
              </w:rPr>
              <w:t xml:space="preserve">采购包号</w:t>
            </w:r>
            <w:r/>
          </w:p>
        </w:tc>
        <w:tc>
          <w:tcPr>
            <w:tcBorders>
              <w:top w:val="single" w:color="auto" w:sz="4" w:space="0"/>
              <w:left w:val="none" w:color="000000" w:sz="4" w:space="0"/>
              <w:bottom w:val="single" w:color="auto" w:sz="4" w:space="0"/>
              <w:right w:val="single" w:color="auto" w:sz="4" w:space="0"/>
            </w:tcBorders>
            <w:tcW w:w="1338" w:type="pct"/>
            <w:vAlign w:val="center"/>
            <w:textDirection w:val="lrTb"/>
            <w:noWrap w:val="false"/>
          </w:tcPr>
          <w:p>
            <w:pPr>
              <w:jc w:val="center"/>
              <w:spacing w:line="360" w:lineRule="auto"/>
              <w:widowControl/>
              <w:rPr>
                <w:b/>
                <w:bCs/>
                <w:szCs w:val="21"/>
              </w:rPr>
            </w:pPr>
            <w:r>
              <w:rPr>
                <w:b/>
                <w:bCs/>
                <w:szCs w:val="21"/>
              </w:rPr>
              <w:t xml:space="preserve">品种名称</w:t>
            </w:r>
            <w:r/>
          </w:p>
          <w:p>
            <w:pPr>
              <w:jc w:val="center"/>
              <w:widowControl/>
              <w:rPr>
                <w:rFonts w:hint="eastAsia" w:ascii="宋体" w:hAnsi="宋体" w:cs="宋体"/>
                <w:b/>
                <w:bCs/>
                <w:sz w:val="22"/>
                <w:szCs w:val="22"/>
              </w:rPr>
            </w:pPr>
            <w:r>
              <w:rPr>
                <w:b/>
                <w:bCs/>
                <w:szCs w:val="21"/>
              </w:rPr>
              <w:t xml:space="preserve">（标的名称）</w:t>
            </w:r>
            <w:r/>
          </w:p>
        </w:tc>
        <w:tc>
          <w:tcPr>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规格</w:t>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单位</w:t>
            </w:r>
            <w:r/>
          </w:p>
        </w:tc>
        <w:tc>
          <w:tcPr>
            <w:tcBorders>
              <w:top w:val="single" w:color="auto"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每件</w:t>
            </w:r>
            <w:r>
              <w:rPr>
                <w:rFonts w:ascii="宋体" w:hAnsi="宋体" w:cs="宋体"/>
                <w:b/>
                <w:bCs/>
                <w:sz w:val="22"/>
                <w:szCs w:val="22"/>
              </w:rPr>
              <w:br/>
            </w:r>
            <w:r>
              <w:rPr>
                <w:rFonts w:ascii="宋体" w:hAnsi="宋体" w:cs="宋体"/>
                <w:b/>
                <w:bCs/>
                <w:sz w:val="22"/>
                <w:szCs w:val="22"/>
              </w:rPr>
              <w:t xml:space="preserve">内装</w:t>
            </w:r>
            <w:r/>
          </w:p>
        </w:tc>
        <w:tc>
          <w:tcPr>
            <w:tcBorders>
              <w:top w:val="single" w:color="auto"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需求</w:t>
            </w:r>
            <w:r/>
          </w:p>
          <w:p>
            <w:pPr>
              <w:jc w:val="center"/>
              <w:widowControl/>
              <w:rPr>
                <w:rFonts w:hint="eastAsia" w:ascii="宋体" w:hAnsi="宋体" w:cs="宋体"/>
                <w:b/>
                <w:bCs/>
                <w:sz w:val="22"/>
                <w:szCs w:val="22"/>
              </w:rPr>
            </w:pPr>
            <w:r>
              <w:rPr>
                <w:rFonts w:ascii="宋体" w:hAnsi="宋体" w:cs="宋体"/>
                <w:b/>
                <w:bCs/>
                <w:sz w:val="22"/>
                <w:szCs w:val="22"/>
              </w:rPr>
              <w:t xml:space="preserve">数量</w:t>
            </w:r>
            <w:r/>
          </w:p>
        </w:tc>
        <w:tc>
          <w:tcPr>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Cs w:val="21"/>
              </w:rPr>
              <w:t xml:space="preserve">最高限价（元）</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合计最高限价</w:t>
            </w:r>
            <w:r/>
          </w:p>
          <w:p>
            <w:pPr>
              <w:jc w:val="center"/>
              <w:widowControl/>
              <w:rPr>
                <w:rFonts w:hint="eastAsia" w:ascii="宋体" w:hAnsi="宋体" w:cs="宋体"/>
                <w:b/>
                <w:bCs/>
                <w:sz w:val="22"/>
                <w:szCs w:val="22"/>
              </w:rPr>
            </w:pPr>
            <w:r>
              <w:rPr>
                <w:rFonts w:hint="eastAsia" w:ascii="宋体" w:hAnsi="宋体" w:cs="宋体"/>
                <w:b/>
                <w:bCs/>
                <w:szCs w:val="21"/>
              </w:rPr>
              <w:t xml:space="preserve">（元）</w:t>
            </w:r>
            <w:r/>
          </w:p>
        </w:tc>
      </w:tr>
      <w:tr>
        <w:trPr>
          <w:jc w:val="center"/>
          <w:trHeight w:val="864"/>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天然橡胶胶乳男用避孕套（超薄）</w:t>
            </w:r>
            <w:r/>
          </w:p>
        </w:tc>
        <w:tc>
          <w:tcPr>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single" w:color="auto"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single" w:color="auto"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5560000 </w:t>
            </w:r>
            <w:r/>
          </w:p>
        </w:tc>
        <w:tc>
          <w:tcPr>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1278800.00 </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1278800.00 </w:t>
            </w:r>
            <w:r/>
          </w:p>
        </w:tc>
      </w:tr>
      <w:tr>
        <w:trPr>
          <w:jc w:val="center"/>
          <w:trHeight w:val="864"/>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w:t>
            </w:r>
            <w:r/>
          </w:p>
        </w:tc>
        <w:tc>
          <w:tcPr>
            <w:tcBorders>
              <w:top w:val="single" w:color="auto"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天然橡胶胶乳男用避孕套（超薄-水溶性）</w:t>
            </w:r>
            <w:r/>
          </w:p>
        </w:tc>
        <w:tc>
          <w:tcPr>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single" w:color="auto"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single" w:color="auto"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3560000 </w:t>
            </w:r>
            <w:r/>
          </w:p>
        </w:tc>
        <w:tc>
          <w:tcPr>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818800.00 </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818800.00 </w:t>
            </w:r>
            <w:r/>
          </w:p>
        </w:tc>
      </w:tr>
      <w:tr>
        <w:trPr>
          <w:jc w:val="center"/>
          <w:trHeight w:val="629"/>
        </w:trPr>
        <w:tc>
          <w:tcPr>
            <w:tcBorders>
              <w:top w:val="none" w:color="000000" w:sz="4" w:space="0"/>
              <w:left w:val="single" w:color="auto" w:sz="4" w:space="0"/>
              <w:bottom w:val="single" w:color="000000" w:sz="4" w:space="0"/>
              <w:right w:val="single" w:color="auto" w:sz="4" w:space="0"/>
            </w:tcBorders>
            <w:tcW w:w="341" w:type="pct"/>
            <w:vAlign w:val="center"/>
            <w:vMerge w:val="restart"/>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天然橡胶胶乳男用避孕套（非光面）</w:t>
            </w:r>
            <w:r/>
          </w:p>
        </w:tc>
        <w:tc>
          <w:tcPr>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2280000 </w:t>
            </w:r>
            <w:r/>
          </w:p>
        </w:tc>
        <w:tc>
          <w:tcPr>
            <w:tcBorders>
              <w:top w:val="none" w:color="000000"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524400.00 </w:t>
            </w:r>
            <w:r/>
          </w:p>
        </w:tc>
        <w:tc>
          <w:tcPr>
            <w:tcBorders>
              <w:top w:val="none" w:color="000000" w:sz="4" w:space="0"/>
              <w:left w:val="single" w:color="auto" w:sz="4" w:space="0"/>
              <w:bottom w:val="single" w:color="000000" w:sz="4" w:space="0"/>
              <w:right w:val="single" w:color="auto" w:sz="4" w:space="0"/>
            </w:tcBorders>
            <w:tcW w:w="766" w:type="pct"/>
            <w:vAlign w:val="center"/>
            <w:vMerge w:val="restart"/>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654028.00 </w:t>
            </w:r>
            <w:r/>
          </w:p>
        </w:tc>
      </w:tr>
      <w:tr>
        <w:trPr>
          <w:jc w:val="center"/>
          <w:trHeight w:val="629"/>
        </w:trPr>
        <w:tc>
          <w:tcPr>
            <w:tcBorders>
              <w:top w:val="none" w:color="000000" w:sz="4" w:space="0"/>
              <w:left w:val="single" w:color="auto" w:sz="4" w:space="0"/>
              <w:bottom w:val="single" w:color="000000" w:sz="4" w:space="0"/>
              <w:right w:val="single" w:color="auto" w:sz="4" w:space="0"/>
            </w:tcBorders>
            <w:tcW w:w="341"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天然橡胶胶乳男用避孕套（非光面3只装）</w:t>
            </w:r>
            <w:r/>
          </w:p>
        </w:tc>
        <w:tc>
          <w:tcPr>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1800</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3600 </w:t>
            </w:r>
            <w:r/>
          </w:p>
        </w:tc>
        <w:tc>
          <w:tcPr>
            <w:tcBorders>
              <w:top w:val="none" w:color="000000"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828.00 </w:t>
            </w:r>
            <w:r/>
          </w:p>
        </w:tc>
        <w:tc>
          <w:tcPr>
            <w:tcBorders>
              <w:top w:val="none" w:color="000000" w:sz="4" w:space="0"/>
              <w:left w:val="single" w:color="auto" w:sz="4" w:space="0"/>
              <w:bottom w:val="single" w:color="000000" w:sz="4" w:space="0"/>
              <w:right w:val="single" w:color="auto" w:sz="4" w:space="0"/>
            </w:tcBorders>
            <w:tcW w:w="766"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r>
      <w:tr>
        <w:trPr>
          <w:jc w:val="center"/>
          <w:trHeight w:val="629"/>
        </w:trPr>
        <w:tc>
          <w:tcPr>
            <w:tcBorders>
              <w:top w:val="none" w:color="000000" w:sz="4" w:space="0"/>
              <w:left w:val="single" w:color="auto" w:sz="4" w:space="0"/>
              <w:bottom w:val="single" w:color="000000" w:sz="4" w:space="0"/>
              <w:right w:val="single" w:color="auto" w:sz="4" w:space="0"/>
            </w:tcBorders>
            <w:tcW w:w="341"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天然橡胶胶乳男用避孕套（非光面5只装）</w:t>
            </w:r>
            <w:r/>
          </w:p>
        </w:tc>
        <w:tc>
          <w:tcPr>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560000 </w:t>
            </w:r>
            <w:r/>
          </w:p>
        </w:tc>
        <w:tc>
          <w:tcPr>
            <w:tcBorders>
              <w:top w:val="none" w:color="000000"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128800.00 </w:t>
            </w:r>
            <w:r/>
          </w:p>
        </w:tc>
        <w:tc>
          <w:tcPr>
            <w:tcBorders>
              <w:top w:val="none" w:color="000000" w:sz="4" w:space="0"/>
              <w:left w:val="single" w:color="auto" w:sz="4" w:space="0"/>
              <w:bottom w:val="single" w:color="000000" w:sz="4" w:space="0"/>
              <w:right w:val="single" w:color="auto" w:sz="4" w:space="0"/>
            </w:tcBorders>
            <w:tcW w:w="766"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r>
      <w:tr>
        <w:trPr>
          <w:jc w:val="center"/>
          <w:trHeight w:val="623"/>
        </w:trPr>
        <w:tc>
          <w:tcPr>
            <w:tcBorders>
              <w:top w:val="none" w:color="000000" w:sz="4" w:space="0"/>
              <w:left w:val="single" w:color="auto" w:sz="4" w:space="0"/>
              <w:right w:val="single" w:color="auto" w:sz="4" w:space="0"/>
            </w:tcBorders>
            <w:tcW w:w="341" w:type="pct"/>
            <w:vAlign w:val="center"/>
            <w:vMerge w:val="restart"/>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4</w:t>
            </w:r>
            <w:r/>
          </w:p>
        </w:tc>
        <w:tc>
          <w:tcPr>
            <w:tcBorders>
              <w:top w:val="none" w:color="000000" w:sz="4" w:space="0"/>
              <w:left w:val="none" w:color="000000" w:sz="4" w:space="0"/>
              <w:right w:val="single" w:color="auto" w:sz="4" w:space="0"/>
            </w:tcBorders>
            <w:tcW w:w="1338" w:type="pct"/>
            <w:vAlign w:val="center"/>
            <w:vMerge w:val="restart"/>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天然橡胶胶乳男用避孕套（光面）</w:t>
            </w:r>
            <w:r/>
          </w:p>
        </w:tc>
        <w:tc>
          <w:tcPr>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2560000 </w:t>
            </w:r>
            <w:r/>
          </w:p>
        </w:tc>
        <w:tc>
          <w:tcPr>
            <w:tcBorders>
              <w:top w:val="none" w:color="000000"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588800.00 </w:t>
            </w:r>
            <w:r/>
          </w:p>
        </w:tc>
        <w:tc>
          <w:tcPr>
            <w:tcBorders>
              <w:top w:val="none" w:color="000000" w:sz="4" w:space="0"/>
              <w:left w:val="none" w:color="000000" w:sz="4" w:space="0"/>
              <w:right w:val="single" w:color="auto" w:sz="4" w:space="0"/>
            </w:tcBorders>
            <w:tcW w:w="766" w:type="pct"/>
            <w:vAlign w:val="center"/>
            <w:vMerge w:val="restart"/>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593400.00 </w:t>
            </w:r>
            <w:r/>
          </w:p>
        </w:tc>
      </w:tr>
      <w:tr>
        <w:trPr>
          <w:jc w:val="center"/>
          <w:trHeight w:val="623"/>
        </w:trPr>
        <w:tc>
          <w:tcPr>
            <w:tcBorders>
              <w:left w:val="single" w:color="auto" w:sz="4" w:space="0"/>
              <w:bottom w:val="single" w:color="auto" w:sz="4" w:space="0"/>
              <w:right w:val="single" w:color="auto" w:sz="4" w:space="0"/>
            </w:tcBorders>
            <w:tcW w:w="341" w:type="pct"/>
            <w:vAlign w:val="center"/>
            <w:vMerge w:val="continue"/>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auto" w:sz="4" w:space="0"/>
              <w:right w:val="single" w:color="auto" w:sz="4" w:space="0"/>
            </w:tcBorders>
            <w:tcW w:w="1338"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55mm</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20000 </w:t>
            </w:r>
            <w:r/>
          </w:p>
        </w:tc>
        <w:tc>
          <w:tcPr>
            <w:tcBorders>
              <w:top w:val="none" w:color="000000"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4600.00 </w:t>
            </w:r>
            <w:r/>
          </w:p>
        </w:tc>
        <w:tc>
          <w:tcPr>
            <w:tcBorders>
              <w:left w:val="none" w:color="000000" w:sz="4" w:space="0"/>
              <w:bottom w:val="single" w:color="auto" w:sz="4" w:space="0"/>
              <w:right w:val="single" w:color="auto" w:sz="4" w:space="0"/>
            </w:tcBorders>
            <w:tcW w:w="766" w:type="pct"/>
            <w:vAlign w:val="center"/>
            <w:vMerge w:val="continue"/>
            <w:textDirection w:val="lrTb"/>
            <w:noWrap w:val="false"/>
          </w:tcPr>
          <w:p>
            <w:pPr>
              <w:jc w:val="right"/>
              <w:widowControl/>
              <w:rPr>
                <w:rFonts w:hint="eastAsia" w:ascii="宋体" w:hAnsi="宋体" w:cs="宋体"/>
                <w:sz w:val="22"/>
                <w:szCs w:val="22"/>
              </w:rPr>
            </w:pPr>
            <w:r>
              <w:rPr>
                <w:rFonts w:hint="eastAsia" w:ascii="宋体" w:hAnsi="宋体" w:cs="宋体"/>
                <w:sz w:val="22"/>
                <w:szCs w:val="22"/>
              </w:rPr>
            </w:r>
            <w:r/>
          </w:p>
        </w:tc>
      </w:tr>
      <w:tr>
        <w:trPr>
          <w:jc w:val="center"/>
          <w:trHeight w:val="463"/>
        </w:trPr>
        <w:tc>
          <w:tcPr>
            <w:gridSpan w:val="5"/>
            <w:tcBorders>
              <w:top w:val="none" w:color="000000" w:sz="4" w:space="0"/>
              <w:left w:val="single" w:color="auto" w:sz="4" w:space="0"/>
              <w:bottom w:val="single" w:color="auto" w:sz="4" w:space="0"/>
              <w:right w:val="single" w:color="auto" w:sz="4" w:space="0"/>
            </w:tcBorders>
            <w:tcW w:w="28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合计　</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14543600 </w:t>
            </w:r>
            <w:r/>
          </w:p>
        </w:tc>
        <w:tc>
          <w:tcPr>
            <w:tcBorders>
              <w:top w:val="none" w:color="000000" w:sz="4" w:space="0"/>
              <w:left w:val="none" w:color="000000" w:sz="4" w:space="0"/>
              <w:bottom w:val="single" w:color="auto" w:sz="4" w:space="0"/>
              <w:right w:val="single" w:color="auto" w:sz="4" w:space="0"/>
            </w:tcBorders>
            <w:tcW w:w="71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3345028.00 </w:t>
            </w:r>
            <w:r/>
          </w:p>
        </w:tc>
        <w:tc>
          <w:tcPr>
            <w:tcBorders>
              <w:top w:val="none" w:color="000000" w:sz="4" w:space="0"/>
              <w:left w:val="none" w:color="000000" w:sz="4" w:space="0"/>
              <w:bottom w:val="single" w:color="auto" w:sz="4" w:space="0"/>
              <w:right w:val="single" w:color="auto" w:sz="4" w:space="0"/>
            </w:tcBorders>
            <w:tcW w:w="766"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3345028.00 </w:t>
            </w:r>
            <w:r/>
          </w:p>
        </w:tc>
      </w:tr>
    </w:tbl>
    <w:p>
      <w:pPr>
        <w:ind w:firstLine="420"/>
        <w:spacing w:line="360" w:lineRule="auto"/>
        <w:rPr>
          <w:rFonts w:hint="eastAsia" w:ascii="宋体" w:hAnsi="宋体" w:cs="方正仿宋_GBK"/>
          <w:szCs w:val="21"/>
        </w:rPr>
      </w:pPr>
      <w:r>
        <w:rPr>
          <w:rFonts w:hint="eastAsia" w:ascii="宋体" w:hAnsi="宋体" w:cs="方正仿宋_GBK"/>
          <w:szCs w:val="21"/>
        </w:rPr>
      </w:r>
      <w:r/>
    </w:p>
    <w:p>
      <w:pPr>
        <w:ind w:firstLine="420"/>
        <w:spacing w:line="360" w:lineRule="auto"/>
        <w:rPr>
          <w:rFonts w:hint="eastAsia" w:ascii="宋体" w:hAnsi="宋体" w:cs="方正仿宋_GBK"/>
          <w:szCs w:val="21"/>
        </w:rPr>
      </w:pPr>
      <w:r>
        <w:rPr>
          <w:rFonts w:ascii="宋体" w:hAnsi="宋体" w:cs="方正仿宋_GBK"/>
          <w:szCs w:val="21"/>
        </w:rPr>
        <w:t xml:space="preserve">以下条款中，</w:t>
      </w:r>
      <w:r>
        <w:rPr>
          <w:rFonts w:ascii="宋体" w:hAnsi="宋体" w:cs="方正仿宋_GBK"/>
          <w:b/>
          <w:bCs/>
          <w:i/>
          <w:szCs w:val="21"/>
          <w:u w:val="single"/>
        </w:rPr>
        <w:t xml:space="preserve">本招标文件中斜体加粗且有下划线部分为实质性要求和条件</w:t>
      </w:r>
      <w:r>
        <w:rPr>
          <w:rFonts w:ascii="宋体" w:hAnsi="宋体" w:cs="方正仿宋_GBK"/>
          <w:b/>
          <w:bCs/>
          <w:szCs w:val="21"/>
        </w:rPr>
        <w:t xml:space="preserve">，</w:t>
      </w:r>
      <w:r>
        <w:rPr>
          <w:rFonts w:ascii="宋体" w:hAnsi="宋体" w:cs="方正仿宋_GBK"/>
          <w:szCs w:val="21"/>
        </w:rPr>
        <w:t xml:space="preserve">若存在负偏离或缺项或不能满足，将被视为未能实质响应招标文件，做无效投标处理。</w:t>
      </w:r>
      <w:bookmarkStart w:id="23" w:name="_Toc205834971"/>
      <w:r/>
      <w:bookmarkStart w:id="24" w:name="_Toc189148251"/>
      <w:r/>
      <w:r/>
    </w:p>
    <w:p>
      <w:pPr>
        <w:ind w:firstLine="422"/>
        <w:spacing w:line="360" w:lineRule="auto"/>
        <w:rPr>
          <w:rFonts w:hint="eastAsia" w:ascii="宋体" w:hAnsi="宋体" w:cs="方正仿宋_GBK"/>
          <w:szCs w:val="21"/>
        </w:rPr>
      </w:pPr>
      <w:r>
        <w:rPr>
          <w:rFonts w:ascii="宋体" w:hAnsi="宋体"/>
          <w:b/>
          <w:szCs w:val="21"/>
        </w:rPr>
        <w:t xml:space="preserve">二、技术要求</w:t>
      </w:r>
      <w:bookmarkEnd w:id="23"/>
      <w:r/>
      <w:bookmarkEnd w:id="24"/>
      <w:r/>
      <w:r/>
    </w:p>
    <w:p>
      <w:pPr>
        <w:ind w:firstLine="422"/>
        <w:jc w:val="left"/>
        <w:spacing w:line="400" w:lineRule="exact"/>
        <w:rPr>
          <w:rFonts w:hint="eastAsia" w:ascii="宋体" w:hAnsi="宋体" w:cs="方正仿宋_GBK"/>
          <w:b/>
          <w:bCs/>
          <w:szCs w:val="21"/>
        </w:rPr>
        <w:outlineLvl w:val="2"/>
      </w:pPr>
      <w:r>
        <w:rPr>
          <w:rFonts w:ascii="宋体" w:hAnsi="宋体" w:cs="方正仿宋_GBK"/>
          <w:b/>
          <w:bCs/>
          <w:szCs w:val="21"/>
        </w:rPr>
        <w:t xml:space="preserve">（一）采购包1、天然橡胶胶乳男用避孕套（超薄）</w:t>
      </w:r>
      <w:r/>
    </w:p>
    <w:tbl>
      <w:tblPr>
        <w:tblStyle w:val="945"/>
        <w:tblW w:w="5648" w:type="pct"/>
        <w:jc w:val="center"/>
        <w:tblLayout w:type="fixed"/>
        <w:tblCellMar>
          <w:left w:w="108" w:type="dxa"/>
          <w:top w:w="0" w:type="dxa"/>
          <w:right w:w="108" w:type="dxa"/>
          <w:bottom w:w="0" w:type="dxa"/>
        </w:tblCellMar>
        <w:tblLook w:val="04A0" w:firstRow="1" w:lastRow="0" w:firstColumn="1" w:lastColumn="0" w:noHBand="0" w:noVBand="1"/>
      </w:tblPr>
      <w:tblGrid>
        <w:gridCol w:w="671"/>
        <w:gridCol w:w="2637"/>
        <w:gridCol w:w="788"/>
        <w:gridCol w:w="650"/>
        <w:gridCol w:w="954"/>
        <w:gridCol w:w="1237"/>
        <w:gridCol w:w="1401"/>
        <w:gridCol w:w="1513"/>
      </w:tblGrid>
      <w:tr>
        <w:trPr>
          <w:jc w:val="center"/>
          <w:trHeight w:val="856"/>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widowControl/>
              <w:rPr>
                <w:rFonts w:hint="eastAsia" w:ascii="宋体" w:hAnsi="宋体" w:cs="宋体"/>
                <w:b/>
                <w:bCs/>
                <w:sz w:val="22"/>
                <w:szCs w:val="22"/>
              </w:rPr>
            </w:pPr>
            <w:r>
              <w:rPr>
                <w:b/>
                <w:bCs/>
                <w:szCs w:val="21"/>
              </w:rPr>
              <w:t xml:space="preserve">采购包号</w:t>
            </w:r>
            <w:r/>
          </w:p>
        </w:tc>
        <w:tc>
          <w:tcPr>
            <w:tcBorders>
              <w:top w:val="single" w:color="auto" w:sz="4" w:space="0"/>
              <w:left w:val="none" w:color="000000" w:sz="4" w:space="0"/>
              <w:bottom w:val="single" w:color="auto" w:sz="4" w:space="0"/>
              <w:right w:val="single" w:color="auto" w:sz="4" w:space="0"/>
            </w:tcBorders>
            <w:tcW w:w="1337" w:type="pct"/>
            <w:vAlign w:val="center"/>
            <w:textDirection w:val="lrTb"/>
            <w:noWrap w:val="false"/>
          </w:tcPr>
          <w:p>
            <w:pPr>
              <w:jc w:val="center"/>
              <w:spacing w:line="360" w:lineRule="auto"/>
              <w:widowControl/>
              <w:rPr>
                <w:b/>
                <w:bCs/>
                <w:szCs w:val="21"/>
              </w:rPr>
            </w:pPr>
            <w:r>
              <w:rPr>
                <w:b/>
                <w:bCs/>
                <w:szCs w:val="21"/>
              </w:rPr>
              <w:t xml:space="preserve">品种名称</w:t>
            </w:r>
            <w:r/>
          </w:p>
          <w:p>
            <w:pPr>
              <w:jc w:val="center"/>
              <w:widowControl/>
              <w:rPr>
                <w:rFonts w:hint="eastAsia" w:ascii="宋体" w:hAnsi="宋体" w:cs="宋体"/>
                <w:b/>
                <w:bCs/>
                <w:sz w:val="22"/>
                <w:szCs w:val="22"/>
              </w:rPr>
            </w:pPr>
            <w:r>
              <w:rPr>
                <w:b/>
                <w:bCs/>
                <w:szCs w:val="21"/>
              </w:rPr>
              <w:t xml:space="preserve">（标的名称）</w:t>
            </w:r>
            <w:r/>
          </w:p>
        </w:tc>
        <w:tc>
          <w:tcPr>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规格</w:t>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单位</w:t>
            </w:r>
            <w:r/>
          </w:p>
        </w:tc>
        <w:tc>
          <w:tcPr>
            <w:tcBorders>
              <w:top w:val="single" w:color="auto" w:sz="4" w:space="0"/>
              <w:left w:val="none" w:color="000000" w:sz="4" w:space="0"/>
              <w:bottom w:val="single" w:color="auto" w:sz="4" w:space="0"/>
              <w:right w:val="single" w:color="auto" w:sz="4" w:space="0"/>
            </w:tcBorders>
            <w:tcW w:w="484"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每件</w:t>
            </w:r>
            <w:r>
              <w:rPr>
                <w:rFonts w:ascii="宋体" w:hAnsi="宋体" w:cs="宋体"/>
                <w:b/>
                <w:bCs/>
                <w:sz w:val="22"/>
                <w:szCs w:val="22"/>
              </w:rPr>
              <w:br/>
            </w:r>
            <w:r>
              <w:rPr>
                <w:rFonts w:ascii="宋体" w:hAnsi="宋体" w:cs="宋体"/>
                <w:b/>
                <w:bCs/>
                <w:sz w:val="22"/>
                <w:szCs w:val="22"/>
              </w:rPr>
              <w:t xml:space="preserve">内装</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需求</w:t>
            </w:r>
            <w:r/>
          </w:p>
          <w:p>
            <w:pPr>
              <w:jc w:val="center"/>
              <w:widowControl/>
              <w:rPr>
                <w:rFonts w:hint="eastAsia" w:ascii="宋体" w:hAnsi="宋体" w:cs="宋体"/>
                <w:b/>
                <w:bCs/>
                <w:sz w:val="22"/>
                <w:szCs w:val="22"/>
              </w:rPr>
            </w:pPr>
            <w:r>
              <w:rPr>
                <w:rFonts w:ascii="宋体" w:hAnsi="宋体" w:cs="宋体"/>
                <w:b/>
                <w:bCs/>
                <w:sz w:val="22"/>
                <w:szCs w:val="22"/>
              </w:rPr>
              <w:t xml:space="preserve">数量</w:t>
            </w:r>
            <w:r/>
          </w:p>
        </w:tc>
        <w:tc>
          <w:tcPr>
            <w:tcBorders>
              <w:top w:val="single" w:color="auto" w:sz="4" w:space="0"/>
              <w:left w:val="none" w:color="000000"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Cs w:val="21"/>
              </w:rPr>
              <w:t xml:space="preserve">最高限价（元）</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合计最高限价</w:t>
            </w:r>
            <w:r/>
          </w:p>
          <w:p>
            <w:pPr>
              <w:jc w:val="center"/>
              <w:widowControl/>
              <w:rPr>
                <w:rFonts w:hint="eastAsia" w:ascii="宋体" w:hAnsi="宋体" w:cs="宋体"/>
                <w:b/>
                <w:bCs/>
                <w:sz w:val="22"/>
                <w:szCs w:val="22"/>
              </w:rPr>
            </w:pPr>
            <w:r>
              <w:rPr>
                <w:rFonts w:hint="eastAsia" w:ascii="宋体" w:hAnsi="宋体" w:cs="宋体"/>
                <w:b/>
                <w:bCs/>
                <w:szCs w:val="21"/>
              </w:rPr>
              <w:t xml:space="preserve">（元）</w:t>
            </w:r>
            <w:r/>
          </w:p>
        </w:tc>
      </w:tr>
      <w:tr>
        <w:trPr>
          <w:jc w:val="center"/>
          <w:trHeight w:val="866"/>
        </w:trPr>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1337"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天然橡胶胶乳男用避孕套（超薄）</w:t>
            </w:r>
            <w:r/>
          </w:p>
        </w:tc>
        <w:tc>
          <w:tcPr>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single" w:color="auto" w:sz="4" w:space="0"/>
              <w:left w:val="none" w:color="000000" w:sz="4" w:space="0"/>
              <w:bottom w:val="single" w:color="auto" w:sz="4" w:space="0"/>
              <w:right w:val="single" w:color="auto" w:sz="4" w:space="0"/>
            </w:tcBorders>
            <w:tcW w:w="484"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5560000 </w:t>
            </w:r>
            <w:r/>
          </w:p>
        </w:tc>
        <w:tc>
          <w:tcPr>
            <w:tcBorders>
              <w:top w:val="single" w:color="auto" w:sz="4" w:space="0"/>
              <w:left w:val="none" w:color="000000" w:sz="4" w:space="0"/>
              <w:bottom w:val="single" w:color="auto" w:sz="4" w:space="0"/>
              <w:right w:val="single" w:color="auto" w:sz="4" w:space="0"/>
            </w:tcBorders>
            <w:tcW w:w="710"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1278800.00 </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1278800.00 </w:t>
            </w:r>
            <w:r/>
          </w:p>
        </w:tc>
      </w:tr>
    </w:tbl>
    <w:p>
      <w:pPr>
        <w:ind w:firstLine="422"/>
        <w:spacing w:line="360" w:lineRule="auto"/>
        <w:rPr>
          <w:rFonts w:hint="eastAsia" w:ascii="宋体" w:hAnsi="宋体" w:cs="方正仿宋_GBK"/>
          <w:b/>
          <w:bCs/>
          <w:i/>
          <w:szCs w:val="21"/>
          <w:u w:val="single"/>
        </w:rPr>
      </w:pPr>
      <w:r>
        <w:rPr>
          <w:rFonts w:hint="eastAsia" w:ascii="宋体" w:hAnsi="宋体" w:cs="方正仿宋_GBK"/>
          <w:b/>
          <w:bCs/>
          <w:i/>
          <w:szCs w:val="21"/>
          <w:u w:val="single"/>
        </w:rPr>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1、天然橡胶胶乳男用避孕套（超薄）质量要求：</w:t>
      </w:r>
      <w:r/>
    </w:p>
    <w:p>
      <w:pPr>
        <w:ind w:firstLine="422"/>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（1）产品符合标准GB/T7544-2019的技术要求。</w:t>
      </w:r>
      <w:r/>
    </w:p>
    <w:p>
      <w:pPr>
        <w:ind w:firstLine="422"/>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（2）天然进口乳胶</w:t>
      </w:r>
      <w:r>
        <w:rPr>
          <w:rFonts w:ascii="宋体" w:hAnsi="宋体" w:cs="方正仿宋_GBK"/>
          <w:b/>
          <w:bCs/>
          <w:i/>
          <w:szCs w:val="21"/>
          <w:u w:val="single"/>
        </w:rPr>
        <w:t xml:space="preserve">（提供进口报关单及采购合同复印件）</w:t>
      </w:r>
      <w:r>
        <w:rPr>
          <w:rFonts w:ascii="宋体" w:hAnsi="宋体" w:cs="方正仿宋_GBK"/>
          <w:b/>
          <w:bCs/>
          <w:i/>
          <w:iCs/>
          <w:szCs w:val="21"/>
          <w:u w:val="single"/>
        </w:rPr>
        <w:t xml:space="preserve">，医用级二甲基硅油润滑剂，单包装硅油润滑剂总量≥500mg。</w:t>
      </w:r>
      <w:r/>
    </w:p>
    <w:p>
      <w:pPr>
        <w:ind w:firstLine="422"/>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（3）老化后爆破性能符合标准GB/T7544中对未处理的避孕套爆破体积和压力的要求（热空气老化试验方法采用GB/T7544附录H，老化条件为（168±2）h×（70±2）℃），爆破压力不小于1.0kPa，</w:t>
      </w:r>
      <w:r>
        <w:rPr>
          <w:rFonts w:ascii="宋体" w:hAnsi="宋体" w:cs="方正仿宋_GBK"/>
          <w:b/>
          <w:bCs/>
          <w:i/>
          <w:szCs w:val="21"/>
          <w:u w:val="single"/>
        </w:rPr>
        <w:t xml:space="preserve">爆破体积不小于18.0dm³</w:t>
      </w:r>
      <w:r>
        <w:rPr>
          <w:rFonts w:ascii="宋体" w:hAnsi="宋体" w:cs="方正仿宋_GBK"/>
          <w:b/>
          <w:bCs/>
          <w:i/>
          <w:iCs/>
          <w:szCs w:val="21"/>
          <w:u w:val="single"/>
        </w:rPr>
        <w:t xml:space="preserve">。</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2、天然橡胶胶乳男用避孕套（超薄）为光面、标称</w:t>
      </w:r>
      <w:r>
        <w:rPr>
          <w:rFonts w:ascii="宋体" w:hAnsi="宋体" w:cs="方正仿宋_GBK"/>
          <w:b/>
          <w:bCs/>
          <w:i/>
          <w:iCs/>
          <w:szCs w:val="21"/>
          <w:u w:val="single"/>
        </w:rPr>
        <w:t xml:space="preserve">厚度0.04mm-0.05mm，尺寸规格为</w:t>
      </w:r>
      <w:r>
        <w:rPr>
          <w:rFonts w:ascii="宋体" w:hAnsi="宋体" w:cs="方正仿宋_GBK"/>
          <w:b/>
          <w:bCs/>
          <w:i/>
          <w:szCs w:val="21"/>
          <w:u w:val="single"/>
        </w:rPr>
        <w:t xml:space="preserve">52mm，</w:t>
      </w:r>
      <w:r>
        <w:rPr>
          <w:rFonts w:ascii="宋体" w:hAnsi="宋体" w:cs="方正仿宋_GBK"/>
          <w:b/>
          <w:bCs/>
          <w:i/>
          <w:iCs/>
          <w:szCs w:val="21"/>
          <w:u w:val="single"/>
        </w:rPr>
        <w:t xml:space="preserve">不</w:t>
      </w:r>
      <w:r>
        <w:rPr>
          <w:rFonts w:ascii="宋体" w:hAnsi="宋体" w:cs="方正仿宋_GBK"/>
          <w:b/>
          <w:bCs/>
          <w:i/>
          <w:szCs w:val="21"/>
          <w:u w:val="single"/>
        </w:rPr>
        <w:t xml:space="preserve">含储精囊长度≥170mm。</w:t>
      </w:r>
      <w:r/>
    </w:p>
    <w:p>
      <w:pPr>
        <w:ind w:firstLine="422"/>
        <w:spacing w:line="360" w:lineRule="auto"/>
        <w:rPr>
          <w:rFonts w:hint="eastAsia" w:ascii="宋体" w:hAnsi="宋体" w:cs="方正仿宋_GBK"/>
          <w:b/>
          <w:bCs/>
          <w:szCs w:val="21"/>
        </w:rPr>
      </w:pPr>
      <w:r>
        <w:rPr>
          <w:rFonts w:ascii="宋体" w:hAnsi="宋体" w:cs="方正仿宋_GBK"/>
          <w:b/>
          <w:bCs/>
          <w:i/>
          <w:szCs w:val="21"/>
          <w:u w:val="single"/>
        </w:rPr>
        <w:t xml:space="preserve">3、包装规格：单只装铝膜方包，每盒10只，装箱规格为每件内装2000只。</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4、天然橡胶胶乳男用避孕套（超薄）的包装和标签等除满足国家法律规定，还应满足《江苏省基本避孕药具包装及标签要求》。消费包装纸盒采用425g的镭射金、银卡纸制作。</w:t>
      </w:r>
      <w:r/>
    </w:p>
    <w:p>
      <w:pPr>
        <w:ind w:firstLine="420"/>
        <w:spacing w:line="360" w:lineRule="auto"/>
        <w:rPr>
          <w:rFonts w:hint="eastAsia" w:ascii="宋体" w:hAnsi="宋体" w:cs="方正仿宋_GBK"/>
          <w:szCs w:val="21"/>
        </w:rPr>
      </w:pPr>
      <w:r>
        <w:rPr>
          <w:rFonts w:ascii="宋体" w:hAnsi="宋体" w:cs="方正仿宋_GBK"/>
          <w:szCs w:val="21"/>
        </w:rPr>
        <w:t xml:space="preserve">5、天然橡胶胶乳男用避孕套（超薄）的生产批号须满足以下要求：</w:t>
      </w:r>
      <w:r/>
    </w:p>
    <w:p>
      <w:pPr>
        <w:ind w:firstLine="420"/>
        <w:spacing w:line="360" w:lineRule="auto"/>
        <w:rPr>
          <w:rFonts w:hint="eastAsia" w:ascii="宋体" w:hAnsi="宋体" w:cs="方正仿宋_GBK"/>
          <w:szCs w:val="21"/>
        </w:rPr>
      </w:pPr>
      <w:r>
        <w:rPr>
          <w:rFonts w:ascii="宋体" w:hAnsi="宋体" w:cs="方正仿宋_GBK"/>
          <w:szCs w:val="21"/>
        </w:rPr>
        <w:t xml:space="preserve">（1）避孕套的生产批号，以八位数字表示，前四位数字表示年份（年份取后两位数，如202</w:t>
      </w:r>
      <w:r>
        <w:rPr>
          <w:rFonts w:hint="eastAsia" w:ascii="宋体" w:hAnsi="宋体" w:cs="方正仿宋_GBK"/>
          <w:szCs w:val="21"/>
        </w:rPr>
        <w:t xml:space="preserve">6</w:t>
      </w:r>
      <w:r>
        <w:rPr>
          <w:rFonts w:ascii="宋体" w:hAnsi="宋体" w:cs="方正仿宋_GBK"/>
          <w:szCs w:val="21"/>
        </w:rPr>
        <w:t xml:space="preserve">年，年份用2</w:t>
      </w:r>
      <w:r>
        <w:rPr>
          <w:rFonts w:hint="eastAsia" w:ascii="宋体" w:hAnsi="宋体" w:cs="方正仿宋_GBK"/>
          <w:szCs w:val="21"/>
        </w:rPr>
        <w:t xml:space="preserve">6</w:t>
      </w:r>
      <w:r>
        <w:rPr>
          <w:rFonts w:ascii="宋体" w:hAnsi="宋体" w:cs="方正仿宋_GBK"/>
          <w:szCs w:val="21"/>
        </w:rPr>
        <w:t xml:space="preserve">表示）和月份，第五、六位数字表示当月累计生产批的顺序号，第七、八位数字表示生产本批产品的生产线编号。</w:t>
      </w:r>
      <w:r/>
    </w:p>
    <w:p>
      <w:pPr>
        <w:ind w:firstLine="420"/>
        <w:spacing w:line="360" w:lineRule="auto"/>
        <w:rPr>
          <w:rFonts w:hint="eastAsia" w:ascii="宋体" w:hAnsi="宋体" w:cs="方正仿宋_GBK"/>
          <w:szCs w:val="21"/>
        </w:rPr>
      </w:pPr>
      <w:r>
        <w:rPr>
          <w:rFonts w:ascii="宋体" w:hAnsi="宋体" w:cs="方正仿宋_GBK"/>
          <w:szCs w:val="21"/>
        </w:rPr>
        <w:t xml:space="preserve">（2）若投标人对避孕套生产批号的编制有其他信息的需求，应在上述批号规定位数后，空两个字符进行添加。</w:t>
      </w:r>
      <w:r/>
    </w:p>
    <w:p>
      <w:pPr>
        <w:ind w:firstLine="422"/>
        <w:jc w:val="left"/>
        <w:spacing w:line="400" w:lineRule="exact"/>
        <w:rPr>
          <w:rFonts w:hint="eastAsia" w:ascii="宋体" w:hAnsi="宋体" w:cs="方正仿宋_GBK"/>
          <w:b/>
          <w:bCs/>
          <w:szCs w:val="21"/>
        </w:rPr>
        <w:outlineLvl w:val="2"/>
      </w:pPr>
      <w:r>
        <w:rPr>
          <w:rFonts w:ascii="宋体" w:hAnsi="宋体" w:cs="方正仿宋_GBK"/>
          <w:b/>
          <w:bCs/>
          <w:szCs w:val="21"/>
        </w:rPr>
        <w:t xml:space="preserve">（二）采购包2、天然橡胶胶乳男用避孕套（超薄-水溶性）</w:t>
      </w:r>
      <w:r/>
    </w:p>
    <w:tbl>
      <w:tblPr>
        <w:tblStyle w:val="945"/>
        <w:tblW w:w="5580" w:type="pct"/>
        <w:jc w:val="center"/>
        <w:tblLayout w:type="fixed"/>
        <w:tblCellMar>
          <w:left w:w="108" w:type="dxa"/>
          <w:top w:w="0" w:type="dxa"/>
          <w:right w:w="108" w:type="dxa"/>
          <w:bottom w:w="0" w:type="dxa"/>
        </w:tblCellMar>
        <w:tblLook w:val="04A0" w:firstRow="1" w:lastRow="0" w:firstColumn="1" w:lastColumn="0" w:noHBand="0" w:noVBand="1"/>
      </w:tblPr>
      <w:tblGrid>
        <w:gridCol w:w="664"/>
        <w:gridCol w:w="2604"/>
        <w:gridCol w:w="780"/>
        <w:gridCol w:w="643"/>
        <w:gridCol w:w="942"/>
        <w:gridCol w:w="1223"/>
        <w:gridCol w:w="1384"/>
        <w:gridCol w:w="1494"/>
      </w:tblGrid>
      <w:tr>
        <w:trPr>
          <w:jc w:val="center"/>
          <w:trHeight w:val="822"/>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widowControl/>
              <w:rPr>
                <w:rFonts w:hint="eastAsia" w:ascii="宋体" w:hAnsi="宋体" w:cs="宋体"/>
                <w:b/>
                <w:bCs/>
                <w:sz w:val="22"/>
                <w:szCs w:val="22"/>
              </w:rPr>
            </w:pPr>
            <w:r>
              <w:rPr>
                <w:b/>
                <w:bCs/>
                <w:szCs w:val="21"/>
              </w:rPr>
              <w:t xml:space="preserve">采购包号</w:t>
            </w:r>
            <w:r/>
          </w:p>
        </w:tc>
        <w:tc>
          <w:tcPr>
            <w:tcBorders>
              <w:top w:val="single" w:color="auto" w:sz="4" w:space="0"/>
              <w:left w:val="none" w:color="000000" w:sz="4" w:space="0"/>
              <w:bottom w:val="single" w:color="auto" w:sz="4" w:space="0"/>
              <w:right w:val="single" w:color="auto" w:sz="4" w:space="0"/>
            </w:tcBorders>
            <w:tcW w:w="1337" w:type="pct"/>
            <w:vAlign w:val="center"/>
            <w:textDirection w:val="lrTb"/>
            <w:noWrap w:val="false"/>
          </w:tcPr>
          <w:p>
            <w:pPr>
              <w:jc w:val="center"/>
              <w:spacing w:line="360" w:lineRule="auto"/>
              <w:widowControl/>
              <w:rPr>
                <w:b/>
                <w:bCs/>
                <w:szCs w:val="21"/>
              </w:rPr>
            </w:pPr>
            <w:r>
              <w:rPr>
                <w:b/>
                <w:bCs/>
                <w:szCs w:val="21"/>
              </w:rPr>
              <w:t xml:space="preserve">品种名称</w:t>
            </w:r>
            <w:r/>
          </w:p>
          <w:p>
            <w:pPr>
              <w:jc w:val="center"/>
              <w:widowControl/>
              <w:rPr>
                <w:rFonts w:hint="eastAsia" w:ascii="宋体" w:hAnsi="宋体" w:cs="宋体"/>
                <w:b/>
                <w:bCs/>
                <w:sz w:val="22"/>
                <w:szCs w:val="22"/>
              </w:rPr>
            </w:pPr>
            <w:r>
              <w:rPr>
                <w:b/>
                <w:bCs/>
                <w:szCs w:val="21"/>
              </w:rPr>
              <w:t xml:space="preserve">（标的名称）</w:t>
            </w:r>
            <w:r/>
          </w:p>
        </w:tc>
        <w:tc>
          <w:tcPr>
            <w:tcBorders>
              <w:top w:val="single" w:color="auto" w:sz="4" w:space="0"/>
              <w:left w:val="none" w:color="000000" w:sz="4" w:space="0"/>
              <w:bottom w:val="single" w:color="auto" w:sz="4" w:space="0"/>
              <w:right w:val="single" w:color="auto" w:sz="4" w:space="0"/>
            </w:tcBorders>
            <w:tcW w:w="401"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规格</w:t>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单位</w:t>
            </w:r>
            <w:r/>
          </w:p>
        </w:tc>
        <w:tc>
          <w:tcPr>
            <w:tcBorders>
              <w:top w:val="single" w:color="auto" w:sz="4" w:space="0"/>
              <w:left w:val="none" w:color="000000" w:sz="4" w:space="0"/>
              <w:bottom w:val="single" w:color="auto" w:sz="4" w:space="0"/>
              <w:right w:val="single" w:color="auto" w:sz="4" w:space="0"/>
            </w:tcBorders>
            <w:tcW w:w="484"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每件</w:t>
            </w:r>
            <w:r>
              <w:rPr>
                <w:rFonts w:ascii="宋体" w:hAnsi="宋体" w:cs="宋体"/>
                <w:b/>
                <w:bCs/>
                <w:sz w:val="22"/>
                <w:szCs w:val="22"/>
              </w:rPr>
              <w:br/>
            </w:r>
            <w:r>
              <w:rPr>
                <w:rFonts w:ascii="宋体" w:hAnsi="宋体" w:cs="宋体"/>
                <w:b/>
                <w:bCs/>
                <w:sz w:val="22"/>
                <w:szCs w:val="22"/>
              </w:rPr>
              <w:t xml:space="preserve">内装</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需求</w:t>
            </w:r>
            <w:r/>
          </w:p>
          <w:p>
            <w:pPr>
              <w:jc w:val="center"/>
              <w:widowControl/>
              <w:rPr>
                <w:rFonts w:hint="eastAsia" w:ascii="宋体" w:hAnsi="宋体" w:cs="宋体"/>
                <w:b/>
                <w:bCs/>
                <w:sz w:val="22"/>
                <w:szCs w:val="22"/>
              </w:rPr>
            </w:pPr>
            <w:r>
              <w:rPr>
                <w:rFonts w:ascii="宋体" w:hAnsi="宋体" w:cs="宋体"/>
                <w:b/>
                <w:bCs/>
                <w:sz w:val="22"/>
                <w:szCs w:val="22"/>
              </w:rPr>
              <w:t xml:space="preserve">数量</w:t>
            </w:r>
            <w:r/>
          </w:p>
        </w:tc>
        <w:tc>
          <w:tcPr>
            <w:tcBorders>
              <w:top w:val="single" w:color="auto" w:sz="4" w:space="0"/>
              <w:left w:val="none" w:color="000000"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Cs w:val="21"/>
              </w:rPr>
              <w:t xml:space="preserve">最高限价（元）</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合计最高限价</w:t>
            </w:r>
            <w:r/>
          </w:p>
          <w:p>
            <w:pPr>
              <w:jc w:val="center"/>
              <w:widowControl/>
              <w:rPr>
                <w:rFonts w:hint="eastAsia" w:ascii="宋体" w:hAnsi="宋体" w:cs="宋体"/>
                <w:b/>
                <w:bCs/>
                <w:sz w:val="22"/>
                <w:szCs w:val="22"/>
              </w:rPr>
            </w:pPr>
            <w:r>
              <w:rPr>
                <w:rFonts w:hint="eastAsia" w:ascii="宋体" w:hAnsi="宋体" w:cs="宋体"/>
                <w:b/>
                <w:bCs/>
                <w:szCs w:val="21"/>
              </w:rPr>
              <w:t xml:space="preserve">（元）</w:t>
            </w:r>
            <w:r/>
          </w:p>
        </w:tc>
      </w:tr>
      <w:tr>
        <w:trPr>
          <w:jc w:val="center"/>
          <w:trHeight w:val="832"/>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w:t>
            </w:r>
            <w:r/>
          </w:p>
        </w:tc>
        <w:tc>
          <w:tcPr>
            <w:tcBorders>
              <w:top w:val="single" w:color="auto" w:sz="4" w:space="0"/>
              <w:left w:val="none" w:color="000000" w:sz="4" w:space="0"/>
              <w:bottom w:val="single" w:color="auto" w:sz="4" w:space="0"/>
              <w:right w:val="single" w:color="auto" w:sz="4" w:space="0"/>
            </w:tcBorders>
            <w:tcW w:w="1337"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天然橡胶胶乳男用避孕套（超薄-水溶性）</w:t>
            </w:r>
            <w:r/>
          </w:p>
        </w:tc>
        <w:tc>
          <w:tcPr>
            <w:tcBorders>
              <w:top w:val="single" w:color="auto" w:sz="4" w:space="0"/>
              <w:left w:val="none" w:color="000000" w:sz="4" w:space="0"/>
              <w:bottom w:val="single" w:color="auto" w:sz="4" w:space="0"/>
              <w:right w:val="single" w:color="auto" w:sz="4" w:space="0"/>
            </w:tcBorders>
            <w:tcW w:w="401"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single" w:color="auto" w:sz="4" w:space="0"/>
              <w:left w:val="none" w:color="000000" w:sz="4" w:space="0"/>
              <w:bottom w:val="single" w:color="auto" w:sz="4" w:space="0"/>
              <w:right w:val="single" w:color="auto" w:sz="4" w:space="0"/>
            </w:tcBorders>
            <w:tcW w:w="484"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3560000 </w:t>
            </w:r>
            <w:r/>
          </w:p>
        </w:tc>
        <w:tc>
          <w:tcPr>
            <w:tcBorders>
              <w:top w:val="single" w:color="auto" w:sz="4" w:space="0"/>
              <w:left w:val="none" w:color="000000" w:sz="4" w:space="0"/>
              <w:bottom w:val="single" w:color="auto" w:sz="4" w:space="0"/>
              <w:right w:val="single" w:color="auto" w:sz="4" w:space="0"/>
            </w:tcBorders>
            <w:tcW w:w="710"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818800.00 </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818800.00 </w:t>
            </w:r>
            <w:r/>
          </w:p>
        </w:tc>
      </w:tr>
    </w:tbl>
    <w:p>
      <w:pPr>
        <w:ind w:firstLine="422"/>
        <w:spacing w:line="360" w:lineRule="auto"/>
        <w:rPr>
          <w:rFonts w:hint="eastAsia" w:ascii="宋体" w:hAnsi="宋体" w:cs="方正仿宋_GBK"/>
          <w:b/>
          <w:bCs/>
          <w:i/>
          <w:szCs w:val="21"/>
          <w:u w:val="single"/>
        </w:rPr>
      </w:pPr>
      <w:r>
        <w:rPr>
          <w:rFonts w:hint="eastAsia" w:ascii="宋体" w:hAnsi="宋体" w:cs="方正仿宋_GBK"/>
          <w:b/>
          <w:bCs/>
          <w:i/>
          <w:szCs w:val="21"/>
          <w:u w:val="single"/>
        </w:rPr>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1、天然橡胶胶乳男用避孕套（超薄-水溶性）质量要求：</w:t>
      </w:r>
      <w:r/>
    </w:p>
    <w:p>
      <w:pPr>
        <w:ind w:firstLine="422"/>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（1）产品符合标准GB/T7544-2019的技术要求。</w:t>
      </w:r>
      <w:r/>
    </w:p>
    <w:p>
      <w:pPr>
        <w:ind w:firstLine="422"/>
        <w:spacing w:line="360" w:lineRule="auto"/>
        <w:rPr>
          <w:rFonts w:hint="eastAsia" w:ascii="宋体" w:hAnsi="宋体" w:cs="宋体"/>
          <w:b/>
          <w:bCs/>
          <w:i/>
          <w:iCs/>
          <w:szCs w:val="21"/>
          <w:u w:val="single"/>
        </w:rPr>
      </w:pPr>
      <w:r>
        <w:rPr>
          <w:rFonts w:ascii="宋体" w:hAnsi="宋体" w:cs="方正仿宋_GBK"/>
          <w:b/>
          <w:bCs/>
          <w:i/>
          <w:iCs/>
          <w:szCs w:val="21"/>
          <w:u w:val="single"/>
        </w:rPr>
        <w:t xml:space="preserve">（2）</w:t>
      </w:r>
      <w:r>
        <w:rPr>
          <w:rFonts w:ascii="宋体" w:hAnsi="宋体" w:cs="宋体"/>
          <w:b/>
          <w:bCs/>
          <w:i/>
          <w:iCs/>
          <w:szCs w:val="21"/>
          <w:u w:val="single"/>
        </w:rPr>
        <w:t xml:space="preserve">天然进口乳胶</w:t>
      </w:r>
      <w:r>
        <w:rPr>
          <w:rFonts w:ascii="宋体" w:hAnsi="宋体" w:cs="方正仿宋_GBK"/>
          <w:b/>
          <w:bCs/>
          <w:i/>
          <w:szCs w:val="21"/>
          <w:u w:val="single"/>
        </w:rPr>
        <w:t xml:space="preserve">（提供进口报关单及采购合同复印件）</w:t>
      </w:r>
      <w:r>
        <w:rPr>
          <w:rFonts w:ascii="宋体" w:hAnsi="宋体" w:cs="宋体"/>
          <w:b/>
          <w:bCs/>
          <w:i/>
          <w:iCs/>
          <w:szCs w:val="21"/>
          <w:u w:val="single"/>
        </w:rPr>
        <w:t xml:space="preserve">，润滑剂为水溶性润滑剂（含玻尿酸），水溶性润滑剂含量</w:t>
      </w:r>
      <w:r>
        <w:rPr>
          <w:rFonts w:ascii="宋体" w:hAnsi="宋体" w:cs="方正仿宋_GBK"/>
          <w:b/>
          <w:bCs/>
          <w:i/>
          <w:iCs/>
          <w:szCs w:val="21"/>
          <w:u w:val="single"/>
        </w:rPr>
        <w:t xml:space="preserve">≥700mg</w:t>
      </w:r>
      <w:r>
        <w:rPr>
          <w:rFonts w:ascii="宋体" w:hAnsi="宋体" w:cs="宋体"/>
          <w:b/>
          <w:bCs/>
          <w:i/>
          <w:iCs/>
          <w:szCs w:val="21"/>
          <w:u w:val="single"/>
        </w:rPr>
        <w:t xml:space="preserve">。</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（3）老化后爆破性能符合标准GB/T7544中对未处理的避孕套爆破体积和压力的要求（热空气老化试验方法采用GB/T7544附录H，老化条件为（168±2）h×（70±2）℃），</w:t>
      </w:r>
      <w:r>
        <w:rPr>
          <w:rFonts w:ascii="宋体" w:hAnsi="宋体" w:cs="方正仿宋_GBK"/>
          <w:b/>
          <w:bCs/>
          <w:i/>
          <w:iCs/>
          <w:szCs w:val="21"/>
          <w:u w:val="single"/>
        </w:rPr>
        <w:t xml:space="preserve">爆破压力不小于1.0kPa，</w:t>
      </w:r>
      <w:r>
        <w:rPr>
          <w:rFonts w:ascii="宋体" w:hAnsi="宋体" w:cs="方正仿宋_GBK"/>
          <w:b/>
          <w:bCs/>
          <w:i/>
          <w:szCs w:val="21"/>
          <w:u w:val="single"/>
        </w:rPr>
        <w:t xml:space="preserve">爆破体积不小于18.0dm³。</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2、天然橡胶胶乳男用避孕套（超薄-水溶性）为光面超薄，标称厚度0.04mm-0.05mm，尺寸规格为52mm，不含储精囊长度≥170mm。</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3、包装规格：单只装铝膜方包，每盒10只，装箱规格为每件内装2000只。</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4、天然橡胶胶乳男用避孕套（超薄-水溶性）的包装和标签等除满足国家法律规定，还应满足《江苏省基本避孕药具包装及标签要求》。消费包装纸盒采用425g的镭射金、银卡纸制作。</w:t>
      </w:r>
      <w:r/>
    </w:p>
    <w:p>
      <w:pPr>
        <w:ind w:firstLine="420"/>
        <w:spacing w:line="360" w:lineRule="auto"/>
        <w:rPr>
          <w:rFonts w:hint="eastAsia" w:ascii="宋体" w:hAnsi="宋体" w:cs="方正仿宋_GBK"/>
          <w:szCs w:val="21"/>
        </w:rPr>
      </w:pPr>
      <w:r>
        <w:rPr>
          <w:rFonts w:ascii="宋体" w:hAnsi="宋体" w:cs="方正仿宋_GBK"/>
          <w:szCs w:val="21"/>
        </w:rPr>
        <w:t xml:space="preserve">5、天然橡胶胶乳男用避孕套（超薄-水溶性）的生产批号须满足以下要求：</w:t>
      </w:r>
      <w:r/>
    </w:p>
    <w:p>
      <w:pPr>
        <w:ind w:firstLine="420"/>
        <w:spacing w:line="360" w:lineRule="auto"/>
        <w:rPr>
          <w:rFonts w:hint="eastAsia" w:ascii="宋体" w:hAnsi="宋体" w:cs="方正仿宋_GBK"/>
          <w:szCs w:val="21"/>
        </w:rPr>
      </w:pPr>
      <w:r>
        <w:rPr>
          <w:rFonts w:ascii="宋体" w:hAnsi="宋体" w:cs="方正仿宋_GBK"/>
          <w:szCs w:val="21"/>
        </w:rPr>
        <w:t xml:space="preserve">（1）避孕套的生产批号，以八位数字表示，前四位数字表示年份（年份取后两位数，如2026年，年份用26表示）和月份，第五、六位数字表示当月累计生产批的顺序号，第七、八位数字表示生产本批产品的生产线编号。</w:t>
      </w:r>
      <w:r/>
    </w:p>
    <w:p>
      <w:pPr>
        <w:ind w:firstLine="420"/>
        <w:spacing w:line="360" w:lineRule="auto"/>
        <w:rPr>
          <w:rFonts w:hint="eastAsia" w:ascii="宋体" w:hAnsi="宋体" w:cs="方正仿宋_GBK"/>
          <w:szCs w:val="21"/>
        </w:rPr>
      </w:pPr>
      <w:r>
        <w:rPr>
          <w:rFonts w:ascii="宋体" w:hAnsi="宋体" w:cs="方正仿宋_GBK"/>
          <w:szCs w:val="21"/>
        </w:rPr>
        <w:t xml:space="preserve">（2）若投标人对避孕套生产批号的编制有其他信息的需求，应在上述批号规定位数后，空两个字符进行添加。</w:t>
      </w:r>
      <w:r/>
    </w:p>
    <w:p>
      <w:pPr>
        <w:ind w:firstLine="422"/>
        <w:jc w:val="left"/>
        <w:spacing w:line="400" w:lineRule="exact"/>
        <w:rPr>
          <w:rFonts w:hint="eastAsia" w:ascii="宋体" w:hAnsi="宋体" w:cs="方正仿宋_GBK"/>
          <w:b/>
          <w:bCs/>
          <w:szCs w:val="21"/>
        </w:rPr>
        <w:outlineLvl w:val="2"/>
      </w:pPr>
      <w:r>
        <w:rPr>
          <w:rFonts w:ascii="宋体" w:hAnsi="宋体" w:cs="方正仿宋_GBK"/>
          <w:b/>
          <w:bCs/>
          <w:szCs w:val="21"/>
        </w:rPr>
        <w:t xml:space="preserve">（</w:t>
      </w:r>
      <w:r>
        <w:rPr>
          <w:rFonts w:hint="eastAsia" w:ascii="宋体" w:hAnsi="宋体" w:cs="方正仿宋_GBK"/>
          <w:b/>
          <w:bCs/>
          <w:szCs w:val="21"/>
        </w:rPr>
        <w:t xml:space="preserve">三</w:t>
      </w:r>
      <w:r>
        <w:rPr>
          <w:rFonts w:ascii="宋体" w:hAnsi="宋体" w:cs="方正仿宋_GBK"/>
          <w:b/>
          <w:bCs/>
          <w:szCs w:val="21"/>
        </w:rPr>
        <w:t xml:space="preserve">）采购包3、天然橡胶胶乳男用避孕套（非光面）</w:t>
      </w:r>
      <w:r/>
    </w:p>
    <w:tbl>
      <w:tblPr>
        <w:tblStyle w:val="945"/>
        <w:tblW w:w="5501" w:type="pct"/>
        <w:jc w:val="center"/>
        <w:tblLayout w:type="fixed"/>
        <w:tblCellMar>
          <w:left w:w="108" w:type="dxa"/>
          <w:top w:w="0" w:type="dxa"/>
          <w:right w:w="108" w:type="dxa"/>
          <w:bottom w:w="0" w:type="dxa"/>
        </w:tblCellMar>
        <w:tblLook w:val="04A0" w:firstRow="1" w:lastRow="0" w:firstColumn="1" w:lastColumn="0" w:noHBand="0" w:noVBand="1"/>
      </w:tblPr>
      <w:tblGrid>
        <w:gridCol w:w="778"/>
        <w:gridCol w:w="2537"/>
        <w:gridCol w:w="825"/>
        <w:gridCol w:w="583"/>
        <w:gridCol w:w="746"/>
        <w:gridCol w:w="1230"/>
        <w:gridCol w:w="1393"/>
        <w:gridCol w:w="1503"/>
      </w:tblGrid>
      <w:tr>
        <w:trPr>
          <w:jc w:val="center"/>
          <w:trHeight w:val="797"/>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widowControl/>
              <w:rPr>
                <w:rFonts w:hint="eastAsia" w:ascii="宋体" w:hAnsi="宋体" w:cs="宋体"/>
                <w:b/>
                <w:bCs/>
                <w:sz w:val="22"/>
                <w:szCs w:val="22"/>
              </w:rPr>
            </w:pPr>
            <w:r>
              <w:rPr>
                <w:b/>
                <w:bCs/>
                <w:szCs w:val="21"/>
              </w:rPr>
              <w:t xml:space="preserve">采购包号</w:t>
            </w:r>
            <w:r/>
          </w:p>
        </w:tc>
        <w:tc>
          <w:tcPr>
            <w:tcBorders>
              <w:top w:val="single" w:color="auto" w:sz="4" w:space="0"/>
              <w:left w:val="none" w:color="000000" w:sz="4" w:space="0"/>
              <w:bottom w:val="single" w:color="auto" w:sz="4" w:space="0"/>
              <w:right w:val="single" w:color="auto" w:sz="4" w:space="0"/>
            </w:tcBorders>
            <w:tcW w:w="1321" w:type="pct"/>
            <w:vAlign w:val="center"/>
            <w:textDirection w:val="lrTb"/>
            <w:noWrap w:val="false"/>
          </w:tcPr>
          <w:p>
            <w:pPr>
              <w:jc w:val="center"/>
              <w:spacing w:line="360" w:lineRule="auto"/>
              <w:widowControl/>
              <w:rPr>
                <w:b/>
                <w:bCs/>
                <w:szCs w:val="21"/>
              </w:rPr>
            </w:pPr>
            <w:r>
              <w:rPr>
                <w:b/>
                <w:bCs/>
                <w:szCs w:val="21"/>
              </w:rPr>
              <w:t xml:space="preserve">品种名称</w:t>
            </w:r>
            <w:r/>
          </w:p>
          <w:p>
            <w:pPr>
              <w:jc w:val="center"/>
              <w:widowControl/>
              <w:rPr>
                <w:rFonts w:hint="eastAsia" w:ascii="宋体" w:hAnsi="宋体" w:cs="宋体"/>
                <w:b/>
                <w:bCs/>
                <w:sz w:val="22"/>
                <w:szCs w:val="22"/>
              </w:rPr>
            </w:pPr>
            <w:r>
              <w:rPr>
                <w:b/>
                <w:bCs/>
                <w:szCs w:val="21"/>
              </w:rPr>
              <w:t xml:space="preserve">（标的名称）</w:t>
            </w:r>
            <w:r/>
          </w:p>
        </w:tc>
        <w:tc>
          <w:tcPr>
            <w:tcBorders>
              <w:top w:val="single" w:color="auto" w:sz="4" w:space="0"/>
              <w:left w:val="none" w:color="000000"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规格</w:t>
            </w:r>
            <w:r/>
          </w:p>
        </w:tc>
        <w:tc>
          <w:tcPr>
            <w:tcBorders>
              <w:top w:val="single" w:color="auto" w:sz="4" w:space="0"/>
              <w:left w:val="none" w:color="000000"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单位</w:t>
            </w:r>
            <w:r/>
          </w:p>
        </w:tc>
        <w:tc>
          <w:tcPr>
            <w:tcBorders>
              <w:top w:val="single" w:color="auto"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每件</w:t>
            </w:r>
            <w:r>
              <w:rPr>
                <w:rFonts w:ascii="宋体" w:hAnsi="宋体" w:cs="宋体"/>
                <w:b/>
                <w:bCs/>
                <w:sz w:val="22"/>
                <w:szCs w:val="22"/>
              </w:rPr>
              <w:br/>
            </w:r>
            <w:r>
              <w:rPr>
                <w:rFonts w:ascii="宋体" w:hAnsi="宋体" w:cs="宋体"/>
                <w:b/>
                <w:bCs/>
                <w:sz w:val="22"/>
                <w:szCs w:val="22"/>
              </w:rPr>
              <w:t xml:space="preserve">内装</w:t>
            </w:r>
            <w:r/>
          </w:p>
        </w:tc>
        <w:tc>
          <w:tcPr>
            <w:tcBorders>
              <w:top w:val="single" w:color="auto" w:sz="4" w:space="0"/>
              <w:left w:val="none" w:color="000000" w:sz="4" w:space="0"/>
              <w:bottom w:val="single" w:color="auto" w:sz="4" w:space="0"/>
              <w:right w:val="single" w:color="auto" w:sz="4" w:space="0"/>
            </w:tcBorders>
            <w:tcW w:w="640"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需求</w:t>
            </w:r>
            <w:r/>
          </w:p>
          <w:p>
            <w:pPr>
              <w:jc w:val="center"/>
              <w:widowControl/>
              <w:rPr>
                <w:rFonts w:hint="eastAsia" w:ascii="宋体" w:hAnsi="宋体" w:cs="宋体"/>
                <w:b/>
                <w:bCs/>
                <w:sz w:val="22"/>
                <w:szCs w:val="22"/>
              </w:rPr>
            </w:pPr>
            <w:r>
              <w:rPr>
                <w:rFonts w:ascii="宋体" w:hAnsi="宋体" w:cs="宋体"/>
                <w:b/>
                <w:bCs/>
                <w:sz w:val="22"/>
                <w:szCs w:val="22"/>
              </w:rPr>
              <w:t xml:space="preserve">数量</w:t>
            </w:r>
            <w:r/>
          </w:p>
        </w:tc>
        <w:tc>
          <w:tcPr>
            <w:tcBorders>
              <w:top w:val="single" w:color="auto" w:sz="4" w:space="0"/>
              <w:left w:val="none" w:color="000000" w:sz="4" w:space="0"/>
              <w:bottom w:val="single" w:color="auto" w:sz="4" w:space="0"/>
              <w:right w:val="single" w:color="auto" w:sz="4" w:space="0"/>
            </w:tcBorders>
            <w:tcW w:w="725"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Cs w:val="21"/>
              </w:rPr>
              <w:t xml:space="preserve">最高限价（元）</w:t>
            </w:r>
            <w:r/>
          </w:p>
        </w:tc>
        <w:tc>
          <w:tcPr>
            <w:tcBorders>
              <w:top w:val="single" w:color="auto" w:sz="4" w:space="0"/>
              <w:left w:val="none" w:color="000000" w:sz="4" w:space="0"/>
              <w:bottom w:val="single" w:color="auto" w:sz="4" w:space="0"/>
              <w:right w:val="single" w:color="auto" w:sz="4" w:space="0"/>
            </w:tcBorders>
            <w:tcW w:w="782"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合计最高限价</w:t>
            </w:r>
            <w:r/>
          </w:p>
          <w:p>
            <w:pPr>
              <w:jc w:val="center"/>
              <w:widowControl/>
              <w:rPr>
                <w:rFonts w:hint="eastAsia" w:ascii="宋体" w:hAnsi="宋体" w:cs="宋体"/>
                <w:b/>
                <w:bCs/>
                <w:sz w:val="22"/>
                <w:szCs w:val="22"/>
              </w:rPr>
            </w:pPr>
            <w:r>
              <w:rPr>
                <w:rFonts w:hint="eastAsia" w:ascii="宋体" w:hAnsi="宋体" w:cs="宋体"/>
                <w:b/>
                <w:bCs/>
                <w:szCs w:val="21"/>
              </w:rPr>
              <w:t xml:space="preserve">（元）</w:t>
            </w:r>
            <w:r/>
          </w:p>
        </w:tc>
      </w:tr>
      <w:tr>
        <w:trPr>
          <w:jc w:val="center"/>
          <w:trHeight w:val="628"/>
        </w:trPr>
        <w:tc>
          <w:tcPr>
            <w:tcBorders>
              <w:top w:val="none" w:color="000000" w:sz="4" w:space="0"/>
              <w:left w:val="single" w:color="auto" w:sz="4" w:space="0"/>
              <w:bottom w:val="single" w:color="000000" w:sz="4" w:space="0"/>
              <w:right w:val="single" w:color="auto" w:sz="4" w:space="0"/>
            </w:tcBorders>
            <w:tcW w:w="405" w:type="pct"/>
            <w:vAlign w:val="center"/>
            <w:vMerge w:val="restart"/>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1321"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天然橡胶胶乳男用避孕套（非光面）</w:t>
            </w:r>
            <w:r/>
          </w:p>
        </w:tc>
        <w:tc>
          <w:tcPr>
            <w:tcBorders>
              <w:top w:val="none" w:color="000000" w:sz="4" w:space="0"/>
              <w:left w:val="none" w:color="000000"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none" w:color="000000" w:sz="4" w:space="0"/>
              <w:left w:val="none" w:color="000000" w:sz="4" w:space="0"/>
              <w:bottom w:val="single" w:color="auto" w:sz="4" w:space="0"/>
              <w:right w:val="single" w:color="auto" w:sz="4" w:space="0"/>
            </w:tcBorders>
            <w:tcW w:w="640"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2280000 </w:t>
            </w:r>
            <w:r/>
          </w:p>
        </w:tc>
        <w:tc>
          <w:tcPr>
            <w:tcBorders>
              <w:top w:val="none" w:color="000000" w:sz="4" w:space="0"/>
              <w:left w:val="none" w:color="000000" w:sz="4" w:space="0"/>
              <w:bottom w:val="single" w:color="auto" w:sz="4" w:space="0"/>
              <w:right w:val="single" w:color="auto" w:sz="4" w:space="0"/>
            </w:tcBorders>
            <w:tcW w:w="725"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524400.00 </w:t>
            </w:r>
            <w:r/>
          </w:p>
        </w:tc>
        <w:tc>
          <w:tcPr>
            <w:tcBorders>
              <w:top w:val="none" w:color="000000" w:sz="4" w:space="0"/>
              <w:left w:val="single" w:color="auto" w:sz="4" w:space="0"/>
              <w:bottom w:val="single" w:color="000000" w:sz="4" w:space="0"/>
              <w:right w:val="single" w:color="auto" w:sz="4" w:space="0"/>
            </w:tcBorders>
            <w:tcW w:w="782" w:type="pct"/>
            <w:vAlign w:val="center"/>
            <w:vMerge w:val="restart"/>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654028.00 </w:t>
            </w:r>
            <w:r/>
          </w:p>
        </w:tc>
      </w:tr>
      <w:tr>
        <w:trPr>
          <w:jc w:val="center"/>
          <w:trHeight w:val="628"/>
        </w:trPr>
        <w:tc>
          <w:tcPr>
            <w:tcBorders>
              <w:top w:val="none" w:color="000000" w:sz="4" w:space="0"/>
              <w:left w:val="single" w:color="auto" w:sz="4" w:space="0"/>
              <w:bottom w:val="single" w:color="000000" w:sz="4" w:space="0"/>
              <w:right w:val="single" w:color="auto" w:sz="4" w:space="0"/>
            </w:tcBorders>
            <w:tcW w:w="405"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321"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天然橡胶胶乳男用避孕套（非光面3只装）</w:t>
            </w:r>
            <w:r/>
          </w:p>
        </w:tc>
        <w:tc>
          <w:tcPr>
            <w:tcBorders>
              <w:top w:val="none" w:color="000000" w:sz="4" w:space="0"/>
              <w:left w:val="none" w:color="000000"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1800</w:t>
            </w:r>
            <w:r/>
          </w:p>
        </w:tc>
        <w:tc>
          <w:tcPr>
            <w:tcBorders>
              <w:top w:val="none" w:color="000000" w:sz="4" w:space="0"/>
              <w:left w:val="none" w:color="000000" w:sz="4" w:space="0"/>
              <w:bottom w:val="single" w:color="auto" w:sz="4" w:space="0"/>
              <w:right w:val="single" w:color="auto" w:sz="4" w:space="0"/>
            </w:tcBorders>
            <w:tcW w:w="640"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3600 </w:t>
            </w:r>
            <w:r/>
          </w:p>
        </w:tc>
        <w:tc>
          <w:tcPr>
            <w:tcBorders>
              <w:top w:val="none" w:color="000000" w:sz="4" w:space="0"/>
              <w:left w:val="none" w:color="000000" w:sz="4" w:space="0"/>
              <w:bottom w:val="single" w:color="auto" w:sz="4" w:space="0"/>
              <w:right w:val="single" w:color="auto" w:sz="4" w:space="0"/>
            </w:tcBorders>
            <w:tcW w:w="725"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828.00 </w:t>
            </w:r>
            <w:r/>
          </w:p>
        </w:tc>
        <w:tc>
          <w:tcPr>
            <w:tcBorders>
              <w:top w:val="none" w:color="000000" w:sz="4" w:space="0"/>
              <w:left w:val="single" w:color="auto" w:sz="4" w:space="0"/>
              <w:bottom w:val="single" w:color="000000" w:sz="4" w:space="0"/>
              <w:right w:val="single" w:color="auto" w:sz="4" w:space="0"/>
            </w:tcBorders>
            <w:tcW w:w="782"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r>
      <w:tr>
        <w:trPr>
          <w:jc w:val="center"/>
          <w:trHeight w:val="638"/>
        </w:trPr>
        <w:tc>
          <w:tcPr>
            <w:tcBorders>
              <w:top w:val="none" w:color="000000" w:sz="4" w:space="0"/>
              <w:left w:val="single" w:color="auto" w:sz="4" w:space="0"/>
              <w:bottom w:val="single" w:color="000000" w:sz="4" w:space="0"/>
              <w:right w:val="single" w:color="auto" w:sz="4" w:space="0"/>
            </w:tcBorders>
            <w:tcW w:w="405"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321"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天然橡胶胶乳男用避孕套（非光面5只装）</w:t>
            </w:r>
            <w:r/>
          </w:p>
        </w:tc>
        <w:tc>
          <w:tcPr>
            <w:tcBorders>
              <w:top w:val="none" w:color="000000" w:sz="4" w:space="0"/>
              <w:left w:val="none" w:color="000000"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Borders>
              <w:top w:val="none" w:color="000000" w:sz="4" w:space="0"/>
              <w:left w:val="none" w:color="000000" w:sz="4" w:space="0"/>
              <w:bottom w:val="single" w:color="auto" w:sz="4" w:space="0"/>
              <w:right w:val="single" w:color="auto" w:sz="4" w:space="0"/>
            </w:tcBorders>
            <w:tcW w:w="640"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560000 </w:t>
            </w:r>
            <w:r/>
          </w:p>
        </w:tc>
        <w:tc>
          <w:tcPr>
            <w:tcBorders>
              <w:top w:val="none" w:color="000000" w:sz="4" w:space="0"/>
              <w:left w:val="none" w:color="000000" w:sz="4" w:space="0"/>
              <w:bottom w:val="single" w:color="auto" w:sz="4" w:space="0"/>
              <w:right w:val="single" w:color="auto" w:sz="4" w:space="0"/>
            </w:tcBorders>
            <w:tcW w:w="725"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128800.00 </w:t>
            </w:r>
            <w:r/>
          </w:p>
        </w:tc>
        <w:tc>
          <w:tcPr>
            <w:tcBorders>
              <w:top w:val="none" w:color="000000" w:sz="4" w:space="0"/>
              <w:left w:val="single" w:color="auto" w:sz="4" w:space="0"/>
              <w:bottom w:val="single" w:color="000000" w:sz="4" w:space="0"/>
              <w:right w:val="single" w:color="auto" w:sz="4" w:space="0"/>
            </w:tcBorders>
            <w:tcW w:w="782"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r>
    </w:tbl>
    <w:p>
      <w:pPr>
        <w:ind w:firstLine="632"/>
        <w:jc w:val="left"/>
        <w:spacing w:line="360" w:lineRule="auto"/>
        <w:rPr>
          <w:rFonts w:hint="eastAsia" w:ascii="宋体" w:hAnsi="宋体" w:cs="方正仿宋_GBK"/>
          <w:b/>
          <w:bCs/>
          <w:i/>
          <w:iCs/>
          <w:szCs w:val="21"/>
          <w:u w:val="single"/>
        </w:rPr>
      </w:pPr>
      <w:r>
        <w:rPr>
          <w:rFonts w:hint="eastAsia" w:ascii="宋体" w:hAnsi="宋体" w:cs="方正仿宋_GBK"/>
          <w:b/>
          <w:bCs/>
          <w:i/>
          <w:iCs/>
          <w:szCs w:val="21"/>
          <w:u w:val="single"/>
        </w:rPr>
      </w:r>
      <w:r/>
    </w:p>
    <w:p>
      <w:pPr>
        <w:ind w:firstLine="632"/>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1、天然橡胶胶乳男用避孕套（非光面）质量要求：</w:t>
      </w:r>
      <w:r/>
    </w:p>
    <w:p>
      <w:pPr>
        <w:ind w:firstLine="422"/>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（1）产品符合标准GB/T7544-2019的技术要求。</w:t>
      </w:r>
      <w:r/>
    </w:p>
    <w:p>
      <w:pPr>
        <w:ind w:firstLine="422"/>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（2）天然进口胶乳橡胶</w:t>
      </w:r>
      <w:r>
        <w:rPr>
          <w:rFonts w:ascii="宋体" w:hAnsi="宋体" w:cs="方正仿宋_GBK"/>
          <w:b/>
          <w:bCs/>
          <w:i/>
          <w:szCs w:val="21"/>
          <w:u w:val="single"/>
        </w:rPr>
        <w:t xml:space="preserve">（提供进口报关单及采购合同复印件）</w:t>
      </w:r>
      <w:r>
        <w:rPr>
          <w:rFonts w:ascii="宋体" w:hAnsi="宋体" w:cs="方正仿宋_GBK"/>
          <w:b/>
          <w:bCs/>
          <w:i/>
          <w:iCs/>
          <w:szCs w:val="21"/>
          <w:u w:val="single"/>
        </w:rPr>
        <w:t xml:space="preserve">，硅油：医用级二甲基硅油润滑剂，单包装硅油润滑剂总量≥500mg；</w:t>
      </w:r>
      <w:r/>
    </w:p>
    <w:p>
      <w:pPr>
        <w:ind w:firstLine="422"/>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（3）老化后爆破性能符合标准GB/T7544中对未处理的避孕套爆破体积和压力的要求（热空气老化试验方法采用GB/T7544附录H，老化条件为（168±2）h×（70±2）℃），爆破压力不小于1.0kPa，</w:t>
      </w:r>
      <w:r>
        <w:rPr>
          <w:rFonts w:ascii="宋体" w:hAnsi="宋体" w:cs="方正仿宋_GBK"/>
          <w:b/>
          <w:bCs/>
          <w:i/>
          <w:szCs w:val="21"/>
          <w:u w:val="single"/>
        </w:rPr>
        <w:t xml:space="preserve">爆破体积不小于18.0dm³。</w:t>
      </w:r>
      <w:r/>
    </w:p>
    <w:p>
      <w:pPr>
        <w:ind w:firstLine="422"/>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2、天然橡胶胶乳男用避孕套（非光面）为颗粒、螺纹混合型，尺寸规格为52mm，不含储精囊长度≥170mm。</w:t>
      </w:r>
      <w:r/>
    </w:p>
    <w:p>
      <w:pPr>
        <w:ind w:firstLine="422"/>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3、包装规格：单只装铝膜方包，分别为10只/盒、3只/盒、5</w:t>
      </w:r>
      <w:r>
        <w:rPr>
          <w:rFonts w:ascii="宋体" w:hAnsi="宋体" w:cs="方正仿宋_GBK"/>
          <w:b/>
          <w:bCs/>
          <w:i/>
          <w:szCs w:val="21"/>
          <w:u w:val="single"/>
        </w:rPr>
        <w:t xml:space="preserve">只/盒</w:t>
      </w:r>
      <w:r>
        <w:rPr>
          <w:rFonts w:ascii="宋体" w:hAnsi="宋体" w:cs="方正仿宋_GBK"/>
          <w:b/>
          <w:bCs/>
          <w:i/>
          <w:iCs/>
          <w:szCs w:val="21"/>
          <w:u w:val="single"/>
        </w:rPr>
        <w:t xml:space="preserve">，对应</w:t>
      </w:r>
      <w:r>
        <w:rPr>
          <w:rFonts w:ascii="宋体" w:hAnsi="宋体" w:cs="方正仿宋_GBK"/>
          <w:b/>
          <w:bCs/>
          <w:i/>
          <w:szCs w:val="21"/>
          <w:u w:val="single"/>
        </w:rPr>
        <w:t xml:space="preserve">装箱规格分别为每件内装2000只、1800只、2000只</w:t>
      </w:r>
      <w:r>
        <w:rPr>
          <w:rFonts w:ascii="宋体" w:hAnsi="宋体" w:cs="方正仿宋_GBK"/>
          <w:b/>
          <w:bCs/>
          <w:i/>
          <w:iCs/>
          <w:szCs w:val="21"/>
          <w:u w:val="single"/>
        </w:rPr>
        <w:t xml:space="preserve">。</w:t>
      </w:r>
      <w:r/>
    </w:p>
    <w:p>
      <w:pPr>
        <w:ind w:firstLine="422"/>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4、天然橡胶胶乳男用避孕套（非光面）的包装和标签等除满足国家法律规定，还应满足《江苏省基本避孕药具包装及标签要求》。10只装</w:t>
      </w:r>
      <w:r>
        <w:rPr>
          <w:rFonts w:ascii="宋体" w:hAnsi="宋体" w:cs="方正仿宋_GBK"/>
          <w:b/>
          <w:bCs/>
          <w:i/>
          <w:szCs w:val="21"/>
          <w:u w:val="single"/>
        </w:rPr>
        <w:t xml:space="preserve">消费包装纸盒采用425g的镭射金、银卡纸制作；</w:t>
      </w:r>
      <w:r>
        <w:rPr>
          <w:rFonts w:ascii="宋体" w:hAnsi="宋体" w:cs="方正仿宋_GBK"/>
          <w:b/>
          <w:bCs/>
          <w:i/>
          <w:iCs/>
          <w:szCs w:val="21"/>
          <w:u w:val="single"/>
        </w:rPr>
        <w:t xml:space="preserve">3只装、5</w:t>
      </w:r>
      <w:r>
        <w:rPr>
          <w:rFonts w:ascii="宋体" w:hAnsi="宋体" w:cs="方正仿宋_GBK"/>
          <w:b/>
          <w:bCs/>
          <w:i/>
          <w:szCs w:val="21"/>
          <w:u w:val="single"/>
        </w:rPr>
        <w:t xml:space="preserve">只装消费包装纸盒采用≥375g的镭射金、银卡纸制作。</w:t>
      </w:r>
      <w:r/>
    </w:p>
    <w:p>
      <w:pPr>
        <w:ind w:firstLine="420"/>
        <w:jc w:val="left"/>
        <w:spacing w:line="360" w:lineRule="auto"/>
        <w:rPr>
          <w:rFonts w:hint="eastAsia" w:ascii="宋体" w:hAnsi="宋体" w:cs="方正仿宋_GBK"/>
          <w:szCs w:val="21"/>
        </w:rPr>
      </w:pPr>
      <w:r>
        <w:rPr>
          <w:rFonts w:ascii="宋体" w:hAnsi="宋体" w:cs="方正仿宋_GBK"/>
          <w:szCs w:val="21"/>
        </w:rPr>
        <w:t xml:space="preserve">5、天然橡胶胶乳男用避孕套（非光面）的生产批号须满足以下要求：</w:t>
      </w:r>
      <w:r/>
    </w:p>
    <w:p>
      <w:pPr>
        <w:ind w:firstLine="420"/>
        <w:jc w:val="left"/>
        <w:spacing w:line="360" w:lineRule="auto"/>
        <w:rPr>
          <w:rFonts w:hint="eastAsia" w:ascii="宋体" w:hAnsi="宋体" w:cs="方正仿宋_GBK"/>
          <w:szCs w:val="21"/>
        </w:rPr>
      </w:pPr>
      <w:r>
        <w:rPr>
          <w:rFonts w:ascii="宋体" w:hAnsi="宋体" w:cs="方正仿宋_GBK"/>
          <w:szCs w:val="21"/>
        </w:rPr>
        <w:t xml:space="preserve">（1）避孕套的生产批号，以八位数字表示，前四位数字表示年份（年份取后两位数，如202</w:t>
      </w:r>
      <w:r>
        <w:rPr>
          <w:rFonts w:hint="eastAsia" w:ascii="宋体" w:hAnsi="宋体" w:cs="方正仿宋_GBK"/>
          <w:szCs w:val="21"/>
        </w:rPr>
        <w:t xml:space="preserve">6</w:t>
      </w:r>
      <w:r>
        <w:rPr>
          <w:rFonts w:ascii="宋体" w:hAnsi="宋体" w:cs="方正仿宋_GBK"/>
          <w:szCs w:val="21"/>
        </w:rPr>
        <w:t xml:space="preserve">年，年份用2</w:t>
      </w:r>
      <w:r>
        <w:rPr>
          <w:rFonts w:hint="eastAsia" w:ascii="宋体" w:hAnsi="宋体" w:cs="方正仿宋_GBK"/>
          <w:szCs w:val="21"/>
        </w:rPr>
        <w:t xml:space="preserve">6</w:t>
      </w:r>
      <w:r>
        <w:rPr>
          <w:rFonts w:ascii="宋体" w:hAnsi="宋体" w:cs="方正仿宋_GBK"/>
          <w:szCs w:val="21"/>
        </w:rPr>
        <w:t xml:space="preserve">表示）和月份，第五、六位数字表示当月累计生产批的顺序号，第七、八位数字表示生产本批产品的生产线编号。</w:t>
      </w:r>
      <w:r/>
    </w:p>
    <w:p>
      <w:pPr>
        <w:ind w:firstLine="420"/>
        <w:jc w:val="left"/>
        <w:spacing w:line="360" w:lineRule="auto"/>
        <w:rPr>
          <w:rFonts w:hint="eastAsia" w:ascii="宋体" w:hAnsi="宋体" w:cs="方正仿宋_GBK"/>
          <w:szCs w:val="21"/>
        </w:rPr>
      </w:pPr>
      <w:r>
        <w:rPr>
          <w:rFonts w:ascii="宋体" w:hAnsi="宋体" w:cs="方正仿宋_GBK"/>
          <w:szCs w:val="21"/>
        </w:rPr>
        <w:t xml:space="preserve">（2）若投标人对避孕套生产批号的编制有其他信息的需求，应在上述批号规定位数后，空两个字符进行添加。</w:t>
      </w:r>
      <w:r/>
    </w:p>
    <w:p>
      <w:pPr>
        <w:ind w:firstLine="422"/>
        <w:jc w:val="left"/>
        <w:spacing w:line="400" w:lineRule="exact"/>
        <w:rPr>
          <w:rFonts w:hint="eastAsia" w:ascii="宋体" w:hAnsi="宋体" w:cs="方正仿宋_GBK"/>
          <w:b/>
          <w:bCs/>
          <w:szCs w:val="21"/>
        </w:rPr>
        <w:outlineLvl w:val="2"/>
      </w:pPr>
      <w:r>
        <w:rPr>
          <w:rFonts w:ascii="宋体" w:hAnsi="宋体" w:cs="方正仿宋_GBK"/>
          <w:b/>
          <w:bCs/>
          <w:szCs w:val="21"/>
        </w:rPr>
        <w:t xml:space="preserve">（四）采购包4、天然橡胶胶乳男用避孕套（光面）</w:t>
      </w:r>
      <w:r/>
    </w:p>
    <w:tbl>
      <w:tblPr>
        <w:tblStyle w:val="945"/>
        <w:tblW w:w="52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2310"/>
        <w:gridCol w:w="756"/>
        <w:gridCol w:w="608"/>
        <w:gridCol w:w="798"/>
        <w:gridCol w:w="1158"/>
        <w:gridCol w:w="1314"/>
        <w:gridCol w:w="1417"/>
      </w:tblGrid>
      <w:tr>
        <w:trPr>
          <w:jc w:val="center"/>
          <w:trHeight w:val="865"/>
        </w:trPr>
        <w:tc>
          <w:tcPr>
            <w:tcW w:w="414" w:type="pct"/>
            <w:vAlign w:val="center"/>
            <w:textDirection w:val="lrTb"/>
            <w:noWrap w:val="false"/>
          </w:tcPr>
          <w:p>
            <w:pPr>
              <w:jc w:val="center"/>
              <w:widowControl/>
              <w:rPr>
                <w:rFonts w:hint="eastAsia" w:ascii="宋体" w:hAnsi="宋体" w:cs="宋体"/>
                <w:b/>
                <w:bCs/>
                <w:sz w:val="22"/>
                <w:szCs w:val="22"/>
              </w:rPr>
            </w:pPr>
            <w:r>
              <w:rPr>
                <w:b/>
                <w:bCs/>
                <w:szCs w:val="21"/>
              </w:rPr>
              <w:t xml:space="preserve">采购包号</w:t>
            </w:r>
            <w:r/>
          </w:p>
        </w:tc>
        <w:tc>
          <w:tcPr>
            <w:tcW w:w="1266" w:type="pct"/>
            <w:vAlign w:val="center"/>
            <w:textDirection w:val="lrTb"/>
            <w:noWrap w:val="false"/>
          </w:tcPr>
          <w:p>
            <w:pPr>
              <w:jc w:val="center"/>
              <w:spacing w:line="360" w:lineRule="auto"/>
              <w:widowControl/>
              <w:rPr>
                <w:b/>
                <w:bCs/>
                <w:szCs w:val="21"/>
              </w:rPr>
            </w:pPr>
            <w:r>
              <w:rPr>
                <w:b/>
                <w:bCs/>
                <w:szCs w:val="21"/>
              </w:rPr>
              <w:t xml:space="preserve">品种名称</w:t>
            </w:r>
            <w:r/>
          </w:p>
          <w:p>
            <w:pPr>
              <w:jc w:val="center"/>
              <w:widowControl/>
              <w:rPr>
                <w:rFonts w:hint="eastAsia" w:ascii="宋体" w:hAnsi="宋体" w:cs="宋体"/>
                <w:b/>
                <w:bCs/>
                <w:sz w:val="22"/>
                <w:szCs w:val="22"/>
              </w:rPr>
            </w:pPr>
            <w:r>
              <w:rPr>
                <w:b/>
                <w:bCs/>
                <w:szCs w:val="21"/>
              </w:rPr>
              <w:t xml:space="preserve">（标的名称）</w:t>
            </w:r>
            <w:r/>
          </w:p>
        </w:tc>
        <w:tc>
          <w:tcPr>
            <w:tcW w:w="414"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规格</w:t>
            </w:r>
            <w:r/>
          </w:p>
        </w:tc>
        <w:tc>
          <w:tcPr>
            <w:tcW w:w="333"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单位</w:t>
            </w:r>
            <w:r/>
          </w:p>
        </w:tc>
        <w:tc>
          <w:tcPr>
            <w:tcW w:w="437"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每件</w:t>
            </w:r>
            <w:r>
              <w:rPr>
                <w:rFonts w:ascii="宋体" w:hAnsi="宋体" w:cs="宋体"/>
                <w:b/>
                <w:bCs/>
                <w:sz w:val="22"/>
                <w:szCs w:val="22"/>
              </w:rPr>
              <w:br/>
            </w:r>
            <w:r>
              <w:rPr>
                <w:rFonts w:ascii="宋体" w:hAnsi="宋体" w:cs="宋体"/>
                <w:b/>
                <w:bCs/>
                <w:sz w:val="22"/>
                <w:szCs w:val="22"/>
              </w:rPr>
              <w:t xml:space="preserve">内装</w:t>
            </w:r>
            <w:r/>
          </w:p>
        </w:tc>
        <w:tc>
          <w:tcPr>
            <w:tcW w:w="635" w:type="pct"/>
            <w:vAlign w:val="center"/>
            <w:textDirection w:val="lrTb"/>
            <w:noWrap w:val="false"/>
          </w:tcPr>
          <w:p>
            <w:pPr>
              <w:jc w:val="center"/>
              <w:widowControl/>
              <w:rPr>
                <w:rFonts w:hint="eastAsia" w:ascii="宋体" w:hAnsi="宋体" w:cs="宋体"/>
                <w:b/>
                <w:bCs/>
                <w:sz w:val="22"/>
                <w:szCs w:val="22"/>
              </w:rPr>
            </w:pPr>
            <w:r>
              <w:rPr>
                <w:rFonts w:ascii="宋体" w:hAnsi="宋体" w:cs="宋体"/>
                <w:b/>
                <w:bCs/>
                <w:sz w:val="22"/>
                <w:szCs w:val="22"/>
              </w:rPr>
              <w:t xml:space="preserve">需求</w:t>
            </w:r>
            <w:r/>
          </w:p>
          <w:p>
            <w:pPr>
              <w:jc w:val="center"/>
              <w:widowControl/>
              <w:rPr>
                <w:rFonts w:hint="eastAsia" w:ascii="宋体" w:hAnsi="宋体" w:cs="宋体"/>
                <w:b/>
                <w:bCs/>
                <w:sz w:val="22"/>
                <w:szCs w:val="22"/>
              </w:rPr>
            </w:pPr>
            <w:r>
              <w:rPr>
                <w:rFonts w:ascii="宋体" w:hAnsi="宋体" w:cs="宋体"/>
                <w:b/>
                <w:bCs/>
                <w:sz w:val="22"/>
                <w:szCs w:val="22"/>
              </w:rPr>
              <w:t xml:space="preserve">数量</w:t>
            </w:r>
            <w:r/>
          </w:p>
        </w:tc>
        <w:tc>
          <w:tcPr>
            <w:tcW w:w="721"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Cs w:val="21"/>
              </w:rPr>
              <w:t xml:space="preserve">最高限价（元）</w:t>
            </w:r>
            <w:r/>
          </w:p>
        </w:tc>
        <w:tc>
          <w:tcPr>
            <w:tcW w:w="77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合计最高限价</w:t>
            </w:r>
            <w:r/>
          </w:p>
          <w:p>
            <w:pPr>
              <w:jc w:val="center"/>
              <w:widowControl/>
              <w:rPr>
                <w:rFonts w:hint="eastAsia" w:ascii="宋体" w:hAnsi="宋体" w:cs="宋体"/>
                <w:b/>
                <w:bCs/>
                <w:sz w:val="22"/>
                <w:szCs w:val="22"/>
              </w:rPr>
            </w:pPr>
            <w:r>
              <w:rPr>
                <w:rFonts w:hint="eastAsia" w:ascii="宋体" w:hAnsi="宋体" w:cs="宋体"/>
                <w:b/>
                <w:bCs/>
                <w:szCs w:val="21"/>
              </w:rPr>
              <w:t xml:space="preserve">（元）</w:t>
            </w:r>
            <w:r/>
          </w:p>
        </w:tc>
      </w:tr>
      <w:tr>
        <w:trPr>
          <w:jc w:val="center"/>
          <w:trHeight w:val="621"/>
        </w:trPr>
        <w:tc>
          <w:tcPr>
            <w:tcW w:w="414" w:type="pct"/>
            <w:vAlign w:val="center"/>
            <w:vMerge w:val="restart"/>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4</w:t>
            </w:r>
            <w:r/>
          </w:p>
        </w:tc>
        <w:tc>
          <w:tcPr>
            <w:tcW w:w="1266" w:type="pct"/>
            <w:vAlign w:val="center"/>
            <w:vMerge w:val="restart"/>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天然橡胶胶乳男用避孕套（光面）</w:t>
            </w:r>
            <w:r/>
          </w:p>
        </w:tc>
        <w:tc>
          <w:tcPr>
            <w:tcW w:w="414"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52mm</w:t>
            </w:r>
            <w:r/>
          </w:p>
        </w:tc>
        <w:tc>
          <w:tcPr>
            <w:tcW w:w="333"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W w:w="437"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W w:w="635"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2560000 </w:t>
            </w:r>
            <w:r/>
          </w:p>
        </w:tc>
        <w:tc>
          <w:tcPr>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588800.00 </w:t>
            </w:r>
            <w:r/>
          </w:p>
        </w:tc>
        <w:tc>
          <w:tcPr>
            <w:tcW w:w="777" w:type="pct"/>
            <w:vAlign w:val="center"/>
            <w:vMerge w:val="restart"/>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593400.00 </w:t>
            </w:r>
            <w:r/>
          </w:p>
        </w:tc>
      </w:tr>
      <w:tr>
        <w:trPr>
          <w:jc w:val="center"/>
          <w:trHeight w:val="630"/>
        </w:trPr>
        <w:tc>
          <w:tcPr>
            <w:tcW w:w="414" w:type="pct"/>
            <w:vAlign w:val="center"/>
            <w:vMerge w:val="continue"/>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266" w:type="pct"/>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W w:w="414"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55mm</w:t>
            </w:r>
            <w:r/>
          </w:p>
        </w:tc>
        <w:tc>
          <w:tcPr>
            <w:tcW w:w="333"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只</w:t>
            </w:r>
            <w:r/>
          </w:p>
        </w:tc>
        <w:tc>
          <w:tcPr>
            <w:tcW w:w="437" w:type="pct"/>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2000</w:t>
            </w:r>
            <w:r/>
          </w:p>
        </w:tc>
        <w:tc>
          <w:tcPr>
            <w:tcW w:w="635"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20000 </w:t>
            </w:r>
            <w:r/>
          </w:p>
        </w:tc>
        <w:tc>
          <w:tcPr>
            <w:tcW w:w="721" w:type="pct"/>
            <w:vAlign w:val="center"/>
            <w:textDirection w:val="lrTb"/>
            <w:noWrap w:val="false"/>
          </w:tcPr>
          <w:p>
            <w:pPr>
              <w:jc w:val="right"/>
              <w:widowControl/>
              <w:rPr>
                <w:rFonts w:hint="eastAsia" w:ascii="宋体" w:hAnsi="宋体" w:cs="宋体"/>
                <w:sz w:val="22"/>
                <w:szCs w:val="22"/>
              </w:rPr>
            </w:pPr>
            <w:r>
              <w:rPr>
                <w:rFonts w:ascii="宋体" w:hAnsi="宋体" w:cs="宋体"/>
                <w:sz w:val="22"/>
                <w:szCs w:val="22"/>
              </w:rPr>
              <w:t xml:space="preserve">4600.00 </w:t>
            </w:r>
            <w:r/>
          </w:p>
        </w:tc>
        <w:tc>
          <w:tcPr>
            <w:tcW w:w="777" w:type="pct"/>
            <w:vAlign w:val="center"/>
            <w:vMerge w:val="continue"/>
            <w:textDirection w:val="lrTb"/>
            <w:noWrap w:val="false"/>
          </w:tcPr>
          <w:p>
            <w:pPr>
              <w:jc w:val="right"/>
              <w:widowControl/>
              <w:rPr>
                <w:rFonts w:hint="eastAsia" w:ascii="宋体" w:hAnsi="宋体" w:cs="宋体"/>
                <w:sz w:val="22"/>
                <w:szCs w:val="22"/>
              </w:rPr>
            </w:pPr>
            <w:r>
              <w:rPr>
                <w:rFonts w:hint="eastAsia" w:ascii="宋体" w:hAnsi="宋体" w:cs="宋体"/>
                <w:sz w:val="22"/>
                <w:szCs w:val="22"/>
              </w:rPr>
            </w:r>
            <w:r/>
          </w:p>
        </w:tc>
      </w:tr>
    </w:tbl>
    <w:p>
      <w:pPr>
        <w:ind w:firstLine="422"/>
        <w:spacing w:line="360" w:lineRule="auto"/>
        <w:rPr>
          <w:rFonts w:hint="eastAsia" w:ascii="宋体" w:hAnsi="宋体" w:cs="方正仿宋_GBK"/>
          <w:b/>
          <w:bCs/>
          <w:i/>
          <w:szCs w:val="21"/>
          <w:u w:val="single"/>
        </w:rPr>
      </w:pPr>
      <w:r>
        <w:rPr>
          <w:rFonts w:hint="eastAsia" w:ascii="宋体" w:hAnsi="宋体" w:cs="方正仿宋_GBK"/>
          <w:b/>
          <w:bCs/>
          <w:i/>
          <w:szCs w:val="21"/>
          <w:u w:val="single"/>
        </w:rPr>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1、天然橡胶胶乳男用避孕套（光面）质量要求：</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（1）产品符合标准GB/T7544-2019的技术要求。</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（2）天然进口胶乳橡胶（提供进口报关单及采购合同复印件），硅油：医用级二甲基硅油润滑剂，单个包装硅油润滑剂总量≥400mg。</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（3）老化后爆破性能符合标准GB/T7544中对未处理的避孕套爆破体积和压力的要求（热空气老化试验方法采用GB/T7544附录H，老化条件为（168±2）h×（70±2）℃），</w:t>
      </w:r>
      <w:r>
        <w:rPr>
          <w:rFonts w:ascii="宋体" w:hAnsi="宋体" w:cs="方正仿宋_GBK"/>
          <w:b/>
          <w:bCs/>
          <w:i/>
          <w:iCs/>
          <w:szCs w:val="21"/>
          <w:u w:val="single"/>
        </w:rPr>
        <w:t xml:space="preserve">爆破压力不小于1.0kPa，</w:t>
      </w:r>
      <w:r>
        <w:rPr>
          <w:rFonts w:ascii="宋体" w:hAnsi="宋体" w:cs="方正仿宋_GBK"/>
          <w:b/>
          <w:bCs/>
          <w:i/>
          <w:szCs w:val="21"/>
          <w:u w:val="single"/>
        </w:rPr>
        <w:t xml:space="preserve">爆破体积不小于18.0dm³（52mm、55mm）。</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2、天然橡胶胶乳男用避孕套（光面）为光面普通型，尺寸规格为52mm、55mm，不含储精囊长度≥170mm。</w:t>
      </w:r>
      <w:r/>
    </w:p>
    <w:p>
      <w:pPr>
        <w:ind w:firstLine="422"/>
        <w:spacing w:line="360" w:lineRule="auto"/>
        <w:rPr>
          <w:rFonts w:hint="eastAsia" w:ascii="宋体" w:hAnsi="宋体" w:cs="方正仿宋_GBK"/>
          <w:b/>
          <w:bCs/>
          <w:i/>
          <w:szCs w:val="21"/>
        </w:rPr>
      </w:pPr>
      <w:r>
        <w:rPr>
          <w:rFonts w:ascii="宋体" w:hAnsi="宋体" w:cs="方正仿宋_GBK"/>
          <w:b/>
          <w:bCs/>
          <w:i/>
          <w:iCs/>
          <w:szCs w:val="21"/>
          <w:u w:val="single"/>
        </w:rPr>
        <w:t xml:space="preserve">3、包装规格：单只装铝膜方包，每盒</w:t>
      </w:r>
      <w:r>
        <w:rPr>
          <w:rFonts w:ascii="宋体" w:hAnsi="宋体" w:cs="方正仿宋_GBK"/>
          <w:b/>
          <w:bCs/>
          <w:i/>
          <w:szCs w:val="21"/>
          <w:u w:val="single"/>
        </w:rPr>
        <w:t xml:space="preserve">10只，装箱规格为每件内装2000只。消费包装纸盒采用425g的镭射金、银卡纸制作。</w:t>
      </w:r>
      <w:r/>
    </w:p>
    <w:p>
      <w:pPr>
        <w:ind w:firstLine="422"/>
        <w:spacing w:line="360" w:lineRule="auto"/>
        <w:rPr>
          <w:rFonts w:hint="eastAsia" w:ascii="宋体" w:hAnsi="宋体" w:cs="方正仿宋_GBK"/>
          <w:b/>
          <w:bCs/>
          <w:i/>
          <w:szCs w:val="21"/>
          <w:u w:val="single"/>
        </w:rPr>
      </w:pPr>
      <w:r>
        <w:rPr>
          <w:rFonts w:ascii="宋体" w:hAnsi="宋体" w:cs="方正仿宋_GBK"/>
          <w:b/>
          <w:bCs/>
          <w:i/>
          <w:szCs w:val="21"/>
          <w:u w:val="single"/>
        </w:rPr>
        <w:t xml:space="preserve">4、天然橡胶胶乳男用避孕套（光面）的包装和标签等除满足国家法律规定外，还应符合《江苏省基本避孕药具包装及标签要求》中的相关规定。</w:t>
      </w:r>
      <w:r/>
    </w:p>
    <w:p>
      <w:pPr>
        <w:ind w:firstLine="420"/>
        <w:spacing w:line="360" w:lineRule="auto"/>
        <w:rPr>
          <w:rFonts w:hint="eastAsia" w:ascii="宋体" w:hAnsi="宋体" w:cs="方正仿宋_GBK"/>
          <w:szCs w:val="21"/>
        </w:rPr>
      </w:pPr>
      <w:r>
        <w:rPr>
          <w:rFonts w:ascii="宋体" w:hAnsi="宋体" w:cs="方正仿宋_GBK"/>
          <w:szCs w:val="21"/>
        </w:rPr>
        <w:t xml:space="preserve">5、天然橡胶胶乳男用避孕套（光面）的生产批号须满足以下要求：</w:t>
      </w:r>
      <w:r/>
    </w:p>
    <w:p>
      <w:pPr>
        <w:ind w:firstLine="420"/>
        <w:spacing w:line="360" w:lineRule="auto"/>
        <w:rPr>
          <w:rFonts w:hint="eastAsia" w:ascii="宋体" w:hAnsi="宋体" w:cs="方正仿宋_GBK"/>
          <w:szCs w:val="21"/>
        </w:rPr>
      </w:pPr>
      <w:r>
        <w:rPr>
          <w:rFonts w:ascii="宋体" w:hAnsi="宋体" w:cs="方正仿宋_GBK"/>
          <w:szCs w:val="21"/>
        </w:rPr>
        <w:t xml:space="preserve">（1）避孕套的生产批号，以八位数字表示，前四位数字表示年份（年份取后两位数，如2026年，年份用26表示）和月份，第五、六位数字表示当月累计生产批的顺序号，第七、八位数字表示生产本批产品的生产线编号。</w:t>
      </w:r>
      <w:r/>
    </w:p>
    <w:p>
      <w:pPr>
        <w:ind w:firstLine="420"/>
        <w:spacing w:line="360" w:lineRule="auto"/>
        <w:rPr>
          <w:rFonts w:hint="eastAsia" w:ascii="宋体" w:hAnsi="宋体" w:cs="方正仿宋_GBK"/>
          <w:szCs w:val="21"/>
        </w:rPr>
      </w:pPr>
      <w:r>
        <w:rPr>
          <w:rFonts w:ascii="宋体" w:hAnsi="宋体" w:cs="方正仿宋_GBK"/>
          <w:szCs w:val="21"/>
        </w:rPr>
        <w:t xml:space="preserve">（2）若投标人对避孕套生产批号的编制有其他信息的需求，应在上述批号规定位数后，空两个字符进行添加。</w:t>
      </w:r>
      <w:r/>
    </w:p>
    <w:p>
      <w:pPr>
        <w:ind w:left="420"/>
        <w:keepLines/>
        <w:keepNext/>
        <w:spacing w:line="360" w:lineRule="auto"/>
        <w:rPr>
          <w:rFonts w:ascii="Calibri" w:hAnsi="Calibri"/>
          <w:b/>
        </w:rPr>
        <w:outlineLvl w:val="2"/>
      </w:pPr>
      <w:r/>
      <w:bookmarkStart w:id="25" w:name="_Toc205834972"/>
      <w:r/>
      <w:bookmarkStart w:id="26" w:name="_Toc189148252"/>
      <w:r>
        <w:rPr>
          <w:rFonts w:ascii="Calibri" w:hAnsi="Calibri"/>
          <w:b/>
        </w:rPr>
        <w:t xml:space="preserve">三、质量保证要求</w:t>
      </w:r>
      <w:bookmarkEnd w:id="25"/>
      <w:r/>
      <w:bookmarkEnd w:id="26"/>
      <w:r/>
      <w:r/>
    </w:p>
    <w:p>
      <w:pPr>
        <w:ind w:firstLine="422"/>
        <w:spacing w:line="360" w:lineRule="auto"/>
        <w:rPr>
          <w:rFonts w:hint="eastAsia" w:ascii="宋体" w:hAnsi="宋体" w:cs="方正仿宋_GBK"/>
          <w:szCs w:val="21"/>
        </w:rPr>
      </w:pPr>
      <w:r>
        <w:rPr>
          <w:rFonts w:ascii="宋体" w:hAnsi="宋体" w:cs="方正仿宋_GBK"/>
          <w:b/>
          <w:bCs/>
          <w:szCs w:val="21"/>
        </w:rPr>
        <w:t xml:space="preserve">1、生产质量保证能力：</w:t>
      </w:r>
      <w:r>
        <w:rPr>
          <w:rFonts w:ascii="宋体" w:hAnsi="宋体" w:cs="方正仿宋_GBK"/>
          <w:szCs w:val="21"/>
        </w:rPr>
        <w:t xml:space="preserve">投标人应具备完成本项目的生产质量保证能力，配备能满足本项目要求的生产人员和质量管理人员；并配备能满足本项目要求的生产场地及设备；</w:t>
      </w:r>
      <w:r/>
    </w:p>
    <w:p>
      <w:pPr>
        <w:ind w:firstLine="422"/>
        <w:spacing w:line="360" w:lineRule="auto"/>
        <w:rPr>
          <w:rFonts w:hint="eastAsia" w:ascii="宋体" w:hAnsi="宋体" w:cs="方正仿宋_GBK"/>
          <w:szCs w:val="21"/>
        </w:rPr>
      </w:pPr>
      <w:r>
        <w:rPr>
          <w:rFonts w:ascii="宋体" w:hAnsi="宋体" w:cs="方正仿宋_GBK"/>
          <w:b/>
          <w:bCs/>
          <w:szCs w:val="21"/>
        </w:rPr>
        <w:t xml:space="preserve">2、检测能力：</w:t>
      </w:r>
      <w:r>
        <w:rPr>
          <w:rFonts w:ascii="宋体" w:hAnsi="宋体" w:cs="方正仿宋_GBK"/>
          <w:szCs w:val="21"/>
        </w:rPr>
        <w:t xml:space="preserve">投标人具备完成本项目相应的检测能力，配备能满足本项目要求的专业检测人员和检测仪器；</w:t>
      </w:r>
      <w:r/>
    </w:p>
    <w:p>
      <w:pPr>
        <w:ind w:firstLine="422"/>
        <w:spacing w:line="360" w:lineRule="auto"/>
        <w:rPr>
          <w:rFonts w:hint="eastAsia" w:ascii="宋体" w:hAnsi="宋体" w:cs="方正仿宋_GBK"/>
          <w:szCs w:val="21"/>
        </w:rPr>
      </w:pPr>
      <w:r>
        <w:rPr>
          <w:rFonts w:ascii="宋体" w:hAnsi="宋体" w:cs="方正仿宋_GBK"/>
          <w:b/>
          <w:bCs/>
          <w:szCs w:val="21"/>
        </w:rPr>
        <w:t xml:space="preserve">3、主要原材料管理能力：</w:t>
      </w:r>
      <w:r>
        <w:rPr>
          <w:rFonts w:ascii="宋体" w:hAnsi="宋体" w:cs="方正仿宋_GBK"/>
          <w:szCs w:val="21"/>
        </w:rPr>
        <w:t xml:space="preserve">为保证本项目产品质量，投标人应确保相应的原料药供应能力，对原材料的产品质量有明确的检测验收标准，确保优质的原材料可以长期、稳定、高效地供货；</w:t>
      </w:r>
      <w:r/>
    </w:p>
    <w:p>
      <w:pPr>
        <w:ind w:firstLine="422"/>
        <w:spacing w:line="360" w:lineRule="auto"/>
        <w:rPr>
          <w:rFonts w:hint="eastAsia" w:ascii="宋体" w:hAnsi="宋体" w:cs="方正仿宋_GBK"/>
          <w:szCs w:val="21"/>
        </w:rPr>
      </w:pPr>
      <w:r>
        <w:rPr>
          <w:rFonts w:ascii="宋体" w:hAnsi="宋体" w:cs="方正仿宋_GBK"/>
          <w:b/>
          <w:bCs/>
          <w:szCs w:val="21"/>
        </w:rPr>
        <w:t xml:space="preserve">4、仓储环境能力：</w:t>
      </w:r>
      <w:r>
        <w:rPr>
          <w:rFonts w:ascii="宋体" w:hAnsi="宋体" w:cs="方正仿宋_GBK"/>
          <w:szCs w:val="21"/>
        </w:rPr>
        <w:t xml:space="preserve">投标人具备完成本项目相应的仓储能力，投标供应商应配备能满足本项目要求的仓储环境，并建立相关的仓储制度，供应商需提供针对自身仓储条件的情况说明并提供相关证明材料，包括仓储面积、环境维护标准等；</w:t>
      </w:r>
      <w:r/>
    </w:p>
    <w:p>
      <w:pPr>
        <w:ind w:firstLine="422"/>
        <w:spacing w:line="360" w:lineRule="auto"/>
        <w:rPr>
          <w:rFonts w:hint="eastAsia" w:ascii="宋体" w:hAnsi="宋体" w:cs="方正仿宋_GBK"/>
          <w:b/>
          <w:szCs w:val="21"/>
        </w:rPr>
      </w:pPr>
      <w:r>
        <w:rPr>
          <w:rFonts w:ascii="宋体" w:hAnsi="宋体" w:cs="方正仿宋_GBK"/>
          <w:b/>
          <w:bCs/>
          <w:szCs w:val="21"/>
        </w:rPr>
        <w:t xml:space="preserve"> 5、避孕套对洁净室（区）配置和灭菌过程要求：</w:t>
      </w:r>
      <w:r>
        <w:rPr>
          <w:rFonts w:ascii="宋体" w:hAnsi="宋体" w:cs="方正仿宋_GBK"/>
          <w:szCs w:val="21"/>
        </w:rPr>
        <w:t xml:space="preserve">监测记录的检查项目和检测周期，天然橡胶胶乳男用避孕套符合标准GB/T7544-2019《天然橡胶胶乳男用避孕套技术要求与试验方法》。</w:t>
      </w:r>
      <w:r/>
    </w:p>
    <w:p>
      <w:pPr>
        <w:ind w:left="420"/>
        <w:keepLines/>
        <w:keepNext/>
        <w:spacing w:line="360" w:lineRule="auto"/>
        <w:rPr>
          <w:rFonts w:ascii="Calibri" w:hAnsi="Calibri"/>
          <w:b/>
        </w:rPr>
        <w:outlineLvl w:val="2"/>
      </w:pPr>
      <w:r/>
      <w:bookmarkStart w:id="27" w:name="_Toc189148253"/>
      <w:r/>
      <w:bookmarkStart w:id="28" w:name="_Toc205834973"/>
      <w:r>
        <w:rPr>
          <w:rFonts w:ascii="Calibri" w:hAnsi="Calibri"/>
          <w:b/>
        </w:rPr>
        <w:t xml:space="preserve">四、商务条款要求</w:t>
      </w:r>
      <w:bookmarkEnd w:id="27"/>
      <w:r/>
      <w:bookmarkEnd w:id="28"/>
      <w:r/>
      <w:r/>
    </w:p>
    <w:p>
      <w:pPr>
        <w:ind w:firstLine="422"/>
        <w:spacing w:line="360" w:lineRule="auto"/>
        <w:rPr>
          <w:rFonts w:hint="eastAsia" w:ascii="宋体" w:hAnsi="宋体" w:cs="方正仿宋_GBK"/>
          <w:b/>
          <w:bCs/>
          <w:i/>
          <w:szCs w:val="21"/>
          <w:u w:val="single"/>
        </w:rPr>
      </w:pPr>
      <w:r>
        <w:rPr>
          <w:rFonts w:ascii="宋体" w:hAnsi="宋体" w:cs="方正仿宋_GBK"/>
          <w:b/>
          <w:bCs/>
          <w:i/>
          <w:iCs/>
          <w:szCs w:val="21"/>
          <w:u w:val="single"/>
        </w:rPr>
        <w:t xml:space="preserve">1、</w:t>
      </w:r>
      <w:r>
        <w:rPr>
          <w:rFonts w:ascii="宋体" w:hAnsi="宋体" w:cs="方正仿宋_GBK"/>
          <w:b/>
          <w:bCs/>
          <w:i/>
          <w:szCs w:val="21"/>
          <w:u w:val="single"/>
        </w:rPr>
        <w:t xml:space="preserve">供货时间：供应商应</w:t>
      </w:r>
      <w:bookmarkStart w:id="29" w:name="_Hlk188737407"/>
      <w:r>
        <w:rPr>
          <w:rFonts w:ascii="宋体" w:hAnsi="宋体" w:cs="方正仿宋_GBK"/>
          <w:b/>
          <w:bCs/>
          <w:i/>
          <w:szCs w:val="21"/>
          <w:u w:val="single"/>
        </w:rPr>
        <w:t xml:space="preserve">在签订合同45天内开始供货，2026年11月30日前完成本项目的所有供货</w:t>
      </w:r>
      <w:bookmarkEnd w:id="29"/>
      <w:r>
        <w:rPr>
          <w:rFonts w:ascii="宋体" w:hAnsi="宋体" w:cs="方正仿宋_GBK"/>
          <w:b/>
          <w:bCs/>
          <w:i/>
          <w:szCs w:val="21"/>
          <w:u w:val="single"/>
        </w:rPr>
        <w:t xml:space="preserve">。</w:t>
      </w:r>
      <w:r/>
    </w:p>
    <w:p>
      <w:pPr>
        <w:ind w:firstLine="422"/>
        <w:spacing w:line="360" w:lineRule="auto"/>
        <w:rPr>
          <w:rFonts w:hint="eastAsia" w:ascii="宋体" w:hAnsi="宋体" w:cs="方正仿宋_GBK"/>
          <w:szCs w:val="21"/>
        </w:rPr>
      </w:pPr>
      <w:r>
        <w:rPr>
          <w:rFonts w:ascii="宋体" w:hAnsi="宋体" w:cs="方正仿宋_GBK"/>
          <w:b/>
          <w:bCs/>
          <w:i/>
          <w:szCs w:val="21"/>
          <w:u w:val="single"/>
        </w:rPr>
        <w:t xml:space="preserve">2、供货地点：避孕套产品配送至江苏省乡级及以上仓库，运至指定地点或搬至仓库指定位置。</w:t>
      </w:r>
      <w:r/>
    </w:p>
    <w:p>
      <w:pPr>
        <w:ind w:left="422"/>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3、供应商交货前应配合采购人完成资质备案，提供质量保证书、授权委托书。</w:t>
      </w:r>
      <w:r/>
    </w:p>
    <w:p>
      <w:pPr>
        <w:ind w:firstLine="422"/>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4、供应商交货时应提供药具标注批的出厂检测报告书，发货前提交具有法定资质的第三方检验机构出具的标注批的检测报告书。</w:t>
      </w:r>
      <w:r/>
    </w:p>
    <w:p>
      <w:pPr>
        <w:ind w:left="420"/>
        <w:spacing w:line="360" w:lineRule="auto"/>
        <w:rPr>
          <w:rFonts w:hint="eastAsia" w:ascii="宋体" w:hAnsi="宋体" w:cs="方正仿宋_GBK"/>
          <w:szCs w:val="21"/>
        </w:rPr>
      </w:pPr>
      <w:r>
        <w:rPr>
          <w:rFonts w:ascii="宋体" w:hAnsi="宋体" w:cs="方正仿宋_GBK"/>
          <w:szCs w:val="21"/>
        </w:rPr>
        <w:t xml:space="preserve">5、供应商应按照采购人提供的交货计划，集中批号，及时配送药具。药具包装箱内附药具合格证。所有药具（包含非整箱药具）应当配有厂家正规包装箱。</w:t>
      </w:r>
      <w:r/>
    </w:p>
    <w:p>
      <w:pPr>
        <w:ind w:left="420"/>
        <w:spacing w:line="360" w:lineRule="auto"/>
        <w:rPr>
          <w:rFonts w:hint="eastAsia" w:ascii="宋体" w:hAnsi="宋体" w:cs="方正仿宋_GBK"/>
          <w:szCs w:val="21"/>
        </w:rPr>
      </w:pPr>
      <w:r>
        <w:rPr>
          <w:rFonts w:ascii="宋体" w:hAnsi="宋体" w:cs="方正仿宋_GBK"/>
          <w:szCs w:val="21"/>
        </w:rPr>
        <w:t xml:space="preserve">6、供应商交付的药具应是供货当年（即2026年）的产品。</w:t>
      </w:r>
      <w:r/>
    </w:p>
    <w:p>
      <w:pPr>
        <w:ind w:firstLine="420"/>
        <w:spacing w:line="360" w:lineRule="auto"/>
        <w:rPr>
          <w:rFonts w:hint="eastAsia" w:ascii="宋体" w:hAnsi="宋体" w:cs="方正仿宋_GBK"/>
          <w:bCs/>
          <w:szCs w:val="21"/>
        </w:rPr>
      </w:pPr>
      <w:r>
        <w:rPr>
          <w:rFonts w:ascii="宋体" w:hAnsi="宋体" w:cs="方正仿宋_GBK"/>
          <w:bCs/>
          <w:szCs w:val="21"/>
        </w:rPr>
        <w:t xml:space="preserve">7、售后服务及承诺：</w:t>
      </w:r>
      <w:r/>
    </w:p>
    <w:p>
      <w:pPr>
        <w:ind w:firstLine="420"/>
        <w:spacing w:line="360" w:lineRule="auto"/>
        <w:rPr>
          <w:rFonts w:hint="eastAsia" w:ascii="宋体" w:hAnsi="宋体" w:cs="方正仿宋_GBK"/>
          <w:bCs/>
          <w:szCs w:val="21"/>
        </w:rPr>
      </w:pPr>
      <w:r>
        <w:rPr>
          <w:rFonts w:ascii="宋体" w:hAnsi="宋体" w:cs="方正仿宋_GBK"/>
          <w:bCs/>
          <w:szCs w:val="21"/>
        </w:rPr>
        <w:t xml:space="preserve">供应商应具有本地化服务能力，配备相应的售后服务人员，并提供售后服务响应标准、服务体系、备件体系、应急解决方案、专业技术人员保障等服务方案；服务方案应科学合理、具备针对性，并指定专门的售后服务人员，提供便捷的即时通信联系方式，确保维保期电话30分钟响应，8小时内到现场，24小时内解决问题。</w:t>
      </w:r>
      <w:r/>
    </w:p>
    <w:p>
      <w:pPr>
        <w:ind w:firstLine="420"/>
        <w:spacing w:line="360" w:lineRule="auto"/>
        <w:rPr>
          <w:rFonts w:hint="eastAsia" w:ascii="宋体" w:hAnsi="宋体" w:cs="方正仿宋_GBK"/>
          <w:szCs w:val="21"/>
        </w:rPr>
      </w:pPr>
      <w:r>
        <w:rPr>
          <w:rFonts w:ascii="宋体" w:hAnsi="宋体" w:cs="方正仿宋_GBK"/>
          <w:szCs w:val="21"/>
        </w:rPr>
        <w:t xml:space="preserve">8、产品追溯服务要求：投标人应保证按照江苏省卫生健康委员会药品药具管理中心的要求，提供中标产品准确物资流向的信息。流向信息包括产品品名、规格/参数、包装规格、数量、批号、生产日期、有效期、发货时间、发货地点，实时状态等信息。</w:t>
      </w:r>
      <w:r/>
    </w:p>
    <w:p>
      <w:pPr>
        <w:ind w:firstLine="420"/>
        <w:spacing w:line="360" w:lineRule="auto"/>
        <w:rPr>
          <w:rFonts w:hint="eastAsia" w:ascii="宋体" w:hAnsi="宋体" w:cs="方正仿宋_GBK"/>
          <w:szCs w:val="21"/>
        </w:rPr>
      </w:pPr>
      <w:r>
        <w:rPr>
          <w:rFonts w:ascii="宋体" w:hAnsi="宋体" w:cs="方正仿宋_GBK"/>
          <w:szCs w:val="21"/>
        </w:rPr>
        <w:t xml:space="preserve">（1）将所有发货运单予以完整、全数留存以备查。</w:t>
      </w:r>
      <w:r/>
    </w:p>
    <w:p>
      <w:pPr>
        <w:ind w:firstLine="420"/>
        <w:spacing w:line="360" w:lineRule="auto"/>
        <w:rPr>
          <w:rFonts w:hint="eastAsia" w:ascii="宋体" w:hAnsi="宋体" w:cs="方正仿宋_GBK"/>
          <w:szCs w:val="21"/>
        </w:rPr>
      </w:pPr>
      <w:r>
        <w:rPr>
          <w:rFonts w:ascii="宋体" w:hAnsi="宋体" w:cs="方正仿宋_GBK"/>
          <w:szCs w:val="21"/>
        </w:rPr>
        <w:t xml:space="preserve">（2）保证反馈的流向信息与实际一致，且出库发货时间、发往地与发运单上有关信息完全一致，与仓库进出库记录吻合。</w:t>
      </w:r>
      <w:r/>
    </w:p>
    <w:p>
      <w:pPr>
        <w:ind w:firstLine="420"/>
        <w:jc w:val="left"/>
        <w:spacing w:line="360" w:lineRule="auto"/>
        <w:rPr>
          <w:rFonts w:hint="eastAsia" w:ascii="宋体" w:hAnsi="宋体" w:cs="方正仿宋_GBK"/>
          <w:szCs w:val="21"/>
        </w:rPr>
      </w:pPr>
      <w:r>
        <w:rPr>
          <w:rFonts w:ascii="宋体" w:hAnsi="宋体" w:cs="方正仿宋_GBK"/>
          <w:szCs w:val="21"/>
        </w:rPr>
        <w:t xml:space="preserve">9、采购人有权在合同履行过程中，对供应商的生产供应情况进行核查，供应商应予以配合，核查中发现供应商关键项目与投标响应文件不一致的，采购人可视情况解除本合同，并将供应商列入负面清单，三年内不得参与江苏省卫生健康委员会药品药具管理中心组织的基本避孕药具政府采购项目。</w:t>
      </w:r>
      <w:r/>
    </w:p>
    <w:p>
      <w:pPr>
        <w:ind w:firstLine="420"/>
        <w:spacing w:line="360" w:lineRule="auto"/>
        <w:rPr>
          <w:rFonts w:hint="eastAsia" w:ascii="宋体" w:hAnsi="宋体" w:cs="方正仿宋_GBK"/>
          <w:szCs w:val="21"/>
        </w:rPr>
      </w:pPr>
      <w:r>
        <w:rPr>
          <w:rFonts w:ascii="宋体" w:hAnsi="宋体" w:cs="方正仿宋_GBK"/>
          <w:szCs w:val="21"/>
        </w:rPr>
        <w:t xml:space="preserve">10、抽检：供应商应配合采购人的质量抽样工作，且免费提供所需数量的抽样样品。详见合同约定。</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11、供应商应承诺针对本项目提供的产品包装设计、包装图案为原创或为已购买版权图案，不存在任何侵犯第三方及其授权许可人的知识产权的情形。（提供承诺书加盖公章）</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12、投标样品要求</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（1）供应商提供投标样品时需提供厂家生产样品的含技术参数的产品彩页或产品彩页照片；</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（2）请供应商按照招标文件要求提供所投产品的样品，包括：</w:t>
      </w:r>
      <w:r/>
    </w:p>
    <w:p>
      <w:pPr>
        <w:ind w:firstLine="630"/>
        <w:spacing w:line="360" w:lineRule="auto"/>
        <w:rPr>
          <w:rFonts w:hint="eastAsia" w:ascii="宋体" w:hAnsi="宋体" w:cs="方正仿宋_GBK"/>
          <w:szCs w:val="21"/>
        </w:rPr>
      </w:pPr>
      <w:r>
        <w:rPr>
          <w:rFonts w:ascii="宋体" w:hAnsi="宋体" w:cs="方正仿宋_GBK"/>
          <w:szCs w:val="21"/>
        </w:rPr>
        <w:t xml:space="preserve">1）开标前提供所投采购包的所有规格各3盒避孕套消费包装的样品，包装要求要符合《江苏省基本避孕药具包装及标签要求》（详见附件）的规定。</w:t>
      </w:r>
      <w:r/>
    </w:p>
    <w:p>
      <w:pPr>
        <w:ind w:firstLine="630"/>
        <w:spacing w:line="360" w:lineRule="auto"/>
        <w:rPr>
          <w:rFonts w:hint="eastAsia" w:ascii="宋体" w:hAnsi="宋体" w:cs="方正仿宋_GBK"/>
          <w:szCs w:val="21"/>
        </w:rPr>
      </w:pPr>
      <w:r>
        <w:rPr>
          <w:rFonts w:ascii="宋体" w:hAnsi="宋体" w:cs="方正仿宋_GBK"/>
          <w:szCs w:val="21"/>
        </w:rPr>
        <w:t xml:space="preserve">2）提供大包装箱裁样，面积 25cm×25cm，包装符合《江苏省基本避孕药具包装及标签要求》（详见“合同主要条款及格式”附件）的规定。</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（3）样品递交时，需单独密封，并在外包装上注明供应商名称、项目编号、采购包号，以及标明“样品”字样，如因标注不清而产生的后果由供应商自负；</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（4）样品递交</w:t>
      </w:r>
      <w:r>
        <w:rPr>
          <w:rFonts w:hint="eastAsia" w:ascii="宋体" w:hAnsi="宋体" w:cs="方正仿宋_GBK"/>
          <w:b/>
          <w:bCs/>
          <w:szCs w:val="21"/>
        </w:rPr>
        <w:t xml:space="preserve">截止</w:t>
      </w:r>
      <w:r>
        <w:rPr>
          <w:rFonts w:ascii="宋体" w:hAnsi="宋体" w:cs="方正仿宋_GBK"/>
          <w:b/>
          <w:bCs/>
          <w:szCs w:val="21"/>
        </w:rPr>
        <w:t xml:space="preserve">时间：</w:t>
      </w:r>
      <w:r>
        <w:rPr>
          <w:rFonts w:hint="eastAsia" w:ascii="宋体" w:hAnsi="宋体" w:cs="方正仿宋_GBK"/>
          <w:b/>
          <w:bCs/>
          <w:szCs w:val="21"/>
        </w:rPr>
        <w:t xml:space="preserve">同</w:t>
      </w:r>
      <w:r>
        <w:rPr>
          <w:rFonts w:ascii="宋体" w:hAnsi="宋体" w:cs="方正仿宋_GBK"/>
          <w:b/>
          <w:bCs/>
          <w:szCs w:val="21"/>
        </w:rPr>
        <w:t xml:space="preserve">投标截止时间；</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（5）样品递交地点：江苏省南京市鼓楼区清江南路18号鼓楼创新广场D栋10楼1001室；</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（6）样品需在投标截止时间前送达</w:t>
      </w:r>
      <w:bookmarkStart w:id="30" w:name="OLE_LINK10"/>
      <w:r>
        <w:rPr>
          <w:rFonts w:hint="eastAsia" w:ascii="宋体" w:hAnsi="宋体" w:cs="方正仿宋_GBK"/>
          <w:b/>
          <w:bCs/>
          <w:szCs w:val="21"/>
        </w:rPr>
        <w:t xml:space="preserve">/邮寄送达</w:t>
      </w:r>
      <w:bookmarkEnd w:id="30"/>
      <w:r>
        <w:rPr>
          <w:rFonts w:ascii="宋体" w:hAnsi="宋体" w:cs="方正仿宋_GBK"/>
          <w:b/>
          <w:bCs/>
          <w:szCs w:val="21"/>
        </w:rPr>
        <w:t xml:space="preserve">江苏省南京市鼓楼区清江南路18号鼓楼创新广场D栋10楼1001室 联系人：阮真真 025-83316480</w:t>
      </w:r>
      <w:r>
        <w:rPr>
          <w:rFonts w:hint="eastAsia" w:ascii="宋体" w:hAnsi="宋体" w:cs="方正仿宋_GBK"/>
          <w:b/>
          <w:bCs/>
          <w:szCs w:val="21"/>
        </w:rPr>
        <w:t xml:space="preserve">，</w:t>
      </w:r>
      <w:r>
        <w:rPr>
          <w:rFonts w:ascii="宋体" w:hAnsi="宋体" w:cs="方正仿宋_GBK"/>
          <w:b/>
          <w:bCs/>
          <w:szCs w:val="21"/>
        </w:rPr>
        <w:t xml:space="preserve">投标截止时间</w:t>
      </w:r>
      <w:r>
        <w:rPr>
          <w:rFonts w:hint="eastAsia" w:ascii="宋体" w:hAnsi="宋体" w:cs="方正仿宋_GBK"/>
          <w:b/>
          <w:bCs/>
          <w:szCs w:val="21"/>
        </w:rPr>
        <w:t xml:space="preserve">后送达</w:t>
      </w:r>
      <w:r>
        <w:rPr>
          <w:rFonts w:ascii="宋体" w:hAnsi="宋体" w:cs="方正仿宋_GBK"/>
          <w:b/>
          <w:bCs/>
          <w:szCs w:val="21"/>
        </w:rPr>
        <w:t xml:space="preserve">/邮寄送达</w:t>
      </w:r>
      <w:r>
        <w:rPr>
          <w:rFonts w:hint="eastAsia" w:ascii="宋体" w:hAnsi="宋体" w:cs="方正仿宋_GBK"/>
          <w:b/>
          <w:bCs/>
          <w:szCs w:val="21"/>
        </w:rPr>
        <w:t xml:space="preserve">的样品予以拒收！</w:t>
      </w:r>
      <w:r/>
    </w:p>
    <w:p>
      <w:pPr>
        <w:ind w:firstLine="422"/>
        <w:spacing w:line="360" w:lineRule="auto"/>
        <w:rPr>
          <w:rFonts w:hint="eastAsia" w:ascii="宋体" w:hAnsi="宋体" w:cs="方正仿宋_GBK"/>
          <w:b/>
          <w:bCs/>
          <w:szCs w:val="21"/>
        </w:rPr>
      </w:pPr>
      <w:r>
        <w:rPr>
          <w:rFonts w:hint="eastAsia" w:ascii="宋体" w:hAnsi="宋体" w:cs="方正仿宋_GBK"/>
          <w:b/>
          <w:bCs/>
          <w:szCs w:val="21"/>
        </w:rPr>
        <w:t xml:space="preserve">（7）</w:t>
      </w:r>
      <w:r>
        <w:rPr>
          <w:rFonts w:ascii="宋体" w:hAnsi="宋体" w:cs="方正仿宋_GBK"/>
          <w:b/>
          <w:bCs/>
          <w:szCs w:val="21"/>
        </w:rPr>
        <w:t xml:space="preserve">样品应满足以下要求：</w:t>
      </w:r>
      <w:r/>
    </w:p>
    <w:p>
      <w:pPr>
        <w:ind w:firstLine="630"/>
        <w:spacing w:line="360" w:lineRule="auto"/>
        <w:rPr>
          <w:rFonts w:hint="eastAsia" w:ascii="宋体" w:hAnsi="宋体" w:cs="方正仿宋_GBK"/>
          <w:szCs w:val="21"/>
        </w:rPr>
      </w:pPr>
      <w:r>
        <w:rPr>
          <w:rFonts w:ascii="宋体" w:hAnsi="宋体" w:cs="方正仿宋_GBK"/>
          <w:szCs w:val="21"/>
        </w:rPr>
        <w:t xml:space="preserve">1）投标人提供的避孕套样品材质优良，裸套规格符合各标的参数要求，质量符合国家及招标文件要求；</w:t>
      </w:r>
      <w:r/>
    </w:p>
    <w:p>
      <w:pPr>
        <w:ind w:firstLine="630"/>
        <w:spacing w:line="360" w:lineRule="auto"/>
        <w:rPr>
          <w:rFonts w:hint="eastAsia" w:ascii="宋体" w:hAnsi="宋体" w:cs="方正仿宋_GBK"/>
          <w:szCs w:val="21"/>
        </w:rPr>
      </w:pPr>
      <w:r>
        <w:rPr>
          <w:rFonts w:ascii="宋体" w:hAnsi="宋体" w:cs="方正仿宋_GBK"/>
          <w:szCs w:val="21"/>
        </w:rPr>
        <w:t xml:space="preserve">2）投标人提供的避孕套样品外观整体造型美观大方，色彩搭配比例协调，具有较强的视觉识别度，符合政府基本避孕药具项目主题，无版权问题；</w:t>
      </w:r>
      <w:r/>
    </w:p>
    <w:p>
      <w:pPr>
        <w:ind w:firstLine="630"/>
        <w:spacing w:line="360" w:lineRule="auto"/>
        <w:rPr>
          <w:rFonts w:hint="eastAsia" w:ascii="宋体" w:hAnsi="宋体" w:cs="方正仿宋_GBK"/>
          <w:szCs w:val="21"/>
        </w:rPr>
      </w:pPr>
      <w:r>
        <w:rPr>
          <w:rFonts w:ascii="宋体" w:hAnsi="宋体" w:cs="方正仿宋_GBK"/>
          <w:szCs w:val="21"/>
        </w:rPr>
        <w:t xml:space="preserve">3）投标人提供的避孕套大包装箱裁样、消费包装和最小包装的包装设计、材料、包装印刷等，符合《江苏省基本避孕药具包装及标签要求》。</w:t>
      </w:r>
      <w:r/>
    </w:p>
    <w:p>
      <w:pPr>
        <w:ind w:firstLine="630"/>
        <w:spacing w:line="360" w:lineRule="auto"/>
        <w:rPr>
          <w:rFonts w:hint="eastAsia" w:ascii="宋体" w:hAnsi="宋体" w:cs="方正仿宋_GBK"/>
          <w:szCs w:val="21"/>
        </w:rPr>
      </w:pPr>
      <w:r>
        <w:rPr>
          <w:rFonts w:ascii="宋体" w:hAnsi="宋体" w:cs="方正仿宋_GBK"/>
          <w:szCs w:val="21"/>
        </w:rPr>
        <w:t xml:space="preserve">13、其他补充要求详见招标文件“合同主要条款及格式”条款。</w:t>
      </w:r>
      <w:r/>
    </w:p>
    <w:p>
      <w:pPr>
        <w:ind w:left="420"/>
        <w:keepLines/>
        <w:keepNext/>
        <w:spacing w:line="360" w:lineRule="auto"/>
        <w:rPr>
          <w:rFonts w:ascii="Calibri" w:hAnsi="Calibri"/>
          <w:b/>
        </w:rPr>
        <w:outlineLvl w:val="2"/>
      </w:pPr>
      <w:r/>
      <w:bookmarkStart w:id="31" w:name="_Toc205834974"/>
      <w:r/>
      <w:bookmarkStart w:id="32" w:name="_Toc189148254"/>
      <w:r>
        <w:rPr>
          <w:rFonts w:ascii="Calibri" w:hAnsi="Calibri"/>
          <w:b/>
        </w:rPr>
        <w:t xml:space="preserve">五、违约条款</w:t>
      </w:r>
      <w:bookmarkEnd w:id="31"/>
      <w:r/>
      <w:bookmarkEnd w:id="32"/>
      <w:r/>
      <w:r/>
    </w:p>
    <w:p>
      <w:pPr>
        <w:ind w:firstLine="420"/>
        <w:jc w:val="left"/>
        <w:spacing w:line="360" w:lineRule="auto"/>
        <w:widowControl/>
        <w:rPr>
          <w:rFonts w:hint="eastAsia" w:ascii="宋体" w:hAnsi="宋体"/>
          <w:sz w:val="24"/>
        </w:rPr>
      </w:pPr>
      <w:r/>
      <w:bookmarkStart w:id="33" w:name="_Toc205834975"/>
      <w:r>
        <w:rPr>
          <w:rFonts w:ascii="宋体" w:hAnsi="宋体" w:cs="方正仿宋_GBK"/>
          <w:szCs w:val="21"/>
        </w:rPr>
        <w:t xml:space="preserve">1、供应商所交的货物品种、型号、规格、技术参数、质量、生产日期等不符合合同、招标文件规定标准的，或供应商运输过程中的过失等非采购人过错，导致采购人受损，采购人有权拒收该货物并收取履约保证金的10%作为赔偿款，供应商愿意更换货物但逾期交货的，按供应商逾期交货处理。供应商逾期交付赔偿款，应按赔偿款总额每日千分之六向采购人支付违约金，采购人有权从待付货款中扣除相应的赔偿款及违约金。采购人拒绝更换货物的，可单方面解除合同，且因此产生的所有损失都由供应商承担。</w:t>
      </w:r>
      <w:r/>
    </w:p>
    <w:p>
      <w:pPr>
        <w:ind w:firstLine="420"/>
        <w:jc w:val="left"/>
        <w:spacing w:line="360" w:lineRule="auto"/>
        <w:widowControl/>
        <w:rPr>
          <w:rFonts w:hint="eastAsia" w:ascii="宋体" w:hAnsi="宋体" w:cs="方正仿宋_GBK"/>
          <w:szCs w:val="21"/>
        </w:rPr>
      </w:pPr>
      <w:r>
        <w:rPr>
          <w:rFonts w:ascii="宋体" w:hAnsi="宋体" w:cs="方正仿宋_GBK"/>
          <w:szCs w:val="21"/>
        </w:rPr>
        <w:t xml:space="preserve">2、供应商逾期交付货物的，采购人可约谈供应商，提出警示。供应商应按逾期交货总额每日千分之六向采购人支付违约金，采购人有权从待付货款中扣除。逾期超过约定日期10个工作日不能交货的，采购人可解除本合同，且不承担任何违约责任。供应商因逾期交货或因其他违约行为导致采购人解除合同的，供应商应向采购人支付合同总值20%的违约金，违约金的给付不豁免供应商对采购人的损失承担赔偿责任。</w:t>
      </w:r>
      <w:r/>
    </w:p>
    <w:p>
      <w:pPr>
        <w:ind w:firstLine="420"/>
        <w:jc w:val="left"/>
        <w:spacing w:line="360" w:lineRule="auto"/>
        <w:widowControl/>
        <w:rPr>
          <w:rFonts w:hint="eastAsia" w:ascii="宋体" w:hAnsi="宋体" w:cs="方正仿宋_GBK"/>
          <w:szCs w:val="21"/>
        </w:rPr>
      </w:pPr>
      <w:r>
        <w:rPr>
          <w:rFonts w:ascii="宋体" w:hAnsi="宋体" w:cs="方正仿宋_GBK"/>
          <w:szCs w:val="21"/>
        </w:rPr>
        <w:t xml:space="preserve">3、因供应商提供的药具产品存在缺陷、质量问题或不良反应等对药具使用者造成伤害的，供应商应进行赔偿。</w:t>
      </w:r>
      <w:r/>
    </w:p>
    <w:p>
      <w:pPr>
        <w:ind w:left="420"/>
        <w:keepLines/>
        <w:keepNext/>
        <w:spacing w:line="360" w:lineRule="auto"/>
        <w:rPr>
          <w:rFonts w:ascii="Calibri" w:hAnsi="Calibri"/>
          <w:b/>
        </w:rPr>
        <w:outlineLvl w:val="2"/>
      </w:pPr>
      <w:r>
        <w:rPr>
          <w:rFonts w:ascii="Calibri" w:hAnsi="Calibri"/>
          <w:b/>
        </w:rPr>
        <w:t xml:space="preserve">六、履约验收要求</w:t>
      </w:r>
      <w:bookmarkEnd w:id="33"/>
      <w:r/>
      <w:r/>
    </w:p>
    <w:p>
      <w:pPr>
        <w:ind w:firstLine="420"/>
        <w:spacing w:line="360" w:lineRule="auto"/>
        <w:rPr>
          <w:rFonts w:ascii="Calibri" w:hAnsi="Calibri"/>
        </w:rPr>
      </w:pPr>
      <w:r>
        <w:rPr>
          <w:rFonts w:ascii="Calibri" w:hAnsi="Calibri"/>
        </w:rPr>
        <w:t xml:space="preserve">采购人成立履约验收小组按照相关要求对中标供应商提供的货物进行履约验收，履约验收</w:t>
      </w:r>
      <w:r>
        <w:rPr>
          <w:rFonts w:hint="eastAsia" w:ascii="Calibri" w:hAnsi="Calibri"/>
        </w:rPr>
        <w:t xml:space="preserve">内容包括但不</w:t>
      </w:r>
      <w:r>
        <w:rPr>
          <w:rFonts w:ascii="Calibri" w:hAnsi="Calibri"/>
        </w:rPr>
        <w:t xml:space="preserve">限于药具种类、数量、外观、第三方抽检报告（如有）等。采购人将根据验收结果及异常情况处理内容出具验收报告并通知供应商。</w:t>
      </w:r>
      <w:r/>
    </w:p>
    <w:p>
      <w:r/>
      <w:r/>
    </w:p>
    <w:p>
      <w:r>
        <w:br w:type="page" w:clear="all"/>
      </w:r>
      <w:r/>
    </w:p>
    <w:p>
      <w:pPr>
        <w:pStyle w:val="935"/>
        <w:numPr>
          <w:ilvl w:val="0"/>
          <w:numId w:val="0"/>
        </w:numPr>
        <w:rPr>
          <w:rFonts w:hint="eastAsia" w:ascii="宋体" w:hAnsi="宋体" w:cs="宋体"/>
        </w:rPr>
      </w:pPr>
      <w:r/>
      <w:bookmarkStart w:id="34" w:name="_Toc237454168"/>
      <w:r>
        <w:rPr>
          <w:rFonts w:hint="eastAsia" w:ascii="宋体" w:hAnsi="宋体" w:cs="宋体"/>
        </w:rPr>
        <w:t xml:space="preserve">第五章 合同主要条款及格式</w:t>
      </w:r>
      <w:bookmarkEnd w:id="20"/>
      <w:r/>
      <w:bookmarkEnd w:id="34"/>
      <w:r/>
      <w:r/>
    </w:p>
    <w:p>
      <w:pPr>
        <w:jc w:val="center"/>
        <w:spacing w:line="360" w:lineRule="auto"/>
        <w:rPr>
          <w:rFonts w:hint="eastAsia" w:ascii="方正楷体_GBK" w:hAnsi="方正大标宋_GBK" w:eastAsia="方正楷体_GBK" w:cs="方正大标宋_GBK"/>
          <w:b/>
          <w:bCs/>
          <w:sz w:val="48"/>
          <w:szCs w:val="48"/>
        </w:rPr>
      </w:pPr>
      <w:r>
        <w:rPr>
          <w:rFonts w:ascii="方正楷体_GBK" w:hAnsi="方正大标宋_GBK" w:eastAsia="方正楷体_GBK" w:cs="方正大标宋_GBK"/>
          <w:b/>
          <w:bCs/>
          <w:sz w:val="48"/>
          <w:szCs w:val="48"/>
        </w:rPr>
        <w:t xml:space="preserve">江苏省基本避孕药具政府采购</w:t>
      </w:r>
      <w:r/>
    </w:p>
    <w:p>
      <w:pPr>
        <w:jc w:val="center"/>
        <w:spacing w:line="240" w:lineRule="exact"/>
        <w:rPr>
          <w:rFonts w:hint="eastAsia" w:ascii="方正大标宋_GBK" w:hAnsi="方正大标宋_GBK" w:eastAsia="方正大标宋_GBK" w:cs="方正大标宋_GBK"/>
          <w:b/>
          <w:bCs/>
          <w:spacing w:val="20"/>
          <w:sz w:val="28"/>
          <w:szCs w:val="28"/>
        </w:rPr>
      </w:pPr>
      <w:r>
        <w:rPr>
          <w:rFonts w:hint="eastAsia" w:ascii="方正大标宋_GBK" w:hAnsi="方正大标宋_GBK" w:eastAsia="方正大标宋_GBK" w:cs="方正大标宋_GBK"/>
          <w:b/>
          <w:bCs/>
          <w:spacing w:val="20"/>
          <w:sz w:val="28"/>
          <w:szCs w:val="28"/>
        </w:rPr>
      </w:r>
      <w:r/>
    </w:p>
    <w:p>
      <w:pPr>
        <w:jc w:val="center"/>
        <w:spacing w:line="240" w:lineRule="exact"/>
        <w:rPr>
          <w:rFonts w:hint="eastAsia" w:ascii="方正大标宋_GBK" w:hAnsi="方正大标宋_GBK" w:eastAsia="方正大标宋_GBK" w:cs="方正大标宋_GBK"/>
          <w:b/>
          <w:bCs/>
          <w:spacing w:val="20"/>
          <w:sz w:val="28"/>
          <w:szCs w:val="28"/>
        </w:rPr>
      </w:pPr>
      <w:r>
        <w:rPr>
          <w:rFonts w:hint="eastAsia" w:ascii="方正大标宋_GBK" w:hAnsi="方正大标宋_GBK" w:eastAsia="方正大标宋_GBK" w:cs="方正大标宋_GBK"/>
          <w:b/>
          <w:bCs/>
          <w:spacing w:val="20"/>
          <w:sz w:val="28"/>
          <w:szCs w:val="28"/>
        </w:rPr>
      </w:r>
      <w:r/>
    </w:p>
    <w:p>
      <w:pPr>
        <w:jc w:val="center"/>
        <w:spacing w:line="2600" w:lineRule="exact"/>
        <w:rPr>
          <w:rFonts w:hint="eastAsia"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合</w:t>
      </w:r>
      <w:r/>
    </w:p>
    <w:p>
      <w:pPr>
        <w:jc w:val="center"/>
        <w:spacing w:line="2600" w:lineRule="exact"/>
        <w:rPr>
          <w:rFonts w:hint="eastAsia"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同 </w:t>
      </w:r>
      <w:r/>
    </w:p>
    <w:p>
      <w:pPr>
        <w:jc w:val="center"/>
        <w:spacing w:line="2600" w:lineRule="exact"/>
        <w:rPr>
          <w:rFonts w:hint="eastAsia"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书</w:t>
      </w:r>
      <w:r/>
    </w:p>
    <w:p>
      <w:pPr>
        <w:jc w:val="center"/>
        <w:rPr>
          <w:rFonts w:hint="eastAsia" w:ascii="方正大标宋_GBK" w:hAnsi="方正大标宋_GBK" w:eastAsia="方正大标宋_GBK" w:cs="方正大标宋_GBK"/>
          <w:b/>
          <w:bCs/>
          <w:sz w:val="28"/>
          <w:szCs w:val="28"/>
        </w:rPr>
      </w:pPr>
      <w:r>
        <w:rPr>
          <w:rFonts w:hint="eastAsia" w:ascii="方正大标宋_GBK" w:hAnsi="方正大标宋_GBK" w:eastAsia="方正大标宋_GBK" w:cs="方正大标宋_GBK"/>
          <w:b/>
          <w:bCs/>
          <w:sz w:val="28"/>
          <w:szCs w:val="28"/>
        </w:rPr>
      </w:r>
      <w:r/>
    </w:p>
    <w:p>
      <w:pPr>
        <w:jc w:val="center"/>
        <w:rPr>
          <w:rFonts w:hint="eastAsia" w:ascii="方正大标宋_GBK" w:hAnsi="方正大标宋_GBK" w:eastAsia="方正大标宋_GBK" w:cs="方正大标宋_GBK"/>
          <w:sz w:val="28"/>
          <w:szCs w:val="28"/>
        </w:rPr>
      </w:pPr>
      <w:r>
        <w:rPr>
          <w:rFonts w:hint="eastAsia" w:ascii="方正大标宋_GBK" w:hAnsi="方正大标宋_GBK" w:eastAsia="方正大标宋_GBK" w:cs="方正大标宋_GBK"/>
          <w:sz w:val="28"/>
          <w:szCs w:val="28"/>
        </w:rPr>
      </w:r>
      <w:r/>
    </w:p>
    <w:p>
      <w:pPr>
        <w:jc w:val="center"/>
        <w:spacing w:line="360" w:lineRule="auto"/>
        <w:rPr>
          <w:rFonts w:hint="eastAsia" w:ascii="方正楷体_GBK" w:hAnsi="方正大标宋_GBK" w:eastAsia="方正楷体_GBK" w:cs="方正大标宋_GBK"/>
          <w:b/>
          <w:sz w:val="36"/>
          <w:szCs w:val="36"/>
        </w:rPr>
      </w:pPr>
      <w:r>
        <w:rPr>
          <w:rFonts w:hint="eastAsia" w:ascii="方正楷体_GBK" w:hAnsi="方正大标宋_GBK" w:eastAsia="方正楷体_GBK" w:cs="方正大标宋_GBK"/>
          <w:b/>
          <w:sz w:val="36"/>
          <w:szCs w:val="36"/>
        </w:rPr>
      </w:r>
      <w:r/>
    </w:p>
    <w:p>
      <w:pPr>
        <w:jc w:val="center"/>
        <w:spacing w:line="360" w:lineRule="auto"/>
        <w:rPr>
          <w:rFonts w:hint="eastAsia" w:ascii="方正楷体_GBK" w:hAnsi="方正大标宋_GBK" w:eastAsia="方正楷体_GBK" w:cs="方正大标宋_GBK"/>
          <w:b/>
          <w:sz w:val="36"/>
          <w:szCs w:val="36"/>
        </w:rPr>
      </w:pPr>
      <w:r>
        <w:rPr>
          <w:rFonts w:ascii="方正楷体_GBK" w:hAnsi="方正大标宋_GBK" w:eastAsia="方正楷体_GBK" w:cs="方正大标宋_GBK"/>
          <w:b/>
          <w:sz w:val="36"/>
          <w:szCs w:val="36"/>
        </w:rPr>
        <w:t xml:space="preserve">合同编号： </w:t>
      </w:r>
      <w:r/>
    </w:p>
    <w:p>
      <w:pPr>
        <w:jc w:val="center"/>
        <w:spacing w:line="360" w:lineRule="auto"/>
        <w:rPr>
          <w:rFonts w:hint="eastAsia" w:ascii="方正楷体_GBK" w:hAnsi="方正大标宋_GBK" w:eastAsia="方正楷体_GBK" w:cs="方正大标宋_GBK"/>
          <w:sz w:val="36"/>
          <w:szCs w:val="36"/>
        </w:rPr>
      </w:pPr>
      <w:r>
        <w:rPr>
          <w:rFonts w:ascii="方正楷体_GBK" w:hAnsi="方正大标宋_GBK" w:eastAsia="方正楷体_GBK" w:cs="方正大标宋_GBK"/>
          <w:b/>
          <w:sz w:val="36"/>
          <w:szCs w:val="36"/>
        </w:rPr>
        <w:t xml:space="preserve">年    月</w:t>
      </w:r>
      <w:r/>
    </w:p>
    <w:p>
      <w:pPr>
        <w:jc w:val="center"/>
        <w:rPr>
          <w:rFonts w:hint="eastAsia" w:ascii="方正大标宋_GBK" w:hAnsi="方正大标宋_GBK" w:eastAsia="方正大标宋_GBK" w:cs="方正大标宋_GBK"/>
          <w:b/>
          <w:bCs/>
          <w:sz w:val="36"/>
        </w:rPr>
      </w:pPr>
      <w:r>
        <w:rPr>
          <w:rFonts w:hint="eastAsia" w:ascii="方正大标宋_GBK" w:hAnsi="方正大标宋_GBK" w:eastAsia="方正大标宋_GBK" w:cs="方正大标宋_GBK"/>
          <w:b/>
          <w:bCs/>
          <w:sz w:val="36"/>
        </w:rPr>
      </w:r>
      <w:r/>
    </w:p>
    <w:p>
      <w:pPr>
        <w:jc w:val="center"/>
        <w:spacing w:line="360" w:lineRule="auto"/>
        <w:rPr>
          <w:rFonts w:hint="eastAsia" w:ascii="方正小标宋_GBK" w:hAnsi="宋体" w:eastAsia="方正小标宋_GBK"/>
          <w:b/>
          <w:sz w:val="32"/>
          <w:szCs w:val="32"/>
        </w:rPr>
      </w:pPr>
      <w:r>
        <w:rPr>
          <w:rFonts w:ascii="方正小标宋_GBK" w:hAnsi="宋体" w:eastAsia="方正小标宋_GBK"/>
          <w:b/>
          <w:sz w:val="32"/>
          <w:szCs w:val="32"/>
        </w:rPr>
        <w:t xml:space="preserve">江苏省政府采购合同</w:t>
      </w:r>
      <w:r/>
    </w:p>
    <w:p>
      <w:pPr>
        <w:ind w:firstLine="480"/>
        <w:jc w:val="center"/>
        <w:spacing w:line="360" w:lineRule="auto"/>
        <w:rPr>
          <w:rFonts w:hint="eastAsia" w:ascii="宋体" w:hAnsi="宋体"/>
          <w:sz w:val="24"/>
        </w:rPr>
      </w:pPr>
      <w:r>
        <w:rPr>
          <w:rFonts w:ascii="宋体" w:hAnsi="宋体"/>
          <w:bCs/>
          <w:sz w:val="24"/>
        </w:rPr>
        <w:t xml:space="preserve">（企业简称）</w:t>
      </w:r>
      <w:r/>
    </w:p>
    <w:p>
      <w:pPr>
        <w:ind w:firstLine="482"/>
        <w:jc w:val="left"/>
        <w:spacing w:line="640" w:lineRule="exact"/>
        <w:rPr>
          <w:rFonts w:hint="eastAsia" w:ascii="宋体" w:hAnsi="宋体"/>
          <w:b/>
          <w:bCs/>
          <w:sz w:val="24"/>
        </w:rPr>
      </w:pPr>
      <w:r>
        <w:rPr>
          <w:rFonts w:ascii="宋体" w:hAnsi="宋体"/>
          <w:b/>
          <w:bCs/>
          <w:sz w:val="24"/>
        </w:rPr>
        <w:t xml:space="preserve">项目名称： </w:t>
      </w:r>
      <w:r/>
    </w:p>
    <w:p>
      <w:pPr>
        <w:ind w:firstLine="482"/>
        <w:jc w:val="left"/>
        <w:spacing w:line="640" w:lineRule="exact"/>
        <w:rPr>
          <w:rFonts w:hint="eastAsia" w:ascii="宋体" w:hAnsi="宋体"/>
          <w:b/>
          <w:bCs/>
          <w:sz w:val="24"/>
        </w:rPr>
      </w:pPr>
      <w:r>
        <w:rPr>
          <w:rFonts w:ascii="宋体" w:hAnsi="宋体"/>
          <w:b/>
          <w:bCs/>
          <w:sz w:val="24"/>
        </w:rPr>
        <w:t xml:space="preserve">项目编号：</w:t>
      </w:r>
      <w:r/>
    </w:p>
    <w:p>
      <w:pPr>
        <w:ind w:firstLine="482"/>
        <w:jc w:val="left"/>
        <w:spacing w:line="640" w:lineRule="exact"/>
        <w:rPr>
          <w:rFonts w:hint="eastAsia" w:ascii="宋体" w:hAnsi="宋体"/>
          <w:b/>
          <w:bCs/>
          <w:sz w:val="24"/>
        </w:rPr>
      </w:pPr>
      <w:r>
        <w:rPr>
          <w:rFonts w:hint="eastAsia" w:ascii="宋体" w:hAnsi="宋体"/>
          <w:b/>
          <w:bCs/>
          <w:sz w:val="24"/>
        </w:rPr>
      </w:r>
      <w:r/>
    </w:p>
    <w:p>
      <w:pPr>
        <w:ind w:firstLine="482"/>
        <w:jc w:val="left"/>
        <w:spacing w:line="640" w:lineRule="exact"/>
        <w:rPr>
          <w:rFonts w:hint="eastAsia" w:ascii="宋体" w:hAnsi="宋体"/>
          <w:b/>
          <w:bCs/>
          <w:sz w:val="24"/>
        </w:rPr>
      </w:pPr>
      <w:r>
        <w:rPr>
          <w:rFonts w:ascii="宋体" w:hAnsi="宋体"/>
          <w:b/>
          <w:bCs/>
          <w:sz w:val="24"/>
        </w:rPr>
        <w:t xml:space="preserve">需        方：</w:t>
      </w:r>
      <w:r>
        <w:rPr>
          <w:rFonts w:ascii="宋体" w:hAnsi="宋体"/>
          <w:b/>
          <w:bCs/>
          <w:sz w:val="24"/>
          <w:u w:val="single"/>
        </w:rPr>
        <w:t xml:space="preserve">江苏省卫生健康委员会药品药具管理中心</w:t>
      </w:r>
      <w:r/>
    </w:p>
    <w:p>
      <w:pPr>
        <w:ind w:firstLine="482"/>
        <w:jc w:val="left"/>
        <w:spacing w:line="640" w:lineRule="exact"/>
        <w:rPr>
          <w:rFonts w:hint="eastAsia" w:ascii="宋体" w:hAnsi="宋体"/>
          <w:b/>
          <w:bCs/>
          <w:sz w:val="24"/>
        </w:rPr>
      </w:pPr>
      <w:r>
        <w:rPr>
          <w:rFonts w:ascii="宋体" w:hAnsi="宋体"/>
          <w:b/>
          <w:bCs/>
          <w:sz w:val="24"/>
        </w:rPr>
        <w:t xml:space="preserve">地        址：</w:t>
      </w:r>
      <w:r>
        <w:rPr>
          <w:rFonts w:ascii="宋体" w:hAnsi="宋体"/>
          <w:b/>
          <w:bCs/>
          <w:sz w:val="24"/>
          <w:u w:val="single"/>
        </w:rPr>
        <w:t xml:space="preserve">南京市湖南路37号</w:t>
      </w:r>
      <w:r/>
    </w:p>
    <w:p>
      <w:pPr>
        <w:ind w:firstLine="482"/>
        <w:jc w:val="left"/>
        <w:spacing w:line="640" w:lineRule="exact"/>
        <w:rPr>
          <w:rFonts w:hint="eastAsia" w:ascii="宋体" w:hAnsi="宋体"/>
          <w:sz w:val="24"/>
        </w:rPr>
      </w:pPr>
      <w:r>
        <w:rPr>
          <w:rFonts w:ascii="宋体" w:hAnsi="宋体"/>
          <w:b/>
          <w:bCs/>
          <w:sz w:val="24"/>
        </w:rPr>
        <w:t xml:space="preserve">电        话：</w:t>
      </w:r>
      <w:r/>
    </w:p>
    <w:p>
      <w:pPr>
        <w:ind w:firstLine="482"/>
        <w:jc w:val="left"/>
        <w:spacing w:line="640" w:lineRule="exact"/>
        <w:rPr>
          <w:rFonts w:hint="eastAsia" w:ascii="宋体" w:hAnsi="宋体"/>
          <w:b/>
          <w:bCs/>
          <w:sz w:val="24"/>
        </w:rPr>
      </w:pPr>
      <w:r>
        <w:rPr>
          <w:rFonts w:hint="eastAsia" w:ascii="宋体" w:hAnsi="宋体"/>
          <w:b/>
          <w:bCs/>
          <w:sz w:val="24"/>
        </w:rPr>
      </w:r>
      <w:r/>
    </w:p>
    <w:p>
      <w:pPr>
        <w:ind w:firstLine="482"/>
        <w:jc w:val="left"/>
        <w:spacing w:line="640" w:lineRule="exact"/>
        <w:rPr>
          <w:rFonts w:hint="eastAsia" w:ascii="宋体" w:hAnsi="宋体"/>
          <w:bCs/>
          <w:sz w:val="24"/>
          <w:u w:val="single"/>
        </w:rPr>
      </w:pPr>
      <w:r>
        <w:rPr>
          <w:rFonts w:ascii="宋体" w:hAnsi="宋体"/>
          <w:b/>
          <w:bCs/>
          <w:sz w:val="24"/>
        </w:rPr>
        <w:t xml:space="preserve">供        方：</w:t>
      </w:r>
      <w:r/>
    </w:p>
    <w:p>
      <w:pPr>
        <w:ind w:firstLine="482"/>
        <w:jc w:val="left"/>
        <w:spacing w:line="640" w:lineRule="exact"/>
        <w:rPr>
          <w:rFonts w:hint="eastAsia" w:ascii="宋体" w:hAnsi="宋体"/>
          <w:b/>
          <w:bCs/>
          <w:sz w:val="24"/>
        </w:rPr>
      </w:pPr>
      <w:r>
        <w:rPr>
          <w:rFonts w:ascii="宋体" w:hAnsi="宋体"/>
          <w:b/>
          <w:bCs/>
          <w:sz w:val="24"/>
        </w:rPr>
        <w:t xml:space="preserve">地       址：</w:t>
      </w:r>
      <w:r/>
    </w:p>
    <w:p>
      <w:pPr>
        <w:ind w:firstLine="482"/>
        <w:jc w:val="left"/>
        <w:spacing w:line="640" w:lineRule="exact"/>
        <w:rPr>
          <w:rFonts w:hint="eastAsia" w:ascii="宋体" w:hAnsi="宋体"/>
          <w:b/>
          <w:bCs/>
          <w:sz w:val="24"/>
        </w:rPr>
      </w:pPr>
      <w:r>
        <w:rPr>
          <w:rFonts w:ascii="宋体" w:hAnsi="宋体"/>
          <w:b/>
          <w:bCs/>
          <w:sz w:val="24"/>
        </w:rPr>
        <w:t xml:space="preserve">电       话：</w:t>
      </w:r>
      <w:r/>
    </w:p>
    <w:p>
      <w:pPr>
        <w:ind w:firstLine="482"/>
        <w:jc w:val="left"/>
        <w:spacing w:line="640" w:lineRule="exact"/>
        <w:rPr>
          <w:rFonts w:hint="eastAsia" w:ascii="宋体" w:hAnsi="宋体"/>
          <w:sz w:val="24"/>
        </w:rPr>
      </w:pPr>
      <w:r>
        <w:rPr>
          <w:rFonts w:ascii="宋体" w:hAnsi="宋体"/>
          <w:b/>
          <w:bCs/>
          <w:sz w:val="24"/>
        </w:rPr>
        <w:t xml:space="preserve">开户银行：</w:t>
      </w:r>
      <w:r>
        <w:rPr>
          <w:rFonts w:ascii="宋体" w:hAnsi="宋体"/>
          <w:sz w:val="24"/>
        </w:rPr>
        <w:t xml:space="preserve"> </w:t>
      </w:r>
      <w:r/>
    </w:p>
    <w:p>
      <w:pPr>
        <w:ind w:firstLine="482"/>
        <w:jc w:val="left"/>
        <w:spacing w:line="640" w:lineRule="exact"/>
        <w:rPr>
          <w:rFonts w:hint="eastAsia" w:ascii="宋体" w:hAnsi="宋体"/>
          <w:b/>
          <w:bCs/>
          <w:sz w:val="24"/>
        </w:rPr>
      </w:pPr>
      <w:r>
        <w:rPr>
          <w:rFonts w:ascii="宋体" w:hAnsi="宋体"/>
          <w:b/>
          <w:bCs/>
          <w:sz w:val="24"/>
        </w:rPr>
        <w:t xml:space="preserve">账       号：</w:t>
      </w:r>
      <w:r/>
    </w:p>
    <w:p>
      <w:pPr>
        <w:jc w:val="left"/>
        <w:spacing w:line="640" w:lineRule="exact"/>
        <w:rPr>
          <w:rFonts w:hint="eastAsia" w:ascii="宋体" w:hAnsi="宋体"/>
          <w:b/>
          <w:bCs/>
          <w:sz w:val="24"/>
        </w:rPr>
      </w:pPr>
      <w:r>
        <w:rPr>
          <w:rFonts w:hint="eastAsia" w:ascii="宋体" w:hAnsi="宋体"/>
          <w:b/>
          <w:bCs/>
          <w:sz w:val="24"/>
        </w:rPr>
      </w:r>
      <w:r/>
    </w:p>
    <w:p>
      <w:pPr>
        <w:ind w:firstLine="482"/>
        <w:jc w:val="left"/>
        <w:spacing w:line="640" w:lineRule="exact"/>
        <w:rPr>
          <w:rFonts w:hint="eastAsia" w:ascii="宋体" w:hAnsi="宋体"/>
          <w:b/>
          <w:bCs/>
          <w:sz w:val="24"/>
        </w:rPr>
      </w:pPr>
      <w:r>
        <w:rPr>
          <w:rFonts w:ascii="宋体" w:hAnsi="宋体"/>
          <w:b/>
          <w:bCs/>
          <w:sz w:val="24"/>
        </w:rPr>
        <w:t xml:space="preserve">见证方： </w:t>
      </w:r>
      <w:r/>
    </w:p>
    <w:p>
      <w:pPr>
        <w:ind w:firstLine="480"/>
        <w:spacing w:line="640" w:lineRule="exact"/>
        <w:rPr>
          <w:rFonts w:hint="eastAsia" w:ascii="宋体" w:hAnsi="宋体"/>
          <w:sz w:val="24"/>
        </w:rPr>
      </w:pPr>
      <w:r>
        <w:rPr>
          <w:rFonts w:ascii="宋体" w:hAnsi="宋体"/>
          <w:sz w:val="24"/>
        </w:rPr>
        <w:t xml:space="preserve">根据《中华人民共和国政府采购法》《中华人民共和国民法典》等法律法规，通过政府采购，需方从供方采购用于向育龄人群免费提供基本避孕药具（以下简称药具）。为保证药具质量和售后服务，供需双方签订如下合同。</w:t>
      </w:r>
      <w:r/>
    </w:p>
    <w:p>
      <w:pPr>
        <w:ind w:firstLine="420"/>
        <w:keepLines w:val="0"/>
        <w:keepNext w:val="0"/>
        <w:pageBreakBefore w:val="0"/>
        <w:spacing w:line="360" w:lineRule="auto"/>
        <w:widowControl w:val="off"/>
        <w:rPr>
          <w:rFonts w:hint="eastAsia" w:ascii="宋体" w:hAnsi="宋体"/>
          <w:b/>
          <w:bCs/>
          <w:sz w:val="24"/>
        </w:rPr>
        <w:outlineLvl w:val="9"/>
      </w:pPr>
      <w:r>
        <w:rPr>
          <w:rFonts w:hint="eastAsia" w:ascii="宋体" w:hAnsi="宋体"/>
          <w:b/>
          <w:bCs/>
          <w:sz w:val="24"/>
        </w:rPr>
      </w:r>
      <w:r/>
    </w:p>
    <w:p>
      <w:pPr>
        <w:ind w:firstLine="420"/>
        <w:keepLines w:val="0"/>
        <w:keepNext w:val="0"/>
        <w:pageBreakBefore w:val="0"/>
        <w:spacing w:line="360" w:lineRule="auto"/>
        <w:widowControl w:val="off"/>
        <w:rPr>
          <w:rFonts w:hint="eastAsia" w:ascii="宋体" w:hAnsi="宋体"/>
          <w:b/>
          <w:bCs/>
          <w:sz w:val="24"/>
        </w:rPr>
        <w:outlineLvl w:val="9"/>
      </w:pPr>
      <w:r>
        <w:rPr>
          <w:rFonts w:hint="eastAsia" w:ascii="宋体" w:hAnsi="宋体"/>
          <w:b/>
          <w:bCs/>
          <w:sz w:val="24"/>
        </w:rPr>
      </w:r>
      <w:r/>
    </w:p>
    <w:p>
      <w:pPr>
        <w:keepLines w:val="0"/>
        <w:keepNext w:val="0"/>
        <w:pageBreakBefore w:val="0"/>
        <w:widowControl w:val="off"/>
        <w:rPr>
          <w:rFonts w:hint="eastAsia" w:ascii="宋体" w:hAnsi="宋体"/>
          <w:b/>
          <w:bCs/>
          <w:sz w:val="24"/>
        </w:rPr>
        <w:outlineLvl w:val="9"/>
      </w:pPr>
      <w:r>
        <w:rPr>
          <w:rFonts w:hint="eastAsia" w:ascii="宋体" w:hAnsi="宋体"/>
          <w:b/>
          <w:bCs/>
          <w:sz w:val="24"/>
        </w:rPr>
        <w:br w:type="page" w:clear="all"/>
      </w:r>
      <w:r/>
    </w:p>
    <w:p>
      <w:pPr>
        <w:ind w:firstLine="420"/>
        <w:spacing w:line="360" w:lineRule="auto"/>
        <w:rPr>
          <w:rFonts w:hint="eastAsia" w:ascii="宋体" w:hAnsi="宋体"/>
          <w:b/>
          <w:bCs/>
          <w:sz w:val="24"/>
        </w:rPr>
        <w:outlineLvl w:val="1"/>
      </w:pPr>
      <w:r>
        <w:rPr>
          <w:rFonts w:hint="eastAsia" w:ascii="宋体" w:hAnsi="宋体"/>
          <w:b/>
          <w:bCs/>
          <w:sz w:val="24"/>
        </w:rPr>
        <w:t xml:space="preserve">一、货物内容</w:t>
      </w:r>
      <w:r/>
    </w:p>
    <w:p>
      <w:pPr>
        <w:ind w:firstLine="200"/>
        <w:jc w:val="center"/>
        <w:spacing w:line="360" w:lineRule="auto"/>
        <w:rPr>
          <w:rFonts w:hint="eastAsia" w:ascii="宋体" w:hAnsi="宋体" w:cs="微软雅黑"/>
          <w:b/>
          <w:sz w:val="24"/>
        </w:rPr>
      </w:pPr>
      <w:r>
        <w:rPr>
          <w:rFonts w:hint="eastAsia" w:ascii="宋体" w:hAnsi="宋体" w:cs="微软雅黑"/>
          <w:b/>
          <w:sz w:val="24"/>
        </w:rPr>
        <w:t xml:space="preserve">供货一览表（企业简称）</w:t>
      </w:r>
      <w:r/>
    </w:p>
    <w:tbl>
      <w:tblPr>
        <w:tblStyle w:val="945"/>
        <w:tblW w:w="8557" w:type="dxa"/>
        <w:tblInd w:w="103" w:type="dxa"/>
        <w:tblLayout w:type="fixed"/>
        <w:tblCellMar>
          <w:left w:w="106" w:type="dxa"/>
          <w:top w:w="0" w:type="dxa"/>
          <w:right w:w="55" w:type="dxa"/>
          <w:bottom w:w="0" w:type="dxa"/>
        </w:tblCellMar>
        <w:tblLook w:val="04A0" w:firstRow="1" w:lastRow="0" w:firstColumn="1" w:lastColumn="0" w:noHBand="0" w:noVBand="1"/>
      </w:tblPr>
      <w:tblGrid>
        <w:gridCol w:w="784"/>
        <w:gridCol w:w="1326"/>
        <w:gridCol w:w="993"/>
        <w:gridCol w:w="552"/>
        <w:gridCol w:w="930"/>
        <w:gridCol w:w="929"/>
        <w:gridCol w:w="930"/>
        <w:gridCol w:w="1097"/>
        <w:gridCol w:w="1016"/>
      </w:tblGrid>
      <w:tr>
        <w:trPr>
          <w:trHeight w:val="58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品 名</w:t>
            </w:r>
            <w:r/>
          </w:p>
        </w:tc>
        <w:tc>
          <w:tcPr>
            <w:tcBorders>
              <w:top w:val="single" w:color="000000" w:sz="4" w:space="0"/>
              <w:left w:val="none" w:color="000000" w:sz="4" w:space="0"/>
              <w:bottom w:val="single" w:color="000000" w:sz="4" w:space="0"/>
              <w:right w:val="single" w:color="000000" w:sz="4" w:space="0"/>
            </w:tcBorders>
            <w:tcW w:w="1326"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注册</w:t>
            </w:r>
            <w:r/>
          </w:p>
          <w:p>
            <w:pPr>
              <w:jc w:val="center"/>
              <w:spacing w:line="360" w:lineRule="exact"/>
              <w:rPr>
                <w:rFonts w:hint="eastAsia" w:ascii="宋体" w:hAnsi="宋体" w:cs="微软雅黑"/>
                <w:b/>
                <w:bCs/>
                <w:sz w:val="24"/>
              </w:rPr>
            </w:pPr>
            <w:r>
              <w:rPr>
                <w:rFonts w:hint="eastAsia" w:ascii="宋体" w:hAnsi="宋体" w:cs="微软雅黑"/>
                <w:b/>
                <w:bCs/>
                <w:sz w:val="24"/>
              </w:rPr>
              <w:t xml:space="preserve">证号</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规格</w:t>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单位</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每件</w:t>
            </w:r>
            <w:r/>
          </w:p>
          <w:p>
            <w:pPr>
              <w:jc w:val="center"/>
              <w:spacing w:line="360" w:lineRule="exact"/>
              <w:rPr>
                <w:rFonts w:hint="eastAsia" w:ascii="宋体" w:hAnsi="宋体" w:cs="微软雅黑"/>
                <w:b/>
                <w:bCs/>
                <w:sz w:val="24"/>
              </w:rPr>
            </w:pPr>
            <w:r>
              <w:rPr>
                <w:rFonts w:hint="eastAsia" w:ascii="宋体" w:hAnsi="宋体" w:cs="微软雅黑"/>
                <w:b/>
                <w:bCs/>
                <w:sz w:val="24"/>
              </w:rPr>
              <w:t xml:space="preserve">内装</w:t>
            </w:r>
            <w:r/>
          </w:p>
        </w:tc>
        <w:tc>
          <w:tcPr>
            <w:tcBorders>
              <w:top w:val="single" w:color="000000" w:sz="4" w:space="0"/>
              <w:left w:val="none" w:color="000000" w:sz="4" w:space="0"/>
              <w:bottom w:val="single" w:color="000000" w:sz="4" w:space="0"/>
              <w:right w:val="single" w:color="000000" w:sz="4" w:space="0"/>
            </w:tcBorders>
            <w:tcW w:w="929"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单价</w:t>
            </w:r>
            <w:r/>
          </w:p>
          <w:p>
            <w:pPr>
              <w:jc w:val="center"/>
              <w:spacing w:line="360" w:lineRule="exact"/>
              <w:rPr>
                <w:rFonts w:hint="eastAsia" w:ascii="宋体" w:hAnsi="宋体" w:cs="微软雅黑"/>
                <w:b/>
                <w:bCs/>
                <w:sz w:val="24"/>
              </w:rPr>
            </w:pPr>
            <w:r>
              <w:rPr>
                <w:rFonts w:hint="eastAsia" w:ascii="宋体" w:hAnsi="宋体" w:cs="微软雅黑"/>
                <w:b/>
                <w:bCs/>
                <w:sz w:val="24"/>
              </w:rPr>
              <w:t xml:space="preserve">（元）</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有效期（年）</w:t>
            </w:r>
            <w:r/>
          </w:p>
        </w:tc>
        <w:tc>
          <w:tcPr>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数量</w:t>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spacing w:line="360" w:lineRule="exact"/>
              <w:rPr>
                <w:rFonts w:hint="eastAsia" w:ascii="宋体" w:hAnsi="宋体" w:cs="微软雅黑"/>
                <w:b/>
                <w:bCs/>
                <w:sz w:val="24"/>
              </w:rPr>
            </w:pPr>
            <w:r>
              <w:rPr>
                <w:rFonts w:hint="eastAsia" w:ascii="宋体" w:hAnsi="宋体" w:cs="微软雅黑"/>
                <w:b/>
                <w:bCs/>
                <w:sz w:val="24"/>
              </w:rPr>
              <w:t xml:space="preserve">金额</w:t>
            </w:r>
            <w:r/>
          </w:p>
          <w:p>
            <w:pPr>
              <w:jc w:val="center"/>
              <w:spacing w:line="360" w:lineRule="exact"/>
              <w:rPr>
                <w:rFonts w:hint="eastAsia" w:ascii="宋体" w:hAnsi="宋体" w:cs="微软雅黑"/>
                <w:b/>
                <w:bCs/>
                <w:sz w:val="24"/>
              </w:rPr>
            </w:pPr>
            <w:r>
              <w:rPr>
                <w:rFonts w:hint="eastAsia" w:ascii="宋体" w:hAnsi="宋体" w:cs="微软雅黑"/>
                <w:b/>
                <w:bCs/>
                <w:sz w:val="24"/>
              </w:rPr>
              <w:t xml:space="preserve">（元）</w:t>
            </w:r>
            <w:r/>
          </w:p>
        </w:tc>
      </w:tr>
      <w:tr>
        <w:trPr>
          <w:trHeight w:val="426"/>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32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29"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32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29"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32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29"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r>
      <w:tr>
        <w:trPr>
          <w:trHeight w:val="568"/>
        </w:trPr>
        <w:tc>
          <w:tcPr>
            <w:gridSpan w:val="9"/>
            <w:tcBorders>
              <w:top w:val="single" w:color="000000" w:sz="4" w:space="0"/>
              <w:left w:val="single" w:color="000000" w:sz="4" w:space="0"/>
              <w:bottom w:val="single" w:color="000000" w:sz="4" w:space="0"/>
              <w:right w:val="single" w:color="000000" w:sz="4" w:space="0"/>
            </w:tcBorders>
            <w:tcW w:w="8557" w:type="dxa"/>
            <w:vAlign w:val="center"/>
            <w:textDirection w:val="lrTb"/>
            <w:noWrap w:val="false"/>
          </w:tcPr>
          <w:p>
            <w:pPr>
              <w:jc w:val="left"/>
              <w:spacing w:line="360" w:lineRule="exact"/>
              <w:rPr>
                <w:rFonts w:hint="eastAsia" w:ascii="宋体" w:hAnsi="宋体" w:cs="微软雅黑"/>
                <w:bCs/>
                <w:sz w:val="24"/>
              </w:rPr>
            </w:pPr>
            <w:r>
              <w:rPr>
                <w:rFonts w:hint="eastAsia" w:ascii="宋体" w:hAnsi="宋体"/>
                <w:b/>
                <w:sz w:val="24"/>
              </w:rPr>
              <w:t xml:space="preserve">合计（总</w:t>
            </w:r>
            <w:r>
              <w:rPr>
                <w:rFonts w:ascii="宋体" w:hAnsi="宋体"/>
                <w:b/>
                <w:sz w:val="24"/>
              </w:rPr>
              <w:t xml:space="preserve">金额）</w:t>
            </w:r>
            <w:r>
              <w:rPr>
                <w:rFonts w:ascii="宋体" w:hAnsi="宋体"/>
                <w:sz w:val="24"/>
              </w:rPr>
              <w:t xml:space="preserve">：</w:t>
            </w:r>
            <w:r>
              <w:rPr>
                <w:rFonts w:ascii="宋体" w:hAnsi="宋体"/>
                <w:sz w:val="24"/>
                <w:u w:val="single"/>
              </w:rPr>
              <w:t xml:space="preserve">                         </w:t>
            </w:r>
            <w:r>
              <w:rPr>
                <w:rFonts w:ascii="宋体" w:hAnsi="宋体"/>
                <w:sz w:val="24"/>
              </w:rPr>
              <w:t xml:space="preserve"> 人民币</w:t>
            </w:r>
            <w:r>
              <w:rPr>
                <w:rFonts w:hint="eastAsia" w:ascii="宋体" w:hAnsi="宋体"/>
                <w:sz w:val="24"/>
              </w:rPr>
              <w:t xml:space="preserve">整（小写：¥      ）</w:t>
            </w:r>
            <w:r/>
          </w:p>
        </w:tc>
      </w:tr>
    </w:tbl>
    <w:p>
      <w:pPr>
        <w:ind w:firstLine="480"/>
        <w:spacing w:before="156" w:line="360" w:lineRule="auto"/>
        <w:rPr>
          <w:rFonts w:hint="eastAsia" w:ascii="宋体" w:hAnsi="宋体"/>
          <w:sz w:val="24"/>
        </w:rPr>
      </w:pPr>
      <w:r>
        <w:rPr>
          <w:rFonts w:hint="eastAsia" w:ascii="宋体" w:hAnsi="宋体"/>
          <w:sz w:val="24"/>
        </w:rPr>
        <w:t xml:space="preserve">注：供货一览表由需方填写，“注册证号”内容由供方填写，注册信息在合同履行期间如有变更，须于变更后7日内将相关文件报需方备案。</w:t>
      </w:r>
      <w:r/>
    </w:p>
    <w:p>
      <w:pPr>
        <w:ind w:firstLine="482"/>
        <w:spacing w:line="360" w:lineRule="auto"/>
        <w:rPr>
          <w:rFonts w:hint="eastAsia" w:ascii="宋体" w:hAnsi="宋体"/>
          <w:b/>
          <w:bCs/>
          <w:sz w:val="24"/>
        </w:rPr>
        <w:outlineLvl w:val="1"/>
      </w:pPr>
      <w:r>
        <w:rPr>
          <w:rFonts w:hint="eastAsia" w:ascii="宋体" w:hAnsi="宋体"/>
          <w:b/>
          <w:bCs/>
          <w:sz w:val="24"/>
        </w:rPr>
        <w:t xml:space="preserve">二、货款支付</w:t>
      </w:r>
      <w:r/>
    </w:p>
    <w:p>
      <w:pPr>
        <w:ind w:firstLine="480"/>
        <w:jc w:val="left"/>
        <w:spacing w:line="360" w:lineRule="auto"/>
        <w:rPr>
          <w:rFonts w:hint="eastAsia" w:ascii="宋体" w:hAnsi="宋体"/>
          <w:bCs/>
          <w:sz w:val="24"/>
          <w:u w:val="single"/>
        </w:rPr>
      </w:pPr>
      <w:r>
        <w:rPr>
          <w:rFonts w:hint="eastAsia" w:ascii="宋体" w:hAnsi="宋体"/>
          <w:bCs/>
          <w:sz w:val="24"/>
        </w:rPr>
        <w:t xml:space="preserve">2.1 采购资金的支付方式、时间及条件：</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hint="eastAsia" w:ascii="宋体" w:hAnsi="宋体"/>
          <w:sz w:val="24"/>
        </w:rPr>
        <w:t xml:space="preserve">合同签订后10个工作日内，需方凭供方开具的合同发票支付合同额的60%。</w:t>
      </w:r>
      <w:r/>
    </w:p>
    <w:p>
      <w:pPr>
        <w:ind w:firstLine="480"/>
        <w:jc w:val="left"/>
        <w:spacing w:line="360" w:lineRule="auto"/>
        <w:rPr>
          <w:rFonts w:hint="eastAsia" w:ascii="宋体" w:hAnsi="宋体"/>
          <w:bCs/>
          <w:sz w:val="24"/>
        </w:rPr>
      </w:pPr>
      <w:r>
        <w:rPr>
          <w:rFonts w:hint="eastAsia" w:ascii="宋体" w:hAnsi="宋体"/>
          <w:bCs/>
          <w:sz w:val="24"/>
        </w:rPr>
        <w:t xml:space="preserve">（2）全部药具送达需方指定地点、提供来货清单和收货方入库单且经履约验收合格后，需方支付剩余合同额。</w:t>
      </w:r>
      <w:r/>
    </w:p>
    <w:p>
      <w:pPr>
        <w:ind w:firstLine="480"/>
        <w:jc w:val="left"/>
        <w:spacing w:line="360" w:lineRule="auto"/>
        <w:rPr>
          <w:rFonts w:hint="eastAsia" w:ascii="宋体" w:hAnsi="宋体"/>
          <w:bCs/>
          <w:sz w:val="24"/>
        </w:rPr>
      </w:pPr>
      <w:r>
        <w:rPr>
          <w:rFonts w:hint="eastAsia" w:ascii="宋体" w:hAnsi="宋体"/>
          <w:bCs/>
          <w:sz w:val="24"/>
        </w:rPr>
        <w:t xml:space="preserve">注：对满足合同支付条件的，需方自收到发票后30日内支付资金。</w:t>
      </w:r>
      <w:r/>
    </w:p>
    <w:p>
      <w:pPr>
        <w:ind w:firstLine="480"/>
        <w:jc w:val="left"/>
        <w:spacing w:line="360" w:lineRule="auto"/>
        <w:rPr>
          <w:rFonts w:hint="eastAsia" w:ascii="宋体" w:hAnsi="宋体"/>
          <w:bCs/>
          <w:sz w:val="24"/>
        </w:rPr>
      </w:pPr>
      <w:r>
        <w:rPr>
          <w:rFonts w:hint="eastAsia" w:ascii="宋体" w:hAnsi="宋体"/>
          <w:bCs/>
          <w:sz w:val="24"/>
        </w:rPr>
        <w:t xml:space="preserve">（3）需方以本合同书中注明的供方账户名称、开户银行及账号信息为准支付货款。</w:t>
      </w:r>
      <w:r/>
    </w:p>
    <w:p>
      <w:pPr>
        <w:ind w:firstLine="480"/>
        <w:jc w:val="left"/>
        <w:spacing w:line="360" w:lineRule="auto"/>
        <w:rPr>
          <w:rFonts w:hint="eastAsia" w:ascii="宋体" w:hAnsi="宋体"/>
          <w:bCs/>
          <w:sz w:val="24"/>
        </w:rPr>
      </w:pPr>
      <w:r>
        <w:rPr>
          <w:rFonts w:hint="eastAsia" w:ascii="宋体" w:hAnsi="宋体"/>
          <w:bCs/>
          <w:sz w:val="24"/>
        </w:rPr>
        <w:t xml:space="preserve">2.2</w:t>
      </w:r>
      <w:r>
        <w:rPr>
          <w:rFonts w:ascii="宋体" w:hAnsi="宋体"/>
          <w:bCs/>
          <w:sz w:val="24"/>
        </w:rPr>
        <w:t xml:space="preserve"> </w:t>
      </w:r>
      <w:r>
        <w:rPr>
          <w:rFonts w:hint="eastAsia" w:ascii="宋体" w:hAnsi="宋体"/>
          <w:sz w:val="24"/>
        </w:rPr>
        <w:t xml:space="preserve">当采购数量与实际使用数量不一致时，供方应根据实际使用量供货，合同的最终结算金额按实际使用量乘以成交单价进行计算。</w:t>
      </w:r>
      <w:r/>
    </w:p>
    <w:p>
      <w:pPr>
        <w:ind w:firstLine="480"/>
        <w:spacing w:line="360" w:lineRule="auto"/>
        <w:rPr>
          <w:rFonts w:hint="eastAsia" w:ascii="宋体" w:hAnsi="宋体"/>
          <w:sz w:val="24"/>
        </w:rPr>
      </w:pPr>
      <w:r>
        <w:rPr>
          <w:rFonts w:hint="eastAsia" w:ascii="宋体" w:hAnsi="宋体"/>
          <w:sz w:val="24"/>
        </w:rPr>
        <w:t xml:space="preserve">2.3</w:t>
      </w:r>
      <w:r>
        <w:rPr>
          <w:rFonts w:ascii="宋体" w:hAnsi="宋体"/>
          <w:sz w:val="24"/>
        </w:rPr>
        <w:t xml:space="preserve"> </w:t>
      </w:r>
      <w:r>
        <w:rPr>
          <w:rFonts w:hint="eastAsia" w:ascii="宋体" w:hAnsi="宋体"/>
          <w:sz w:val="24"/>
        </w:rPr>
        <w:t xml:space="preserve">本合同执行中相关的一切税费均由供方负担。</w:t>
      </w:r>
      <w:r/>
    </w:p>
    <w:p>
      <w:pPr>
        <w:ind w:firstLine="48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 </w:t>
      </w:r>
      <w:r>
        <w:rPr>
          <w:rFonts w:hint="eastAsia" w:ascii="宋体" w:hAnsi="宋体"/>
          <w:sz w:val="24"/>
        </w:rPr>
        <w:t xml:space="preserve">履约保证金：</w:t>
      </w:r>
      <w:r/>
    </w:p>
    <w:p>
      <w:pPr>
        <w:ind w:firstLine="480"/>
        <w:spacing w:line="360" w:lineRule="auto"/>
        <w:rPr>
          <w:rFonts w:hint="eastAsia" w:ascii="宋体" w:hAnsi="宋体"/>
          <w:sz w:val="24"/>
        </w:rPr>
      </w:pPr>
      <w:r>
        <w:rPr>
          <w:rFonts w:hint="eastAsia" w:ascii="宋体" w:hAnsi="宋体"/>
          <w:sz w:val="24"/>
        </w:rPr>
        <w:t xml:space="preserve">（1）中标（成交）供应商应以支票、汇票、本票或者金融机构、担保机构出具的保函（保险）等非现金形式在合同签订前缴纳履约保证金，金额为合同金额的10%。</w:t>
      </w:r>
      <w:r/>
    </w:p>
    <w:p>
      <w:pPr>
        <w:ind w:firstLine="480"/>
        <w:spacing w:line="360" w:lineRule="auto"/>
        <w:rPr>
          <w:rFonts w:hint="eastAsia" w:ascii="宋体" w:hAnsi="宋体"/>
          <w:sz w:val="24"/>
        </w:rPr>
      </w:pPr>
      <w:r>
        <w:rPr>
          <w:rFonts w:hint="eastAsia" w:ascii="宋体" w:hAnsi="宋体"/>
          <w:sz w:val="24"/>
        </w:rPr>
        <w:t xml:space="preserve">（2）履约保证金的有效期为一年。</w:t>
      </w:r>
      <w:r/>
    </w:p>
    <w:p>
      <w:pPr>
        <w:ind w:firstLine="480"/>
        <w:spacing w:line="360" w:lineRule="auto"/>
        <w:rPr>
          <w:rFonts w:hint="eastAsia" w:ascii="宋体" w:hAnsi="宋体"/>
          <w:sz w:val="24"/>
        </w:rPr>
      </w:pPr>
      <w:r>
        <w:rPr>
          <w:rFonts w:hint="eastAsia" w:ascii="宋体" w:hAnsi="宋体"/>
          <w:sz w:val="24"/>
        </w:rPr>
        <w:t xml:space="preserve">（3）如中标（成交）供应商未能履行合同规定的义务，招标人有权从履约保证金中取得补偿。</w:t>
      </w:r>
      <w:r/>
    </w:p>
    <w:p>
      <w:pPr>
        <w:ind w:firstLine="480"/>
        <w:spacing w:line="360" w:lineRule="auto"/>
        <w:rPr>
          <w:rFonts w:hint="eastAsia" w:ascii="宋体" w:hAnsi="宋体"/>
          <w:sz w:val="24"/>
        </w:rPr>
      </w:pPr>
      <w:r>
        <w:rPr>
          <w:rFonts w:hint="eastAsia" w:ascii="宋体" w:hAnsi="宋体"/>
          <w:sz w:val="24"/>
        </w:rPr>
        <w:t xml:space="preserve">（4）履约保证金扣除招标人应得的补偿后的余额，在有效期满后5个工作日内无息退还给中标（成交）供应商。</w:t>
      </w:r>
      <w:r/>
    </w:p>
    <w:p>
      <w:pPr>
        <w:ind w:firstLine="482"/>
        <w:spacing w:line="360" w:lineRule="auto"/>
        <w:rPr>
          <w:rFonts w:hint="eastAsia" w:ascii="宋体" w:hAnsi="宋体"/>
          <w:b/>
          <w:bCs/>
          <w:sz w:val="24"/>
        </w:rPr>
        <w:outlineLvl w:val="1"/>
      </w:pPr>
      <w:r>
        <w:rPr>
          <w:rFonts w:hint="eastAsia" w:ascii="宋体" w:hAnsi="宋体"/>
          <w:b/>
          <w:bCs/>
          <w:sz w:val="24"/>
        </w:rPr>
        <w:t xml:space="preserve">三、技术资料与备案</w:t>
      </w:r>
      <w:r/>
    </w:p>
    <w:p>
      <w:pPr>
        <w:ind w:firstLine="480"/>
        <w:jc w:val="left"/>
        <w:spacing w:line="360" w:lineRule="auto"/>
        <w:rPr>
          <w:rFonts w:hint="eastAsia" w:ascii="宋体" w:hAnsi="宋体"/>
          <w:sz w:val="24"/>
        </w:rPr>
      </w:pPr>
      <w:r>
        <w:rPr>
          <w:rFonts w:hint="eastAsia" w:ascii="宋体" w:hAnsi="宋体"/>
          <w:sz w:val="24"/>
        </w:rPr>
        <w:t xml:space="preserve">3.1</w:t>
      </w:r>
      <w:r>
        <w:rPr>
          <w:rFonts w:ascii="宋体" w:hAnsi="宋体"/>
          <w:sz w:val="24"/>
        </w:rPr>
        <w:t xml:space="preserve"> </w:t>
      </w:r>
      <w:r>
        <w:rPr>
          <w:rFonts w:hint="eastAsia" w:ascii="宋体" w:hAnsi="宋体"/>
          <w:sz w:val="24"/>
        </w:rPr>
        <w:t xml:space="preserve">供方应按招标文件规定的时间向需方提供使用货物的有关技术资料，提供合法有效的生产经营、许可证书、注册证书等纸质和电子版资质材料报需方备案。</w:t>
      </w:r>
      <w:r/>
    </w:p>
    <w:p>
      <w:pPr>
        <w:ind w:firstLine="480"/>
        <w:spacing w:line="360" w:lineRule="auto"/>
        <w:rPr>
          <w:rFonts w:hint="eastAsia" w:ascii="宋体" w:hAnsi="宋体"/>
          <w:sz w:val="24"/>
        </w:rPr>
      </w:pPr>
      <w:r>
        <w:rPr>
          <w:rFonts w:hint="eastAsia" w:ascii="宋体" w:hAnsi="宋体"/>
          <w:sz w:val="24"/>
        </w:rPr>
        <w:t xml:space="preserve">3.2</w:t>
      </w:r>
      <w:r>
        <w:rPr>
          <w:rFonts w:ascii="宋体" w:hAnsi="宋体"/>
          <w:sz w:val="24"/>
        </w:rPr>
        <w:t xml:space="preserve"> </w:t>
      </w:r>
      <w:r>
        <w:rPr>
          <w:rFonts w:hint="eastAsia" w:ascii="宋体" w:hAnsi="宋体"/>
          <w:sz w:val="24"/>
        </w:rPr>
        <w:t xml:space="preserve">包装备案：供方应当及时向需方做好供货产品说明书、包装和标签的备案。</w:t>
      </w:r>
      <w:r/>
    </w:p>
    <w:p>
      <w:pPr>
        <w:ind w:firstLine="480"/>
        <w:spacing w:line="360" w:lineRule="auto"/>
        <w:rPr>
          <w:rFonts w:hint="eastAsia" w:ascii="宋体" w:hAnsi="宋体"/>
          <w:sz w:val="24"/>
        </w:rPr>
      </w:pPr>
      <w:r>
        <w:rPr>
          <w:rFonts w:hint="eastAsia" w:ascii="宋体" w:hAnsi="宋体"/>
          <w:sz w:val="24"/>
        </w:rPr>
        <w:t xml:space="preserve">（1）备案时间</w:t>
      </w:r>
      <w:r/>
    </w:p>
    <w:p>
      <w:pPr>
        <w:ind w:firstLine="480"/>
        <w:spacing w:line="360" w:lineRule="auto"/>
        <w:rPr>
          <w:rFonts w:hint="eastAsia" w:ascii="宋体" w:hAnsi="宋体"/>
          <w:sz w:val="24"/>
        </w:rPr>
      </w:pPr>
      <w:r>
        <w:rPr>
          <w:rFonts w:hint="eastAsia" w:ascii="宋体" w:hAnsi="宋体"/>
          <w:sz w:val="24"/>
        </w:rPr>
        <w:t xml:space="preserve">① 药具合同签署后到各级包装批量印刷之前。</w:t>
      </w:r>
      <w:r/>
    </w:p>
    <w:p>
      <w:pPr>
        <w:ind w:firstLine="480"/>
        <w:spacing w:line="360" w:lineRule="auto"/>
        <w:rPr>
          <w:rFonts w:hint="eastAsia" w:ascii="宋体" w:hAnsi="宋体"/>
          <w:sz w:val="24"/>
        </w:rPr>
      </w:pPr>
      <w:r>
        <w:rPr>
          <w:rFonts w:hint="eastAsia" w:ascii="宋体" w:hAnsi="宋体"/>
          <w:sz w:val="24"/>
        </w:rPr>
        <w:t xml:space="preserve">② 供货期间，说明书、包装和标签进行修改后到新版印刷之前。</w:t>
      </w:r>
      <w:r/>
    </w:p>
    <w:p>
      <w:pPr>
        <w:ind w:firstLine="480"/>
        <w:spacing w:line="360" w:lineRule="auto"/>
        <w:rPr>
          <w:rFonts w:hint="eastAsia" w:ascii="宋体" w:hAnsi="宋体"/>
          <w:sz w:val="24"/>
        </w:rPr>
      </w:pPr>
      <w:r>
        <w:rPr>
          <w:rFonts w:hint="eastAsia" w:ascii="宋体" w:hAnsi="宋体"/>
          <w:sz w:val="24"/>
        </w:rPr>
        <w:t xml:space="preserve">以上两种情形，均应当在需方及时备案。</w:t>
      </w:r>
      <w:r/>
    </w:p>
    <w:p>
      <w:pPr>
        <w:ind w:firstLine="480"/>
        <w:spacing w:line="360" w:lineRule="auto"/>
        <w:rPr>
          <w:rFonts w:hint="eastAsia" w:ascii="宋体" w:hAnsi="宋体"/>
          <w:sz w:val="24"/>
        </w:rPr>
      </w:pPr>
      <w:r>
        <w:rPr>
          <w:rFonts w:hint="eastAsia" w:ascii="宋体" w:hAnsi="宋体"/>
          <w:sz w:val="24"/>
        </w:rPr>
        <w:t xml:space="preserve">（2）备案内容</w:t>
      </w:r>
      <w:r/>
    </w:p>
    <w:p>
      <w:pPr>
        <w:ind w:firstLine="480"/>
        <w:spacing w:line="360" w:lineRule="auto"/>
        <w:rPr>
          <w:rFonts w:hint="eastAsia" w:ascii="宋体" w:hAnsi="宋体"/>
          <w:sz w:val="24"/>
        </w:rPr>
      </w:pPr>
      <w:r>
        <w:rPr>
          <w:rFonts w:hint="eastAsia" w:ascii="宋体" w:hAnsi="宋体"/>
          <w:sz w:val="24"/>
        </w:rPr>
        <w:t xml:space="preserve">① 药具的说明书、包装和标签的彩色图样（含尺寸）及实物。</w:t>
      </w:r>
      <w:r/>
    </w:p>
    <w:p>
      <w:pPr>
        <w:ind w:firstLine="480"/>
        <w:spacing w:line="360" w:lineRule="auto"/>
        <w:rPr>
          <w:rFonts w:hint="eastAsia" w:ascii="宋体" w:hAnsi="宋体"/>
          <w:sz w:val="24"/>
        </w:rPr>
      </w:pPr>
      <w:r>
        <w:rPr>
          <w:rFonts w:hint="eastAsia" w:ascii="宋体" w:hAnsi="宋体"/>
          <w:sz w:val="24"/>
        </w:rPr>
        <w:t xml:space="preserve">② 药具包装材料质量标准（见后页样表 1）。</w:t>
      </w:r>
      <w:r/>
    </w:p>
    <w:p>
      <w:pPr>
        <w:ind w:firstLine="480"/>
        <w:spacing w:line="360" w:lineRule="auto"/>
        <w:rPr>
          <w:rFonts w:hint="eastAsia" w:ascii="宋体" w:hAnsi="宋体"/>
          <w:sz w:val="24"/>
        </w:rPr>
      </w:pPr>
      <w:r>
        <w:rPr>
          <w:rFonts w:hint="eastAsia" w:ascii="宋体" w:hAnsi="宋体"/>
          <w:sz w:val="24"/>
        </w:rPr>
        <w:t xml:space="preserve">③ 药具包装及标签情况（见后页样表 2）。</w:t>
      </w:r>
      <w:r/>
    </w:p>
    <w:p>
      <w:pPr>
        <w:ind w:firstLine="600"/>
        <w:spacing w:line="360" w:lineRule="auto"/>
        <w:rPr>
          <w:rFonts w:hint="eastAsia" w:ascii="宋体" w:hAnsi="宋体"/>
          <w:sz w:val="24"/>
        </w:rPr>
      </w:pPr>
      <w:r>
        <w:rPr>
          <w:rFonts w:hint="eastAsia" w:ascii="宋体" w:hAnsi="宋体"/>
          <w:sz w:val="24"/>
        </w:rPr>
        <w:t xml:space="preserve">以上内容缺一不可。</w:t>
      </w:r>
      <w:r/>
    </w:p>
    <w:p>
      <w:pPr>
        <w:ind w:firstLine="480"/>
        <w:spacing w:line="360" w:lineRule="auto"/>
        <w:rPr>
          <w:rFonts w:hint="eastAsia" w:ascii="宋体" w:hAnsi="宋体"/>
          <w:sz w:val="24"/>
        </w:rPr>
      </w:pPr>
      <w:r>
        <w:rPr>
          <w:rFonts w:hint="eastAsia" w:ascii="宋体" w:hAnsi="宋体"/>
          <w:sz w:val="24"/>
        </w:rPr>
        <w:t xml:space="preserve">（3） 备案形式：实样邮寄给需方药品保障科，同时将电子版发至指定邮箱。</w:t>
      </w:r>
      <w:r/>
    </w:p>
    <w:p>
      <w:pPr>
        <w:ind w:firstLine="480"/>
        <w:jc w:val="left"/>
        <w:spacing w:line="360" w:lineRule="auto"/>
        <w:rPr>
          <w:rFonts w:hint="eastAsia" w:ascii="宋体" w:hAnsi="宋体"/>
          <w:sz w:val="24"/>
        </w:rPr>
      </w:pPr>
      <w:r>
        <w:rPr>
          <w:rFonts w:hint="eastAsia" w:ascii="宋体" w:hAnsi="宋体"/>
          <w:sz w:val="24"/>
        </w:rPr>
        <w:t xml:space="preserve">3.3 没有需方事先书面同意，供方不得将由需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b/>
          <w:bCs/>
          <w:sz w:val="24"/>
        </w:rPr>
        <w:outlineLvl w:val="1"/>
      </w:pPr>
      <w:r>
        <w:rPr>
          <w:rFonts w:hint="eastAsia" w:ascii="宋体" w:hAnsi="宋体"/>
          <w:b/>
          <w:bCs/>
          <w:sz w:val="24"/>
        </w:rPr>
        <w:t xml:space="preserve">四、知识产权</w:t>
      </w:r>
      <w:r/>
    </w:p>
    <w:p>
      <w:pPr>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 </w:t>
      </w:r>
      <w:r>
        <w:rPr>
          <w:rFonts w:hint="eastAsia" w:ascii="宋体" w:hAnsi="宋体"/>
          <w:sz w:val="24"/>
        </w:rPr>
        <w:t xml:space="preserve">供方应保证需方在使用、接受本合同货物和服务或其任何一部分时不受第三方提出侵犯其专利权、版权、商标权和工业设计权等知识产权的起诉。一旦出现侵权，由供方负全部责任，包括诉讼费用、第三方索赔、律师费、鉴定费等。</w:t>
      </w:r>
      <w:r/>
    </w:p>
    <w:p>
      <w:pPr>
        <w:ind w:firstLine="482"/>
        <w:spacing w:line="360" w:lineRule="auto"/>
        <w:rPr>
          <w:rFonts w:hint="eastAsia" w:ascii="宋体" w:hAnsi="宋体"/>
          <w:b/>
          <w:bCs/>
          <w:sz w:val="24"/>
        </w:rPr>
        <w:outlineLvl w:val="1"/>
      </w:pPr>
      <w:r>
        <w:rPr>
          <w:rFonts w:hint="eastAsia" w:ascii="宋体" w:hAnsi="宋体"/>
          <w:b/>
          <w:bCs/>
          <w:sz w:val="24"/>
        </w:rPr>
        <w:t xml:space="preserve">五、产权担保</w:t>
      </w:r>
      <w:r/>
    </w:p>
    <w:p>
      <w:pPr>
        <w:ind w:firstLine="480"/>
        <w:jc w:val="left"/>
        <w:spacing w:line="360" w:lineRule="auto"/>
        <w:rPr>
          <w:rFonts w:hint="eastAsia" w:ascii="宋体" w:hAnsi="宋体"/>
          <w:sz w:val="24"/>
          <w:u w:val="single"/>
        </w:rPr>
      </w:pPr>
      <w:r>
        <w:rPr>
          <w:rFonts w:hint="eastAsia" w:ascii="宋体" w:hAnsi="宋体"/>
          <w:sz w:val="24"/>
        </w:rPr>
        <w:t xml:space="preserve">5.1 供方保证所交付的货物的所有权完全属于供方且无任何抵押、查封等权属瑕疵。</w:t>
      </w:r>
      <w:r/>
    </w:p>
    <w:p>
      <w:pPr>
        <w:ind w:firstLine="482"/>
        <w:spacing w:line="360" w:lineRule="auto"/>
        <w:rPr>
          <w:rFonts w:hint="eastAsia" w:ascii="宋体" w:hAnsi="宋体"/>
          <w:b/>
          <w:bCs/>
          <w:sz w:val="24"/>
        </w:rPr>
        <w:outlineLvl w:val="1"/>
      </w:pPr>
      <w:r>
        <w:rPr>
          <w:rFonts w:hint="eastAsia" w:ascii="宋体" w:hAnsi="宋体"/>
          <w:b/>
          <w:bCs/>
          <w:sz w:val="24"/>
        </w:rPr>
        <w:t xml:space="preserve">六、转包或分包</w:t>
      </w:r>
      <w:r/>
    </w:p>
    <w:p>
      <w:pPr>
        <w:ind w:firstLine="480"/>
        <w:spacing w:line="360" w:lineRule="auto"/>
        <w:rPr>
          <w:rFonts w:hint="eastAsia" w:ascii="宋体" w:hAnsi="宋体"/>
          <w:sz w:val="24"/>
        </w:rPr>
      </w:pPr>
      <w:r>
        <w:rPr>
          <w:rFonts w:hint="eastAsia" w:ascii="宋体" w:hAnsi="宋体"/>
          <w:sz w:val="24"/>
        </w:rPr>
        <w:t xml:space="preserve">6.1 本合同范围内的货物，应由供方直接供应，不得转让他人供应。</w:t>
      </w:r>
      <w:r/>
    </w:p>
    <w:p>
      <w:pPr>
        <w:ind w:firstLine="480"/>
        <w:spacing w:line="360" w:lineRule="auto"/>
        <w:rPr>
          <w:rFonts w:hint="eastAsia" w:ascii="宋体" w:hAnsi="宋体"/>
          <w:sz w:val="24"/>
        </w:rPr>
      </w:pPr>
      <w:r>
        <w:rPr>
          <w:rFonts w:hint="eastAsia" w:ascii="宋体" w:hAnsi="宋体"/>
          <w:sz w:val="24"/>
        </w:rPr>
        <w:t xml:space="preserve">6.2 除非得到需方的书面同意，供方不得部分分包给他人供应。</w:t>
      </w:r>
      <w:r/>
    </w:p>
    <w:p>
      <w:pPr>
        <w:ind w:firstLine="480"/>
        <w:spacing w:line="360" w:lineRule="auto"/>
        <w:rPr>
          <w:rFonts w:hint="eastAsia" w:ascii="宋体" w:hAnsi="宋体"/>
          <w:sz w:val="24"/>
        </w:rPr>
      </w:pPr>
      <w:r>
        <w:rPr>
          <w:rFonts w:hint="eastAsia" w:ascii="宋体" w:hAnsi="宋体"/>
          <w:sz w:val="24"/>
        </w:rPr>
        <w:t xml:space="preserve">6.3 如有转让或未经需方同意的分包行为，需方有权终止合同，不承担任何违约责任。</w:t>
      </w:r>
      <w:r/>
    </w:p>
    <w:p>
      <w:pPr>
        <w:ind w:firstLine="482"/>
        <w:spacing w:line="360" w:lineRule="auto"/>
        <w:rPr>
          <w:rFonts w:hint="eastAsia" w:ascii="宋体" w:hAnsi="宋体"/>
          <w:b/>
          <w:bCs/>
          <w:sz w:val="24"/>
        </w:rPr>
        <w:outlineLvl w:val="1"/>
      </w:pPr>
      <w:r>
        <w:rPr>
          <w:rFonts w:hint="eastAsia" w:ascii="宋体" w:hAnsi="宋体"/>
          <w:b/>
          <w:bCs/>
          <w:sz w:val="24"/>
        </w:rPr>
        <w:t xml:space="preserve">七、质保期</w:t>
      </w:r>
      <w:r/>
    </w:p>
    <w:p>
      <w:pPr>
        <w:ind w:firstLine="480"/>
        <w:spacing w:line="360" w:lineRule="auto"/>
        <w:rPr>
          <w:rFonts w:hint="eastAsia" w:ascii="宋体" w:hAnsi="宋体"/>
          <w:sz w:val="24"/>
        </w:rPr>
      </w:pPr>
      <w:r>
        <w:rPr>
          <w:rFonts w:hint="eastAsia" w:ascii="宋体" w:hAnsi="宋体"/>
          <w:sz w:val="24"/>
        </w:rPr>
        <w:t xml:space="preserve">7.1 </w:t>
      </w:r>
      <w:r>
        <w:rPr>
          <w:rFonts w:hint="eastAsia" w:ascii="宋体" w:hAnsi="宋体"/>
          <w:sz w:val="24"/>
        </w:rPr>
        <w:t xml:space="preserve">本合同项下药具的质保期同各类药具所标示的有效期。</w:t>
      </w:r>
      <w:r/>
    </w:p>
    <w:p>
      <w:pPr>
        <w:ind w:firstLine="480"/>
        <w:spacing w:line="360" w:lineRule="auto"/>
        <w:rPr>
          <w:rFonts w:hint="eastAsia" w:ascii="宋体" w:hAnsi="宋体"/>
          <w:sz w:val="24"/>
        </w:rPr>
      </w:pPr>
      <w:r>
        <w:rPr>
          <w:rFonts w:hint="eastAsia" w:ascii="宋体" w:hAnsi="宋体"/>
          <w:sz w:val="24"/>
        </w:rPr>
        <w:t xml:space="preserve">7.2 质保期内，因药具质量及安全问题发生的所有损失与法律责任均由供方承担；如质量问题发生在质保期内，第三方在质保期届满后主张质量相关责任，则仍由供方承担前述费用与法律责任。</w:t>
      </w:r>
      <w:r/>
    </w:p>
    <w:p>
      <w:pPr>
        <w:ind w:firstLine="482"/>
        <w:spacing w:line="360" w:lineRule="auto"/>
        <w:rPr>
          <w:rFonts w:hint="eastAsia" w:ascii="宋体" w:hAnsi="宋体"/>
          <w:b/>
          <w:bCs/>
          <w:sz w:val="24"/>
        </w:rPr>
        <w:outlineLvl w:val="1"/>
      </w:pPr>
      <w:r>
        <w:rPr>
          <w:rFonts w:hint="eastAsia" w:ascii="宋体" w:hAnsi="宋体"/>
          <w:b/>
          <w:bCs/>
          <w:sz w:val="24"/>
        </w:rPr>
        <w:t xml:space="preserve">八、供货安排</w:t>
      </w:r>
      <w:r/>
    </w:p>
    <w:p>
      <w:pPr>
        <w:ind w:firstLine="480"/>
        <w:jc w:val="left"/>
        <w:spacing w:line="360" w:lineRule="auto"/>
        <w:rPr>
          <w:rFonts w:hint="eastAsia" w:ascii="宋体" w:hAnsi="宋体"/>
          <w:bCs/>
          <w:sz w:val="24"/>
          <w:u w:val="single"/>
        </w:rPr>
      </w:pPr>
      <w:r>
        <w:rPr>
          <w:rFonts w:hint="eastAsia" w:ascii="宋体" w:hAnsi="宋体"/>
          <w:bCs/>
          <w:sz w:val="24"/>
        </w:rPr>
        <w:t xml:space="preserve">8.1 供货期：</w:t>
      </w:r>
      <w:r>
        <w:rPr>
          <w:rFonts w:hint="eastAsia" w:ascii="宋体" w:hAnsi="宋体"/>
          <w:b/>
          <w:sz w:val="24"/>
          <w:u w:val="single"/>
        </w:rPr>
        <w:t xml:space="preserve">2026年11月30日</w:t>
      </w:r>
      <w:r>
        <w:rPr>
          <w:rFonts w:hint="eastAsia" w:ascii="宋体" w:hAnsi="宋体"/>
          <w:bCs/>
          <w:sz w:val="24"/>
        </w:rPr>
        <w:t xml:space="preserve">前完成本项目的所有供货，避孕套供应商应在签订合同45天内开始供货。</w:t>
      </w:r>
      <w:r/>
    </w:p>
    <w:p>
      <w:pPr>
        <w:ind w:firstLine="480"/>
        <w:jc w:val="left"/>
        <w:spacing w:line="360" w:lineRule="auto"/>
        <w:rPr>
          <w:rFonts w:hint="eastAsia" w:ascii="宋体" w:hAnsi="宋体"/>
          <w:bCs/>
          <w:sz w:val="24"/>
        </w:rPr>
      </w:pPr>
      <w:r>
        <w:rPr>
          <w:rFonts w:hint="eastAsia" w:ascii="宋体" w:hAnsi="宋体"/>
          <w:bCs/>
          <w:sz w:val="24"/>
        </w:rPr>
        <w:t xml:space="preserve">8.2 供货方式：</w:t>
      </w:r>
      <w:r>
        <w:rPr>
          <w:rFonts w:hint="eastAsia" w:ascii="宋体" w:hAnsi="宋体"/>
          <w:bCs/>
          <w:sz w:val="24"/>
          <w:u w:val="single"/>
        </w:rPr>
        <w:t xml:space="preserve">    物流配送       </w:t>
      </w:r>
      <w:r>
        <w:rPr>
          <w:rFonts w:hint="eastAsia" w:ascii="宋体" w:hAnsi="宋体"/>
          <w:bCs/>
          <w:sz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8.3 供货地点：避孕套产品配送至省内</w:t>
      </w:r>
      <w:r>
        <w:rPr>
          <w:rFonts w:hint="eastAsia" w:ascii="宋体" w:hAnsi="宋体"/>
          <w:bCs/>
          <w:sz w:val="24"/>
          <w:u w:val="single"/>
        </w:rPr>
        <w:t xml:space="preserve">乡级</w:t>
      </w:r>
      <w:r>
        <w:rPr>
          <w:rFonts w:hint="eastAsia" w:ascii="宋体" w:hAnsi="宋体"/>
          <w:bCs/>
          <w:sz w:val="24"/>
        </w:rPr>
        <w:t xml:space="preserve">及以上指定仓库，避孕药、宫内节育器产品配送至省内</w:t>
      </w:r>
      <w:r>
        <w:rPr>
          <w:rFonts w:hint="eastAsia" w:ascii="宋体" w:hAnsi="宋体"/>
          <w:bCs/>
          <w:sz w:val="24"/>
          <w:u w:val="single"/>
        </w:rPr>
        <w:t xml:space="preserve">县级</w:t>
      </w:r>
      <w:r>
        <w:rPr>
          <w:rFonts w:hint="eastAsia" w:ascii="宋体" w:hAnsi="宋体"/>
          <w:bCs/>
          <w:sz w:val="24"/>
        </w:rPr>
        <w:t xml:space="preserve">及以上指定仓库，</w:t>
      </w:r>
      <w:r>
        <w:rPr>
          <w:rFonts w:hint="eastAsia" w:ascii="宋体" w:hAnsi="宋体"/>
          <w:sz w:val="24"/>
        </w:rPr>
        <w:t xml:space="preserve">并卸至指定位置，码放整齐</w:t>
      </w:r>
      <w:r>
        <w:rPr>
          <w:rFonts w:hint="eastAsia" w:ascii="宋体" w:hAnsi="宋体"/>
          <w:bCs/>
          <w:sz w:val="24"/>
        </w:rPr>
        <w:t xml:space="preserve">。</w:t>
      </w:r>
      <w:r/>
    </w:p>
    <w:p>
      <w:pPr>
        <w:ind w:firstLine="480"/>
        <w:jc w:val="left"/>
        <w:spacing w:line="360" w:lineRule="auto"/>
        <w:rPr>
          <w:rFonts w:hint="eastAsia" w:ascii="宋体" w:hAnsi="宋体"/>
          <w:sz w:val="24"/>
        </w:rPr>
      </w:pPr>
      <w:r>
        <w:rPr>
          <w:rFonts w:hint="eastAsia" w:ascii="宋体" w:hAnsi="宋体"/>
          <w:bCs/>
          <w:sz w:val="24"/>
        </w:rPr>
        <w:t xml:space="preserve">8.4</w:t>
      </w:r>
      <w:r>
        <w:rPr>
          <w:rFonts w:hint="eastAsia" w:ascii="宋体" w:hAnsi="宋体"/>
          <w:b/>
          <w:bCs/>
          <w:sz w:val="24"/>
        </w:rPr>
        <w:t xml:space="preserve"> </w:t>
      </w:r>
      <w:r>
        <w:rPr>
          <w:rFonts w:hint="eastAsia" w:ascii="宋体" w:hAnsi="宋体"/>
          <w:sz w:val="24"/>
        </w:rPr>
        <w:t xml:space="preserve">需方应至少提前10个工作日通知供方交货时间，并提供书面交货计划（包括交货时间、地点、药具规格型号、数量等）和调拨点通讯录，以便供方及时备货与供货。 </w:t>
      </w:r>
      <w:r/>
    </w:p>
    <w:p>
      <w:pPr>
        <w:ind w:firstLine="480"/>
        <w:spacing w:line="360" w:lineRule="auto"/>
        <w:rPr>
          <w:rFonts w:hint="eastAsia" w:ascii="宋体" w:hAnsi="宋体"/>
          <w:sz w:val="24"/>
        </w:rPr>
      </w:pPr>
      <w:r>
        <w:rPr>
          <w:rFonts w:hint="eastAsia" w:ascii="宋体" w:hAnsi="宋体"/>
          <w:sz w:val="24"/>
        </w:rPr>
        <w:t xml:space="preserve">8.5 供方应按照需方提供的交货计划，集中批号，及时配送药具，向需方交付的药具应是</w:t>
      </w:r>
      <w:r>
        <w:rPr>
          <w:rFonts w:hint="eastAsia" w:ascii="宋体" w:hAnsi="宋体"/>
          <w:bCs/>
          <w:iCs/>
          <w:sz w:val="24"/>
        </w:rPr>
        <w:t xml:space="preserve">中标当年生产的产品。</w:t>
      </w:r>
      <w:r/>
    </w:p>
    <w:p>
      <w:pPr>
        <w:ind w:firstLine="480"/>
        <w:spacing w:line="360" w:lineRule="auto"/>
        <w:rPr>
          <w:rFonts w:hint="eastAsia" w:ascii="宋体" w:hAnsi="宋体"/>
          <w:sz w:val="24"/>
        </w:rPr>
      </w:pPr>
      <w:r>
        <w:rPr>
          <w:rFonts w:hint="eastAsia" w:ascii="宋体" w:hAnsi="宋体"/>
          <w:sz w:val="24"/>
        </w:rPr>
        <w:t xml:space="preserve">8.6 </w:t>
      </w:r>
      <w:r>
        <w:rPr>
          <w:rFonts w:hint="eastAsia" w:ascii="宋体" w:hAnsi="宋体"/>
          <w:sz w:val="24"/>
        </w:rPr>
        <w:t xml:space="preserve">供方在货物发运手续办理完毕后24小时内或货到需方48小时前</w:t>
      </w:r>
      <w:r>
        <w:rPr>
          <w:rFonts w:hint="eastAsia" w:ascii="宋体" w:hAnsi="宋体"/>
          <w:sz w:val="24"/>
        </w:rPr>
        <w:t xml:space="preserve">通知需方做好收货准备，提供药具卸车、清点计划（内容包括：品名、规格、批号、数量、箱数、拟运抵时间等），以便需方接货时进行清点。</w:t>
      </w:r>
      <w:r/>
    </w:p>
    <w:p>
      <w:pPr>
        <w:ind w:firstLine="480"/>
        <w:spacing w:line="360" w:lineRule="auto"/>
        <w:rPr>
          <w:rFonts w:hint="eastAsia" w:ascii="宋体" w:hAnsi="宋体"/>
          <w:sz w:val="24"/>
        </w:rPr>
      </w:pPr>
      <w:r>
        <w:rPr>
          <w:rFonts w:hint="eastAsia" w:ascii="宋体" w:hAnsi="宋体"/>
          <w:sz w:val="24"/>
        </w:rPr>
        <w:t xml:space="preserve">8.7 供方交货时应提供药具标注批的出厂检验报告，须随货同行。避孕药、宫内节育器、避孕套产品还需提供具有法定资质的第三方检验机构出具的标注批的检测报告书，须符合本合同质量条款规定，并及时邮寄至需方。</w:t>
      </w:r>
      <w:r/>
    </w:p>
    <w:p>
      <w:pPr>
        <w:ind w:firstLine="480"/>
        <w:spacing w:line="360" w:lineRule="auto"/>
        <w:rPr>
          <w:rFonts w:hint="eastAsia" w:ascii="宋体" w:hAnsi="宋体"/>
          <w:sz w:val="24"/>
        </w:rPr>
      </w:pPr>
      <w:r>
        <w:rPr>
          <w:rFonts w:hint="eastAsia" w:ascii="宋体" w:hAnsi="宋体"/>
          <w:sz w:val="24"/>
        </w:rPr>
        <w:t xml:space="preserve">8.8 供方负责从产地到目的地的运输费用及保险费用，有关运输、保险和装卸等一切相关费用由供方承担。</w:t>
      </w:r>
      <w:r/>
    </w:p>
    <w:p>
      <w:pPr>
        <w:ind w:firstLine="480"/>
        <w:spacing w:line="360" w:lineRule="auto"/>
        <w:rPr>
          <w:rFonts w:hint="eastAsia" w:ascii="宋体" w:hAnsi="宋体"/>
          <w:sz w:val="24"/>
        </w:rPr>
      </w:pPr>
      <w:r>
        <w:rPr>
          <w:rFonts w:hint="eastAsia" w:ascii="宋体" w:hAnsi="宋体"/>
          <w:sz w:val="24"/>
        </w:rPr>
        <w:t xml:space="preserve">8.9 供方交付的药具应具有适于运输、搬运的坚固包装，密封良好，且应根据药具的不同特性和要求，以及投标文件中提供的相关防护保障措施（如：运输包装瓦楞纸的型号、厚度、密度等），采取防潮、防雨、防锈、防震、耐压、防破损装卸等保护措施，以确保合同货物安全无损地送达交货地点。</w:t>
      </w:r>
      <w:r/>
    </w:p>
    <w:p>
      <w:pPr>
        <w:ind w:firstLine="480"/>
        <w:spacing w:line="360" w:lineRule="auto"/>
        <w:rPr>
          <w:rFonts w:hint="eastAsia" w:ascii="宋体" w:hAnsi="宋体"/>
          <w:sz w:val="24"/>
        </w:rPr>
      </w:pPr>
      <w:r>
        <w:rPr>
          <w:rFonts w:hint="eastAsia" w:ascii="宋体" w:hAnsi="宋体"/>
          <w:sz w:val="24"/>
        </w:rPr>
        <w:t xml:space="preserve">8.10 货物在交付需方前发生的风险均由供方负责。</w:t>
      </w:r>
      <w:r/>
    </w:p>
    <w:p>
      <w:pPr>
        <w:ind w:firstLine="480"/>
        <w:spacing w:line="360" w:lineRule="auto"/>
        <w:rPr>
          <w:rFonts w:hint="eastAsia" w:ascii="宋体" w:hAnsi="宋体"/>
          <w:sz w:val="24"/>
        </w:rPr>
      </w:pPr>
      <w:r>
        <w:rPr>
          <w:rFonts w:hint="eastAsia" w:ascii="宋体" w:hAnsi="宋体"/>
          <w:sz w:val="24"/>
        </w:rPr>
        <w:t xml:space="preserve">8.11 货物在规定的交付期限内由供方送达需方指定的地点视为交付，供方同时需通知需方货物已送达。</w:t>
      </w:r>
      <w:r/>
    </w:p>
    <w:p>
      <w:pPr>
        <w:ind w:firstLine="482"/>
        <w:spacing w:line="360" w:lineRule="auto"/>
        <w:rPr>
          <w:rFonts w:hint="eastAsia" w:ascii="宋体" w:hAnsi="宋体"/>
          <w:b/>
          <w:bCs/>
          <w:sz w:val="24"/>
        </w:rPr>
        <w:outlineLvl w:val="1"/>
      </w:pPr>
      <w:r>
        <w:rPr>
          <w:rFonts w:hint="eastAsia" w:ascii="宋体" w:hAnsi="宋体"/>
          <w:b/>
          <w:bCs/>
          <w:sz w:val="24"/>
        </w:rPr>
        <w:t xml:space="preserve">九、质量保证</w:t>
      </w:r>
      <w:r/>
    </w:p>
    <w:p>
      <w:pPr>
        <w:ind w:firstLine="482"/>
        <w:spacing w:line="360" w:lineRule="auto"/>
        <w:rPr>
          <w:rFonts w:hint="eastAsia" w:ascii="宋体" w:hAnsi="宋体"/>
          <w:b/>
          <w:sz w:val="24"/>
        </w:rPr>
      </w:pPr>
      <w:r>
        <w:rPr>
          <w:rFonts w:hint="eastAsia" w:ascii="宋体" w:hAnsi="宋体"/>
          <w:b/>
          <w:sz w:val="24"/>
        </w:rPr>
        <w:t xml:space="preserve">9.1 药具质量</w:t>
      </w:r>
      <w:r/>
    </w:p>
    <w:p>
      <w:pPr>
        <w:ind w:firstLine="480"/>
        <w:spacing w:line="360" w:lineRule="auto"/>
        <w:rPr>
          <w:rFonts w:hint="eastAsia" w:ascii="宋体" w:hAnsi="宋体"/>
          <w:sz w:val="24"/>
        </w:rPr>
      </w:pPr>
      <w:r>
        <w:rPr>
          <w:rFonts w:hint="eastAsia" w:ascii="宋体" w:hAnsi="宋体"/>
          <w:sz w:val="24"/>
        </w:rPr>
        <w:t xml:space="preserve">供方提供的药具必须是在企业资质有效期内生产的、符合国家质量标准及本合同质量条款，必须与采购文件、投标响应文件和承诺书相一致，未经使用的全新产品，确保质量合格、安全有效。</w:t>
      </w:r>
      <w:r/>
    </w:p>
    <w:p>
      <w:pPr>
        <w:ind w:firstLine="480"/>
        <w:spacing w:line="360" w:lineRule="auto"/>
        <w:rPr>
          <w:rFonts w:hint="eastAsia" w:ascii="宋体" w:hAnsi="宋体"/>
          <w:sz w:val="24"/>
        </w:rPr>
      </w:pPr>
      <w:r>
        <w:rPr>
          <w:rFonts w:hint="eastAsia" w:ascii="宋体" w:hAnsi="宋体"/>
          <w:sz w:val="24"/>
        </w:rPr>
        <w:t xml:space="preserve">（1）避孕药产品：符合《中华人民共和国药典》或其他国家药品标准的规定</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避孕套产品：天然橡胶胶乳避孕套符合标准符合GB/T7544，聚氨酯避孕套符合现行有效行业标准（HG/T5456-2018、Y/T 1850-2023），并增加：</w:t>
      </w:r>
      <w:r/>
    </w:p>
    <w:p>
      <w:pPr>
        <w:ind w:firstLine="480"/>
        <w:spacing w:line="360" w:lineRule="auto"/>
        <w:rPr>
          <w:rFonts w:hint="eastAsia" w:ascii="宋体" w:hAnsi="宋体"/>
          <w:sz w:val="24"/>
        </w:rPr>
      </w:pPr>
      <w:r>
        <w:rPr>
          <w:rFonts w:hint="eastAsia" w:ascii="宋体" w:hAnsi="宋体"/>
          <w:sz w:val="24"/>
        </w:rPr>
        <w:t xml:space="preserve">① 润滑剂：天然橡胶胶乳男用避孕套的光面型单个包装硅油润滑剂总量≥400mg；天然橡胶胶乳男用避孕套非光面型、超薄-硅油型和聚氨酯避孕套单个包装硅油润滑剂总量≥500mg；天然橡胶胶乳男用避孕套（超薄-水溶性）单个包装水溶性润滑剂总量≥700mg。</w:t>
      </w:r>
      <w:r/>
    </w:p>
    <w:p>
      <w:pPr>
        <w:ind w:firstLine="480"/>
        <w:spacing w:line="360" w:lineRule="auto"/>
        <w:rPr>
          <w:rFonts w:hint="eastAsia" w:ascii="宋体" w:hAnsi="宋体"/>
          <w:sz w:val="24"/>
        </w:rPr>
      </w:pPr>
      <w:r>
        <w:rPr>
          <w:rFonts w:hint="eastAsia" w:ascii="宋体" w:hAnsi="宋体"/>
          <w:sz w:val="24"/>
        </w:rPr>
        <w:t xml:space="preserve">② 天然橡胶胶乳避孕套老化后爆破性能符合标准 GB/T7544 中对未处理的避孕套爆破体积和压力的要求（热空气老化试验方法采用 GB7544 附录 H，老化条件为（168±2）h×（70±2）℃）。聚氨酯避孕套老化后爆破性能符合标准HG/T5456-2018、Y/T 1850-2023中对未处理的避孕套爆破体积和压力的要求。</w:t>
      </w:r>
      <w:r/>
    </w:p>
    <w:p>
      <w:pPr>
        <w:ind w:firstLine="480"/>
        <w:spacing w:line="360" w:lineRule="auto"/>
        <w:rPr>
          <w:rFonts w:hint="eastAsia" w:ascii="宋体" w:hAnsi="宋体"/>
          <w:sz w:val="24"/>
        </w:rPr>
      </w:pPr>
      <w:r>
        <w:rPr>
          <w:rFonts w:hint="eastAsia" w:ascii="宋体" w:hAnsi="宋体"/>
          <w:sz w:val="24"/>
        </w:rPr>
        <w:t xml:space="preserve">③ 规格：大号（标称宽度55mm±2mm）、中号（标称宽度52mm±2mm）、小号（标称宽度49mm±2mm）；不含储精囊长度：天然橡胶胶乳男用避孕套 ≥170mm，复合型阻隔避孕套≥160mm；天然橡胶胶乳男用避孕套（超薄）和天然橡胶胶乳男用避孕套（超薄-水溶性）厚度0.04mm-0.05mm；聚氨酯避孕套厚度0.03mm-0.0399mm。</w:t>
      </w:r>
      <w:r/>
    </w:p>
    <w:p>
      <w:pPr>
        <w:ind w:firstLine="480"/>
        <w:spacing w:line="360" w:lineRule="auto"/>
        <w:rPr>
          <w:rFonts w:hint="eastAsia" w:ascii="宋体" w:hAnsi="宋体"/>
          <w:sz w:val="24"/>
        </w:rPr>
      </w:pPr>
      <w:r>
        <w:rPr>
          <w:rFonts w:hint="eastAsia" w:ascii="宋体" w:hAnsi="宋体"/>
          <w:sz w:val="24"/>
        </w:rPr>
        <w:t xml:space="preserve">（3）宫内节育器产品：符合国家标准或医疗器械注册产品标准的规定。</w:t>
      </w:r>
      <w:r/>
    </w:p>
    <w:p>
      <w:pPr>
        <w:ind w:firstLine="480"/>
        <w:spacing w:line="360" w:lineRule="auto"/>
        <w:rPr>
          <w:rFonts w:hint="eastAsia" w:ascii="宋体" w:hAnsi="宋体"/>
          <w:sz w:val="24"/>
        </w:rPr>
      </w:pPr>
      <w:r>
        <w:rPr>
          <w:rFonts w:hint="eastAsia" w:ascii="宋体" w:hAnsi="宋体"/>
          <w:sz w:val="24"/>
        </w:rPr>
        <w:t xml:space="preserve">（4）第（1）（2）（3）中所涉及的标准均指现行有效的质量标准。</w:t>
      </w:r>
      <w:r/>
    </w:p>
    <w:p>
      <w:pPr>
        <w:ind w:firstLine="480"/>
        <w:spacing w:line="360" w:lineRule="auto"/>
        <w:rPr>
          <w:rFonts w:hint="eastAsia" w:ascii="宋体" w:hAnsi="宋体"/>
          <w:sz w:val="24"/>
        </w:rPr>
      </w:pPr>
      <w:r>
        <w:rPr>
          <w:rFonts w:hint="eastAsia" w:ascii="宋体" w:hAnsi="宋体"/>
          <w:sz w:val="24"/>
        </w:rPr>
        <w:t xml:space="preserve">（5）供方提供的药具应</w:t>
      </w:r>
      <w:r>
        <w:rPr>
          <w:rFonts w:hint="eastAsia" w:ascii="宋体" w:hAnsi="宋体"/>
          <w:sz w:val="24"/>
        </w:rPr>
        <w:t xml:space="preserve">满足</w:t>
      </w:r>
      <w:r>
        <w:rPr>
          <w:rFonts w:hint="eastAsia" w:ascii="宋体" w:hAnsi="宋体"/>
          <w:sz w:val="24"/>
        </w:rPr>
        <w:t xml:space="preserve">招标文件关于</w:t>
      </w:r>
      <w:r>
        <w:rPr>
          <w:rFonts w:hint="eastAsia" w:ascii="宋体" w:hAnsi="宋体"/>
          <w:sz w:val="24"/>
        </w:rPr>
        <w:t xml:space="preserve">质量追溯的需求，</w:t>
      </w:r>
      <w:r>
        <w:rPr>
          <w:rFonts w:hint="eastAsia" w:ascii="宋体" w:hAnsi="宋体"/>
          <w:sz w:val="24"/>
        </w:rPr>
        <w:t xml:space="preserve">符合“来源可查、去向可追、责任可究”的要求。</w:t>
      </w:r>
      <w:r/>
    </w:p>
    <w:p>
      <w:pPr>
        <w:ind w:firstLine="482"/>
        <w:jc w:val="left"/>
        <w:spacing w:line="360" w:lineRule="auto"/>
        <w:rPr>
          <w:rFonts w:hint="eastAsia" w:ascii="宋体" w:hAnsi="宋体"/>
          <w:b/>
          <w:sz w:val="24"/>
        </w:rPr>
      </w:pPr>
      <w:r>
        <w:rPr>
          <w:rFonts w:hint="eastAsia" w:ascii="宋体" w:hAnsi="宋体"/>
          <w:b/>
          <w:sz w:val="24"/>
        </w:rPr>
        <w:t xml:space="preserve">9.2 </w:t>
      </w:r>
      <w:r>
        <w:rPr>
          <w:rFonts w:hint="eastAsia" w:ascii="宋体" w:hAnsi="宋体"/>
          <w:b/>
          <w:bCs/>
          <w:sz w:val="24"/>
        </w:rPr>
        <w:t xml:space="preserve">药具生产批号</w:t>
      </w:r>
      <w:r/>
    </w:p>
    <w:p>
      <w:pPr>
        <w:ind w:firstLine="480"/>
        <w:jc w:val="left"/>
        <w:spacing w:line="360" w:lineRule="auto"/>
        <w:rPr>
          <w:rFonts w:hint="eastAsia" w:ascii="宋体" w:hAnsi="宋体"/>
          <w:sz w:val="24"/>
        </w:rPr>
      </w:pPr>
      <w:r>
        <w:rPr>
          <w:rFonts w:hint="eastAsia" w:ascii="宋体" w:hAnsi="宋体"/>
          <w:sz w:val="24"/>
        </w:rPr>
        <w:t xml:space="preserve">（1）避孕药产品：生产批号以六位数字表示，前两位数字表示年份，中间两位数字表示月份，最后两位数字表示日期或生产流水号。</w:t>
      </w:r>
      <w:r/>
    </w:p>
    <w:p>
      <w:pPr>
        <w:ind w:firstLine="480"/>
        <w:jc w:val="left"/>
        <w:spacing w:line="360" w:lineRule="auto"/>
        <w:rPr>
          <w:rFonts w:hint="eastAsia" w:ascii="宋体" w:hAnsi="宋体"/>
          <w:sz w:val="24"/>
        </w:rPr>
      </w:pPr>
      <w:r>
        <w:rPr>
          <w:rFonts w:hint="eastAsia" w:ascii="宋体" w:hAnsi="宋体"/>
          <w:sz w:val="24"/>
        </w:rPr>
        <w:t xml:space="preserve">（2）避孕套产品：生产批号以八位数字表示，前四位数字表示年份月份，第五、六位数字表示当月累计生产批的顺序号，第七、八位数字表示生产本批产品的生产线编号。</w:t>
      </w:r>
      <w:r/>
    </w:p>
    <w:p>
      <w:pPr>
        <w:ind w:firstLine="480"/>
        <w:jc w:val="left"/>
        <w:spacing w:line="360" w:lineRule="auto"/>
        <w:rPr>
          <w:rFonts w:hint="eastAsia" w:ascii="宋体" w:hAnsi="宋体"/>
          <w:sz w:val="24"/>
        </w:rPr>
      </w:pPr>
      <w:r>
        <w:rPr>
          <w:rFonts w:hint="eastAsia" w:ascii="宋体" w:hAnsi="宋体"/>
          <w:sz w:val="24"/>
        </w:rPr>
        <w:t xml:space="preserve">（3）宫内节育器产品：生产批号以八位数字表示，前四位数字表示年份，第五、六位数字表示月份，最后两位数字表示日期或生产流水号。</w:t>
      </w:r>
      <w:r/>
    </w:p>
    <w:p>
      <w:pPr>
        <w:ind w:firstLine="480"/>
        <w:jc w:val="left"/>
        <w:spacing w:line="360" w:lineRule="auto"/>
        <w:rPr>
          <w:rFonts w:hint="eastAsia" w:ascii="宋体" w:hAnsi="宋体"/>
          <w:sz w:val="24"/>
        </w:rPr>
      </w:pPr>
      <w:r>
        <w:rPr>
          <w:rFonts w:hint="eastAsia" w:ascii="宋体" w:hAnsi="宋体"/>
          <w:sz w:val="24"/>
        </w:rPr>
        <w:t xml:space="preserve">（4）若供方对生产批号的编制有其他需求，应在上述要求生产批号位数数字后空两个字符进行添加。 </w:t>
      </w:r>
      <w:r/>
    </w:p>
    <w:p>
      <w:pPr>
        <w:ind w:firstLine="482"/>
        <w:spacing w:line="360" w:lineRule="auto"/>
        <w:rPr>
          <w:rFonts w:hint="eastAsia" w:ascii="宋体" w:hAnsi="宋体"/>
          <w:b/>
          <w:bCs/>
          <w:sz w:val="24"/>
        </w:rPr>
        <w:outlineLvl w:val="1"/>
      </w:pPr>
      <w:r>
        <w:rPr>
          <w:rFonts w:hint="eastAsia" w:ascii="宋体" w:hAnsi="宋体"/>
          <w:b/>
          <w:bCs/>
          <w:sz w:val="24"/>
        </w:rPr>
        <w:t xml:space="preserve">十、货物包装</w:t>
      </w:r>
      <w:r/>
    </w:p>
    <w:p>
      <w:pPr>
        <w:ind w:firstLine="480"/>
        <w:spacing w:line="360" w:lineRule="auto"/>
        <w:rPr>
          <w:rFonts w:hint="eastAsia" w:ascii="宋体" w:hAnsi="宋体"/>
          <w:sz w:val="24"/>
        </w:rPr>
      </w:pPr>
      <w:r>
        <w:rPr>
          <w:rFonts w:hint="eastAsia" w:ascii="宋体" w:hAnsi="宋体"/>
          <w:sz w:val="24"/>
        </w:rPr>
        <w:t xml:space="preserve">10.1 药具包装、标识等应符合《江苏省基本避孕药具包装及标签要求》（详见附件）的规定，按药具类别分为避孕药、避孕套、宫内节育器。 </w:t>
      </w:r>
      <w:r/>
    </w:p>
    <w:p>
      <w:pPr>
        <w:ind w:firstLine="480"/>
        <w:spacing w:line="360" w:lineRule="auto"/>
        <w:rPr>
          <w:rFonts w:hint="eastAsia" w:ascii="宋体" w:hAnsi="宋体"/>
          <w:sz w:val="24"/>
        </w:rPr>
      </w:pPr>
      <w:r>
        <w:rPr>
          <w:rFonts w:hint="eastAsia" w:ascii="宋体" w:hAnsi="宋体"/>
          <w:sz w:val="24"/>
        </w:rPr>
        <w:t xml:space="preserve">10.2 包材生产管理：供方应当按照招标文件技术参数要求，加强对包装材料的生产管理，做到：一是严格按照 GMP以及本文件中的相关要求，保证包装材料的质量；二是应当根据年度订购合同的供货数量，统筹安排，合理组织，印制适当数量的大、中、小各级包装材料，避免造成浪费。三是严禁使用非本产品包装发货。</w:t>
      </w:r>
      <w:r/>
    </w:p>
    <w:p>
      <w:pPr>
        <w:ind w:firstLine="480"/>
        <w:spacing w:line="360" w:lineRule="auto"/>
        <w:rPr>
          <w:rFonts w:hint="eastAsia" w:ascii="宋体" w:hAnsi="宋体"/>
          <w:sz w:val="24"/>
        </w:rPr>
      </w:pPr>
      <w:r>
        <w:rPr>
          <w:rFonts w:hint="eastAsia" w:ascii="宋体" w:hAnsi="宋体"/>
          <w:sz w:val="24"/>
        </w:rPr>
        <w:t xml:space="preserve">10.3 对同品种、不同批号的药具，外包装箱上应以不同色标区分。 药具包装箱内附产品合格证、说明书、质量检验证明书、随配附件以及清单。</w:t>
      </w:r>
      <w:r/>
    </w:p>
    <w:p>
      <w:pPr>
        <w:ind w:firstLine="480"/>
        <w:spacing w:line="360" w:lineRule="auto"/>
        <w:rPr>
          <w:rFonts w:hint="eastAsia" w:ascii="宋体" w:hAnsi="宋体"/>
          <w:sz w:val="24"/>
        </w:rPr>
      </w:pPr>
      <w:r>
        <w:rPr>
          <w:rFonts w:hint="eastAsia" w:ascii="宋体" w:hAnsi="宋体"/>
          <w:sz w:val="24"/>
        </w:rPr>
        <w:t xml:space="preserve">10.4 供方药具包装不符合《江苏省基本避孕药具包装及标签要求》的，或者由于对交付药具包装不善、标记不明、防护措施不当致使药具遭到损害或丢失的，供方应及时无偿补充、更换，并承担由此对需方造成的一切损失。</w:t>
      </w:r>
      <w:r/>
    </w:p>
    <w:p>
      <w:pPr>
        <w:ind w:firstLine="480"/>
        <w:spacing w:line="360" w:lineRule="auto"/>
        <w:rPr>
          <w:rFonts w:hint="eastAsia" w:ascii="宋体" w:hAnsi="宋体" w:cs="Cambria Math"/>
          <w:b/>
          <w:bCs/>
          <w:sz w:val="24"/>
        </w:rPr>
      </w:pPr>
      <w:r>
        <w:rPr>
          <w:rFonts w:hint="eastAsia" w:ascii="宋体" w:hAnsi="宋体" w:cs="Cambria Math"/>
          <w:sz w:val="24"/>
        </w:rPr>
        <w:t xml:space="preserve">10.5本项目根据《江苏省财政厅关于加强政府绿色采购有关事项的通知》（苏财购〔2023〕65号）规定，执行绿色采购需求标准。</w:t>
      </w:r>
      <w:r/>
    </w:p>
    <w:p>
      <w:pPr>
        <w:ind w:firstLine="482"/>
        <w:spacing w:line="360" w:lineRule="auto"/>
        <w:rPr>
          <w:rFonts w:hint="eastAsia" w:ascii="宋体" w:hAnsi="宋体"/>
          <w:b/>
          <w:bCs/>
          <w:sz w:val="24"/>
        </w:rPr>
        <w:outlineLvl w:val="1"/>
      </w:pPr>
      <w:r>
        <w:rPr>
          <w:rFonts w:hint="eastAsia" w:ascii="宋体" w:hAnsi="宋体"/>
          <w:b/>
          <w:bCs/>
          <w:sz w:val="24"/>
        </w:rPr>
        <w:t xml:space="preserve">十一、售后服务</w:t>
      </w:r>
      <w:r/>
    </w:p>
    <w:p>
      <w:pPr>
        <w:ind w:firstLine="480"/>
        <w:jc w:val="left"/>
        <w:spacing w:line="360" w:lineRule="auto"/>
        <w:rPr>
          <w:rFonts w:hint="eastAsia" w:ascii="宋体" w:hAnsi="宋体"/>
          <w:sz w:val="24"/>
        </w:rPr>
      </w:pPr>
      <w:r>
        <w:rPr>
          <w:rFonts w:hint="eastAsia" w:ascii="宋体" w:hAnsi="宋体"/>
          <w:sz w:val="24"/>
        </w:rPr>
        <w:t xml:space="preserve">11.1 供方提供的药具在质量期内因药具本身的质量问题发生事故，供方应负责免费更换。对达不到技术要求者，根据实际情况，经双方协商，可按以下办法处理：</w:t>
      </w:r>
      <w:r/>
    </w:p>
    <w:p>
      <w:pPr>
        <w:ind w:firstLine="480"/>
        <w:jc w:val="left"/>
        <w:spacing w:line="360" w:lineRule="auto"/>
        <w:rPr>
          <w:rFonts w:hint="eastAsia" w:ascii="宋体" w:hAnsi="宋体"/>
          <w:sz w:val="24"/>
        </w:rPr>
      </w:pPr>
      <w:r>
        <w:rPr>
          <w:rFonts w:hint="eastAsia" w:ascii="宋体" w:hAnsi="宋体"/>
          <w:sz w:val="24"/>
        </w:rPr>
        <w:t xml:space="preserve">（1）更换：由供方承担所发生的全部费用。</w:t>
      </w:r>
      <w:r/>
    </w:p>
    <w:p>
      <w:pPr>
        <w:ind w:firstLine="480"/>
        <w:jc w:val="left"/>
        <w:spacing w:line="360" w:lineRule="auto"/>
        <w:rPr>
          <w:rFonts w:hint="eastAsia" w:ascii="宋体" w:hAnsi="宋体"/>
          <w:sz w:val="24"/>
        </w:rPr>
      </w:pPr>
      <w:r>
        <w:rPr>
          <w:rFonts w:hint="eastAsia" w:ascii="宋体" w:hAnsi="宋体"/>
          <w:sz w:val="24"/>
        </w:rPr>
        <w:t xml:space="preserve">（2）贬值处理：由甲乙双方合议定价。</w:t>
      </w:r>
      <w:r/>
    </w:p>
    <w:p>
      <w:pPr>
        <w:ind w:firstLine="480"/>
        <w:jc w:val="left"/>
        <w:spacing w:line="360" w:lineRule="auto"/>
        <w:rPr>
          <w:rFonts w:hint="eastAsia" w:ascii="宋体" w:hAnsi="宋体"/>
          <w:sz w:val="24"/>
        </w:rPr>
      </w:pPr>
      <w:r>
        <w:rPr>
          <w:rFonts w:hint="eastAsia" w:ascii="宋体" w:hAnsi="宋体"/>
          <w:sz w:val="24"/>
        </w:rPr>
        <w:t xml:space="preserve">（3）退货处理：供方应退还需方支付的合同款，同时应承担该货物的直接费用（运输、保险、检验、货款利息及银行手续费等）。</w:t>
      </w:r>
      <w:r/>
    </w:p>
    <w:p>
      <w:pPr>
        <w:ind w:firstLine="480"/>
        <w:jc w:val="left"/>
        <w:spacing w:line="360" w:lineRule="auto"/>
        <w:rPr>
          <w:rFonts w:hint="eastAsia" w:ascii="宋体" w:hAnsi="宋体"/>
          <w:sz w:val="24"/>
        </w:rPr>
      </w:pPr>
      <w:r>
        <w:rPr>
          <w:rFonts w:hint="eastAsia" w:ascii="宋体" w:hAnsi="宋体"/>
          <w:sz w:val="24"/>
        </w:rPr>
        <w:t xml:space="preserve">11.2 如在使用过程中发生质量问题，供方在接到需方通知后在</w:t>
      </w:r>
      <w:r>
        <w:rPr>
          <w:rFonts w:hint="eastAsia" w:ascii="宋体" w:hAnsi="宋体"/>
          <w:sz w:val="24"/>
          <w:u w:val="single"/>
        </w:rPr>
        <w:t xml:space="preserve"> 72 </w:t>
      </w:r>
      <w:r>
        <w:rPr>
          <w:rFonts w:hint="eastAsia" w:ascii="宋体" w:hAnsi="宋体"/>
          <w:sz w:val="24"/>
        </w:rPr>
        <w:t xml:space="preserve">小时内到达需方现场。</w:t>
      </w:r>
      <w:r/>
    </w:p>
    <w:p>
      <w:pPr>
        <w:ind w:firstLine="480"/>
        <w:jc w:val="left"/>
        <w:spacing w:line="360" w:lineRule="auto"/>
        <w:rPr>
          <w:rFonts w:hint="eastAsia" w:ascii="宋体" w:hAnsi="宋体"/>
          <w:sz w:val="24"/>
        </w:rPr>
      </w:pPr>
      <w:r>
        <w:rPr>
          <w:rFonts w:hint="eastAsia" w:ascii="宋体" w:hAnsi="宋体"/>
          <w:sz w:val="24"/>
        </w:rPr>
        <w:t xml:space="preserve">11.3供方应免费提供售后服务，包括：技术培训、指导、咨询等。若供方在接到需方提出的提供售后服务2个工作日内没有响应或拒绝，需方有权解除本采购合同，且不承担任何违约责任。</w:t>
      </w:r>
      <w:r/>
    </w:p>
    <w:p>
      <w:pPr>
        <w:ind w:firstLine="480"/>
        <w:spacing w:line="360" w:lineRule="auto"/>
        <w:rPr>
          <w:rFonts w:hint="eastAsia" w:ascii="宋体" w:hAnsi="宋体"/>
          <w:sz w:val="24"/>
        </w:rPr>
      </w:pPr>
      <w:r>
        <w:rPr>
          <w:rFonts w:hint="eastAsia" w:ascii="宋体" w:hAnsi="宋体"/>
          <w:sz w:val="24"/>
        </w:rPr>
        <w:t xml:space="preserve">11.4 针对宫内节育器产品，根据供方承诺的免费更换服务，即产品超过效期后，供方根据需方提供的过期产品实物，免费为需方更换</w:t>
      </w:r>
      <w:r>
        <w:rPr>
          <w:rFonts w:hint="eastAsia" w:ascii="宋体" w:hAnsi="宋体"/>
          <w:sz w:val="24"/>
          <w:u w:val="single"/>
        </w:rPr>
        <w:t xml:space="preserve">   /    </w:t>
      </w:r>
      <w:r>
        <w:rPr>
          <w:rFonts w:hint="eastAsia" w:ascii="宋体" w:hAnsi="宋体"/>
          <w:sz w:val="24"/>
        </w:rPr>
        <w:t xml:space="preserve">数量的同一标准产品。</w:t>
      </w:r>
      <w:r/>
    </w:p>
    <w:p>
      <w:pPr>
        <w:ind w:firstLine="480"/>
        <w:spacing w:line="360" w:lineRule="auto"/>
        <w:rPr>
          <w:rFonts w:hint="eastAsia" w:ascii="宋体" w:hAnsi="宋体"/>
          <w:sz w:val="24"/>
        </w:rPr>
      </w:pPr>
      <w:r>
        <w:rPr>
          <w:rFonts w:hint="eastAsia" w:ascii="宋体" w:hAnsi="宋体"/>
          <w:sz w:val="24"/>
        </w:rPr>
        <w:t xml:space="preserve">11.5 供方应配合需方的质量抽样工作，如需方有抽样需求，供方应免费提供所需数量的抽样样品。抽检不合格的，应及时采取召回、补充、更换等补救措施，情节严重的，需方可以解除合同。</w:t>
      </w:r>
      <w:r/>
    </w:p>
    <w:p>
      <w:pPr>
        <w:ind w:firstLine="482"/>
        <w:spacing w:line="360" w:lineRule="auto"/>
        <w:rPr>
          <w:rFonts w:hint="eastAsia" w:ascii="宋体" w:hAnsi="宋体"/>
          <w:b/>
          <w:bCs/>
          <w:sz w:val="24"/>
        </w:rPr>
        <w:outlineLvl w:val="1"/>
      </w:pPr>
      <w:r>
        <w:rPr>
          <w:rFonts w:hint="eastAsia" w:ascii="宋体" w:hAnsi="宋体"/>
          <w:b/>
          <w:bCs/>
          <w:sz w:val="24"/>
        </w:rPr>
        <w:t xml:space="preserve">十二、验收及核查</w:t>
      </w:r>
      <w:r/>
    </w:p>
    <w:p>
      <w:pPr>
        <w:ind w:firstLine="480"/>
        <w:spacing w:line="360" w:lineRule="auto"/>
        <w:rPr>
          <w:rFonts w:hint="eastAsia" w:ascii="宋体" w:hAnsi="宋体"/>
          <w:sz w:val="24"/>
        </w:rPr>
      </w:pPr>
      <w:r>
        <w:rPr>
          <w:rFonts w:hint="eastAsia" w:ascii="宋体" w:hAnsi="宋体"/>
          <w:sz w:val="24"/>
        </w:rPr>
        <w:t xml:space="preserve">12.1 履约验收主要由各地药具管理机构负责，以入库验收方式为主，按照《国家免费提供避孕药具质量管理规范》要求及合同条款约定项目、内容进行验收。需方通过抽样送检等方式对疑似药具质量问题进行处理，必要时可按合同约定进行驻场核查。</w:t>
      </w:r>
      <w:r>
        <w:rPr>
          <w:rFonts w:hint="eastAsia" w:ascii="宋体" w:hAnsi="宋体"/>
          <w:sz w:val="24"/>
        </w:rPr>
        <w:tab/>
      </w:r>
      <w:r/>
    </w:p>
    <w:p>
      <w:pPr>
        <w:ind w:firstLine="480"/>
        <w:jc w:val="left"/>
        <w:spacing w:line="360" w:lineRule="auto"/>
        <w:rPr>
          <w:rFonts w:hint="eastAsia" w:ascii="宋体" w:hAnsi="宋体"/>
          <w:sz w:val="24"/>
        </w:rPr>
      </w:pPr>
      <w:r>
        <w:rPr>
          <w:rFonts w:hint="eastAsia" w:ascii="宋体" w:hAnsi="宋体"/>
          <w:sz w:val="24"/>
        </w:rPr>
        <w:t xml:space="preserve">12.2 供方交货前应对产品作出全面检查和对验收文件进行整理，并列出清单，作为需方收货验收和使用的技术条件依据，检验的结果应随货物交需方。</w:t>
      </w:r>
      <w:r/>
    </w:p>
    <w:p>
      <w:pPr>
        <w:ind w:firstLine="480"/>
        <w:spacing w:line="360" w:lineRule="auto"/>
        <w:rPr>
          <w:rFonts w:hint="eastAsia" w:ascii="宋体" w:hAnsi="宋体"/>
          <w:sz w:val="24"/>
        </w:rPr>
      </w:pPr>
      <w:r>
        <w:rPr>
          <w:rFonts w:hint="eastAsia" w:ascii="宋体" w:hAnsi="宋体"/>
          <w:bCs/>
          <w:sz w:val="24"/>
        </w:rPr>
        <w:t xml:space="preserve">12.3 </w:t>
      </w:r>
      <w:r>
        <w:rPr>
          <w:rFonts w:hint="eastAsia" w:ascii="宋体" w:hAnsi="宋体"/>
          <w:sz w:val="24"/>
        </w:rPr>
        <w:t xml:space="preserve">药具运抵现场后，需方根据</w:t>
      </w:r>
      <w:r>
        <w:rPr>
          <w:rFonts w:hint="eastAsia" w:ascii="宋体" w:hAnsi="宋体"/>
          <w:sz w:val="24"/>
        </w:rPr>
        <w:t xml:space="preserve">招标文件上的技术规格要求和国家有关</w:t>
      </w:r>
      <w:r>
        <w:rPr>
          <w:rFonts w:hint="eastAsia" w:ascii="宋体" w:hAnsi="宋体"/>
          <w:sz w:val="24"/>
        </w:rPr>
        <w:t xml:space="preserve">质量标准及时对药具的质量、规格和数量进行检验，如发现药具的规格、数量或两者都与合同不符，供方应按需方规定的时限无偿补充、更换。</w:t>
      </w:r>
      <w:r/>
    </w:p>
    <w:p>
      <w:pPr>
        <w:ind w:firstLine="480"/>
        <w:jc w:val="left"/>
        <w:spacing w:line="360" w:lineRule="auto"/>
        <w:rPr>
          <w:rFonts w:hint="eastAsia" w:ascii="宋体" w:hAnsi="宋体"/>
          <w:sz w:val="24"/>
        </w:rPr>
      </w:pPr>
      <w:r>
        <w:rPr>
          <w:rFonts w:hint="eastAsia" w:ascii="宋体" w:hAnsi="宋体"/>
          <w:sz w:val="24"/>
        </w:rPr>
        <w:t xml:space="preserve">12.4 对技术复杂的货物，需方可请国家认可的专业检测机构参与初步验收及最终验收，并由其出具质量检测报告。</w:t>
      </w:r>
      <w:r/>
    </w:p>
    <w:p>
      <w:pPr>
        <w:ind w:firstLine="480"/>
        <w:spacing w:line="360" w:lineRule="auto"/>
        <w:rPr>
          <w:rFonts w:hint="eastAsia" w:ascii="宋体" w:hAnsi="宋体"/>
          <w:sz w:val="24"/>
        </w:rPr>
      </w:pPr>
      <w:r>
        <w:rPr>
          <w:rFonts w:hint="eastAsia" w:ascii="宋体" w:hAnsi="宋体"/>
          <w:bCs/>
          <w:sz w:val="24"/>
        </w:rPr>
        <w:t xml:space="preserve">12.5 </w:t>
      </w:r>
      <w:r>
        <w:rPr>
          <w:rFonts w:hint="eastAsia" w:ascii="宋体" w:hAnsi="宋体"/>
          <w:sz w:val="24"/>
        </w:rPr>
        <w:t xml:space="preserve">如果药具的质量与合同不符，或需方经进一步检验或在发放、使用过程中发现药具存在非显而易见的损坏或缺陷，或在质保期限内证实药具是有缺陷的，包括潜在缺陷或使用不符合要求，需方有权向供方提出免费更换或补充，供方应予以配合。</w:t>
      </w:r>
      <w:r/>
    </w:p>
    <w:p>
      <w:pPr>
        <w:ind w:firstLine="480"/>
        <w:spacing w:line="360" w:lineRule="auto"/>
        <w:rPr>
          <w:rFonts w:hint="eastAsia" w:ascii="宋体" w:hAnsi="宋体"/>
          <w:sz w:val="24"/>
        </w:rPr>
      </w:pPr>
      <w:r>
        <w:rPr>
          <w:rFonts w:hint="eastAsia" w:ascii="宋体" w:hAnsi="宋体"/>
          <w:sz w:val="24"/>
        </w:rPr>
        <w:t xml:space="preserve">12.6 需方有权在合同履行过程中，选择专业机构对供方进行驻厂核查，供方应予以配合。驻厂核查中发现供方实际与投标文件不一致、不符合生产质量控制等相关法律法规要求、合同履行不符合规定等情况，需方可视情况解除合同，并将供方列入不良信用记录，一至三年内不得参与需方组织的药具政府采购项目。</w:t>
      </w:r>
      <w:r/>
    </w:p>
    <w:p>
      <w:pPr>
        <w:ind w:firstLine="482"/>
        <w:spacing w:line="360" w:lineRule="auto"/>
        <w:rPr>
          <w:rFonts w:hint="eastAsia" w:ascii="宋体" w:hAnsi="宋体"/>
          <w:b/>
          <w:bCs/>
          <w:sz w:val="24"/>
        </w:rPr>
        <w:outlineLvl w:val="1"/>
      </w:pPr>
      <w:r>
        <w:rPr>
          <w:rFonts w:hint="eastAsia" w:ascii="宋体" w:hAnsi="宋体"/>
          <w:b/>
          <w:bCs/>
          <w:sz w:val="24"/>
        </w:rPr>
        <w:t xml:space="preserve">十三、违约责任</w:t>
      </w:r>
      <w:r/>
    </w:p>
    <w:p>
      <w:pPr>
        <w:ind w:firstLine="480"/>
        <w:jc w:val="left"/>
        <w:spacing w:line="360" w:lineRule="auto"/>
        <w:rPr>
          <w:rFonts w:hint="eastAsia" w:ascii="宋体" w:hAnsi="宋体"/>
          <w:sz w:val="24"/>
        </w:rPr>
      </w:pPr>
      <w:r>
        <w:rPr>
          <w:rFonts w:hint="eastAsia" w:ascii="宋体" w:hAnsi="宋体"/>
          <w:sz w:val="24"/>
        </w:rPr>
        <w:t xml:space="preserve">13.1 需方无正当理由拒收货物的，需方向供方偿付拒收货款总值的百分之五违约金。</w:t>
      </w:r>
      <w:r/>
    </w:p>
    <w:p>
      <w:pPr>
        <w:ind w:firstLine="480"/>
        <w:jc w:val="left"/>
        <w:spacing w:line="360" w:lineRule="auto"/>
        <w:rPr>
          <w:rFonts w:hint="eastAsia" w:ascii="宋体" w:hAnsi="宋体"/>
          <w:sz w:val="24"/>
        </w:rPr>
      </w:pPr>
      <w:r>
        <w:rPr>
          <w:rFonts w:hint="eastAsia" w:ascii="宋体" w:hAnsi="宋体"/>
          <w:sz w:val="24"/>
        </w:rPr>
        <w:t xml:space="preserve">13.2 需方无故逾期验收和办理货款支付手续的，需方应按逾期付款总额每日万分之五向供方支付违约金。</w:t>
      </w:r>
      <w:r/>
    </w:p>
    <w:p>
      <w:pPr>
        <w:ind w:firstLine="480"/>
        <w:spacing w:line="360" w:lineRule="auto"/>
        <w:rPr>
          <w:rFonts w:hint="eastAsia" w:ascii="宋体" w:hAnsi="宋体"/>
          <w:sz w:val="24"/>
        </w:rPr>
      </w:pPr>
      <w:r>
        <w:rPr>
          <w:rFonts w:hint="eastAsia" w:ascii="宋体" w:hAnsi="宋体"/>
          <w:sz w:val="24"/>
        </w:rPr>
        <w:t xml:space="preserve">13.3 需方不履行本合同义务或履行本合同义务不符合约定的，应当承担继续履行、采取补救措施、赔偿损失等违约责任，并承担不低于合同总价20%的违约金。</w:t>
      </w:r>
      <w:r/>
    </w:p>
    <w:p>
      <w:pPr>
        <w:ind w:firstLine="480"/>
        <w:jc w:val="left"/>
        <w:spacing w:line="360" w:lineRule="auto"/>
        <w:rPr>
          <w:rFonts w:hint="eastAsia" w:ascii="宋体" w:hAnsi="宋体"/>
          <w:sz w:val="24"/>
        </w:rPr>
      </w:pPr>
      <w:r>
        <w:rPr>
          <w:rFonts w:hint="eastAsia" w:ascii="宋体" w:hAnsi="宋体"/>
          <w:sz w:val="24"/>
        </w:rPr>
        <w:t xml:space="preserve">13.4 供方逾期交付货物的，需方将约谈供方，提出警示。供方应按逾期交货总额每日千分之六向需方支付违约金，需方有权从待付货款中扣除。逾期超过约定日期10个工作日不能交货的，需方可解除本合同，且不承担任何违约责任。供方因逾期交货或因其他违约行为导致需方解除合同的，供方应向需方支付合同总值20%的违约金，违约金的给付不豁免供方对需方的损失承担赔偿责任。</w:t>
      </w:r>
      <w:r/>
    </w:p>
    <w:p>
      <w:pPr>
        <w:ind w:firstLine="480"/>
        <w:jc w:val="left"/>
        <w:spacing w:line="360" w:lineRule="auto"/>
        <w:rPr>
          <w:rFonts w:hint="eastAsia" w:ascii="宋体" w:hAnsi="宋体"/>
          <w:sz w:val="24"/>
        </w:rPr>
      </w:pPr>
      <w:r>
        <w:rPr>
          <w:rFonts w:hint="eastAsia" w:ascii="宋体" w:hAnsi="宋体"/>
          <w:sz w:val="24"/>
        </w:rPr>
        <w:t xml:space="preserve">13.5 供方所交的货物品种、型号、规格、技术参数、质量、生产日期等不符合合同、招标文件规定标准的，或供方运输过程中的过失等非需方过错，导致需方受损，</w:t>
      </w:r>
      <w:r>
        <w:rPr>
          <w:rFonts w:hint="eastAsia" w:ascii="宋体" w:hAnsi="宋体"/>
          <w:bCs/>
          <w:iCs/>
          <w:sz w:val="24"/>
        </w:rPr>
        <w:t xml:space="preserve">需方有权拒收该货物并收取</w:t>
      </w:r>
      <w:r>
        <w:rPr>
          <w:rFonts w:ascii="宋体" w:hAnsi="宋体"/>
          <w:bCs/>
          <w:iCs/>
          <w:sz w:val="24"/>
        </w:rPr>
        <w:t xml:space="preserve">履约保证金</w:t>
      </w:r>
      <w:r>
        <w:rPr>
          <w:rFonts w:hint="eastAsia" w:ascii="宋体" w:hAnsi="宋体"/>
          <w:bCs/>
          <w:iCs/>
          <w:sz w:val="24"/>
        </w:rPr>
        <w:t xml:space="preserve">的</w:t>
      </w:r>
      <w:r>
        <w:rPr>
          <w:rFonts w:ascii="宋体" w:hAnsi="宋体"/>
          <w:bCs/>
          <w:iCs/>
          <w:sz w:val="24"/>
        </w:rPr>
        <w:t xml:space="preserve">10%</w:t>
      </w:r>
      <w:r>
        <w:rPr>
          <w:rFonts w:hint="eastAsia" w:ascii="宋体" w:hAnsi="宋体"/>
          <w:bCs/>
          <w:iCs/>
          <w:sz w:val="24"/>
        </w:rPr>
        <w:t xml:space="preserve">作为</w:t>
      </w:r>
      <w:r>
        <w:rPr>
          <w:rFonts w:ascii="宋体" w:hAnsi="宋体"/>
          <w:bCs/>
          <w:iCs/>
          <w:sz w:val="24"/>
        </w:rPr>
        <w:t xml:space="preserve">赔偿款</w:t>
      </w:r>
      <w:r>
        <w:rPr>
          <w:rFonts w:hint="eastAsia" w:ascii="宋体" w:hAnsi="宋体"/>
          <w:bCs/>
          <w:iCs/>
          <w:sz w:val="24"/>
        </w:rPr>
        <w:t xml:space="preserve">，</w:t>
      </w:r>
      <w:r>
        <w:rPr>
          <w:rFonts w:hint="eastAsia" w:ascii="宋体" w:hAnsi="宋体"/>
          <w:sz w:val="24"/>
        </w:rPr>
        <w:t xml:space="preserve">供方愿意更换货物但逾期交货的，按供方逾期交货处理。</w:t>
      </w:r>
      <w:r>
        <w:rPr>
          <w:rFonts w:hint="eastAsia" w:ascii="宋体" w:hAnsi="宋体"/>
          <w:bCs/>
          <w:iCs/>
          <w:sz w:val="24"/>
        </w:rPr>
        <w:t xml:space="preserve">供方逾期交付赔偿款，应按赔偿款总额每日千分之六向需方支付违约金，需方有权从待付货款中扣除相应的赔偿款及违约金。</w:t>
      </w:r>
      <w:r>
        <w:rPr>
          <w:rFonts w:hint="eastAsia" w:ascii="宋体" w:hAnsi="宋体"/>
          <w:sz w:val="24"/>
        </w:rPr>
        <w:t xml:space="preserve">供方拒绝更换货物的，需方可单方面解除合同，且需方因此产生的所有损失都由供方承担。</w:t>
      </w:r>
      <w:r/>
    </w:p>
    <w:p>
      <w:pPr>
        <w:ind w:firstLine="480"/>
        <w:spacing w:line="360" w:lineRule="auto"/>
        <w:rPr>
          <w:rFonts w:hint="eastAsia" w:ascii="宋体" w:hAnsi="宋体"/>
          <w:sz w:val="24"/>
        </w:rPr>
      </w:pPr>
      <w:r>
        <w:rPr>
          <w:rFonts w:hint="eastAsia" w:ascii="宋体" w:hAnsi="宋体"/>
          <w:sz w:val="24"/>
        </w:rPr>
        <w:t xml:space="preserve">13.6 因供方提供的药具产品存在缺陷、质量问题或不良反应等对药具使用者造成伤害的，供方应进行赔偿。</w:t>
      </w:r>
      <w:r/>
    </w:p>
    <w:p>
      <w:pPr>
        <w:ind w:firstLine="482"/>
        <w:spacing w:line="360" w:lineRule="auto"/>
        <w:rPr>
          <w:rFonts w:hint="eastAsia" w:ascii="宋体" w:hAnsi="宋体"/>
          <w:b/>
          <w:bCs/>
          <w:sz w:val="24"/>
        </w:rPr>
        <w:outlineLvl w:val="1"/>
      </w:pPr>
      <w:r>
        <w:rPr>
          <w:rFonts w:hint="eastAsia" w:ascii="宋体" w:hAnsi="宋体"/>
          <w:b/>
          <w:bCs/>
          <w:sz w:val="24"/>
        </w:rPr>
        <w:t xml:space="preserve">十四、不可抗力事件处理</w:t>
      </w:r>
      <w:r/>
    </w:p>
    <w:p>
      <w:pPr>
        <w:ind w:firstLine="480"/>
        <w:jc w:val="left"/>
        <w:spacing w:line="360" w:lineRule="auto"/>
        <w:rPr>
          <w:rFonts w:hint="eastAsia" w:ascii="宋体" w:hAnsi="宋体"/>
          <w:sz w:val="24"/>
        </w:rPr>
      </w:pPr>
      <w:r>
        <w:rPr>
          <w:rFonts w:hint="eastAsia" w:ascii="宋体" w:hAnsi="宋体"/>
          <w:sz w:val="24"/>
        </w:rPr>
        <w:t xml:space="preserve">14.1 在合同有效期内，任何一方因战争、地震、水灾、火灾、暴风雪或其他不可抗力原因导致不能履行合同，则合同履行期可延长，其延长期与不可抗力影响期相同。不能履行合同的一方不负有违约责任，但应尽可能及时采取适当或必要措施减少或消除不可抗力的影响。</w:t>
      </w:r>
      <w:r/>
    </w:p>
    <w:p>
      <w:pPr>
        <w:ind w:firstLine="480"/>
        <w:jc w:val="left"/>
        <w:spacing w:line="360" w:lineRule="auto"/>
        <w:rPr>
          <w:rFonts w:hint="eastAsia" w:ascii="宋体" w:hAnsi="宋体"/>
          <w:sz w:val="24"/>
        </w:rPr>
      </w:pPr>
      <w:r>
        <w:rPr>
          <w:rFonts w:hint="eastAsia" w:ascii="宋体" w:hAnsi="宋体"/>
          <w:sz w:val="24"/>
        </w:rPr>
        <w:t xml:space="preserve">14.2 不可抗力事件发生后，应立即通知对方，并在3个工作日内以书面形式向对方提供详细情况报告及不可抗力对履行本合同的影响程度说明。受到不可抗力影响的一方负责提供由权威机构出具的证明。</w:t>
      </w:r>
      <w:r/>
    </w:p>
    <w:p>
      <w:pPr>
        <w:ind w:firstLine="480"/>
        <w:jc w:val="left"/>
        <w:spacing w:line="360" w:lineRule="auto"/>
        <w:rPr>
          <w:rFonts w:hint="eastAsia" w:ascii="宋体" w:hAnsi="宋体"/>
          <w:sz w:val="24"/>
        </w:rPr>
      </w:pPr>
      <w:r>
        <w:rPr>
          <w:rFonts w:hint="eastAsia" w:ascii="宋体" w:hAnsi="宋体"/>
          <w:sz w:val="24"/>
        </w:rPr>
        <w:t xml:space="preserve">14.3 供需双方可根据不可抗力对本合同履行的影响程度，协商确定是否终止本合同，或继续履行本合同。</w:t>
      </w:r>
      <w:r/>
    </w:p>
    <w:p>
      <w:pPr>
        <w:ind w:firstLine="482"/>
        <w:spacing w:line="360" w:lineRule="auto"/>
        <w:rPr>
          <w:rFonts w:hint="eastAsia" w:ascii="宋体" w:hAnsi="宋体"/>
          <w:b/>
          <w:bCs/>
          <w:sz w:val="24"/>
        </w:rPr>
        <w:outlineLvl w:val="1"/>
      </w:pPr>
      <w:r>
        <w:rPr>
          <w:rFonts w:hint="eastAsia" w:ascii="宋体" w:hAnsi="宋体"/>
          <w:b/>
          <w:bCs/>
          <w:sz w:val="24"/>
        </w:rPr>
        <w:t xml:space="preserve">十五、合同解除</w:t>
      </w:r>
      <w:r/>
    </w:p>
    <w:p>
      <w:pPr>
        <w:ind w:firstLine="480"/>
        <w:spacing w:line="360" w:lineRule="auto"/>
        <w:rPr>
          <w:rFonts w:hint="eastAsia" w:ascii="宋体" w:hAnsi="宋体"/>
          <w:sz w:val="24"/>
        </w:rPr>
      </w:pPr>
      <w:r>
        <w:rPr>
          <w:rFonts w:hint="eastAsia" w:ascii="宋体" w:hAnsi="宋体"/>
          <w:sz w:val="24"/>
        </w:rPr>
        <w:t xml:space="preserve">15.1 有下列情形之一的，需方可以解除合同，供方退还全部已收款项并承担相应的法律责任，需方可将供方列入不良信用记录，三年内不得参与需方组织的免费避孕药具政府采购项目： </w:t>
      </w:r>
      <w:r/>
    </w:p>
    <w:p>
      <w:pPr>
        <w:ind w:firstLine="480"/>
        <w:spacing w:line="360" w:lineRule="auto"/>
        <w:rPr>
          <w:rFonts w:hint="eastAsia" w:ascii="宋体" w:hAnsi="宋体"/>
          <w:sz w:val="24"/>
        </w:rPr>
      </w:pPr>
      <w:r>
        <w:rPr>
          <w:rFonts w:hint="eastAsia" w:ascii="宋体" w:hAnsi="宋体"/>
          <w:sz w:val="24"/>
        </w:rPr>
        <w:t xml:space="preserve">（1）供方履约不符合招标文件、投标文件规定或合同约定； </w:t>
      </w:r>
      <w:r/>
    </w:p>
    <w:p>
      <w:pPr>
        <w:ind w:firstLine="480"/>
        <w:spacing w:line="360" w:lineRule="auto"/>
        <w:rPr>
          <w:rFonts w:hint="eastAsia" w:ascii="宋体" w:hAnsi="宋体"/>
          <w:sz w:val="24"/>
        </w:rPr>
      </w:pPr>
      <w:r>
        <w:rPr>
          <w:rFonts w:hint="eastAsia" w:ascii="宋体" w:hAnsi="宋体"/>
          <w:sz w:val="24"/>
        </w:rPr>
        <w:t xml:space="preserve">（2）在履行期限届满之前，供方明确表示或者以自己的行为表明不履行主要义务； </w:t>
      </w:r>
      <w:r/>
    </w:p>
    <w:p>
      <w:pPr>
        <w:ind w:firstLine="480"/>
        <w:spacing w:line="360" w:lineRule="auto"/>
        <w:rPr>
          <w:rFonts w:hint="eastAsia" w:ascii="宋体" w:hAnsi="宋体"/>
          <w:sz w:val="24"/>
        </w:rPr>
      </w:pPr>
      <w:r>
        <w:rPr>
          <w:rFonts w:hint="eastAsia" w:ascii="宋体" w:hAnsi="宋体"/>
          <w:sz w:val="24"/>
        </w:rPr>
        <w:t xml:space="preserve">（3）供方延迟履行主要义务，经催告后在合理期限内仍未履行； </w:t>
      </w:r>
      <w:r/>
    </w:p>
    <w:p>
      <w:pPr>
        <w:ind w:firstLine="480"/>
        <w:spacing w:line="360" w:lineRule="auto"/>
        <w:rPr>
          <w:rFonts w:hint="eastAsia" w:ascii="宋体" w:hAnsi="宋体"/>
          <w:sz w:val="24"/>
        </w:rPr>
      </w:pPr>
      <w:r>
        <w:rPr>
          <w:rFonts w:hint="eastAsia" w:ascii="宋体" w:hAnsi="宋体"/>
          <w:sz w:val="24"/>
        </w:rPr>
        <w:t xml:space="preserve">（4）供方使用、租用第三方设备、厂房用于生产活动； </w:t>
      </w:r>
      <w:r/>
    </w:p>
    <w:p>
      <w:pPr>
        <w:ind w:firstLine="480"/>
        <w:spacing w:line="360" w:lineRule="auto"/>
        <w:rPr>
          <w:rFonts w:hint="eastAsia" w:ascii="宋体" w:hAnsi="宋体"/>
          <w:sz w:val="24"/>
        </w:rPr>
      </w:pPr>
      <w:r>
        <w:rPr>
          <w:rFonts w:hint="eastAsia" w:ascii="宋体" w:hAnsi="宋体"/>
          <w:sz w:val="24"/>
        </w:rPr>
        <w:t xml:space="preserve">（5）供方瞒报或者变相瞒报近三年国家级、省级食品药品监督管理、质量监督检验管理部门医疗器械质量公告投标产品抽检不合格信息；</w:t>
      </w:r>
      <w:r/>
    </w:p>
    <w:p>
      <w:pPr>
        <w:ind w:firstLine="480"/>
        <w:spacing w:line="360" w:lineRule="auto"/>
        <w:rPr>
          <w:rFonts w:hint="eastAsia" w:ascii="宋体" w:hAnsi="宋体"/>
          <w:sz w:val="24"/>
        </w:rPr>
      </w:pPr>
      <w:r>
        <w:rPr>
          <w:rFonts w:hint="eastAsia" w:ascii="宋体" w:hAnsi="宋体"/>
          <w:sz w:val="24"/>
        </w:rPr>
        <w:t xml:space="preserve">（6）供方在采购过程中提供虚假资质证明文件或者业绩情况；</w:t>
      </w:r>
      <w:r/>
    </w:p>
    <w:p>
      <w:pPr>
        <w:ind w:firstLine="480"/>
        <w:spacing w:line="360" w:lineRule="auto"/>
        <w:rPr>
          <w:rFonts w:hint="eastAsia" w:ascii="宋体" w:hAnsi="宋体"/>
          <w:sz w:val="24"/>
        </w:rPr>
      </w:pPr>
      <w:r>
        <w:rPr>
          <w:rFonts w:hint="eastAsia" w:ascii="宋体" w:hAnsi="宋体"/>
          <w:sz w:val="24"/>
        </w:rPr>
        <w:t xml:space="preserve">（7）驻厂核查中发现供方实际与投标文件不一致、不符合生产质量控制等相关法律法规要求等情况。 </w:t>
      </w:r>
      <w:r/>
    </w:p>
    <w:p>
      <w:pPr>
        <w:ind w:firstLine="480"/>
        <w:spacing w:line="360" w:lineRule="auto"/>
        <w:rPr>
          <w:rFonts w:hint="eastAsia" w:ascii="宋体" w:hAnsi="宋体"/>
          <w:sz w:val="24"/>
        </w:rPr>
      </w:pPr>
      <w:r>
        <w:rPr>
          <w:rFonts w:hint="eastAsia" w:ascii="宋体" w:hAnsi="宋体"/>
          <w:sz w:val="24"/>
        </w:rPr>
        <w:t xml:space="preserve">15.2 本合同解除后，根据合同履行情况，需方可以要求供方恢复原状、采取补救措施并有权要求赔偿损失。 </w:t>
      </w:r>
      <w:r/>
    </w:p>
    <w:p>
      <w:pPr>
        <w:ind w:firstLine="480"/>
        <w:spacing w:line="360" w:lineRule="auto"/>
        <w:rPr>
          <w:rFonts w:hint="eastAsia" w:ascii="宋体" w:hAnsi="宋体"/>
          <w:sz w:val="24"/>
        </w:rPr>
      </w:pPr>
      <w:r>
        <w:rPr>
          <w:rFonts w:hint="eastAsia" w:ascii="宋体" w:hAnsi="宋体"/>
          <w:sz w:val="24"/>
        </w:rPr>
        <w:t xml:space="preserve">15.3 供方因破产、解散、清算或因其他原因无法履行本合同时，报江苏省卫生健康委备案后，有权解除本合同。合同自解除合同的通知书送达供方时解除，供方须向需方返还未履行的合同价款，还应向需方一次性支付合同总价20%的违约金，违约金应自合同解除之日起10个工作日内支付完毕。</w:t>
      </w:r>
      <w:r/>
    </w:p>
    <w:p>
      <w:pPr>
        <w:ind w:firstLine="482"/>
        <w:spacing w:line="360" w:lineRule="auto"/>
        <w:rPr>
          <w:rFonts w:hint="eastAsia" w:ascii="宋体" w:hAnsi="宋体"/>
          <w:b/>
          <w:bCs/>
          <w:sz w:val="24"/>
        </w:rPr>
        <w:outlineLvl w:val="1"/>
      </w:pPr>
      <w:r>
        <w:rPr>
          <w:rFonts w:hint="eastAsia" w:ascii="宋体" w:hAnsi="宋体"/>
          <w:b/>
          <w:bCs/>
          <w:sz w:val="24"/>
        </w:rPr>
        <w:t xml:space="preserve">十六、合同变更及终止</w:t>
      </w:r>
      <w:r/>
    </w:p>
    <w:p>
      <w:pPr>
        <w:ind w:firstLine="480"/>
        <w:spacing w:line="360" w:lineRule="auto"/>
        <w:rPr>
          <w:rFonts w:hint="eastAsia" w:ascii="宋体" w:hAnsi="宋体"/>
          <w:sz w:val="24"/>
        </w:rPr>
      </w:pPr>
      <w:r>
        <w:rPr>
          <w:rFonts w:hint="eastAsia" w:ascii="宋体" w:hAnsi="宋体"/>
          <w:sz w:val="24"/>
        </w:rPr>
        <w:t xml:space="preserve">16.1 本合同履行期间，如遇情势变更因素，经供需双方协商一致，可以变更本合同。 </w:t>
      </w:r>
      <w:r/>
    </w:p>
    <w:p>
      <w:pPr>
        <w:ind w:firstLine="480"/>
        <w:spacing w:line="360" w:lineRule="auto"/>
        <w:rPr>
          <w:rFonts w:hint="eastAsia" w:ascii="宋体" w:hAnsi="宋体"/>
          <w:sz w:val="24"/>
        </w:rPr>
      </w:pPr>
      <w:r>
        <w:rPr>
          <w:rFonts w:hint="eastAsia" w:ascii="宋体" w:hAnsi="宋体"/>
          <w:sz w:val="24"/>
        </w:rPr>
        <w:t xml:space="preserve">16.2 需方有权依据上级行政主管部门作出的具体行政行为或有关行政部门对供方作出的具体行政行为（包括但不限于行政命令、行政许可、行政确认、行政监督检查、行政处罚、行政强制、行政裁决、行政指导等）变更和解除本合同，并不承担因此对供方造成影响的任何赔偿责任。</w:t>
      </w:r>
      <w:r/>
    </w:p>
    <w:p>
      <w:pPr>
        <w:ind w:firstLine="482"/>
        <w:spacing w:line="360" w:lineRule="auto"/>
        <w:rPr>
          <w:rFonts w:hint="eastAsia" w:ascii="宋体" w:hAnsi="宋体"/>
          <w:b/>
          <w:bCs/>
          <w:sz w:val="24"/>
        </w:rPr>
        <w:outlineLvl w:val="1"/>
      </w:pPr>
      <w:r>
        <w:rPr>
          <w:rFonts w:hint="eastAsia" w:ascii="宋体" w:hAnsi="宋体"/>
          <w:b/>
          <w:bCs/>
          <w:sz w:val="24"/>
        </w:rPr>
        <w:t xml:space="preserve">十七、诉讼</w:t>
      </w:r>
      <w:r/>
    </w:p>
    <w:p>
      <w:pPr>
        <w:ind w:firstLine="480"/>
        <w:jc w:val="left"/>
        <w:spacing w:line="360" w:lineRule="auto"/>
        <w:rPr>
          <w:rFonts w:hint="eastAsia" w:ascii="宋体" w:hAnsi="宋体"/>
          <w:sz w:val="24"/>
        </w:rPr>
      </w:pPr>
      <w:r>
        <w:rPr>
          <w:rFonts w:hint="eastAsia" w:ascii="宋体" w:hAnsi="宋体"/>
          <w:sz w:val="24"/>
        </w:rPr>
        <w:t xml:space="preserve">17.1 双方在执行合同中所发生的一切争议，应通过协商解决。如协商不成，可向合同签订地法院起诉，合同签订地在此约定为南京市鼓楼区。</w:t>
      </w:r>
      <w:r/>
    </w:p>
    <w:p>
      <w:pPr>
        <w:ind w:firstLine="482"/>
        <w:spacing w:line="360" w:lineRule="auto"/>
        <w:rPr>
          <w:rFonts w:hint="eastAsia" w:ascii="宋体" w:hAnsi="宋体"/>
          <w:b/>
          <w:bCs/>
          <w:sz w:val="24"/>
        </w:rPr>
        <w:outlineLvl w:val="1"/>
      </w:pPr>
      <w:r>
        <w:rPr>
          <w:rFonts w:hint="eastAsia" w:ascii="宋体" w:hAnsi="宋体"/>
          <w:b/>
          <w:bCs/>
          <w:sz w:val="24"/>
        </w:rPr>
        <w:t xml:space="preserve">十八、合同生效及其他</w:t>
      </w:r>
      <w:r/>
    </w:p>
    <w:p>
      <w:pPr>
        <w:ind w:firstLine="480"/>
        <w:spacing w:line="360" w:lineRule="auto"/>
        <w:rPr>
          <w:rFonts w:hint="eastAsia" w:ascii="宋体" w:hAnsi="宋体"/>
          <w:sz w:val="24"/>
        </w:rPr>
      </w:pPr>
      <w:r>
        <w:rPr>
          <w:rFonts w:hint="eastAsia" w:ascii="宋体" w:hAnsi="宋体"/>
          <w:sz w:val="24"/>
        </w:rPr>
        <w:t xml:space="preserve">18.1 除本合同文本外，中标（成交）通知书、采购文件、供方响应文件等与本合同具有同等法律效力，以上文件如有不清或矛盾之处，以所列顺序在前的为准，但供需双方有特别约定的除外。</w:t>
      </w:r>
      <w:r/>
    </w:p>
    <w:p>
      <w:pPr>
        <w:ind w:firstLine="480"/>
        <w:jc w:val="left"/>
        <w:spacing w:line="360" w:lineRule="auto"/>
        <w:rPr>
          <w:rFonts w:hint="eastAsia" w:ascii="宋体" w:hAnsi="宋体"/>
          <w:sz w:val="24"/>
        </w:rPr>
      </w:pPr>
      <w:r>
        <w:rPr>
          <w:rFonts w:hint="eastAsia" w:ascii="宋体" w:hAnsi="宋体"/>
          <w:sz w:val="24"/>
        </w:rPr>
        <w:t xml:space="preserve">18.2</w:t>
      </w:r>
      <w:r>
        <w:rPr>
          <w:rFonts w:ascii="宋体" w:hAnsi="宋体"/>
          <w:sz w:val="24"/>
        </w:rPr>
        <w:t xml:space="preserve"> </w:t>
      </w:r>
      <w:r>
        <w:rPr>
          <w:rFonts w:hint="eastAsia" w:ascii="宋体" w:hAnsi="宋体"/>
          <w:sz w:val="24"/>
        </w:rPr>
        <w:t xml:space="preserve">本合同未尽事宜，遵照《中华人民共和国民法典》有关条文执行。</w:t>
      </w:r>
      <w:r/>
    </w:p>
    <w:p>
      <w:pPr>
        <w:ind w:firstLine="480"/>
        <w:jc w:val="left"/>
        <w:spacing w:line="360" w:lineRule="auto"/>
        <w:rPr>
          <w:rFonts w:hint="eastAsia" w:ascii="宋体" w:hAnsi="宋体"/>
          <w:sz w:val="24"/>
        </w:rPr>
      </w:pPr>
      <w:r>
        <w:rPr>
          <w:rFonts w:hint="eastAsia" w:ascii="宋体" w:hAnsi="宋体"/>
          <w:sz w:val="24"/>
        </w:rPr>
        <w:t xml:space="preserve">18.3 本合同正本一式三份，具有同等法律效力，需方执2份、供方执1份。</w:t>
      </w:r>
      <w:r/>
    </w:p>
    <w:p>
      <w:pPr>
        <w:ind w:firstLine="480"/>
        <w:spacing w:line="360" w:lineRule="auto"/>
        <w:rPr>
          <w:rFonts w:hint="eastAsia" w:ascii="宋体" w:hAnsi="宋体"/>
          <w:sz w:val="24"/>
        </w:rPr>
      </w:pPr>
      <w:r>
        <w:rPr>
          <w:rFonts w:hint="eastAsia" w:ascii="宋体" w:hAnsi="宋体"/>
          <w:sz w:val="24"/>
        </w:rPr>
        <w:t xml:space="preserve">18.4</w:t>
      </w:r>
      <w:r>
        <w:rPr>
          <w:rFonts w:ascii="宋体" w:hAnsi="宋体"/>
          <w:sz w:val="24"/>
        </w:rPr>
        <w:t xml:space="preserve"> </w:t>
      </w:r>
      <w:r>
        <w:rPr>
          <w:rFonts w:hint="eastAsia" w:ascii="宋体" w:hAnsi="宋体"/>
          <w:sz w:val="24"/>
        </w:rPr>
        <w:t xml:space="preserve">本合同经双方法定代表人或授权委托代表人签字盖章之日起生效，有效期至本合同双方权利义务履行完毕为止。</w:t>
      </w:r>
      <w:r/>
    </w:p>
    <w:p>
      <w:pPr>
        <w:ind w:firstLine="480"/>
        <w:spacing w:line="360" w:lineRule="auto"/>
        <w:rPr>
          <w:rFonts w:hint="eastAsia" w:ascii="宋体" w:hAnsi="宋体"/>
          <w:sz w:val="24"/>
        </w:rPr>
      </w:pPr>
      <w:r>
        <w:rPr>
          <w:rFonts w:hint="eastAsia" w:ascii="宋体" w:hAnsi="宋体"/>
          <w:sz w:val="24"/>
        </w:rPr>
        <w:t xml:space="preserve">18.5</w:t>
      </w:r>
      <w:r>
        <w:rPr>
          <w:rFonts w:ascii="宋体" w:hAnsi="宋体"/>
          <w:sz w:val="24"/>
        </w:rPr>
        <w:t xml:space="preserve"> </w:t>
      </w:r>
      <w:r>
        <w:rPr>
          <w:rFonts w:hint="eastAsia" w:ascii="宋体" w:hAnsi="宋体"/>
          <w:sz w:val="24"/>
        </w:rPr>
        <w:t xml:space="preserve">供方未经需方同意，不得将其在合同项下的义务全部或部分转让给第三人。</w:t>
      </w:r>
      <w:r/>
    </w:p>
    <w:p>
      <w:pPr>
        <w:ind w:firstLine="480"/>
        <w:jc w:val="left"/>
        <w:spacing w:line="360" w:lineRule="auto"/>
        <w:rPr>
          <w:rFonts w:hint="eastAsia" w:ascii="宋体" w:hAnsi="宋体"/>
          <w:sz w:val="24"/>
        </w:rPr>
      </w:pPr>
      <w:r>
        <w:rPr>
          <w:rFonts w:hint="eastAsia" w:ascii="宋体" w:hAnsi="宋体"/>
          <w:sz w:val="24"/>
        </w:rPr>
        <w:t xml:space="preserve"> 附件： </w:t>
      </w:r>
      <w:r>
        <w:rPr>
          <w:rFonts w:hint="eastAsia" w:ascii="宋体" w:hAnsi="宋体"/>
          <w:sz w:val="24"/>
        </w:rPr>
        <w:t xml:space="preserve">江苏省免费避孕药具包装及标签要求（避孕套）</w:t>
      </w:r>
      <w:r/>
    </w:p>
    <w:p>
      <w:pPr>
        <w:ind w:firstLine="1200"/>
        <w:jc w:val="left"/>
        <w:spacing w:line="360" w:lineRule="auto"/>
        <w:rPr>
          <w:rFonts w:hint="eastAsia" w:ascii="宋体" w:hAnsi="宋体"/>
          <w:sz w:val="24"/>
        </w:rPr>
      </w:pPr>
      <w:r>
        <w:rPr>
          <w:rFonts w:hint="eastAsia" w:ascii="宋体" w:hAnsi="宋体"/>
          <w:sz w:val="24"/>
        </w:rPr>
      </w:r>
      <w:r/>
    </w:p>
    <w:tbl>
      <w:tblPr>
        <w:tblStyle w:val="945"/>
        <w:tblW w:w="8742"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43"/>
        <w:gridCol w:w="1007"/>
        <w:gridCol w:w="3992"/>
      </w:tblGrid>
      <w:tr>
        <w:trPr>
          <w:trHeight w:val="894"/>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left="1901" w:hanging="1903"/>
              <w:jc w:val="left"/>
              <w:spacing w:before="62" w:beforeAutospacing="1" w:after="240" w:afterAutospacing="1" w:line="360" w:lineRule="auto"/>
              <w:rPr>
                <w:rFonts w:hint="eastAsia" w:ascii="宋体" w:hAnsi="宋体"/>
                <w:sz w:val="24"/>
              </w:rPr>
            </w:pPr>
            <w:r>
              <w:rPr>
                <w:rFonts w:ascii="宋体" w:hAnsi="宋体"/>
                <w:sz w:val="24"/>
              </w:rPr>
              <w:t xml:space="preserve">需       方（盖章）： </w:t>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62" w:beforeAutospacing="1" w:after="240" w:afterAutospacing="1" w:line="360" w:lineRule="auto"/>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62" w:beforeAutospacing="1" w:after="240" w:afterAutospacing="1" w:line="360" w:lineRule="auto"/>
              <w:rPr>
                <w:rFonts w:hint="eastAsia" w:ascii="宋体" w:hAnsi="宋体"/>
                <w:sz w:val="24"/>
              </w:rPr>
            </w:pPr>
            <w:r>
              <w:rPr>
                <w:rFonts w:hint="eastAsia" w:ascii="宋体" w:hAnsi="宋体"/>
                <w:sz w:val="24"/>
              </w:rPr>
              <w:t xml:space="preserve">供 </w:t>
            </w:r>
            <w:r>
              <w:rPr>
                <w:rFonts w:ascii="宋体" w:hAnsi="宋体"/>
                <w:sz w:val="24"/>
              </w:rPr>
              <w:t xml:space="preserve">      </w:t>
            </w:r>
            <w:r>
              <w:rPr>
                <w:rFonts w:hint="eastAsia" w:ascii="宋体" w:hAnsi="宋体"/>
                <w:sz w:val="24"/>
              </w:rPr>
              <w:t xml:space="preserve">方</w:t>
            </w:r>
            <w:r>
              <w:rPr>
                <w:rFonts w:ascii="宋体" w:hAnsi="宋体"/>
                <w:sz w:val="24"/>
              </w:rPr>
              <w:t xml:space="preserve">（盖章）：</w:t>
            </w:r>
            <w:r/>
          </w:p>
        </w:tc>
      </w:tr>
      <w:tr>
        <w:trPr>
          <w:trHeight w:val="481"/>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right="-1331"/>
              <w:jc w:val="left"/>
              <w:spacing w:before="62" w:beforeAutospacing="1" w:after="240" w:afterAutospacing="1" w:line="360" w:lineRule="auto"/>
              <w:rPr>
                <w:rFonts w:hint="eastAsia" w:ascii="宋体" w:hAnsi="宋体"/>
                <w:sz w:val="24"/>
              </w:rPr>
            </w:pPr>
            <w:r>
              <w:rPr>
                <w:rFonts w:ascii="宋体" w:hAnsi="宋体"/>
                <w:sz w:val="24"/>
              </w:rPr>
              <w:t xml:space="preserve">法定代表人或授权代表（签字）：  </w:t>
            </w:r>
            <w:r/>
          </w:p>
          <w:p>
            <w:pPr>
              <w:ind w:right="-1331"/>
              <w:jc w:val="left"/>
              <w:spacing w:before="62" w:beforeAutospacing="1" w:after="240" w:afterAutospacing="1" w:line="360" w:lineRule="auto"/>
              <w:rPr>
                <w:rFonts w:hint="eastAsia" w:ascii="宋体" w:hAnsi="宋体"/>
                <w:sz w:val="24"/>
              </w:rPr>
            </w:pPr>
            <w:r>
              <w:rPr>
                <w:rFonts w:hint="eastAsia" w:ascii="宋体" w:hAnsi="宋体"/>
                <w:sz w:val="24"/>
              </w:rPr>
              <w:t xml:space="preserve">经办人：</w:t>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62" w:beforeAutospacing="1" w:after="240" w:afterAutospacing="1" w:line="360" w:lineRule="auto"/>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62" w:beforeAutospacing="1" w:after="240" w:afterAutospacing="1" w:line="360" w:lineRule="auto"/>
              <w:rPr>
                <w:rFonts w:hint="eastAsia" w:ascii="宋体" w:hAnsi="宋体"/>
                <w:sz w:val="24"/>
              </w:rPr>
            </w:pPr>
            <w:r>
              <w:rPr>
                <w:rFonts w:ascii="宋体" w:hAnsi="宋体"/>
                <w:sz w:val="24"/>
              </w:rPr>
              <w:t xml:space="preserve">法定代表人或授权代表（签字）：</w:t>
            </w:r>
            <w:r/>
          </w:p>
          <w:p>
            <w:pPr>
              <w:ind w:right="-1331"/>
              <w:jc w:val="left"/>
              <w:spacing w:before="62" w:beforeAutospacing="1" w:after="240" w:afterAutospacing="1" w:line="360" w:lineRule="auto"/>
              <w:rPr>
                <w:rFonts w:hint="eastAsia" w:ascii="宋体" w:hAnsi="宋体"/>
                <w:sz w:val="24"/>
              </w:rPr>
            </w:pPr>
            <w:r>
              <w:rPr>
                <w:rFonts w:hint="eastAsia" w:ascii="宋体" w:hAnsi="宋体"/>
                <w:sz w:val="24"/>
              </w:rPr>
              <w:t xml:space="preserve">经办人：</w:t>
            </w:r>
            <w:r/>
          </w:p>
        </w:tc>
      </w:tr>
      <w:tr>
        <w:trPr>
          <w:trHeight w:val="276"/>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right="-1331"/>
              <w:jc w:val="left"/>
              <w:spacing w:before="62" w:beforeAutospacing="1" w:after="240" w:afterAutospacing="1" w:line="360" w:lineRule="auto"/>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62" w:beforeAutospacing="1" w:after="240" w:afterAutospacing="1" w:line="360" w:lineRule="auto"/>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62" w:beforeAutospacing="1" w:after="240" w:afterAutospacing="1" w:line="360" w:lineRule="auto"/>
              <w:rPr>
                <w:rFonts w:hint="eastAsia" w:ascii="宋体" w:hAnsi="宋体"/>
                <w:sz w:val="24"/>
              </w:rPr>
            </w:pPr>
            <w:r>
              <w:rPr>
                <w:rFonts w:hint="eastAsia" w:ascii="宋体" w:hAnsi="宋体"/>
                <w:sz w:val="24"/>
              </w:rPr>
            </w:r>
            <w:r/>
          </w:p>
        </w:tc>
      </w:tr>
      <w:tr>
        <w:trPr>
          <w:trHeight w:val="471"/>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right="-1331"/>
              <w:jc w:val="left"/>
              <w:spacing w:before="62" w:beforeAutospacing="1" w:after="240" w:afterAutospacing="1" w:line="360" w:lineRule="auto"/>
              <w:rPr>
                <w:rFonts w:hint="eastAsia" w:ascii="宋体" w:hAnsi="宋体"/>
                <w:sz w:val="24"/>
              </w:rPr>
            </w:pPr>
            <w:r>
              <w:rPr>
                <w:rFonts w:ascii="宋体" w:hAnsi="宋体"/>
                <w:sz w:val="24"/>
              </w:rPr>
              <w:t xml:space="preserve">签订日期：</w:t>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62" w:beforeAutospacing="1" w:after="240" w:afterAutospacing="1" w:line="360" w:lineRule="auto"/>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62" w:beforeAutospacing="1" w:after="240" w:afterAutospacing="1" w:line="360" w:lineRule="auto"/>
              <w:rPr>
                <w:rFonts w:hint="eastAsia" w:ascii="宋体" w:hAnsi="宋体"/>
                <w:sz w:val="24"/>
              </w:rPr>
            </w:pPr>
            <w:r>
              <w:rPr>
                <w:rFonts w:ascii="宋体" w:hAnsi="宋体"/>
                <w:sz w:val="24"/>
              </w:rPr>
              <w:t xml:space="preserve">签订日期：</w:t>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b/>
          <w:bCs/>
          <w:sz w:val="28"/>
          <w:szCs w:val="28"/>
        </w:rPr>
      </w:pPr>
      <w:r>
        <w:rPr>
          <w:rFonts w:ascii="宋体" w:hAnsi="宋体"/>
          <w:b/>
          <w:bCs/>
          <w:sz w:val="28"/>
          <w:szCs w:val="28"/>
        </w:rPr>
        <w:br w:type="page" w:clear="all"/>
      </w:r>
      <w:r/>
    </w:p>
    <w:p>
      <w:pPr>
        <w:spacing w:line="360" w:lineRule="auto"/>
        <w:rPr>
          <w:rFonts w:hint="eastAsia" w:ascii="宋体" w:hAnsi="宋体"/>
          <w:b/>
          <w:bCs/>
          <w:szCs w:val="21"/>
        </w:rPr>
      </w:pPr>
      <w:r>
        <w:rPr>
          <w:rFonts w:ascii="宋体" w:hAnsi="宋体"/>
          <w:b/>
          <w:bCs/>
          <w:sz w:val="28"/>
          <w:szCs w:val="28"/>
        </w:rPr>
        <w:t xml:space="preserve">附件</w:t>
      </w:r>
      <w:r/>
    </w:p>
    <w:p>
      <w:pPr>
        <w:jc w:val="center"/>
        <w:spacing w:before="100" w:beforeAutospacing="1" w:after="100" w:afterAutospacing="1" w:line="600" w:lineRule="exact"/>
        <w:rPr>
          <w:rFonts w:hint="eastAsia" w:ascii="方正小标宋_GBK" w:hAnsi="宋体" w:eastAsia="方正小标宋_GBK"/>
          <w:sz w:val="32"/>
          <w:szCs w:val="32"/>
        </w:rPr>
      </w:pPr>
      <w:r>
        <w:rPr>
          <w:rFonts w:ascii="方正小标宋_GBK" w:hAnsi="方正小标宋_GBK" w:eastAsia="方正小标宋_GBK"/>
          <w:sz w:val="32"/>
          <w:szCs w:val="32"/>
        </w:rPr>
        <w:t xml:space="preserve">江苏省基本避孕药具包装及标签要求</w:t>
      </w:r>
      <w:r/>
    </w:p>
    <w:p>
      <w:pPr>
        <w:jc w:val="center"/>
        <w:spacing w:before="100" w:beforeAutospacing="1" w:after="240" w:afterAutospacing="1" w:line="600" w:lineRule="exact"/>
        <w:rPr>
          <w:rFonts w:hint="eastAsia" w:ascii="方正小标宋_GBK" w:hAnsi="宋体" w:eastAsia="方正小标宋_GBK"/>
          <w:sz w:val="32"/>
          <w:szCs w:val="32"/>
        </w:rPr>
      </w:pPr>
      <w:r>
        <w:rPr>
          <w:rFonts w:ascii="方正小标宋_GBK" w:hAnsi="方正小标宋_GBK" w:eastAsia="方正小标宋_GBK"/>
          <w:sz w:val="32"/>
          <w:szCs w:val="32"/>
        </w:rPr>
        <w:t xml:space="preserve">（避孕套）</w:t>
      </w:r>
      <w:r/>
    </w:p>
    <w:p>
      <w:pPr>
        <w:ind w:firstLine="422"/>
        <w:spacing w:line="360" w:lineRule="auto"/>
        <w:rPr>
          <w:rFonts w:hint="eastAsia" w:ascii="宋体" w:hAnsi="宋体"/>
          <w:b/>
          <w:bCs/>
          <w:szCs w:val="21"/>
        </w:rPr>
      </w:pPr>
      <w:r>
        <w:rPr>
          <w:rFonts w:ascii="宋体" w:hAnsi="宋体"/>
          <w:b/>
          <w:bCs/>
          <w:szCs w:val="21"/>
        </w:rPr>
        <w:t xml:space="preserve">一、国家免费提供标识</w:t>
      </w:r>
      <w:r/>
    </w:p>
    <w:p>
      <w:pPr>
        <w:ind w:firstLine="420"/>
        <w:spacing w:before="62" w:line="360" w:lineRule="auto"/>
        <w:rPr>
          <w:rFonts w:hint="eastAsia" w:ascii="宋体" w:hAnsi="宋体"/>
          <w:szCs w:val="21"/>
        </w:rPr>
      </w:pPr>
      <w:r>
        <w:rPr>
          <w:rFonts w:ascii="宋体" w:hAnsi="宋体"/>
          <w:szCs w:val="21"/>
        </w:rPr>
        <w:t xml:space="preserve">从事避孕套产品生产的企业，在该类产品各级包装的醒目位置上，均应印制国家免费提供标识，即国家免费提供图案及文字的组合，二者缺一不可。具体要求如下：</w:t>
      </w:r>
      <w:r/>
    </w:p>
    <w:p>
      <w:pPr>
        <w:ind w:firstLine="422"/>
        <w:spacing w:before="62" w:line="360" w:lineRule="auto"/>
        <w:rPr>
          <w:rFonts w:hint="eastAsia" w:ascii="宋体" w:hAnsi="宋体"/>
          <w:b/>
          <w:szCs w:val="21"/>
        </w:rPr>
      </w:pPr>
      <w:r>
        <w:rPr>
          <w:rFonts w:ascii="宋体" w:hAnsi="宋体"/>
          <w:b/>
          <w:szCs w:val="21"/>
        </w:rPr>
        <w:t xml:space="preserve">（一）图样</w:t>
      </w:r>
      <w:r/>
    </w:p>
    <w:p>
      <w:pPr>
        <w:jc w:val="center"/>
        <w:spacing w:line="360" w:lineRule="auto"/>
        <w:rPr>
          <w:rFonts w:hint="eastAsia" w:ascii="宋体" w:hAnsi="宋体"/>
          <w:szCs w:val="21"/>
        </w:rPr>
      </w:pPr>
      <w:r>
        <w:rPr>
          <w:rFonts w:ascii="宋体" w:hAnsi="宋体"/>
          <w:szCs w:val="21"/>
        </w:rPr>
        <mc:AlternateContent>
          <mc:Choice Requires="wpg">
            <w:drawing>
              <wp:inline xmlns:wp="http://schemas.openxmlformats.org/drawingml/2006/wordprocessingDrawing" distT="0" distB="0" distL="0" distR="0">
                <wp:extent cx="876300" cy="866775"/>
                <wp:effectExtent l="0" t="0" r="0" b="952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tretch/>
                      </pic:blipFill>
                      <pic:spPr bwMode="auto">
                        <a:xfrm>
                          <a:off x="0" y="0"/>
                          <a:ext cx="876299"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0pt;height:68.2pt;mso-wrap-distance-left:0.0pt;mso-wrap-distance-top:0.0pt;mso-wrap-distance-right:0.0pt;mso-wrap-distance-bottom:0.0pt;" stroked="f">
                <v:path textboxrect="0,0,0,0"/>
                <v:imagedata r:id="rId17" o:title=""/>
              </v:shape>
            </w:pict>
          </mc:Fallback>
        </mc:AlternateContent>
      </w:r>
      <w:r>
        <w:rPr>
          <w:rFonts w:ascii="宋体" w:hAnsi="宋体"/>
          <w:szCs w:val="21"/>
        </w:rPr>
        <w:t xml:space="preserve"> </w:t>
      </w:r>
      <w:r/>
    </w:p>
    <w:p>
      <w:pPr>
        <w:jc w:val="center"/>
        <w:spacing w:line="360" w:lineRule="auto"/>
        <w:rPr>
          <w:rFonts w:hint="eastAsia" w:ascii="宋体" w:hAnsi="宋体"/>
          <w:szCs w:val="21"/>
        </w:rPr>
      </w:pPr>
      <w:r>
        <w:rPr>
          <w:rFonts w:ascii="宋体" w:hAnsi="宋体"/>
          <w:b/>
          <w:szCs w:val="21"/>
        </w:rPr>
        <w:t xml:space="preserve">国家免费提供</w:t>
      </w:r>
      <w:r/>
    </w:p>
    <w:p>
      <w:pPr>
        <w:ind w:firstLine="422"/>
        <w:spacing w:before="62" w:line="360" w:lineRule="auto"/>
        <w:rPr>
          <w:rFonts w:hint="eastAsia" w:ascii="宋体" w:hAnsi="宋体"/>
          <w:b/>
          <w:szCs w:val="21"/>
        </w:rPr>
      </w:pPr>
      <w:r>
        <w:rPr>
          <w:rFonts w:ascii="宋体" w:hAnsi="宋体"/>
          <w:b/>
          <w:szCs w:val="21"/>
        </w:rPr>
        <w:t xml:space="preserve">（二）尺寸</w:t>
      </w:r>
      <w:r/>
    </w:p>
    <w:p>
      <w:pPr>
        <w:ind w:firstLine="420"/>
        <w:spacing w:before="62" w:line="360" w:lineRule="auto"/>
        <w:rPr>
          <w:rFonts w:hint="eastAsia" w:ascii="宋体" w:hAnsi="宋体"/>
          <w:szCs w:val="21"/>
        </w:rPr>
      </w:pPr>
      <w:r>
        <w:rPr>
          <w:rFonts w:ascii="宋体" w:hAnsi="宋体"/>
          <w:szCs w:val="21"/>
        </w:rPr>
        <w:t xml:space="preserve">1. 标识组合中的图案应根据包装物的大小在可调范围内尽量放大国家免费标识图案及文字，以保证图案清晰，字迹易于辨识，版面构图均衡和谐。</w:t>
      </w:r>
      <w:r/>
    </w:p>
    <w:p>
      <w:pPr>
        <w:ind w:firstLine="420"/>
        <w:spacing w:before="62" w:line="360" w:lineRule="auto"/>
        <w:rPr>
          <w:rFonts w:hint="eastAsia" w:ascii="宋体" w:hAnsi="宋体"/>
          <w:szCs w:val="21"/>
        </w:rPr>
      </w:pPr>
      <w:r>
        <w:rPr>
          <w:rFonts w:ascii="宋体" w:hAnsi="宋体"/>
          <w:szCs w:val="21"/>
        </w:rPr>
        <w:t xml:space="preserve">避孕套运输包装（外包装）箱上直径至少40mm，中包装盒(若有)上直径至少20mm，最小消费盒上直径至少10mm，单个铝箔密封包装盒上直径至少5mm。</w:t>
      </w:r>
      <w:r/>
    </w:p>
    <w:p>
      <w:pPr>
        <w:ind w:firstLine="420"/>
        <w:spacing w:before="62" w:line="360" w:lineRule="auto"/>
        <w:rPr>
          <w:rFonts w:hint="eastAsia" w:ascii="宋体" w:hAnsi="宋体"/>
          <w:szCs w:val="21"/>
        </w:rPr>
      </w:pPr>
      <w:r>
        <w:rPr>
          <w:rFonts w:ascii="宋体" w:hAnsi="宋体"/>
          <w:szCs w:val="21"/>
        </w:rPr>
        <w:t xml:space="preserve">2. 标识组合中的文字应当色彩醒目，字体大小要与图案相协调。</w:t>
      </w:r>
      <w:r/>
    </w:p>
    <w:p>
      <w:pPr>
        <w:ind w:firstLine="527"/>
        <w:spacing w:before="62" w:line="360" w:lineRule="auto"/>
        <w:rPr>
          <w:rFonts w:hint="eastAsia" w:ascii="宋体" w:hAnsi="宋体"/>
          <w:b/>
          <w:szCs w:val="21"/>
        </w:rPr>
      </w:pPr>
      <w:r>
        <w:rPr>
          <w:rFonts w:ascii="宋体" w:hAnsi="宋体"/>
          <w:b/>
          <w:szCs w:val="21"/>
        </w:rPr>
        <w:t xml:space="preserve">（三）颜色</w:t>
      </w:r>
      <w:r/>
    </w:p>
    <w:p>
      <w:pPr>
        <w:ind w:firstLine="420"/>
        <w:spacing w:before="62" w:line="360" w:lineRule="auto"/>
        <w:rPr>
          <w:rFonts w:hint="eastAsia" w:ascii="宋体" w:hAnsi="宋体"/>
          <w:szCs w:val="21"/>
        </w:rPr>
      </w:pPr>
      <w:r>
        <w:rPr>
          <w:rFonts w:ascii="宋体" w:hAnsi="宋体"/>
          <w:szCs w:val="21"/>
        </w:rPr>
        <w:t xml:space="preserve">标识组合中的图案颜色由白色、浅绿色和深绿色三种颜色组成，浅绿色(草绿色)——C35、Y95(即蓝色35，黄色95)，深绿——C80、Y100 (即蓝色80，黄色100)。标识组合中的文字颜色与版面协调。</w:t>
      </w:r>
      <w:r/>
    </w:p>
    <w:p>
      <w:pPr>
        <w:ind w:firstLine="422"/>
        <w:spacing w:line="360" w:lineRule="auto"/>
        <w:rPr>
          <w:rFonts w:hint="eastAsia" w:ascii="宋体" w:hAnsi="宋体"/>
          <w:b/>
          <w:bCs/>
          <w:szCs w:val="21"/>
        </w:rPr>
      </w:pPr>
      <w:r>
        <w:rPr>
          <w:rFonts w:ascii="宋体" w:hAnsi="宋体"/>
          <w:b/>
          <w:bCs/>
          <w:szCs w:val="21"/>
        </w:rPr>
        <w:t xml:space="preserve">二、国家基本公共卫生服务项目标识</w:t>
      </w:r>
      <w:r/>
    </w:p>
    <w:p>
      <w:pPr>
        <w:ind w:firstLine="420"/>
        <w:spacing w:before="62" w:line="360" w:lineRule="auto"/>
        <w:rPr>
          <w:rFonts w:hint="eastAsia" w:ascii="宋体" w:hAnsi="宋体"/>
          <w:szCs w:val="21"/>
        </w:rPr>
      </w:pPr>
      <w:r>
        <w:rPr>
          <w:rFonts w:ascii="宋体" w:hAnsi="宋体"/>
          <w:szCs w:val="21"/>
        </w:rPr>
        <w:t xml:space="preserve">从事避孕套产品生产的企业，在该类产品各级包装的醒目位置上，均应印制国家基本公共卫生服务项目标识。具体要求如下：</w:t>
      </w:r>
      <w:r/>
    </w:p>
    <w:p>
      <w:pPr>
        <w:ind w:firstLine="422"/>
        <w:spacing w:before="62" w:line="360" w:lineRule="auto"/>
        <w:rPr>
          <w:rFonts w:hint="eastAsia" w:ascii="宋体" w:hAnsi="宋体"/>
          <w:b/>
          <w:szCs w:val="21"/>
        </w:rPr>
      </w:pPr>
      <w:r>
        <w:rPr>
          <w:rFonts w:ascii="宋体" w:hAnsi="宋体"/>
          <w:b/>
          <w:szCs w:val="21"/>
        </w:rPr>
        <w:t xml:space="preserve">（一）图样</w:t>
      </w:r>
      <w:r/>
    </w:p>
    <w:p>
      <w:pPr>
        <w:jc w:val="center"/>
        <w:spacing w:line="360" w:lineRule="auto"/>
        <w:rPr>
          <w:rFonts w:hint="eastAsia" w:ascii="宋体" w:hAnsi="宋体"/>
          <w:szCs w:val="21"/>
        </w:rPr>
      </w:pPr>
      <w:r>
        <w:rPr>
          <w:rFonts w:ascii="宋体" w:hAnsi="宋体"/>
          <w:szCs w:val="21"/>
        </w:rPr>
        <mc:AlternateContent>
          <mc:Choice Requires="wpg">
            <w:drawing>
              <wp:inline xmlns:wp="http://schemas.openxmlformats.org/drawingml/2006/wordprocessingDrawing" distT="0" distB="0" distL="0" distR="0">
                <wp:extent cx="942975" cy="914400"/>
                <wp:effectExtent l="0" t="0" r="9525" b="0"/>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8"/>
                        <a:stretch/>
                      </pic:blipFill>
                      <pic:spPr bwMode="auto">
                        <a:xfrm>
                          <a:off x="0" y="0"/>
                          <a:ext cx="9429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4.2pt;height:72.0pt;mso-wrap-distance-left:0.0pt;mso-wrap-distance-top:0.0pt;mso-wrap-distance-right:0.0pt;mso-wrap-distance-bottom:0.0pt;" stroked="f">
                <v:path textboxrect="0,0,0,0"/>
                <v:imagedata r:id="rId18" o:title=""/>
              </v:shape>
            </w:pict>
          </mc:Fallback>
        </mc:AlternateContent>
      </w:r>
      <w:r>
        <w:rPr>
          <w:rFonts w:ascii="宋体" w:hAnsi="宋体"/>
          <w:szCs w:val="21"/>
        </w:rPr>
        <w:t xml:space="preserve"> </w:t>
      </w:r>
      <w:r/>
    </w:p>
    <w:p>
      <w:pPr>
        <w:ind w:firstLine="527"/>
        <w:spacing w:before="62" w:line="360" w:lineRule="auto"/>
        <w:rPr>
          <w:rFonts w:hint="eastAsia" w:ascii="宋体" w:hAnsi="宋体"/>
          <w:b/>
          <w:szCs w:val="21"/>
        </w:rPr>
      </w:pPr>
      <w:r>
        <w:rPr>
          <w:rFonts w:ascii="宋体" w:hAnsi="宋体"/>
          <w:b/>
          <w:szCs w:val="21"/>
        </w:rPr>
        <w:t xml:space="preserve">（二）尺寸</w:t>
      </w:r>
      <w:r/>
    </w:p>
    <w:p>
      <w:pPr>
        <w:ind w:firstLine="525"/>
        <w:spacing w:before="62" w:line="360" w:lineRule="auto"/>
        <w:rPr>
          <w:rFonts w:hint="eastAsia" w:ascii="宋体" w:hAnsi="宋体"/>
          <w:szCs w:val="21"/>
        </w:rPr>
      </w:pPr>
      <w:r>
        <w:rPr>
          <w:rFonts w:ascii="宋体" w:hAnsi="宋体"/>
          <w:szCs w:val="21"/>
        </w:rPr>
        <w:t xml:space="preserve">标识的图案应根据包装物的大小在适当位置放置国家基本公共卫生服务项目标识，以保证图案清晰，字迹易于辨识，版面构图均衡和谐。</w:t>
      </w:r>
      <w:r/>
    </w:p>
    <w:p>
      <w:pPr>
        <w:ind w:firstLine="525"/>
        <w:spacing w:before="62" w:line="360" w:lineRule="auto"/>
        <w:rPr>
          <w:rFonts w:hint="eastAsia" w:ascii="宋体" w:hAnsi="宋体"/>
          <w:szCs w:val="21"/>
        </w:rPr>
      </w:pPr>
      <w:r>
        <w:rPr>
          <w:rFonts w:ascii="宋体" w:hAnsi="宋体"/>
          <w:szCs w:val="21"/>
        </w:rPr>
        <w:t xml:space="preserve">避孕套运输包装（外包装）箱上直径至少40mm，中包装盒(若有)上直径至少10mm，最小消费盒上直径至少10mm。</w:t>
      </w:r>
      <w:r/>
    </w:p>
    <w:p>
      <w:pPr>
        <w:ind w:firstLine="527"/>
        <w:spacing w:before="62" w:line="360" w:lineRule="auto"/>
        <w:rPr>
          <w:rFonts w:hint="eastAsia" w:ascii="宋体" w:hAnsi="宋体"/>
          <w:b/>
          <w:bCs/>
          <w:szCs w:val="21"/>
        </w:rPr>
      </w:pPr>
      <w:r>
        <w:rPr>
          <w:rFonts w:ascii="宋体" w:hAnsi="宋体"/>
          <w:b/>
          <w:bCs/>
          <w:szCs w:val="21"/>
        </w:rPr>
        <w:t xml:space="preserve">三、避孕套包装和标签的要求</w:t>
      </w:r>
      <w:r/>
    </w:p>
    <w:p>
      <w:pPr>
        <w:ind w:firstLine="527"/>
        <w:spacing w:before="62" w:line="360" w:lineRule="auto"/>
        <w:rPr>
          <w:rFonts w:hint="eastAsia" w:ascii="宋体" w:hAnsi="宋体"/>
          <w:b/>
          <w:szCs w:val="21"/>
        </w:rPr>
      </w:pPr>
      <w:r>
        <w:rPr>
          <w:rFonts w:ascii="宋体" w:hAnsi="宋体"/>
          <w:b/>
          <w:szCs w:val="21"/>
        </w:rPr>
        <w:t xml:space="preserve">（一）包装要求</w:t>
      </w:r>
      <w:r/>
    </w:p>
    <w:p>
      <w:pPr>
        <w:ind w:firstLine="420"/>
        <w:spacing w:before="62" w:line="360" w:lineRule="auto"/>
        <w:rPr>
          <w:rFonts w:hint="eastAsia" w:ascii="宋体" w:hAnsi="宋体"/>
          <w:szCs w:val="21"/>
        </w:rPr>
      </w:pPr>
      <w:r>
        <w:rPr>
          <w:rFonts w:ascii="宋体" w:hAnsi="宋体"/>
          <w:szCs w:val="21"/>
        </w:rPr>
        <w:t xml:space="preserve">1. 应符合国家食品药品监督管理局《医疗器械说明书和标签管理规定》（局令第6号）的要求。</w:t>
      </w:r>
      <w:r/>
    </w:p>
    <w:p>
      <w:pPr>
        <w:ind w:firstLine="420"/>
        <w:spacing w:before="62" w:line="360" w:lineRule="auto"/>
        <w:rPr>
          <w:rFonts w:hint="eastAsia" w:ascii="宋体" w:hAnsi="宋体"/>
          <w:szCs w:val="21"/>
        </w:rPr>
      </w:pPr>
      <w:r>
        <w:rPr>
          <w:rFonts w:ascii="宋体" w:hAnsi="宋体"/>
          <w:szCs w:val="21"/>
        </w:rPr>
        <w:t xml:space="preserve">2. 必须符合避孕套质量的要求，方便储存、运输和使用。</w:t>
      </w:r>
      <w:r/>
    </w:p>
    <w:p>
      <w:pPr>
        <w:ind w:firstLine="420"/>
        <w:spacing w:before="62" w:line="360" w:lineRule="auto"/>
        <w:rPr>
          <w:rFonts w:hint="eastAsia" w:ascii="宋体" w:hAnsi="宋体"/>
          <w:szCs w:val="21"/>
        </w:rPr>
      </w:pPr>
      <w:r>
        <w:rPr>
          <w:rFonts w:ascii="宋体" w:hAnsi="宋体"/>
          <w:szCs w:val="21"/>
        </w:rPr>
        <w:t xml:space="preserve">3. 用于包装的材料、粘合剂及标记包装标识的油墨等材料，不能有损于避孕套和有害于使用者的健康。</w:t>
      </w:r>
      <w:r/>
    </w:p>
    <w:p>
      <w:pPr>
        <w:ind w:firstLine="420"/>
        <w:spacing w:before="62" w:line="360" w:lineRule="auto"/>
        <w:rPr>
          <w:rFonts w:hint="eastAsia" w:ascii="宋体" w:hAnsi="宋体"/>
          <w:szCs w:val="21"/>
        </w:rPr>
      </w:pPr>
      <w:r>
        <w:rPr>
          <w:rFonts w:ascii="宋体" w:hAnsi="宋体"/>
          <w:szCs w:val="21"/>
        </w:rPr>
        <w:t xml:space="preserve">4. 运输包装（外包装）箱内应附产品合格证，应有防潮措施；运输包装（外包装）所用包材不得脱色、发霉、虫蛀。</w:t>
      </w:r>
      <w:r/>
    </w:p>
    <w:p>
      <w:pPr>
        <w:ind w:firstLine="420"/>
        <w:spacing w:before="62" w:line="360" w:lineRule="auto"/>
        <w:rPr>
          <w:rFonts w:hint="eastAsia" w:ascii="宋体" w:hAnsi="宋体"/>
          <w:szCs w:val="21"/>
        </w:rPr>
      </w:pPr>
      <w:r>
        <w:rPr>
          <w:rFonts w:ascii="宋体" w:hAnsi="宋体"/>
          <w:szCs w:val="21"/>
        </w:rPr>
        <w:t xml:space="preserve">5. 运输包装（外包装）箱每箱毛重不应超过10kg。</w:t>
      </w:r>
      <w:r/>
    </w:p>
    <w:p>
      <w:pPr>
        <w:ind w:firstLine="420"/>
        <w:spacing w:before="62" w:line="360" w:lineRule="auto"/>
        <w:rPr>
          <w:rFonts w:hint="eastAsia" w:ascii="宋体" w:hAnsi="宋体"/>
          <w:szCs w:val="21"/>
        </w:rPr>
      </w:pPr>
      <w:r>
        <w:rPr>
          <w:rFonts w:ascii="宋体" w:hAnsi="宋体"/>
          <w:szCs w:val="21"/>
        </w:rPr>
        <w:t xml:space="preserve">6. 单只避孕套应当是单个密封包装，易于撕开，并在打开包装时不损坏避孕套。单只避孕套外包装上应注明避孕套品名。</w:t>
      </w:r>
      <w:r/>
    </w:p>
    <w:p>
      <w:pPr>
        <w:ind w:firstLine="420"/>
        <w:spacing w:before="62" w:line="360" w:lineRule="auto"/>
        <w:rPr>
          <w:rFonts w:hint="eastAsia" w:ascii="宋体" w:hAnsi="宋体"/>
          <w:szCs w:val="21"/>
        </w:rPr>
      </w:pPr>
      <w:r>
        <w:rPr>
          <w:rFonts w:ascii="宋体" w:hAnsi="宋体"/>
          <w:szCs w:val="21"/>
        </w:rPr>
        <w:t xml:space="preserve">7. 每个消费盒应进行三维贴体透明塑封膜裹包，包装效果同香烟盒外面的包装（俗称“烟包”），应有拉线口。</w:t>
      </w:r>
      <w:r/>
    </w:p>
    <w:p>
      <w:pPr>
        <w:ind w:firstLine="420"/>
        <w:spacing w:before="62" w:line="360" w:lineRule="auto"/>
        <w:rPr>
          <w:rFonts w:hint="eastAsia" w:ascii="宋体" w:hAnsi="宋体"/>
          <w:szCs w:val="21"/>
        </w:rPr>
      </w:pPr>
      <w:r>
        <w:rPr>
          <w:rFonts w:ascii="宋体" w:hAnsi="宋体"/>
          <w:szCs w:val="21"/>
        </w:rPr>
        <w:t xml:space="preserve">8. 单个包装或消费包装应具有不透光性，单个包装和其它形式的包装应防止避孕套在运输和贮存期间受到损害。</w:t>
      </w:r>
      <w:r/>
    </w:p>
    <w:p>
      <w:pPr>
        <w:ind w:firstLine="420"/>
        <w:spacing w:before="62" w:line="360" w:lineRule="auto"/>
        <w:rPr>
          <w:rFonts w:hint="eastAsia" w:ascii="宋体" w:hAnsi="宋体"/>
          <w:szCs w:val="21"/>
        </w:rPr>
      </w:pPr>
      <w:r>
        <w:rPr>
          <w:rFonts w:ascii="宋体" w:hAnsi="宋体"/>
          <w:szCs w:val="21"/>
        </w:rPr>
        <w:t xml:space="preserve">9. 运输包装（外包装）须印有“江苏药品药具公共服务”微信公众号的二维码。消费包装要求色彩鲜艳、明亮，符合育龄人群审美习惯，反面底部位置印有“江苏药品药具公共服务”的微信公众号的二维码，侧面用显著的字体标注“国家免费提供，严禁流入市场”，建议10只装采用方正黑体18号字体，3只装和5只装字号与版面相协调。中包装盒（若有）以及最小消费盒上图标的直径尺寸不小于10mm，字体样式、大小与整体协调（如下图）。</w:t>
      </w:r>
      <w:r/>
    </w:p>
    <w:p>
      <w:pPr>
        <w:jc w:val="center"/>
        <w:spacing w:line="360" w:lineRule="auto"/>
        <w:rPr>
          <w:rFonts w:hint="eastAsia" w:ascii="宋体" w:hAnsi="宋体"/>
          <w:szCs w:val="21"/>
        </w:rPr>
      </w:pPr>
      <w:r>
        <w:rPr>
          <w:rFonts w:ascii="宋体" w:hAnsi="宋体"/>
          <w:szCs w:val="21"/>
        </w:rPr>
        <w:t xml:space="preserve"> </w:t>
      </w:r>
      <w:r>
        <w:rPr>
          <w:rFonts w:ascii="宋体" w:hAnsi="宋体"/>
          <w:szCs w:val="21"/>
        </w:rPr>
        <mc:AlternateContent>
          <mc:Choice Requires="wpg">
            <w:drawing>
              <wp:inline xmlns:wp="http://schemas.openxmlformats.org/drawingml/2006/wordprocessingDrawing" distT="0" distB="0" distL="0" distR="0">
                <wp:extent cx="3402965" cy="1887220"/>
                <wp:effectExtent l="0" t="0" r="6985" b="17780"/>
                <wp:docPr id="5" name="图片 9" descr="江苏药品药具公共服务微信二维码-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江苏药品药具公共服务微信二维码-新"/>
                        <pic:cNvPicPr>
                          <a:picLocks noChangeAspect="1"/>
                        </pic:cNvPicPr>
                        <pic:nvPr/>
                      </pic:nvPicPr>
                      <pic:blipFill>
                        <a:blip r:embed="rId19"/>
                        <a:stretch/>
                      </pic:blipFill>
                      <pic:spPr bwMode="auto">
                        <a:xfrm>
                          <a:off x="0" y="0"/>
                          <a:ext cx="3402965" cy="1887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7.9pt;height:148.6pt;mso-wrap-distance-left:0.0pt;mso-wrap-distance-top:0.0pt;mso-wrap-distance-right:0.0pt;mso-wrap-distance-bottom:0.0pt;" stroked="f">
                <v:path textboxrect="0,0,0,0"/>
                <v:imagedata r:id="rId19" o:title=""/>
              </v:shape>
            </w:pict>
          </mc:Fallback>
        </mc:AlternateContent>
      </w:r>
      <w:r/>
    </w:p>
    <w:p>
      <w:pPr>
        <w:ind w:firstLine="420"/>
        <w:spacing w:before="62" w:line="360" w:lineRule="auto"/>
        <w:rPr>
          <w:rFonts w:hint="eastAsia" w:ascii="宋体" w:hAnsi="宋体"/>
          <w:szCs w:val="21"/>
        </w:rPr>
      </w:pPr>
      <w:r>
        <w:rPr>
          <w:rFonts w:ascii="宋体" w:hAnsi="宋体"/>
          <w:szCs w:val="21"/>
        </w:rPr>
        <w:t xml:space="preserve">10. 不同类型、不同标称宽度、不同批号的避孕套产品，应在运输包装（外包装）箱上有醒目的区分标识或用不同颜色的打包带进行区分。</w:t>
      </w:r>
      <w:r/>
    </w:p>
    <w:p>
      <w:pPr>
        <w:ind w:firstLine="420"/>
        <w:spacing w:before="62" w:line="360" w:lineRule="auto"/>
        <w:rPr>
          <w:rFonts w:hint="eastAsia" w:ascii="宋体" w:hAnsi="宋体"/>
          <w:szCs w:val="21"/>
        </w:rPr>
      </w:pPr>
      <w:r>
        <w:rPr>
          <w:rFonts w:ascii="宋体" w:hAnsi="宋体"/>
          <w:szCs w:val="21"/>
        </w:rPr>
        <w:t xml:space="preserve">11. 包装规格和尺寸</w:t>
      </w:r>
      <w:r/>
    </w:p>
    <w:p>
      <w:pPr>
        <w:ind w:firstLine="420"/>
        <w:spacing w:before="62" w:line="360" w:lineRule="auto"/>
        <w:rPr>
          <w:rFonts w:hint="eastAsia" w:ascii="宋体" w:hAnsi="宋体"/>
          <w:szCs w:val="21"/>
        </w:rPr>
      </w:pPr>
      <w:r>
        <w:rPr>
          <w:rFonts w:ascii="宋体" w:hAnsi="宋体"/>
          <w:szCs w:val="21"/>
        </w:rPr>
        <w:t xml:space="preserve">（1）单个铝箔包装统一为方包装，“双锯齿边+易撕口”设计，尺寸为（55～60）mm×（55～60）mm</w:t>
      </w:r>
      <w:r/>
    </w:p>
    <w:p>
      <w:pPr>
        <w:ind w:firstLine="420"/>
        <w:spacing w:before="62" w:line="360" w:lineRule="auto"/>
        <w:rPr>
          <w:rFonts w:hint="eastAsia" w:ascii="宋体" w:hAnsi="宋体"/>
          <w:szCs w:val="21"/>
        </w:rPr>
      </w:pPr>
      <w:r>
        <w:rPr>
          <w:rFonts w:ascii="宋体" w:hAnsi="宋体"/>
          <w:szCs w:val="21"/>
        </w:rPr>
        <w:t xml:space="preserve">（2）消费盒包装规格和尺寸，按内装数量，分别为：2只/盒（聚氨酯）；3只/盒、5只/盒、6只/盒，尺寸均为长×宽×高＝（60～63）mm×（60～63）mm×适当；10只/盒，尺寸为长×宽×高＝120mm×70mm×20mm。</w:t>
      </w:r>
      <w:r/>
    </w:p>
    <w:p>
      <w:pPr>
        <w:ind w:firstLine="420"/>
        <w:spacing w:before="62" w:line="360" w:lineRule="auto"/>
        <w:rPr>
          <w:rFonts w:hint="eastAsia" w:ascii="宋体" w:hAnsi="宋体"/>
          <w:szCs w:val="21"/>
        </w:rPr>
      </w:pPr>
      <w:r>
        <w:rPr>
          <w:rFonts w:ascii="宋体" w:hAnsi="宋体"/>
          <w:szCs w:val="21"/>
        </w:rPr>
        <w:t xml:space="preserve">（3）运输包装（外包装）箱内装避孕套数量为：装量及尺寸可依据实际情况，并参考国家标准</w:t>
      </w:r>
      <w:r>
        <w:rPr>
          <w:rFonts w:ascii="宋体" w:hAnsi="宋体"/>
          <w:b/>
          <w:bCs/>
          <w:szCs w:val="21"/>
        </w:rPr>
        <w:t xml:space="preserve">《GB/T 6543-2025运输包装用单瓦楞纸箱和双瓦楞纸箱》</w:t>
      </w:r>
      <w:r>
        <w:rPr>
          <w:rFonts w:ascii="宋体" w:hAnsi="宋体"/>
          <w:szCs w:val="21"/>
        </w:rPr>
        <w:t xml:space="preserve">中对运输包装用双瓦楞纸箱的分类进行设计。</w:t>
      </w:r>
      <w:r/>
    </w:p>
    <w:p>
      <w:pPr>
        <w:ind w:firstLine="422"/>
        <w:spacing w:before="62" w:line="360" w:lineRule="auto"/>
        <w:rPr>
          <w:rFonts w:hint="eastAsia" w:ascii="宋体" w:hAnsi="宋体"/>
          <w:b/>
          <w:bCs/>
          <w:szCs w:val="21"/>
        </w:rPr>
      </w:pPr>
      <w:r>
        <w:rPr>
          <w:rFonts w:ascii="宋体" w:hAnsi="宋体"/>
          <w:b/>
          <w:bCs/>
          <w:szCs w:val="21"/>
        </w:rPr>
        <w:t xml:space="preserve">（4）每箱配有拎袋（若有），尺寸为</w:t>
      </w:r>
      <w:r>
        <w:rPr>
          <w:b/>
          <w:bCs/>
          <w:szCs w:val="21"/>
        </w:rPr>
        <w:t xml:space="preserve">28×20×10cm，</w:t>
      </w:r>
      <w:r>
        <w:rPr>
          <w:rFonts w:ascii="Calibri" w:hAnsi="Calibri"/>
          <w:b/>
          <w:bCs/>
          <w:szCs w:val="21"/>
        </w:rPr>
        <w:t xml:space="preserve">10个/箱，</w:t>
      </w:r>
      <w:r>
        <w:rPr>
          <w:b/>
          <w:bCs/>
          <w:szCs w:val="21"/>
        </w:rPr>
        <w:t xml:space="preserve">印“江苏药品药具公共服务”公众号二维码</w:t>
      </w:r>
      <w:r>
        <w:rPr>
          <w:rFonts w:ascii="Calibri" w:hAnsi="Calibri"/>
          <w:b/>
          <w:bCs/>
          <w:szCs w:val="21"/>
        </w:rPr>
        <w:t xml:space="preserve">（无产品名称、商标）。</w:t>
      </w:r>
      <w:r/>
    </w:p>
    <w:p>
      <w:pPr>
        <w:ind w:firstLine="420"/>
        <w:spacing w:before="62" w:line="360" w:lineRule="auto"/>
        <w:rPr>
          <w:rFonts w:hint="eastAsia" w:ascii="宋体" w:hAnsi="宋体"/>
          <w:szCs w:val="21"/>
        </w:rPr>
      </w:pPr>
      <w:r>
        <w:rPr>
          <w:rFonts w:ascii="宋体" w:hAnsi="宋体"/>
          <w:szCs w:val="21"/>
        </w:rPr>
        <w:t xml:space="preserve">12. 包装材料</w:t>
      </w:r>
      <w:r/>
    </w:p>
    <w:p>
      <w:pPr>
        <w:ind w:firstLine="420"/>
        <w:spacing w:before="62" w:line="360" w:lineRule="auto"/>
        <w:rPr>
          <w:rFonts w:hint="eastAsia" w:ascii="宋体" w:hAnsi="宋体"/>
          <w:szCs w:val="21"/>
        </w:rPr>
      </w:pPr>
      <w:r>
        <w:rPr>
          <w:rFonts w:ascii="宋体" w:hAnsi="宋体"/>
          <w:szCs w:val="21"/>
        </w:rPr>
        <w:t xml:space="preserve">（1）单个包装应采用铝箔复合膜进行密封包装，质量应符合国家药品监督管理局关于</w:t>
      </w:r>
      <w:r>
        <w:rPr>
          <w:rFonts w:ascii="宋体" w:hAnsi="宋体"/>
          <w:b/>
          <w:bCs/>
          <w:szCs w:val="21"/>
        </w:rPr>
        <w:t xml:space="preserve">《YBB00132002-2015药品包装用复合膜、袋通则》《YBB00172002-2015聚酯/铝/聚乙烯药品包装用复合膜、袋》和《YBB00152002-2015药品包装用铝箔》</w:t>
      </w:r>
      <w:r>
        <w:rPr>
          <w:rFonts w:ascii="宋体" w:hAnsi="宋体"/>
          <w:szCs w:val="21"/>
        </w:rPr>
        <w:t xml:space="preserve">等标准的要求。</w:t>
      </w:r>
      <w:r/>
    </w:p>
    <w:p>
      <w:pPr>
        <w:ind w:firstLine="420"/>
        <w:spacing w:before="62" w:line="360" w:lineRule="auto"/>
        <w:rPr>
          <w:rFonts w:hint="eastAsia" w:ascii="宋体" w:hAnsi="宋体"/>
          <w:szCs w:val="21"/>
        </w:rPr>
      </w:pPr>
      <w:r>
        <w:rPr>
          <w:rFonts w:ascii="宋体" w:hAnsi="宋体"/>
          <w:szCs w:val="21"/>
        </w:rPr>
        <w:t xml:space="preserve">（2）纸盒及塑封薄膜</w:t>
      </w:r>
      <w:r/>
    </w:p>
    <w:p>
      <w:pPr>
        <w:ind w:firstLine="527"/>
        <w:spacing w:before="62" w:line="360" w:lineRule="auto"/>
        <w:rPr>
          <w:rFonts w:hint="eastAsia" w:ascii="宋体" w:hAnsi="宋体"/>
          <w:szCs w:val="21"/>
        </w:rPr>
      </w:pPr>
      <w:r>
        <w:rPr>
          <w:rFonts w:ascii="宋体" w:hAnsi="宋体"/>
          <w:b/>
          <w:bCs/>
          <w:szCs w:val="21"/>
        </w:rPr>
        <w:t xml:space="preserve">10只装消费包装纸盒采用425g的镭射金、银卡纸制作，3只装、5只装消费包装纸盒采用≥375g的镭射金、银卡纸制作，中包装纸盒（若有）采用≥350g的灰底白板纸制作，拎袋（若有）≥</w:t>
      </w:r>
      <w:r>
        <w:rPr>
          <w:b/>
          <w:bCs/>
          <w:szCs w:val="21"/>
        </w:rPr>
        <w:t xml:space="preserve">250g牛皮纸</w:t>
      </w:r>
      <w:r>
        <w:rPr>
          <w:rFonts w:ascii="Calibri" w:hAnsi="Calibri"/>
          <w:b/>
          <w:bCs/>
          <w:szCs w:val="21"/>
        </w:rPr>
        <w:t xml:space="preserve">制作</w:t>
      </w:r>
      <w:r>
        <w:rPr>
          <w:rFonts w:ascii="宋体" w:hAnsi="宋体"/>
          <w:b/>
          <w:bCs/>
          <w:szCs w:val="21"/>
        </w:rPr>
        <w:t xml:space="preserve">。</w:t>
      </w:r>
      <w:r>
        <w:rPr>
          <w:rFonts w:ascii="宋体" w:hAnsi="宋体"/>
          <w:szCs w:val="21"/>
        </w:rPr>
        <w:t xml:space="preserve">白卡纸、塑封薄膜、牛皮纸的质量应符合《GB/T22806-2008白卡纸》</w:t>
      </w:r>
      <w:r>
        <w:rPr>
          <w:rFonts w:ascii="宋体" w:hAnsi="宋体"/>
          <w:b/>
          <w:bCs/>
          <w:szCs w:val="21"/>
        </w:rPr>
        <w:t xml:space="preserve">《GB/T 10335.3-2018涂布纸和纸板涂布白卡纸》</w:t>
      </w:r>
      <w:r>
        <w:rPr>
          <w:rFonts w:ascii="宋体" w:hAnsi="宋体"/>
          <w:szCs w:val="21"/>
        </w:rPr>
        <w:t xml:space="preserve">和《GB/T13519-2016包装用聚乙烯热收缩薄膜》</w:t>
      </w:r>
      <w:r>
        <w:rPr>
          <w:rFonts w:ascii="宋体" w:hAnsi="宋体"/>
          <w:b/>
          <w:bCs/>
          <w:szCs w:val="21"/>
        </w:rPr>
        <w:t xml:space="preserve">《GB/T 22865-2008牛皮纸》</w:t>
      </w:r>
      <w:r>
        <w:rPr>
          <w:rFonts w:ascii="宋体" w:hAnsi="宋体"/>
          <w:szCs w:val="21"/>
        </w:rPr>
        <w:t xml:space="preserve">等国家标准中对优等品的规定。纸盒及其印刷的质量应符合国家标准《GB/T 7705-2008平版装潢印刷品》中对精细产品的要求。</w:t>
      </w:r>
      <w:r/>
    </w:p>
    <w:p>
      <w:pPr>
        <w:ind w:firstLine="420"/>
        <w:spacing w:before="62" w:line="360" w:lineRule="auto"/>
        <w:rPr>
          <w:rFonts w:hint="eastAsia" w:ascii="宋体" w:hAnsi="宋体"/>
          <w:szCs w:val="21"/>
        </w:rPr>
      </w:pPr>
      <w:r>
        <w:rPr>
          <w:rFonts w:ascii="宋体" w:hAnsi="宋体"/>
          <w:szCs w:val="21"/>
        </w:rPr>
        <w:t xml:space="preserve">（3）运输包装箱（外包装箱）</w:t>
      </w:r>
      <w:r/>
    </w:p>
    <w:p>
      <w:pPr>
        <w:ind w:firstLine="525"/>
        <w:spacing w:before="62" w:line="360" w:lineRule="auto"/>
        <w:rPr>
          <w:rFonts w:hint="eastAsia" w:ascii="宋体" w:hAnsi="宋体"/>
          <w:szCs w:val="21"/>
        </w:rPr>
      </w:pPr>
      <w:r>
        <w:rPr>
          <w:rFonts w:ascii="宋体" w:hAnsi="宋体"/>
          <w:szCs w:val="21"/>
        </w:rPr>
        <w:t xml:space="preserve">运输包装箱（外包装箱）应采用运输包装用双瓦楞纸，质量符合国家标准</w:t>
      </w:r>
      <w:r>
        <w:rPr>
          <w:rFonts w:ascii="宋体" w:hAnsi="宋体"/>
          <w:b/>
          <w:bCs/>
          <w:szCs w:val="21"/>
        </w:rPr>
        <w:t xml:space="preserve">《GB/T 6543-2025运输包装用单瓦楞纸箱和双瓦楞纸箱》</w:t>
      </w:r>
      <w:r>
        <w:rPr>
          <w:rFonts w:ascii="宋体" w:hAnsi="宋体"/>
          <w:szCs w:val="21"/>
        </w:rPr>
        <w:t xml:space="preserve">中对运输包装用双瓦楞纸箱的要求。运输包装箱（外包装箱）所用牛皮纸、瓦楞芯纸、瓦楞纸板的质量应符合《GB/T 22865-2008牛皮纸》《GB/T 13023-2008瓦楞芯(原)纸》《GB/T 6544-2008瓦楞纸板》等国家标准中对优等品的规定。</w:t>
      </w:r>
      <w:r/>
    </w:p>
    <w:p>
      <w:pPr>
        <w:ind w:firstLine="527"/>
        <w:spacing w:before="62" w:line="360" w:lineRule="auto"/>
        <w:rPr>
          <w:rFonts w:hint="eastAsia" w:ascii="宋体" w:hAnsi="宋体"/>
          <w:b/>
          <w:szCs w:val="21"/>
        </w:rPr>
      </w:pPr>
      <w:r>
        <w:rPr>
          <w:rFonts w:ascii="宋体" w:hAnsi="宋体"/>
          <w:b/>
          <w:szCs w:val="21"/>
        </w:rPr>
        <w:t xml:space="preserve">（二）说明书和标签</w:t>
      </w:r>
      <w:r/>
    </w:p>
    <w:p>
      <w:pPr>
        <w:ind w:firstLine="420"/>
        <w:spacing w:before="62" w:line="360" w:lineRule="auto"/>
        <w:rPr>
          <w:rFonts w:hint="eastAsia" w:ascii="宋体" w:hAnsi="宋体"/>
          <w:szCs w:val="21"/>
        </w:rPr>
      </w:pPr>
      <w:r>
        <w:rPr>
          <w:rFonts w:ascii="宋体" w:hAnsi="宋体"/>
          <w:szCs w:val="21"/>
        </w:rPr>
        <w:t xml:space="preserve">1. 避孕套的说明书和标签应当与注册或备案的相关内容一致。</w:t>
      </w:r>
      <w:r/>
    </w:p>
    <w:p>
      <w:pPr>
        <w:ind w:firstLine="420"/>
        <w:spacing w:before="62" w:line="360" w:lineRule="auto"/>
        <w:rPr>
          <w:rFonts w:hint="eastAsia" w:ascii="宋体" w:hAnsi="宋体"/>
          <w:szCs w:val="21"/>
        </w:rPr>
      </w:pPr>
      <w:r>
        <w:rPr>
          <w:rFonts w:ascii="宋体" w:hAnsi="宋体"/>
          <w:szCs w:val="21"/>
        </w:rPr>
        <w:t xml:space="preserve">2. 避孕套的说明书和标签的文字应当符合国家食品药品监督管理局《医疗器械说明书和标签管理规定》（局令第6号）中第九条的要求。</w:t>
      </w:r>
      <w:r/>
    </w:p>
    <w:p>
      <w:pPr>
        <w:ind w:firstLine="420"/>
        <w:spacing w:before="62" w:line="360" w:lineRule="auto"/>
        <w:rPr>
          <w:rFonts w:hint="eastAsia" w:ascii="宋体" w:hAnsi="宋体"/>
          <w:szCs w:val="21"/>
        </w:rPr>
      </w:pPr>
      <w:r>
        <w:rPr>
          <w:rFonts w:ascii="宋体" w:hAnsi="宋体"/>
          <w:szCs w:val="21"/>
        </w:rPr>
        <w:t xml:space="preserve">3. 同一避孕套生产企业生产的同一避孕套，类型（光面、非光面、颜色、气味等等）和包装规格均相同的，其标签的内容、格式及颜色必须一致；类型或者包装规格不同的，其标签应当明显区别或者类型项明显标注。</w:t>
      </w:r>
      <w:r/>
    </w:p>
    <w:p>
      <w:pPr>
        <w:ind w:firstLine="420"/>
        <w:spacing w:before="62" w:line="360" w:lineRule="auto"/>
        <w:rPr>
          <w:rFonts w:hint="eastAsia" w:ascii="宋体" w:hAnsi="宋体"/>
          <w:szCs w:val="21"/>
        </w:rPr>
      </w:pPr>
      <w:r>
        <w:rPr>
          <w:rFonts w:ascii="宋体" w:hAnsi="宋体"/>
          <w:szCs w:val="21"/>
        </w:rPr>
        <w:t xml:space="preserve">4. 避孕套的说明书应印制在消费包装盒上，或在消费盒内附有说明书。</w:t>
      </w:r>
      <w:r/>
    </w:p>
    <w:p>
      <w:pPr>
        <w:ind w:firstLine="420"/>
        <w:spacing w:before="62" w:line="360" w:lineRule="auto"/>
        <w:rPr>
          <w:rFonts w:hint="eastAsia" w:ascii="宋体" w:hAnsi="宋体"/>
          <w:szCs w:val="21"/>
        </w:rPr>
      </w:pPr>
      <w:r>
        <w:rPr>
          <w:rFonts w:ascii="宋体" w:hAnsi="宋体"/>
          <w:szCs w:val="21"/>
        </w:rPr>
        <w:t xml:space="preserve">5. 避孕套的包装标识</w:t>
      </w:r>
      <w:r/>
    </w:p>
    <w:p>
      <w:pPr>
        <w:ind w:firstLine="420"/>
        <w:spacing w:before="62" w:line="360" w:lineRule="auto"/>
        <w:rPr>
          <w:rFonts w:hint="eastAsia" w:ascii="宋体" w:hAnsi="宋体"/>
          <w:szCs w:val="21"/>
        </w:rPr>
      </w:pPr>
      <w:r>
        <w:rPr>
          <w:rFonts w:ascii="宋体" w:hAnsi="宋体"/>
          <w:szCs w:val="21"/>
        </w:rPr>
        <w:t xml:space="preserve">（1）单个密封包装袋（铝箔复合膜表层）应标注的内容</w:t>
      </w:r>
      <w:r/>
    </w:p>
    <w:p>
      <w:pPr>
        <w:ind w:firstLine="420"/>
        <w:spacing w:before="62" w:line="360" w:lineRule="auto"/>
        <w:rPr>
          <w:rFonts w:hint="eastAsia" w:ascii="宋体" w:hAnsi="宋体"/>
          <w:szCs w:val="21"/>
        </w:rPr>
      </w:pPr>
      <w:r>
        <w:rPr>
          <w:rFonts w:ascii="宋体" w:hAnsi="宋体"/>
          <w:szCs w:val="21"/>
        </w:rPr>
        <w:t xml:space="preserve">① 国家免费提供标识（图形+文字）（应保证每个密封包装袋至少具有国家免费提供标识），“国家免费提供”的文字颜色尽可能显著。</w:t>
      </w:r>
      <w:r/>
    </w:p>
    <w:p>
      <w:pPr>
        <w:ind w:firstLine="420"/>
        <w:spacing w:before="62" w:line="360" w:lineRule="auto"/>
        <w:rPr>
          <w:rFonts w:hint="eastAsia" w:ascii="宋体" w:hAnsi="宋体"/>
          <w:szCs w:val="21"/>
        </w:rPr>
      </w:pPr>
      <w:r>
        <w:rPr>
          <w:rFonts w:ascii="宋体" w:hAnsi="宋体"/>
          <w:szCs w:val="21"/>
        </w:rPr>
        <w:t xml:space="preserve">② 产品名称、标称宽度。</w:t>
      </w:r>
      <w:r/>
    </w:p>
    <w:p>
      <w:pPr>
        <w:ind w:firstLine="420"/>
        <w:spacing w:before="62" w:line="360" w:lineRule="auto"/>
        <w:rPr>
          <w:rFonts w:hint="eastAsia" w:ascii="宋体" w:hAnsi="宋体"/>
          <w:szCs w:val="21"/>
        </w:rPr>
      </w:pPr>
      <w:r>
        <w:rPr>
          <w:rFonts w:ascii="宋体" w:hAnsi="宋体"/>
          <w:szCs w:val="21"/>
        </w:rPr>
        <w:t xml:space="preserve">③ 生产企业名称或产品注册商标。</w:t>
      </w:r>
      <w:r/>
    </w:p>
    <w:p>
      <w:pPr>
        <w:ind w:firstLine="420"/>
        <w:spacing w:before="62" w:line="360" w:lineRule="auto"/>
        <w:rPr>
          <w:rFonts w:hint="eastAsia" w:ascii="宋体" w:hAnsi="宋体"/>
          <w:szCs w:val="21"/>
        </w:rPr>
      </w:pPr>
      <w:r>
        <w:rPr>
          <w:rFonts w:ascii="宋体" w:hAnsi="宋体"/>
          <w:szCs w:val="21"/>
        </w:rPr>
        <w:t xml:space="preserve">④ 避孕套的生产批号，以八位数字表示，前四位数字表示年份（年份取后两位数，如2017年，年份用17表示）和月份，第五、六位数字表示当月累计生产批的顺序号，第七、八位数字表示生产本批产品的生产线编号。若生产企业对避孕套生产批号的编制有其他信息的需求，应在八位数字后空两个字符进行添加。</w:t>
      </w:r>
      <w:r/>
    </w:p>
    <w:p>
      <w:pPr>
        <w:ind w:firstLine="420"/>
        <w:spacing w:before="62" w:line="360" w:lineRule="auto"/>
        <w:rPr>
          <w:rFonts w:hint="eastAsia" w:ascii="宋体" w:hAnsi="宋体"/>
          <w:szCs w:val="21"/>
        </w:rPr>
      </w:pPr>
      <w:r>
        <w:rPr>
          <w:rFonts w:ascii="宋体" w:hAnsi="宋体"/>
          <w:szCs w:val="21"/>
        </w:rPr>
        <w:t xml:space="preserve">⑤ 失效日期（年、月），以六位数字表示，前四位数字表示年份，后两位数字表示月份；若某一消费包装中包含有不同批次的避孕套，应标明最早的失效日期。</w:t>
      </w:r>
      <w:r/>
    </w:p>
    <w:p>
      <w:pPr>
        <w:ind w:firstLine="420"/>
        <w:spacing w:before="62" w:line="360" w:lineRule="auto"/>
        <w:rPr>
          <w:rFonts w:hint="eastAsia" w:ascii="宋体" w:hAnsi="宋体"/>
          <w:szCs w:val="21"/>
        </w:rPr>
      </w:pPr>
      <w:r>
        <w:rPr>
          <w:rFonts w:ascii="宋体" w:hAnsi="宋体"/>
          <w:szCs w:val="21"/>
        </w:rPr>
        <w:t xml:space="preserve">⑥ 生产日期（年、月、日），以八位数字表示，前四位数字表示年份，第五、六位表示月份，最后两位数字表示日期；</w:t>
      </w:r>
      <w:r/>
    </w:p>
    <w:p>
      <w:pPr>
        <w:ind w:firstLine="420"/>
        <w:spacing w:before="62" w:line="360" w:lineRule="auto"/>
        <w:rPr>
          <w:rFonts w:hint="eastAsia" w:ascii="宋体" w:hAnsi="宋体"/>
          <w:szCs w:val="21"/>
        </w:rPr>
      </w:pPr>
      <w:r>
        <w:rPr>
          <w:rFonts w:ascii="宋体" w:hAnsi="宋体"/>
          <w:szCs w:val="21"/>
        </w:rPr>
        <w:t xml:space="preserve">⑦ 一次性使用标识。</w:t>
      </w:r>
      <w:r/>
    </w:p>
    <w:p>
      <w:pPr>
        <w:ind w:firstLine="420"/>
        <w:spacing w:before="62" w:line="360" w:lineRule="auto"/>
        <w:rPr>
          <w:rFonts w:hint="eastAsia" w:ascii="宋体" w:hAnsi="宋体"/>
          <w:szCs w:val="21"/>
        </w:rPr>
      </w:pPr>
      <w:r>
        <w:rPr>
          <w:rFonts w:ascii="宋体" w:hAnsi="宋体"/>
          <w:szCs w:val="21"/>
        </w:rPr>
        <w:t xml:space="preserve">⑧ 标注三角形易撕标识。</w:t>
      </w:r>
      <w:r/>
    </w:p>
    <w:p>
      <w:pPr>
        <w:ind w:firstLine="420"/>
        <w:spacing w:before="62" w:line="360" w:lineRule="auto"/>
        <w:rPr>
          <w:rFonts w:hint="eastAsia" w:ascii="宋体" w:hAnsi="宋体"/>
          <w:szCs w:val="21"/>
        </w:rPr>
      </w:pPr>
      <w:r>
        <w:rPr>
          <w:rFonts w:ascii="宋体" w:hAnsi="宋体"/>
          <w:szCs w:val="21"/>
        </w:rPr>
        <w:t xml:space="preserve">（2）消费盒应标注的内容</w:t>
      </w:r>
      <w:r/>
    </w:p>
    <w:p>
      <w:pPr>
        <w:ind w:firstLine="420"/>
        <w:spacing w:before="62" w:line="360" w:lineRule="auto"/>
        <w:rPr>
          <w:rFonts w:hint="eastAsia" w:ascii="宋体" w:hAnsi="宋体"/>
          <w:szCs w:val="21"/>
        </w:rPr>
      </w:pPr>
      <w:r>
        <w:rPr>
          <w:rFonts w:ascii="宋体" w:hAnsi="宋体"/>
          <w:szCs w:val="21"/>
        </w:rPr>
        <w:t xml:space="preserve">① 消费盒正面：国家免费提供标识（图形＋文字）（应印制在右上角）、产品名称（中文或中英文）、注册商标、类型、内装数量、标称宽度。</w:t>
      </w:r>
      <w:r/>
    </w:p>
    <w:p>
      <w:pPr>
        <w:ind w:firstLine="420"/>
        <w:spacing w:before="62" w:line="360" w:lineRule="auto"/>
        <w:rPr>
          <w:rFonts w:hint="eastAsia" w:ascii="宋体" w:hAnsi="宋体"/>
          <w:szCs w:val="21"/>
        </w:rPr>
      </w:pPr>
      <w:r>
        <w:rPr>
          <w:rFonts w:ascii="宋体" w:hAnsi="宋体"/>
          <w:szCs w:val="21"/>
        </w:rPr>
        <w:t xml:space="preserve">在显著位置印制“国家基本公共卫生服务项目”标识。</w:t>
      </w:r>
      <w:r>
        <w:rPr>
          <w:rFonts w:ascii="宋体" w:hAnsi="宋体"/>
          <w:szCs w:val="21"/>
        </w:rPr>
        <w:tab/>
      </w:r>
      <w:r/>
    </w:p>
    <w:p>
      <w:pPr>
        <w:ind w:firstLine="420"/>
        <w:spacing w:before="62" w:line="360" w:lineRule="auto"/>
        <w:rPr>
          <w:rFonts w:hint="eastAsia" w:ascii="宋体" w:hAnsi="宋体"/>
          <w:szCs w:val="21"/>
        </w:rPr>
      </w:pPr>
      <w:r>
        <w:rPr>
          <w:rFonts w:ascii="宋体" w:hAnsi="宋体"/>
          <w:szCs w:val="21"/>
        </w:rPr>
        <w:t xml:space="preserve">在反面底部适当位置印有“江苏药品药具公共服务”微信公众号的二维码，大小与“国家免费提供”标识相同；</w:t>
      </w:r>
      <w:r/>
    </w:p>
    <w:p>
      <w:pPr>
        <w:ind w:firstLine="420"/>
        <w:spacing w:before="62" w:line="360" w:lineRule="auto"/>
        <w:rPr>
          <w:rFonts w:hint="eastAsia" w:ascii="宋体" w:hAnsi="宋体"/>
          <w:szCs w:val="21"/>
        </w:rPr>
      </w:pPr>
      <w:r>
        <w:rPr>
          <w:rFonts w:ascii="宋体" w:hAnsi="宋体"/>
          <w:szCs w:val="21"/>
        </w:rPr>
        <w:t xml:space="preserve">超薄型避孕套在包装正面印有“超薄”字样；</w:t>
      </w:r>
      <w:r/>
    </w:p>
    <w:p>
      <w:pPr>
        <w:ind w:firstLine="420"/>
        <w:spacing w:before="62" w:line="360" w:lineRule="auto"/>
        <w:rPr>
          <w:rFonts w:hint="eastAsia" w:ascii="宋体" w:hAnsi="宋体"/>
          <w:szCs w:val="21"/>
        </w:rPr>
      </w:pPr>
      <w:r>
        <w:rPr>
          <w:rFonts w:ascii="宋体" w:hAnsi="宋体"/>
          <w:szCs w:val="21"/>
        </w:rPr>
        <w:t xml:space="preserve">物理延时型避孕套在包装正面印有“物理延时”字样。</w:t>
      </w:r>
      <w:r/>
    </w:p>
    <w:p>
      <w:pPr>
        <w:ind w:firstLine="420"/>
        <w:spacing w:before="62" w:line="360" w:lineRule="auto"/>
        <w:rPr>
          <w:rFonts w:hint="eastAsia" w:ascii="宋体" w:hAnsi="宋体"/>
          <w:szCs w:val="21"/>
        </w:rPr>
      </w:pPr>
      <w:r>
        <w:rPr>
          <w:rFonts w:ascii="宋体" w:hAnsi="宋体"/>
          <w:szCs w:val="21"/>
        </w:rPr>
        <w:t xml:space="preserve">非光面避孕套在外包装正面或反面印“凸点螺纹”“螺纹”“颗粒”等字样。</w:t>
      </w:r>
      <w:r/>
    </w:p>
    <w:p>
      <w:pPr>
        <w:ind w:firstLine="420"/>
        <w:spacing w:before="62" w:line="360" w:lineRule="auto"/>
        <w:rPr>
          <w:rFonts w:hint="eastAsia" w:ascii="宋体" w:hAnsi="宋体"/>
          <w:szCs w:val="21"/>
        </w:rPr>
      </w:pPr>
      <w:r>
        <w:rPr>
          <w:rFonts w:ascii="宋体" w:hAnsi="宋体"/>
          <w:szCs w:val="21"/>
        </w:rPr>
        <w:t xml:space="preserve">② 消费盒的上盖口顶面：生产批号、生产日期、失效日期，均应与单个密封包装上的标识方式完全一致。</w:t>
      </w:r>
      <w:r/>
    </w:p>
    <w:p>
      <w:pPr>
        <w:ind w:firstLine="420"/>
        <w:spacing w:before="62" w:line="360" w:lineRule="auto"/>
        <w:rPr>
          <w:rFonts w:hint="eastAsia" w:ascii="宋体" w:hAnsi="宋体"/>
          <w:szCs w:val="21"/>
        </w:rPr>
      </w:pPr>
      <w:r>
        <w:rPr>
          <w:rFonts w:ascii="宋体" w:hAnsi="宋体"/>
          <w:szCs w:val="21"/>
        </w:rPr>
        <w:t xml:space="preserve">③ 消费盒的下盖口底面：储存条件——指明避孕套应储存在凉爽干燥、不受阳光直射的地方。</w:t>
      </w:r>
      <w:r/>
    </w:p>
    <w:p>
      <w:pPr>
        <w:ind w:firstLine="420"/>
        <w:spacing w:before="62" w:line="360" w:lineRule="auto"/>
        <w:rPr>
          <w:rFonts w:hint="eastAsia" w:ascii="宋体" w:hAnsi="宋体"/>
          <w:szCs w:val="21"/>
        </w:rPr>
      </w:pPr>
      <w:r>
        <w:rPr>
          <w:rFonts w:ascii="宋体" w:hAnsi="宋体"/>
          <w:szCs w:val="21"/>
        </w:rPr>
        <w:t xml:space="preserve">④ 消费盒一侧用显著的字体标注“国家免费提供，严禁流入市场”，同时另一侧面印制医疗器械生产企业许可证号、医疗器械注册证号、产品标准号、制造商名称、地址、电话和邮编。</w:t>
      </w:r>
      <w:r/>
    </w:p>
    <w:p>
      <w:pPr>
        <w:ind w:firstLine="420"/>
        <w:spacing w:before="62" w:line="360" w:lineRule="auto"/>
        <w:rPr>
          <w:rFonts w:hint="eastAsia" w:ascii="宋体" w:hAnsi="宋体"/>
          <w:szCs w:val="21"/>
        </w:rPr>
      </w:pPr>
      <w:r>
        <w:rPr>
          <w:rFonts w:ascii="宋体" w:hAnsi="宋体"/>
          <w:szCs w:val="21"/>
        </w:rPr>
        <w:t xml:space="preserve">⑤ 消费盒背面：产品名称（中英文）、产品描述（包括避孕套制造材料、是否有储精囊、是否有色彩、花纹或香味， 当加入药物成分时应指明其成分和用途）、使用说明书和注意事项等。</w:t>
      </w:r>
      <w:r/>
    </w:p>
    <w:p>
      <w:pPr>
        <w:ind w:firstLine="420"/>
        <w:spacing w:before="62" w:line="360" w:lineRule="auto"/>
        <w:rPr>
          <w:rFonts w:hint="eastAsia" w:ascii="宋体" w:hAnsi="宋体"/>
          <w:szCs w:val="21"/>
        </w:rPr>
      </w:pPr>
      <w:r>
        <w:rPr>
          <w:rFonts w:ascii="宋体" w:hAnsi="宋体"/>
          <w:szCs w:val="21"/>
        </w:rPr>
        <w:t xml:space="preserve">a）产品使用说明书应包括以下内容： </w:t>
      </w:r>
      <w:r/>
    </w:p>
    <w:p>
      <w:pPr>
        <w:numPr>
          <w:ilvl w:val="0"/>
          <w:numId w:val="9"/>
        </w:numPr>
        <w:spacing w:before="62" w:line="360" w:lineRule="auto"/>
        <w:rPr>
          <w:rFonts w:hint="eastAsia" w:ascii="宋体" w:hAnsi="宋体"/>
          <w:szCs w:val="21"/>
        </w:rPr>
      </w:pPr>
      <w:r>
        <w:rPr>
          <w:rFonts w:ascii="宋体" w:hAnsi="宋体"/>
          <w:szCs w:val="21"/>
        </w:rPr>
        <w:t xml:space="preserve">沿避孕套内包装边缘撕开，应小心取出单个避孕套，以避免被指甲、珠宝等锐物损坏；</w:t>
      </w:r>
      <w:r/>
    </w:p>
    <w:p>
      <w:pPr>
        <w:numPr>
          <w:ilvl w:val="0"/>
          <w:numId w:val="9"/>
        </w:numPr>
        <w:spacing w:before="62" w:line="360" w:lineRule="auto"/>
        <w:rPr>
          <w:rFonts w:hint="eastAsia" w:ascii="宋体" w:hAnsi="宋体"/>
          <w:szCs w:val="21"/>
        </w:rPr>
      </w:pPr>
      <w:r>
        <w:rPr>
          <w:rFonts w:ascii="宋体" w:hAnsi="宋体"/>
          <w:szCs w:val="21"/>
        </w:rPr>
        <w:t xml:space="preserve">挤出储精囊中的空气，在勃起的阴茎与对方身体接触前戴好避孕套；</w:t>
      </w:r>
      <w:r/>
    </w:p>
    <w:p>
      <w:pPr>
        <w:numPr>
          <w:ilvl w:val="0"/>
          <w:numId w:val="9"/>
        </w:numPr>
        <w:spacing w:before="62" w:line="360" w:lineRule="auto"/>
        <w:rPr>
          <w:rFonts w:hint="eastAsia" w:ascii="宋体" w:hAnsi="宋体"/>
          <w:szCs w:val="21"/>
        </w:rPr>
      </w:pPr>
      <w:r>
        <w:rPr>
          <w:rFonts w:ascii="宋体" w:hAnsi="宋体"/>
          <w:szCs w:val="21"/>
        </w:rPr>
        <w:t xml:space="preserve">轻轻挤出储精囊中的空气，在勃起的阴茎与对方身体接触之前戴好，以防止性传播疾病和受孕；</w:t>
      </w:r>
      <w:r/>
    </w:p>
    <w:p>
      <w:pPr>
        <w:numPr>
          <w:ilvl w:val="0"/>
          <w:numId w:val="9"/>
        </w:numPr>
        <w:spacing w:before="62" w:line="360" w:lineRule="auto"/>
        <w:rPr>
          <w:rFonts w:hint="eastAsia" w:ascii="宋体" w:hAnsi="宋体"/>
          <w:szCs w:val="21"/>
        </w:rPr>
      </w:pPr>
      <w:r>
        <w:rPr>
          <w:rFonts w:ascii="宋体" w:hAnsi="宋体"/>
          <w:szCs w:val="21"/>
        </w:rPr>
        <w:t xml:space="preserve">射精后，应从阴茎根部捏住避孕套，并尽快撤出。</w:t>
      </w:r>
      <w:r/>
    </w:p>
    <w:p>
      <w:pPr>
        <w:numPr>
          <w:ilvl w:val="0"/>
          <w:numId w:val="9"/>
        </w:numPr>
        <w:spacing w:before="62" w:line="360" w:lineRule="auto"/>
        <w:rPr>
          <w:rFonts w:hint="eastAsia" w:ascii="宋体" w:hAnsi="宋体"/>
          <w:szCs w:val="21"/>
        </w:rPr>
      </w:pPr>
      <w:r>
        <w:rPr>
          <w:rFonts w:ascii="宋体" w:hAnsi="宋体"/>
          <w:szCs w:val="21"/>
        </w:rPr>
        <w:t xml:space="preserve">如希望使用额外的润滑剂，应避免使用石油基类的润滑剂，如凡士林、婴儿油、浴液、按摩油、黄油等，原因是这些物质会破坏避孕套的完整性；</w:t>
      </w:r>
      <w:r/>
    </w:p>
    <w:p>
      <w:pPr>
        <w:numPr>
          <w:ilvl w:val="0"/>
          <w:numId w:val="9"/>
        </w:numPr>
        <w:spacing w:before="62" w:line="360" w:lineRule="auto"/>
        <w:rPr>
          <w:rFonts w:hint="eastAsia" w:ascii="宋体" w:hAnsi="宋体"/>
          <w:szCs w:val="21"/>
        </w:rPr>
      </w:pPr>
      <w:r>
        <w:rPr>
          <w:rFonts w:ascii="宋体" w:hAnsi="宋体"/>
          <w:szCs w:val="21"/>
        </w:rPr>
        <w:t xml:space="preserve">应咨询医生或药剂师后，再选择可与避孕套接触的适用药物。</w:t>
      </w:r>
      <w:r/>
    </w:p>
    <w:p>
      <w:pPr>
        <w:ind w:firstLine="420"/>
        <w:spacing w:before="62" w:line="360" w:lineRule="auto"/>
        <w:rPr>
          <w:rFonts w:hint="eastAsia" w:ascii="宋体" w:hAnsi="宋体"/>
          <w:szCs w:val="21"/>
        </w:rPr>
      </w:pPr>
      <w:r>
        <w:rPr>
          <w:rFonts w:ascii="宋体" w:hAnsi="宋体"/>
          <w:szCs w:val="21"/>
        </w:rPr>
        <w:t xml:space="preserve">b）注意事项的内容包括：</w:t>
      </w:r>
      <w:r/>
    </w:p>
    <w:p>
      <w:pPr>
        <w:numPr>
          <w:ilvl w:val="0"/>
          <w:numId w:val="9"/>
        </w:numPr>
        <w:spacing w:before="62" w:line="360" w:lineRule="auto"/>
        <w:rPr>
          <w:rFonts w:hint="eastAsia" w:ascii="宋体" w:hAnsi="宋体"/>
          <w:szCs w:val="21"/>
        </w:rPr>
      </w:pPr>
      <w:r>
        <w:rPr>
          <w:rFonts w:ascii="宋体" w:hAnsi="宋体"/>
          <w:szCs w:val="21"/>
        </w:rPr>
        <w:t xml:space="preserve">使用前应注意失效日期；</w:t>
      </w:r>
      <w:r/>
    </w:p>
    <w:p>
      <w:pPr>
        <w:numPr>
          <w:ilvl w:val="0"/>
          <w:numId w:val="9"/>
        </w:numPr>
        <w:spacing w:before="62" w:line="360" w:lineRule="auto"/>
        <w:rPr>
          <w:rFonts w:hint="eastAsia" w:ascii="宋体" w:hAnsi="宋体"/>
          <w:szCs w:val="21"/>
        </w:rPr>
      </w:pPr>
      <w:r>
        <w:rPr>
          <w:rFonts w:ascii="宋体" w:hAnsi="宋体"/>
          <w:szCs w:val="21"/>
        </w:rPr>
        <w:t xml:space="preserve">射精后避孕套如脱落在阴道内或破损，应尽快咨询医生；</w:t>
      </w:r>
      <w:r/>
    </w:p>
    <w:p>
      <w:pPr>
        <w:numPr>
          <w:ilvl w:val="0"/>
          <w:numId w:val="9"/>
        </w:numPr>
        <w:spacing w:before="62" w:line="360" w:lineRule="auto"/>
        <w:rPr>
          <w:rFonts w:hint="eastAsia" w:ascii="宋体" w:hAnsi="宋体"/>
          <w:szCs w:val="21"/>
        </w:rPr>
      </w:pPr>
      <w:r>
        <w:rPr>
          <w:rFonts w:ascii="宋体" w:hAnsi="宋体"/>
          <w:szCs w:val="21"/>
        </w:rPr>
        <w:t xml:space="preserve">对橡胶制品过敏者慎用。</w:t>
      </w:r>
      <w:r/>
    </w:p>
    <w:p>
      <w:pPr>
        <w:ind w:firstLine="420"/>
        <w:spacing w:before="62" w:line="360" w:lineRule="auto"/>
        <w:rPr>
          <w:rFonts w:hint="eastAsia" w:ascii="宋体" w:hAnsi="宋体"/>
          <w:szCs w:val="21"/>
        </w:rPr>
      </w:pPr>
      <w:r>
        <w:rPr>
          <w:rFonts w:ascii="宋体" w:hAnsi="宋体"/>
          <w:szCs w:val="21"/>
        </w:rPr>
        <w:t xml:space="preserve">c）如何处理已使用过的避孕套。</w:t>
      </w:r>
      <w:r/>
    </w:p>
    <w:p>
      <w:pPr>
        <w:ind w:firstLine="420"/>
        <w:spacing w:before="62" w:line="360" w:lineRule="auto"/>
        <w:rPr>
          <w:rFonts w:hint="eastAsia" w:ascii="宋体" w:hAnsi="宋体"/>
          <w:szCs w:val="21"/>
        </w:rPr>
      </w:pPr>
      <w:r>
        <w:rPr>
          <w:rFonts w:ascii="宋体" w:hAnsi="宋体"/>
          <w:szCs w:val="21"/>
        </w:rPr>
        <w:t xml:space="preserve">d）说明避孕套为一次性使用。</w:t>
      </w:r>
      <w:r/>
    </w:p>
    <w:p>
      <w:pPr>
        <w:ind w:firstLine="420"/>
        <w:spacing w:before="62" w:line="360" w:lineRule="auto"/>
        <w:rPr>
          <w:rFonts w:hint="eastAsia" w:ascii="宋体" w:hAnsi="宋体"/>
          <w:szCs w:val="21"/>
        </w:rPr>
      </w:pPr>
      <w:r>
        <w:rPr>
          <w:rFonts w:ascii="宋体" w:hAnsi="宋体"/>
          <w:szCs w:val="21"/>
        </w:rPr>
        <w:t xml:space="preserve">（3）运输包装（外包装）箱应标注的内容</w:t>
      </w:r>
      <w:r/>
    </w:p>
    <w:p>
      <w:pPr>
        <w:ind w:firstLine="420"/>
        <w:spacing w:before="62" w:line="360" w:lineRule="auto"/>
        <w:rPr>
          <w:rFonts w:hint="eastAsia" w:ascii="宋体" w:hAnsi="宋体"/>
          <w:szCs w:val="21"/>
        </w:rPr>
      </w:pPr>
      <w:r>
        <w:rPr>
          <w:rFonts w:ascii="宋体" w:hAnsi="宋体"/>
          <w:szCs w:val="21"/>
        </w:rPr>
        <w:t xml:space="preserve">① 一侧立面的右上角应印制国家免费提供标识（图形＋文字），对面侧的右上角应印制“国家基本公共卫生服务项目”标识，同时在适当位置印有“江苏药品药具公共服务”微信公众号二维码。</w:t>
      </w:r>
      <w:r/>
    </w:p>
    <w:p>
      <w:pPr>
        <w:ind w:firstLine="420"/>
        <w:spacing w:before="62" w:line="360" w:lineRule="auto"/>
        <w:rPr>
          <w:rFonts w:hint="eastAsia" w:ascii="宋体" w:hAnsi="宋体"/>
          <w:szCs w:val="21"/>
        </w:rPr>
      </w:pPr>
      <w:r>
        <w:rPr>
          <w:rFonts w:ascii="宋体" w:hAnsi="宋体"/>
          <w:szCs w:val="21"/>
        </w:rPr>
        <w:t xml:space="preserve">② 产品名称（中英文）、注册商标、类型、产品等级、标称宽度、内装数量、生产日期、生产批号、失效日期、一次性使用标识、毛重、净重、体积。</w:t>
      </w:r>
      <w:r/>
    </w:p>
    <w:p>
      <w:pPr>
        <w:ind w:firstLine="420"/>
        <w:spacing w:before="62" w:line="360" w:lineRule="auto"/>
        <w:rPr>
          <w:rFonts w:hint="eastAsia" w:ascii="宋体" w:hAnsi="宋体"/>
          <w:szCs w:val="21"/>
        </w:rPr>
      </w:pPr>
      <w:r>
        <w:rPr>
          <w:rFonts w:ascii="宋体" w:hAnsi="宋体"/>
          <w:szCs w:val="21"/>
        </w:rPr>
        <w:t xml:space="preserve">③ 医疗器械生产企业许可证号、医疗器械注册证号、产品标准号。</w:t>
      </w:r>
      <w:r/>
    </w:p>
    <w:p>
      <w:pPr>
        <w:ind w:firstLine="420"/>
        <w:spacing w:before="62" w:line="360" w:lineRule="auto"/>
        <w:rPr>
          <w:rFonts w:hint="eastAsia" w:ascii="宋体" w:hAnsi="宋体"/>
          <w:szCs w:val="21"/>
        </w:rPr>
      </w:pPr>
      <w:r>
        <w:rPr>
          <w:rFonts w:ascii="宋体" w:hAnsi="宋体"/>
          <w:szCs w:val="21"/>
        </w:rPr>
        <w:t xml:space="preserve">④ 制造商名称、地址、电话、邮编。</w:t>
      </w:r>
      <w:r/>
    </w:p>
    <w:p>
      <w:pPr>
        <w:ind w:firstLine="420"/>
        <w:spacing w:before="62" w:line="360" w:lineRule="auto"/>
        <w:rPr>
          <w:rFonts w:hint="eastAsia" w:ascii="宋体" w:hAnsi="宋体"/>
          <w:szCs w:val="21"/>
        </w:rPr>
        <w:sectPr>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ascii="宋体" w:hAnsi="宋体"/>
          <w:szCs w:val="21"/>
        </w:rPr>
        <w:t xml:space="preserve">⑤ 有关运输注意事项或其他有关标识及其图标。</w:t>
      </w:r>
      <w:r/>
    </w:p>
    <w:p>
      <w:pPr>
        <w:spacing w:line="360" w:lineRule="auto"/>
        <w:rPr>
          <w:rFonts w:hint="eastAsia" w:ascii="宋体" w:hAnsi="宋体"/>
          <w:b/>
          <w:bCs/>
          <w:szCs w:val="21"/>
        </w:rPr>
      </w:pPr>
      <w:r>
        <w:rPr>
          <w:rFonts w:ascii="宋体" w:hAnsi="宋体"/>
          <w:b/>
          <w:bCs/>
          <w:szCs w:val="21"/>
        </w:rPr>
        <w:t xml:space="preserve">样表 1</w:t>
      </w:r>
      <w:r/>
    </w:p>
    <w:p>
      <w:pPr>
        <w:ind w:right="-1"/>
        <w:jc w:val="center"/>
        <w:spacing w:line="360" w:lineRule="auto"/>
        <w:rPr>
          <w:rFonts w:hint="eastAsia" w:ascii="宋体" w:hAnsi="宋体"/>
          <w:szCs w:val="21"/>
        </w:rPr>
      </w:pPr>
      <w:r>
        <w:rPr>
          <w:rFonts w:ascii="宋体" w:hAnsi="宋体" w:cs="宋体"/>
          <w:b/>
          <w:bCs/>
          <w:szCs w:val="21"/>
        </w:rPr>
        <w:t xml:space="preserve">基本避孕药具包装材料质量标准一览表</w:t>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（盖公章）</w:t>
      </w:r>
      <w:r/>
    </w:p>
    <w:tbl>
      <w:tblPr>
        <w:tblStyle w:val="945"/>
        <w:tblW w:w="139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18"/>
        <w:gridCol w:w="1214"/>
        <w:gridCol w:w="2018"/>
        <w:gridCol w:w="1466"/>
        <w:gridCol w:w="1600"/>
        <w:gridCol w:w="1465"/>
        <w:gridCol w:w="1333"/>
        <w:gridCol w:w="1333"/>
        <w:gridCol w:w="1332"/>
        <w:gridCol w:w="799"/>
      </w:tblGrid>
      <w:tr>
        <w:trPr>
          <w:trHeight w:val="1068"/>
        </w:trPr>
        <w:tc>
          <w:tcPr>
            <w:tcW w:w="1418"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药具名称</w:t>
            </w:r>
            <w:r/>
          </w:p>
        </w:tc>
        <w:tc>
          <w:tcPr>
            <w:gridSpan w:val="2"/>
            <w:tcW w:w="3232"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直接接触药具的</w:t>
            </w:r>
            <w:r/>
          </w:p>
          <w:p>
            <w:pPr>
              <w:jc w:val="center"/>
              <w:spacing w:line="360" w:lineRule="auto"/>
              <w:rPr>
                <w:rFonts w:hint="eastAsia" w:ascii="宋体" w:hAnsi="宋体" w:cs="仿宋"/>
                <w:b/>
                <w:szCs w:val="21"/>
              </w:rPr>
            </w:pPr>
            <w:r>
              <w:rPr>
                <w:rFonts w:ascii="宋体" w:hAnsi="宋体" w:cs="仿宋"/>
                <w:b/>
                <w:szCs w:val="21"/>
              </w:rPr>
              <w:t xml:space="preserve">包装（板/袋）</w:t>
            </w:r>
            <w:r/>
          </w:p>
        </w:tc>
        <w:tc>
          <w:tcPr>
            <w:gridSpan w:val="2"/>
            <w:tcW w:w="3066"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最小消费盒</w:t>
            </w:r>
            <w:r/>
          </w:p>
        </w:tc>
        <w:tc>
          <w:tcPr>
            <w:gridSpan w:val="2"/>
            <w:tcW w:w="2798"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中包装盒/封膜</w:t>
            </w:r>
            <w:r/>
          </w:p>
        </w:tc>
        <w:tc>
          <w:tcPr>
            <w:gridSpan w:val="2"/>
            <w:tcW w:w="2665"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外包装箱</w:t>
            </w:r>
            <w:r/>
          </w:p>
        </w:tc>
        <w:tc>
          <w:tcPr>
            <w:tcW w:w="799" w:type="dxa"/>
            <w:vAlign w:val="center"/>
            <w:vMerge w:val="restart"/>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备注</w:t>
            </w:r>
            <w:r/>
          </w:p>
        </w:tc>
      </w:tr>
      <w:tr>
        <w:trPr>
          <w:trHeight w:val="985"/>
        </w:trPr>
        <w:tc>
          <w:tcPr>
            <w:tcW w:w="1418"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2018"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466"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600"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465"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333"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333"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332"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799" w:type="dxa"/>
            <w:vAlign w:val="center"/>
            <w:vMerge w:val="continue"/>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r>
        <w:trPr>
          <w:trHeight w:val="985"/>
        </w:trPr>
        <w:tc>
          <w:tcPr>
            <w:tcW w:w="141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2018"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6"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60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5"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2"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799"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r>
        <w:trPr>
          <w:trHeight w:val="994"/>
        </w:trPr>
        <w:tc>
          <w:tcPr>
            <w:tcW w:w="141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2018"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6"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60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5"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2"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799"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bl>
    <w:p>
      <w:pPr>
        <w:spacing w:line="366" w:lineRule="exact"/>
        <w:tabs>
          <w:tab w:val="left" w:pos="6700" w:leader="none"/>
          <w:tab w:val="left" w:pos="9740" w:leader="none"/>
        </w:tabs>
        <w:rPr>
          <w:rFonts w:hint="eastAsia" w:ascii="宋体" w:hAnsi="宋体" w:cs="仿宋"/>
          <w:szCs w:val="21"/>
        </w:rPr>
      </w:pPr>
      <w:r>
        <w:rPr>
          <w:rFonts w:ascii="宋体" w:hAnsi="宋体" w:cs="仿宋"/>
          <w:szCs w:val="21"/>
        </w:rPr>
        <w:t xml:space="preserve">审核人：</w:t>
      </w:r>
      <w:r>
        <w:rPr>
          <w:rFonts w:ascii="宋体" w:hAnsi="宋体"/>
          <w:szCs w:val="21"/>
        </w:rPr>
        <w:t xml:space="preserve">                          </w:t>
      </w:r>
      <w:r>
        <w:rPr>
          <w:rFonts w:ascii="宋体" w:hAnsi="宋体" w:cs="仿宋"/>
          <w:szCs w:val="21"/>
        </w:rPr>
        <w:t xml:space="preserve">填表人：</w:t>
      </w:r>
      <w:r>
        <w:rPr>
          <w:rFonts w:ascii="宋体" w:hAnsi="宋体"/>
          <w:szCs w:val="21"/>
        </w:rPr>
        <w:t xml:space="preserve">                </w:t>
      </w:r>
      <w:r>
        <w:rPr>
          <w:rFonts w:ascii="宋体" w:hAnsi="宋体" w:cs="仿宋"/>
          <w:szCs w:val="21"/>
        </w:rPr>
        <w:t xml:space="preserve">填表日期： </w:t>
      </w:r>
      <w:r/>
    </w:p>
    <w:p>
      <w:pPr>
        <w:spacing w:line="360" w:lineRule="auto"/>
        <w:rPr>
          <w:rFonts w:hint="eastAsia" w:ascii="宋体" w:hAnsi="宋体"/>
          <w:b/>
          <w:bCs/>
          <w:szCs w:val="21"/>
        </w:rPr>
      </w:pPr>
      <w:r>
        <w:rPr>
          <w:rFonts w:ascii="宋体" w:hAnsi="宋体"/>
          <w:szCs w:val="21"/>
        </w:rPr>
        <w:br w:type="page" w:clear="all"/>
      </w:r>
      <w:r>
        <w:rPr>
          <w:rFonts w:ascii="宋体" w:hAnsi="宋体"/>
          <w:b/>
          <w:bCs/>
          <w:szCs w:val="21"/>
        </w:rPr>
        <w:t xml:space="preserve"> 样表 2</w:t>
      </w:r>
      <w:r/>
    </w:p>
    <w:p>
      <w:pPr>
        <w:ind w:right="-1"/>
        <w:jc w:val="center"/>
        <w:spacing w:line="360" w:lineRule="auto"/>
        <w:rPr>
          <w:rFonts w:hint="eastAsia" w:ascii="宋体" w:hAnsi="宋体" w:cs="宋体"/>
          <w:b/>
          <w:bCs/>
          <w:szCs w:val="21"/>
        </w:rPr>
      </w:pPr>
      <w:r>
        <w:rPr>
          <w:rFonts w:ascii="宋体" w:hAnsi="宋体" w:cs="宋体"/>
          <w:b/>
          <w:bCs/>
          <w:szCs w:val="21"/>
        </w:rPr>
        <w:t xml:space="preserve">基本避孕药具包装及标签情况一览表</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（盖公章）</w:t>
      </w:r>
      <w:r/>
    </w:p>
    <w:tbl>
      <w:tblPr>
        <w:tblStyle w:val="945"/>
        <w:tblW w:w="141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75"/>
        <w:gridCol w:w="1276"/>
        <w:gridCol w:w="992"/>
        <w:gridCol w:w="1134"/>
        <w:gridCol w:w="1134"/>
        <w:gridCol w:w="992"/>
        <w:gridCol w:w="1276"/>
        <w:gridCol w:w="1134"/>
        <w:gridCol w:w="992"/>
        <w:gridCol w:w="993"/>
        <w:gridCol w:w="1134"/>
        <w:gridCol w:w="1108"/>
      </w:tblGrid>
      <w:tr>
        <w:trPr>
          <w:trHeight w:val="1009"/>
        </w:trPr>
        <w:tc>
          <w:tcPr>
            <w:tcW w:w="1975"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药具名称</w:t>
            </w:r>
            <w:r/>
          </w:p>
        </w:tc>
        <w:tc>
          <w:tcPr>
            <w:gridSpan w:val="4"/>
            <w:tcW w:w="453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各级包装单元的尺寸</w:t>
            </w:r>
            <w:r/>
          </w:p>
          <w:p>
            <w:pPr>
              <w:jc w:val="center"/>
              <w:spacing w:line="360" w:lineRule="auto"/>
              <w:rPr>
                <w:rFonts w:hint="eastAsia" w:ascii="宋体" w:hAnsi="宋体" w:cs="Cambria Math"/>
                <w:b/>
                <w:szCs w:val="21"/>
              </w:rPr>
            </w:pPr>
            <w:r>
              <w:rPr>
                <w:rFonts w:ascii="宋体" w:hAnsi="宋体" w:cs="Cambria Math"/>
                <w:b/>
                <w:szCs w:val="21"/>
              </w:rPr>
              <w:t xml:space="preserve">（长×宽×高）</w:t>
            </w:r>
            <w:r/>
          </w:p>
          <w:p>
            <w:pPr>
              <w:jc w:val="center"/>
              <w:spacing w:line="360" w:lineRule="auto"/>
              <w:rPr>
                <w:rFonts w:hint="eastAsia" w:ascii="宋体" w:hAnsi="宋体" w:cs="Cambria Math"/>
                <w:b/>
                <w:szCs w:val="21"/>
              </w:rPr>
            </w:pPr>
            <w:r>
              <w:rPr>
                <w:rFonts w:ascii="宋体" w:hAnsi="宋体" w:cs="Cambria Math"/>
                <w:b/>
                <w:szCs w:val="21"/>
              </w:rPr>
              <w:t xml:space="preserve">（mm×mm×mm）</w:t>
            </w:r>
            <w:r/>
          </w:p>
        </w:tc>
        <w:tc>
          <w:tcPr>
            <w:gridSpan w:val="4"/>
            <w:tcW w:w="439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国家免费提供标识的尺寸</w:t>
            </w:r>
            <w:r/>
          </w:p>
          <w:p>
            <w:pPr>
              <w:jc w:val="center"/>
              <w:spacing w:line="360" w:lineRule="auto"/>
              <w:rPr>
                <w:rFonts w:hint="eastAsia" w:ascii="宋体" w:hAnsi="宋体" w:cs="Cambria Math"/>
                <w:b/>
                <w:szCs w:val="21"/>
              </w:rPr>
            </w:pPr>
            <w:r>
              <w:rPr>
                <w:rFonts w:ascii="宋体" w:hAnsi="宋体" w:cs="Cambria Math"/>
                <w:b/>
                <w:szCs w:val="21"/>
              </w:rPr>
              <w:t xml:space="preserve">（mm）</w:t>
            </w:r>
            <w:r/>
          </w:p>
        </w:tc>
        <w:tc>
          <w:tcPr>
            <w:gridSpan w:val="2"/>
            <w:tcW w:w="2127"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每箱重量</w:t>
            </w:r>
            <w:r/>
          </w:p>
          <w:p>
            <w:pPr>
              <w:jc w:val="center"/>
              <w:spacing w:line="360" w:lineRule="auto"/>
              <w:rPr>
                <w:rFonts w:hint="eastAsia" w:ascii="宋体" w:hAnsi="宋体" w:cs="仿宋"/>
                <w:b/>
                <w:szCs w:val="21"/>
              </w:rPr>
            </w:pPr>
            <w:r>
              <w:rPr>
                <w:rFonts w:ascii="宋体" w:hAnsi="宋体" w:cs="仿宋"/>
                <w:b/>
                <w:szCs w:val="21"/>
              </w:rPr>
              <w:t xml:space="preserve">（g）</w:t>
            </w:r>
            <w:r/>
          </w:p>
        </w:tc>
        <w:tc>
          <w:tcPr>
            <w:tcW w:w="1108"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备注</w:t>
            </w:r>
            <w:r/>
          </w:p>
        </w:tc>
      </w:tr>
      <w:tr>
        <w:trPr>
          <w:trHeight w:val="929"/>
        </w:trPr>
        <w:tc>
          <w:tcPr>
            <w:tcW w:w="1975"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板/袋</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中盒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外箱</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板/袋</w:t>
            </w:r>
            <w:r/>
          </w:p>
        </w:tc>
        <w:tc>
          <w:tcPr>
            <w:tcW w:w="127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中盒</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外箱</w:t>
            </w:r>
            <w:r/>
          </w:p>
        </w:tc>
        <w:tc>
          <w:tcPr>
            <w:tcW w:w="993"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毛重</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净重</w:t>
            </w:r>
            <w:r/>
          </w:p>
        </w:tc>
        <w:tc>
          <w:tcPr>
            <w:tcW w:w="1108"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r>
        <w:trPr>
          <w:trHeight w:val="929"/>
        </w:trPr>
        <w:tc>
          <w:tcPr>
            <w:tcW w:w="1975"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3"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0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r>
        <w:trPr>
          <w:trHeight w:val="929"/>
        </w:trPr>
        <w:tc>
          <w:tcPr>
            <w:tcW w:w="1975"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3"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0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bl>
    <w:p>
      <w:pPr>
        <w:spacing w:before="62" w:line="360" w:lineRule="auto"/>
        <w:rPr>
          <w:rFonts w:hint="eastAsia" w:ascii="宋体" w:hAnsi="宋体"/>
          <w:szCs w:val="21"/>
        </w:rPr>
      </w:pPr>
      <w:r>
        <w:rPr>
          <w:rFonts w:ascii="宋体" w:hAnsi="宋体"/>
          <w:szCs w:val="21"/>
        </w:rPr>
        <w:t xml:space="preserve">审核人：                   填表人：                                                  填表日期：</w:t>
      </w:r>
      <w:r/>
    </w:p>
    <w:p>
      <w:pPr>
        <w:spacing w:line="360" w:lineRule="auto"/>
        <w:tabs>
          <w:tab w:val="left" w:pos="1280" w:leader="none"/>
        </w:tabs>
        <w:rPr>
          <w:rFonts w:hint="eastAsia" w:ascii="宋体" w:hAnsi="宋体"/>
          <w:szCs w:val="21"/>
        </w:rPr>
      </w:pPr>
      <w:r>
        <w:rPr>
          <w:rFonts w:hint="eastAsia" w:ascii="宋体" w:hAnsi="宋体"/>
          <w:szCs w:val="21"/>
        </w:rPr>
      </w:r>
      <w:r/>
    </w:p>
    <w:p>
      <w:pPr>
        <w:spacing w:line="360" w:lineRule="auto"/>
        <w:rPr>
          <w:rFonts w:ascii="Calibri" w:hAnsi="Calibri"/>
        </w:rPr>
      </w:pPr>
      <w:r>
        <w:rPr>
          <w:rFonts w:ascii="Calibri" w:hAnsi="Calibri"/>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ascii="Calibri" w:hAnsi="Calibri"/>
        </w:rPr>
      </w:pPr>
      <w:r/>
      <w:bookmarkStart w:id="35" w:name="page5"/>
      <w:r/>
      <w:bookmarkEnd w:id="35"/>
      <w:r/>
      <w:r/>
    </w:p>
    <w:p>
      <w:pPr>
        <w:spacing w:before="62" w:line="360" w:lineRule="auto"/>
        <w:rPr>
          <w:rFonts w:hint="eastAsia" w:ascii="宋体" w:hAnsi="宋体"/>
          <w:szCs w:val="21"/>
        </w:rPr>
      </w:pPr>
      <w:r>
        <w:rPr>
          <w:rFonts w:hint="eastAsia" w:ascii="宋体" w:hAnsi="宋体"/>
          <w:szCs w:val="21"/>
        </w:rPr>
      </w:r>
      <w:r/>
    </w:p>
    <w:p>
      <w:pPr>
        <w:ind w:firstLine="420"/>
        <w:spacing w:before="62" w:line="360" w:lineRule="auto"/>
        <w:rPr>
          <w:rFonts w:hint="eastAsia" w:ascii="宋体" w:hAnsi="宋体"/>
          <w:szCs w:val="21"/>
        </w:rPr>
        <w:sectPr>
          <w:footnotePr/>
          <w:endnotePr/>
          <w:type w:val="nextPage"/>
          <w:pgSz w:w="16838" w:h="11906" w:orient="landscape"/>
          <w:pgMar w:top="1600" w:right="1440" w:bottom="1800" w:left="1440" w:header="851" w:footer="992" w:gutter="0"/>
          <w:cols w:num="1" w:sep="0" w:space="720" w:equalWidth="1"/>
          <w:docGrid w:linePitch="360"/>
          <w:titlePg/>
        </w:sectPr>
      </w:pPr>
      <w:r>
        <w:rPr>
          <w:rFonts w:hint="eastAsia" w:ascii="宋体" w:hAnsi="宋体"/>
          <w:szCs w:val="21"/>
        </w:rPr>
      </w:r>
      <w:r/>
    </w:p>
    <w:p>
      <w:pPr>
        <w:pStyle w:val="935"/>
        <w:numPr>
          <w:ilvl w:val="0"/>
          <w:numId w:val="0"/>
        </w:numPr>
        <w:rPr>
          <w:rFonts w:hint="eastAsia" w:ascii="宋体" w:hAnsi="宋体" w:cs="宋体"/>
        </w:rPr>
      </w:pPr>
      <w:r/>
      <w:bookmarkStart w:id="36" w:name="_Toc237454169"/>
      <w:r>
        <w:rPr>
          <w:rFonts w:hint="eastAsia" w:ascii="宋体" w:hAnsi="宋体" w:cs="宋体"/>
        </w:rPr>
        <w:t xml:space="preserve">第六章 附件</w:t>
      </w:r>
      <w:bookmarkEnd w:id="36"/>
      <w:r/>
      <w:r/>
    </w:p>
    <w:p>
      <w:pPr>
        <w:jc w:val="left"/>
        <w:spacing w:line="240" w:lineRule="atLeast"/>
        <w:widowControl/>
        <w:rPr>
          <w:rFonts w:hint="eastAsia" w:ascii="宋体" w:hAnsi="宋体" w:cs="宋体"/>
          <w:b/>
          <w:bCs/>
          <w:szCs w:val="21"/>
        </w:rPr>
      </w:pPr>
      <w:r>
        <w:rPr>
          <w:rFonts w:hint="eastAsia" w:ascii="宋体" w:hAnsi="宋体" w:cs="宋体"/>
          <w:b/>
          <w:bCs/>
          <w:szCs w:val="21"/>
        </w:rPr>
      </w:r>
      <w:bookmarkEnd w:id="0"/>
      <w:r/>
      <w:bookmarkEnd w:id="1"/>
      <w:r/>
      <w:r/>
    </w:p>
    <w:p>
      <w:pPr>
        <w:jc w:val="left"/>
        <w:spacing w:line="240" w:lineRule="atLeast"/>
        <w:widowControl/>
        <w:rPr>
          <w:rFonts w:ascii="Arial" w:hAnsi="Arial" w:cs="Arial"/>
          <w:b/>
          <w:bCs/>
          <w:szCs w:val="21"/>
        </w:rPr>
      </w:pPr>
      <w:r/>
      <w:bookmarkStart w:id="37" w:name="_Toc26810"/>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4" w:after="314"/>
        <w:rPr>
          <w:rFonts w:eastAsia="黑体"/>
          <w:sz w:val="32"/>
          <w:szCs w:val="32"/>
        </w:rPr>
      </w:pPr>
      <w:r>
        <w:rPr>
          <w:rFonts w:eastAsia="黑体"/>
          <w:sz w:val="32"/>
          <w:szCs w:val="32"/>
        </w:rPr>
        <w:t xml:space="preserve">目录</w:t>
      </w:r>
      <w:r/>
    </w:p>
    <w:p>
      <w:pPr>
        <w:spacing w:line="440" w:lineRule="exact"/>
        <w:rPr>
          <w:rFonts w:hint="eastAsia" w:ascii="宋体" w:hAnsi="宋体" w:cs="宋体"/>
          <w:b/>
          <w:bCs/>
          <w:szCs w:val="21"/>
        </w:rPr>
        <w:outlineLvl w:val="1"/>
      </w:pPr>
      <w:r>
        <w:rPr>
          <w:rFonts w:ascii="Arial" w:hAnsi="Arial" w:cs="Arial"/>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b/>
          <w:bCs/>
          <w:szCs w:val="21"/>
        </w:rPr>
        <w:outlineLvl w:val="1"/>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ascii="宋体" w:hAnsi="宋体"/>
          <w:szCs w:val="21"/>
        </w:rPr>
        <w:br w:type="page" w:clear="all"/>
      </w:r>
      <w:r/>
    </w:p>
    <w:p>
      <w:pPr>
        <w:rPr>
          <w:rFonts w:hint="eastAsia" w:ascii="宋体" w:hAnsi="宋体"/>
          <w:szCs w:val="21"/>
        </w:rPr>
      </w:pPr>
      <w:r>
        <w:rPr>
          <w:rFonts w:hint="eastAsia" w:ascii="宋体" w:hAnsi="宋体"/>
          <w:szCs w:val="21"/>
        </w:rPr>
      </w:r>
      <w:r/>
    </w:p>
    <w:p>
      <w:pPr>
        <w:spacing w:line="440" w:lineRule="exact"/>
        <w:rPr>
          <w:rFonts w:hint="eastAsia" w:ascii="宋体" w:hAnsi="宋体" w:cs="宋体"/>
          <w:b/>
          <w:bCs/>
          <w:szCs w:val="21"/>
        </w:rPr>
        <w:outlineLvl w:val="1"/>
      </w:pPr>
      <w:r>
        <w:rPr>
          <w:rFonts w:hint="eastAsia" w:ascii="宋体" w:hAnsi="宋体" w:cs="宋体"/>
          <w:b/>
          <w:bCs/>
          <w:szCs w:val="21"/>
        </w:rPr>
        <w:t xml:space="preserve">附件三、</w:t>
      </w:r>
      <w:bookmarkEnd w:id="37"/>
      <w:r>
        <w:rPr>
          <w:rFonts w:hint="eastAsia" w:ascii="宋体" w:hAnsi="宋体" w:cs="宋体"/>
          <w:b/>
          <w:bCs/>
          <w:szCs w:val="21"/>
        </w:rPr>
        <w:t xml:space="preserve">开标一览表（补充）</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ind w:firstLine="474"/>
        <w:spacing w:line="440" w:lineRule="exact"/>
        <w:rPr>
          <w:rFonts w:hint="eastAsia" w:ascii="宋体" w:hAnsi="宋体" w:cs="宋体"/>
          <w:b/>
          <w:szCs w:val="21"/>
        </w:rPr>
      </w:pPr>
      <w:r>
        <w:rPr>
          <w:rFonts w:ascii="宋体" w:hAnsi="宋体" w:cs="宋体"/>
          <w:b/>
          <w:szCs w:val="21"/>
        </w:rPr>
        <w:t xml:space="preserve">项目名称：                               项目编号 ：           </w:t>
      </w:r>
      <w:r>
        <w:rPr>
          <w:rFonts w:hint="eastAsia" w:ascii="宋体" w:hAnsi="宋体" w:cs="宋体"/>
          <w:b/>
          <w:szCs w:val="21"/>
        </w:rPr>
        <w:t xml:space="preserve">采购包号：</w:t>
      </w:r>
      <w:r/>
    </w:p>
    <w:tbl>
      <w:tblPr>
        <w:tblStyle w:val="945"/>
        <w:tblW w:w="9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2405"/>
        <w:gridCol w:w="7022"/>
      </w:tblGrid>
      <w:tr>
        <w:trPr>
          <w:cantSplit/>
          <w:jc w:val="center"/>
          <w:trHeight w:val="1198"/>
        </w:trPr>
        <w:tc>
          <w:tcPr>
            <w:tcW w:w="2405" w:type="dxa"/>
            <w:vAlign w:val="center"/>
            <w:textDirection w:val="lrTb"/>
            <w:noWrap w:val="false"/>
          </w:tcPr>
          <w:p>
            <w:pPr>
              <w:jc w:val="center"/>
              <w:spacing w:line="440" w:lineRule="exact"/>
              <w:rPr>
                <w:rFonts w:hint="eastAsia" w:ascii="宋体" w:hAnsi="宋体" w:cs="宋体"/>
                <w:b/>
                <w:szCs w:val="21"/>
              </w:rPr>
            </w:pPr>
            <w:r>
              <w:rPr>
                <w:rFonts w:ascii="宋体" w:hAnsi="宋体" w:cs="宋体"/>
                <w:b/>
                <w:szCs w:val="21"/>
              </w:rPr>
              <w:t xml:space="preserve">投标报价</w:t>
            </w:r>
            <w:r/>
          </w:p>
        </w:tc>
        <w:tc>
          <w:tcPr>
            <w:tcW w:w="7022" w:type="dxa"/>
            <w:vAlign w:val="center"/>
            <w:textDirection w:val="lrTb"/>
            <w:noWrap w:val="false"/>
          </w:tcPr>
          <w:p>
            <w:pPr>
              <w:spacing w:line="440" w:lineRule="exact"/>
              <w:rPr>
                <w:rFonts w:hint="eastAsia" w:ascii="宋体" w:hAnsi="宋体" w:cs="宋体"/>
                <w:b/>
                <w:szCs w:val="21"/>
              </w:rPr>
            </w:pPr>
            <w:r>
              <w:rPr>
                <w:rFonts w:hint="eastAsia" w:ascii="宋体" w:hAnsi="宋体" w:cs="宋体"/>
                <w:b/>
                <w:szCs w:val="21"/>
              </w:rPr>
              <w:t xml:space="preserve">详见苏采云系统</w:t>
            </w:r>
            <w:r/>
          </w:p>
        </w:tc>
      </w:tr>
      <w:tr>
        <w:trPr>
          <w:jc w:val="center"/>
          <w:trHeight w:val="1031"/>
        </w:trPr>
        <w:tc>
          <w:tcPr>
            <w:tcW w:w="2405" w:type="dxa"/>
            <w:vAlign w:val="center"/>
            <w:textDirection w:val="lrTb"/>
            <w:noWrap w:val="false"/>
          </w:tcPr>
          <w:p>
            <w:pPr>
              <w:jc w:val="center"/>
              <w:spacing w:line="440" w:lineRule="exact"/>
              <w:rPr>
                <w:rFonts w:hint="eastAsia" w:ascii="宋体" w:hAnsi="宋体" w:cs="宋体"/>
                <w:b/>
                <w:szCs w:val="21"/>
              </w:rPr>
            </w:pPr>
            <w:r>
              <w:rPr>
                <w:rFonts w:ascii="宋体" w:hAnsi="宋体" w:cs="宋体"/>
                <w:b/>
                <w:szCs w:val="21"/>
              </w:rPr>
              <w:t xml:space="preserve">服务时间/交付使用时间</w:t>
            </w:r>
            <w:r/>
          </w:p>
        </w:tc>
        <w:tc>
          <w:tcPr>
            <w:tcW w:w="7022" w:type="dxa"/>
            <w:vAlign w:val="center"/>
            <w:textDirection w:val="lrTb"/>
            <w:noWrap w:val="false"/>
          </w:tcPr>
          <w:p>
            <w:pPr>
              <w:ind w:firstLine="474"/>
              <w:spacing w:line="440" w:lineRule="exact"/>
              <w:tabs>
                <w:tab w:val="left" w:pos="3624" w:leader="none"/>
              </w:tabs>
              <w:rPr>
                <w:rFonts w:hint="eastAsia" w:ascii="宋体" w:hAnsi="宋体" w:cs="宋体"/>
                <w:b/>
                <w:szCs w:val="21"/>
                <w:u w:val="single"/>
              </w:rPr>
            </w:pPr>
            <w:r>
              <w:rPr>
                <w:rFonts w:ascii="宋体" w:hAnsi="宋体" w:cs="宋体"/>
                <w:b/>
                <w:szCs w:val="21"/>
                <w:u w:val="single"/>
              </w:rPr>
              <w:t xml:space="preserve">满足招标文件要求。</w:t>
            </w:r>
            <w:r/>
          </w:p>
        </w:tc>
      </w:tr>
      <w:tr>
        <w:trPr>
          <w:jc w:val="center"/>
          <w:trHeight w:val="1273"/>
        </w:trPr>
        <w:tc>
          <w:tcPr>
            <w:tcW w:w="2405" w:type="dxa"/>
            <w:vAlign w:val="center"/>
            <w:textDirection w:val="lrTb"/>
            <w:noWrap w:val="false"/>
          </w:tcPr>
          <w:p>
            <w:pPr>
              <w:jc w:val="center"/>
              <w:rPr>
                <w:rFonts w:hint="eastAsia" w:ascii="宋体" w:hAnsi="宋体" w:cs="宋体"/>
                <w:b/>
                <w:szCs w:val="21"/>
              </w:rPr>
            </w:pPr>
            <w:r>
              <w:rPr>
                <w:rFonts w:ascii="宋体" w:hAnsi="宋体" w:cs="宋体"/>
                <w:b/>
                <w:szCs w:val="21"/>
              </w:rPr>
              <w:t xml:space="preserve">投标标的是否全部由小微企业（含视同小微企业）提供</w:t>
            </w:r>
            <w:r/>
          </w:p>
        </w:tc>
        <w:tc>
          <w:tcPr>
            <w:tcW w:w="7022" w:type="dxa"/>
            <w:vAlign w:val="center"/>
            <w:textDirection w:val="lrTb"/>
            <w:noWrap w:val="false"/>
          </w:tcPr>
          <w:p>
            <w:pPr>
              <w:ind w:firstLine="474"/>
              <w:rPr>
                <w:rFonts w:hint="eastAsia" w:ascii="宋体" w:hAnsi="宋体" w:cs="宋体"/>
                <w:b/>
                <w:szCs w:val="21"/>
              </w:rPr>
            </w:pPr>
            <w:r>
              <w:rPr>
                <w:rFonts w:ascii="宋体" w:hAnsi="宋体" w:cs="宋体"/>
                <w:b/>
                <w:szCs w:val="21"/>
              </w:rPr>
              <w:t xml:space="preserve">（</w:t>
            </w:r>
            <w:r>
              <w:rPr>
                <w:rFonts w:ascii="宋体" w:hAnsi="宋体" w:cs="宋体"/>
                <w:b/>
                <w:szCs w:val="21"/>
                <w:lang w:val="zh-CN"/>
              </w:rPr>
              <w:t xml:space="preserve">填写“是”或“否</w:t>
            </w:r>
            <w:r>
              <w:rPr>
                <w:rFonts w:ascii="宋体" w:hAnsi="宋体" w:cs="宋体"/>
                <w:b/>
                <w:szCs w:val="21"/>
              </w:rPr>
              <w:t xml:space="preserve">）</w:t>
            </w:r>
            <w:r/>
          </w:p>
        </w:tc>
      </w:tr>
      <w:tr>
        <w:trPr>
          <w:jc w:val="center"/>
          <w:trHeight w:val="521"/>
        </w:trPr>
        <w:tc>
          <w:tcPr>
            <w:tcW w:w="2405" w:type="dxa"/>
            <w:vAlign w:val="center"/>
            <w:textDirection w:val="lrTb"/>
            <w:noWrap w:val="false"/>
          </w:tcPr>
          <w:p>
            <w:pPr>
              <w:jc w:val="center"/>
              <w:rPr>
                <w:rFonts w:hint="eastAsia" w:ascii="宋体" w:hAnsi="宋体" w:cs="宋体"/>
                <w:b/>
                <w:szCs w:val="21"/>
              </w:rPr>
            </w:pPr>
            <w:r>
              <w:rPr>
                <w:rFonts w:ascii="宋体" w:hAnsi="宋体" w:cs="宋体"/>
                <w:b/>
                <w:szCs w:val="21"/>
              </w:rPr>
              <w:t xml:space="preserve">备注</w:t>
            </w:r>
            <w:r/>
          </w:p>
        </w:tc>
        <w:tc>
          <w:tcPr>
            <w:tcW w:w="7022" w:type="dxa"/>
            <w:vAlign w:val="center"/>
            <w:textDirection w:val="lrTb"/>
            <w:noWrap w:val="false"/>
          </w:tcPr>
          <w:p>
            <w:pPr>
              <w:ind w:firstLine="474"/>
              <w:rPr>
                <w:rFonts w:hint="eastAsia" w:ascii="宋体" w:hAnsi="宋体" w:cs="宋体"/>
                <w:b/>
                <w:szCs w:val="21"/>
              </w:rPr>
            </w:pPr>
            <w:r>
              <w:rPr>
                <w:rFonts w:hint="eastAsia" w:ascii="宋体" w:hAnsi="宋体" w:cs="宋体"/>
                <w:b/>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说明：</w:t>
      </w:r>
      <w:r/>
    </w:p>
    <w:p>
      <w:pPr>
        <w:numPr>
          <w:ilvl w:val="0"/>
          <w:numId w:val="10"/>
        </w:num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r>
      <w:r/>
    </w:p>
    <w:p>
      <w:pPr>
        <w:jc w:val="left"/>
        <w:spacing w:line="360" w:lineRule="auto"/>
        <w:widowControl/>
        <w:rPr>
          <w:rFonts w:hint="eastAsia" w:ascii="宋体" w:hAnsi="宋体" w:cs="宋体"/>
          <w:b/>
          <w:bCs/>
          <w:szCs w:val="21"/>
          <w:lang w:val="zh-CN"/>
        </w:rPr>
      </w:pPr>
      <w:r/>
      <w:bookmarkStart w:id="38" w:name="_Toc12264"/>
      <w:r>
        <w:rPr>
          <w:rFonts w:hint="eastAsia" w:ascii="宋体" w:hAnsi="宋体" w:cs="宋体"/>
          <w:b/>
          <w:bCs/>
          <w:szCs w:val="21"/>
          <w:lang w:val="zh-CN"/>
        </w:rPr>
        <w:br w:type="page" w:clear="all"/>
      </w:r>
      <w:r/>
    </w:p>
    <w:p>
      <w:pPr>
        <w:spacing w:line="440" w:lineRule="exact"/>
        <w:rPr>
          <w:rFonts w:hint="eastAsia" w:ascii="宋体" w:hAnsi="宋体" w:cs="宋体"/>
          <w:b/>
          <w:bCs/>
          <w:szCs w:val="21"/>
        </w:rPr>
        <w:outlineLvl w:val="1"/>
      </w:pPr>
      <w:r>
        <w:rPr>
          <w:rFonts w:hint="eastAsia" w:ascii="宋体" w:hAnsi="宋体" w:cs="宋体"/>
          <w:b/>
          <w:bCs/>
          <w:szCs w:val="21"/>
        </w:rPr>
        <w:t xml:space="preserve">附件四、分项报价表格式</w:t>
      </w:r>
      <w:bookmarkEnd w:id="38"/>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分项报价表</w:t>
      </w:r>
      <w:r/>
    </w:p>
    <w:tbl>
      <w:tblPr>
        <w:tblStyle w:val="983"/>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716"/>
        <w:gridCol w:w="715"/>
        <w:gridCol w:w="705"/>
        <w:gridCol w:w="674"/>
        <w:gridCol w:w="715"/>
        <w:gridCol w:w="716"/>
        <w:gridCol w:w="716"/>
        <w:gridCol w:w="716"/>
        <w:gridCol w:w="1261"/>
        <w:gridCol w:w="1276"/>
      </w:tblGrid>
      <w:tr>
        <w:trPr>
          <w:jc w:val="center"/>
        </w:trPr>
        <w:tc>
          <w:tcPr>
            <w:tcW w:w="716"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序号</w:t>
            </w:r>
            <w:r/>
          </w:p>
        </w:tc>
        <w:tc>
          <w:tcPr>
            <w:tcW w:w="716"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品种名称</w:t>
            </w:r>
            <w:r/>
          </w:p>
        </w:tc>
        <w:tc>
          <w:tcPr>
            <w:tcW w:w="715"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规格</w:t>
            </w:r>
            <w:r/>
          </w:p>
        </w:tc>
        <w:tc>
          <w:tcPr>
            <w:tcW w:w="705" w:type="dxa"/>
            <w:vAlign w:val="center"/>
            <w:textDirection w:val="lrTb"/>
            <w:noWrap w:val="false"/>
          </w:tcPr>
          <w:p>
            <w:pPr>
              <w:jc w:val="left"/>
              <w:spacing w:line="360" w:lineRule="auto"/>
              <w:widowControl/>
              <w:rPr>
                <w:rFonts w:hint="eastAsia" w:ascii="宋体" w:hAnsi="宋体"/>
                <w:b/>
                <w:bCs/>
                <w:szCs w:val="21"/>
              </w:rPr>
            </w:pPr>
            <w:r>
              <w:rPr>
                <w:rFonts w:hint="eastAsia" w:ascii="宋体" w:hAnsi="宋体"/>
                <w:b/>
                <w:bCs/>
                <w:szCs w:val="21"/>
              </w:rPr>
              <w:t xml:space="preserve">品牌</w:t>
            </w:r>
            <w:r/>
          </w:p>
        </w:tc>
        <w:tc>
          <w:tcPr>
            <w:tcW w:w="674" w:type="dxa"/>
            <w:vAlign w:val="center"/>
            <w:textDirection w:val="lrTb"/>
            <w:noWrap w:val="false"/>
          </w:tcPr>
          <w:p>
            <w:pPr>
              <w:jc w:val="left"/>
              <w:spacing w:line="360" w:lineRule="auto"/>
              <w:widowControl/>
              <w:rPr>
                <w:rFonts w:hint="eastAsia" w:ascii="宋体" w:hAnsi="宋体"/>
                <w:b/>
                <w:bCs/>
                <w:szCs w:val="21"/>
              </w:rPr>
            </w:pPr>
            <w:r>
              <w:rPr>
                <w:rFonts w:hint="eastAsia" w:ascii="宋体" w:hAnsi="宋体"/>
                <w:b/>
                <w:bCs/>
                <w:szCs w:val="21"/>
              </w:rPr>
              <w:t xml:space="preserve">型号</w:t>
            </w:r>
            <w:r/>
          </w:p>
        </w:tc>
        <w:tc>
          <w:tcPr>
            <w:tcW w:w="715"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单位</w:t>
            </w:r>
            <w:r/>
          </w:p>
        </w:tc>
        <w:tc>
          <w:tcPr>
            <w:tcW w:w="716" w:type="dxa"/>
            <w:vAlign w:val="center"/>
            <w:textDirection w:val="lrTb"/>
            <w:noWrap w:val="false"/>
          </w:tcPr>
          <w:p>
            <w:pPr>
              <w:jc w:val="left"/>
              <w:spacing w:line="360" w:lineRule="auto"/>
              <w:widowControl/>
              <w:rPr>
                <w:rFonts w:hint="eastAsia" w:ascii="宋体" w:hAnsi="宋体" w:cs="宋体"/>
                <w:b/>
                <w:bCs/>
                <w:szCs w:val="21"/>
              </w:rPr>
            </w:pPr>
            <w:r>
              <w:rPr>
                <w:rFonts w:ascii="宋体" w:hAnsi="宋体" w:cs="宋体"/>
                <w:b/>
                <w:bCs/>
                <w:szCs w:val="21"/>
              </w:rPr>
              <w:t xml:space="preserve">需求数量</w:t>
            </w:r>
            <w:r/>
          </w:p>
        </w:tc>
        <w:tc>
          <w:tcPr>
            <w:tcW w:w="716" w:type="dxa"/>
            <w:vAlign w:val="center"/>
            <w:textDirection w:val="lrTb"/>
            <w:noWrap w:val="false"/>
          </w:tcPr>
          <w:p>
            <w:pPr>
              <w:jc w:val="left"/>
              <w:spacing w:line="360" w:lineRule="auto"/>
              <w:widowControl/>
              <w:rPr>
                <w:rFonts w:hint="eastAsia" w:ascii="宋体" w:hAnsi="宋体"/>
                <w:b/>
                <w:bCs/>
                <w:szCs w:val="21"/>
              </w:rPr>
            </w:pPr>
            <w:r>
              <w:rPr>
                <w:rFonts w:ascii="宋体" w:hAnsi="宋体"/>
                <w:b/>
                <w:bCs/>
                <w:szCs w:val="21"/>
              </w:rPr>
              <w:t xml:space="preserve">每件</w:t>
            </w:r>
            <w:r/>
          </w:p>
          <w:p>
            <w:pPr>
              <w:jc w:val="left"/>
              <w:spacing w:line="360" w:lineRule="auto"/>
              <w:widowControl/>
              <w:rPr>
                <w:rFonts w:hint="eastAsia" w:ascii="宋体" w:hAnsi="宋体" w:cs="宋体"/>
                <w:szCs w:val="21"/>
              </w:rPr>
            </w:pPr>
            <w:r>
              <w:rPr>
                <w:rFonts w:ascii="宋体" w:hAnsi="宋体"/>
                <w:b/>
                <w:bCs/>
                <w:szCs w:val="21"/>
              </w:rPr>
              <w:t xml:space="preserve">内装</w:t>
            </w:r>
            <w:r/>
          </w:p>
        </w:tc>
        <w:tc>
          <w:tcPr>
            <w:tcW w:w="716"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件数</w:t>
            </w:r>
            <w:r/>
          </w:p>
        </w:tc>
        <w:tc>
          <w:tcPr>
            <w:tcW w:w="1261"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投标单价（元）</w:t>
            </w:r>
            <w:r/>
          </w:p>
        </w:tc>
        <w:tc>
          <w:tcPr>
            <w:tcW w:w="1276" w:type="dxa"/>
            <w:vAlign w:val="center"/>
            <w:textDirection w:val="lrTb"/>
            <w:noWrap w:val="false"/>
          </w:tcPr>
          <w:p>
            <w:pPr>
              <w:jc w:val="center"/>
              <w:spacing w:line="360" w:lineRule="auto"/>
              <w:widowControl/>
              <w:rPr>
                <w:rFonts w:hint="eastAsia" w:ascii="宋体" w:hAnsi="宋体"/>
                <w:b/>
                <w:bCs/>
                <w:szCs w:val="21"/>
              </w:rPr>
            </w:pPr>
            <w:r>
              <w:rPr>
                <w:rFonts w:ascii="宋体" w:hAnsi="宋体"/>
                <w:b/>
                <w:bCs/>
                <w:szCs w:val="21"/>
              </w:rPr>
              <w:t xml:space="preserve">投标总价（元）</w:t>
            </w:r>
            <w:r/>
          </w:p>
        </w:tc>
      </w:tr>
      <w:tr>
        <w:trPr>
          <w:jc w:val="center"/>
        </w:trPr>
        <w:tc>
          <w:tcPr>
            <w:tcW w:w="716"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1</w:t>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0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67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6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7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W w:w="716"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2</w:t>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0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67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6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7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W w:w="716"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3</w:t>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0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67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6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7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0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67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6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7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W w:w="716"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w:t>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0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67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1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6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7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gridSpan w:val="10"/>
            <w:tcW w:w="7650" w:type="dxa"/>
            <w:textDirection w:val="lrTb"/>
            <w:noWrap w:val="false"/>
          </w:tcPr>
          <w:p>
            <w:pPr>
              <w:jc w:val="left"/>
              <w:spacing w:line="360" w:lineRule="auto"/>
              <w:widowControl/>
              <w:rPr>
                <w:rFonts w:hint="eastAsia" w:ascii="宋体" w:hAnsi="宋体" w:cs="宋体"/>
                <w:szCs w:val="21"/>
              </w:rPr>
            </w:pPr>
            <w:r>
              <w:rPr>
                <w:rFonts w:ascii="宋体" w:hAnsi="宋体" w:cs="宋体"/>
                <w:b/>
                <w:bCs/>
                <w:szCs w:val="21"/>
              </w:rPr>
              <w:t xml:space="preserve">合计</w:t>
            </w:r>
            <w:r/>
          </w:p>
        </w:tc>
        <w:tc>
          <w:tcPr>
            <w:tcW w:w="1276"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spacing w:line="440" w:lineRule="exact"/>
        <w:rPr>
          <w:rFonts w:hint="eastAsia" w:ascii="宋体" w:hAnsi="宋体" w:cs="宋体"/>
          <w:b/>
          <w:bCs/>
          <w:szCs w:val="21"/>
        </w:rPr>
        <w:outlineLvl w:val="1"/>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45"/>
        <w:tblW w:w="54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5"/>
        <w:gridCol w:w="1676"/>
        <w:gridCol w:w="1929"/>
        <w:gridCol w:w="2199"/>
        <w:gridCol w:w="1041"/>
        <w:gridCol w:w="1884"/>
      </w:tblGrid>
      <w:tr>
        <w:trPr>
          <w:jc w:val="center"/>
          <w:trHeight w:val="284"/>
        </w:trPr>
        <w:tc>
          <w:tcPr>
            <w:tcMar>
              <w:left w:w="10" w:type="dxa"/>
              <w:top w:w="0" w:type="dxa"/>
              <w:right w:w="10" w:type="dxa"/>
              <w:bottom w:w="0" w:type="dxa"/>
            </w:tcMar>
            <w:tcW w:w="339" w:type="pct"/>
            <w:vAlign w:val="center"/>
            <w:textDirection w:val="lrTb"/>
            <w:noWrap w:val="false"/>
          </w:tcPr>
          <w:p>
            <w:pPr>
              <w:jc w:val="center"/>
              <w:spacing w:line="360" w:lineRule="auto"/>
              <w:widowControl/>
              <w:rPr>
                <w:rFonts w:hint="eastAsia" w:ascii="宋体" w:hAnsi="宋体" w:cs="宋体"/>
                <w:b/>
                <w:szCs w:val="21"/>
              </w:rPr>
            </w:pPr>
            <w:r>
              <w:rPr>
                <w:rFonts w:ascii="宋体" w:hAnsi="宋体" w:cs="宋体"/>
                <w:b/>
                <w:szCs w:val="21"/>
              </w:rPr>
              <w:t xml:space="preserve">序号</w:t>
            </w:r>
            <w:r/>
          </w:p>
        </w:tc>
        <w:tc>
          <w:tcPr>
            <w:tcMar>
              <w:left w:w="10" w:type="dxa"/>
              <w:top w:w="0" w:type="dxa"/>
              <w:right w:w="10" w:type="dxa"/>
              <w:bottom w:w="0" w:type="dxa"/>
            </w:tcMar>
            <w:tcW w:w="895" w:type="pct"/>
            <w:vAlign w:val="center"/>
            <w:textDirection w:val="lrTb"/>
            <w:noWrap w:val="false"/>
          </w:tcPr>
          <w:p>
            <w:pPr>
              <w:jc w:val="center"/>
              <w:spacing w:line="360" w:lineRule="auto"/>
              <w:widowControl/>
              <w:rPr>
                <w:rFonts w:hint="eastAsia" w:ascii="宋体" w:hAnsi="宋体" w:cs="宋体"/>
                <w:b/>
                <w:szCs w:val="21"/>
              </w:rPr>
            </w:pPr>
            <w:r>
              <w:rPr>
                <w:rFonts w:ascii="宋体" w:hAnsi="宋体" w:cs="宋体"/>
                <w:b/>
                <w:szCs w:val="21"/>
              </w:rPr>
              <w:t xml:space="preserve">招标文件条目号</w:t>
            </w:r>
            <w:r/>
          </w:p>
        </w:tc>
        <w:tc>
          <w:tcPr>
            <w:tcMar>
              <w:left w:w="10" w:type="dxa"/>
              <w:top w:w="0" w:type="dxa"/>
              <w:right w:w="10" w:type="dxa"/>
              <w:bottom w:w="0" w:type="dxa"/>
            </w:tcMar>
            <w:tcW w:w="1030" w:type="pct"/>
            <w:vAlign w:val="center"/>
            <w:textDirection w:val="lrTb"/>
            <w:noWrap w:val="false"/>
          </w:tcPr>
          <w:p>
            <w:pPr>
              <w:jc w:val="center"/>
              <w:spacing w:line="360" w:lineRule="auto"/>
              <w:widowControl/>
              <w:rPr>
                <w:rFonts w:hint="eastAsia" w:ascii="宋体" w:hAnsi="宋体" w:cs="宋体"/>
                <w:b/>
                <w:szCs w:val="21"/>
              </w:rPr>
            </w:pPr>
            <w:r>
              <w:rPr>
                <w:rFonts w:ascii="宋体" w:hAnsi="宋体" w:cs="宋体"/>
                <w:b/>
                <w:szCs w:val="21"/>
              </w:rPr>
              <w:t xml:space="preserve">招标要求规格</w:t>
            </w:r>
            <w:r/>
          </w:p>
        </w:tc>
        <w:tc>
          <w:tcPr>
            <w:tcMar>
              <w:left w:w="10" w:type="dxa"/>
              <w:top w:w="0" w:type="dxa"/>
              <w:right w:w="10" w:type="dxa"/>
              <w:bottom w:w="0" w:type="dxa"/>
            </w:tcMar>
            <w:tcW w:w="1174" w:type="pct"/>
            <w:vAlign w:val="center"/>
            <w:textDirection w:val="lrTb"/>
            <w:noWrap w:val="false"/>
          </w:tcPr>
          <w:p>
            <w:pPr>
              <w:jc w:val="center"/>
              <w:spacing w:line="360" w:lineRule="auto"/>
              <w:widowControl/>
              <w:rPr>
                <w:rFonts w:hint="eastAsia" w:ascii="宋体" w:hAnsi="宋体" w:cs="宋体"/>
                <w:b/>
                <w:szCs w:val="21"/>
              </w:rPr>
            </w:pPr>
            <w:r>
              <w:rPr>
                <w:rFonts w:ascii="宋体" w:hAnsi="宋体" w:cs="宋体"/>
                <w:b/>
                <w:szCs w:val="21"/>
              </w:rPr>
              <w:t xml:space="preserve">投标响应</w:t>
            </w:r>
            <w:r/>
          </w:p>
        </w:tc>
        <w:tc>
          <w:tcPr>
            <w:tcMar>
              <w:left w:w="10" w:type="dxa"/>
              <w:top w:w="0" w:type="dxa"/>
              <w:right w:w="10" w:type="dxa"/>
              <w:bottom w:w="0" w:type="dxa"/>
            </w:tcMar>
            <w:tcW w:w="556" w:type="pct"/>
            <w:vAlign w:val="center"/>
            <w:textDirection w:val="lrTb"/>
            <w:noWrap w:val="false"/>
          </w:tcPr>
          <w:p>
            <w:pPr>
              <w:jc w:val="center"/>
              <w:spacing w:line="360" w:lineRule="auto"/>
              <w:widowControl/>
              <w:rPr>
                <w:rFonts w:hint="eastAsia" w:ascii="宋体" w:hAnsi="宋体" w:cs="宋体"/>
                <w:b/>
                <w:szCs w:val="21"/>
              </w:rPr>
            </w:pPr>
            <w:r>
              <w:rPr>
                <w:rFonts w:ascii="宋体" w:hAnsi="宋体" w:cs="宋体"/>
                <w:b/>
                <w:szCs w:val="21"/>
              </w:rPr>
              <w:t xml:space="preserve">偏离</w:t>
            </w:r>
            <w:r/>
          </w:p>
        </w:tc>
        <w:tc>
          <w:tcPr>
            <w:tcMar>
              <w:left w:w="10" w:type="dxa"/>
              <w:top w:w="0" w:type="dxa"/>
              <w:right w:w="10" w:type="dxa"/>
              <w:bottom w:w="0" w:type="dxa"/>
            </w:tcMar>
            <w:tcW w:w="1006" w:type="pct"/>
            <w:vAlign w:val="center"/>
            <w:textDirection w:val="lrTb"/>
            <w:noWrap w:val="false"/>
          </w:tcPr>
          <w:p>
            <w:pPr>
              <w:jc w:val="center"/>
              <w:spacing w:line="360" w:lineRule="auto"/>
              <w:widowControl/>
              <w:rPr>
                <w:rFonts w:hint="eastAsia" w:ascii="宋体" w:hAnsi="宋体" w:cs="宋体"/>
                <w:b/>
                <w:szCs w:val="21"/>
              </w:rPr>
            </w:pPr>
            <w:r>
              <w:rPr>
                <w:rFonts w:ascii="宋体" w:hAnsi="宋体" w:cs="宋体"/>
                <w:b/>
                <w:szCs w:val="21"/>
              </w:rPr>
              <w:t xml:space="preserve">证明材料（如需要</w:t>
            </w:r>
            <w:r>
              <w:rPr>
                <w:rFonts w:hint="eastAsia" w:ascii="宋体" w:hAnsi="宋体" w:cs="宋体"/>
                <w:b/>
                <w:szCs w:val="21"/>
              </w:rPr>
              <w:t xml:space="preserve">，请在此表下方列出</w:t>
            </w:r>
            <w:r>
              <w:rPr>
                <w:rFonts w:ascii="宋体" w:hAnsi="宋体" w:cs="宋体"/>
                <w:b/>
                <w:szCs w:val="21"/>
              </w:rPr>
              <w:t xml:space="preserve">）</w:t>
            </w:r>
            <w:r/>
          </w:p>
        </w:tc>
      </w:tr>
      <w:tr>
        <w:trPr>
          <w:jc w:val="center"/>
          <w:trHeight w:val="284"/>
        </w:trPr>
        <w:tc>
          <w:tcPr>
            <w:tcMar>
              <w:left w:w="10" w:type="dxa"/>
              <w:top w:w="0" w:type="dxa"/>
              <w:right w:w="10" w:type="dxa"/>
              <w:bottom w:w="0" w:type="dxa"/>
            </w:tcMar>
            <w:tcW w:w="339"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895"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030"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174"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556"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00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39"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895"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030"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174"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556"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00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39"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895"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030"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174"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556" w:type="pct"/>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 </w:t>
            </w:r>
            <w:r/>
          </w:p>
        </w:tc>
        <w:tc>
          <w:tcPr>
            <w:tcMar>
              <w:left w:w="10" w:type="dxa"/>
              <w:top w:w="0" w:type="dxa"/>
              <w:right w:w="10" w:type="dxa"/>
              <w:bottom w:w="0" w:type="dxa"/>
            </w:tcMar>
            <w:tcW w:w="100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9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0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7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5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00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9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0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7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5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00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3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9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0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7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5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00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hint="eastAsia" w:ascii="宋体" w:hAnsi="宋体" w:cs="宋体"/>
          <w:szCs w:val="21"/>
        </w:rPr>
      </w:pPr>
      <w:r>
        <w:rPr>
          <w:rFonts w:hint="eastAsia" w:ascii="Arial" w:hAnsi="Arial"/>
          <w:szCs w:val="21"/>
        </w:rPr>
        <w:t xml:space="preserve">2.投标文件的采购需求内容响应存在正偏离或负偏离或无偏离的，请在本表中逐条列出。未列出的，视为响应采购文件要求。</w:t>
      </w:r>
      <w:r>
        <w:rPr>
          <w:rFonts w:ascii="Arial" w:hAnsi="Arial"/>
          <w:szCs w:val="21"/>
        </w:rPr>
        <w:t xml:space="preserve">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证明材料</w:t>
      </w:r>
      <w:r>
        <w:rPr>
          <w:rFonts w:hint="eastAsia" w:ascii="宋体" w:hAnsi="宋体" w:cs="宋体"/>
          <w:szCs w:val="21"/>
        </w:rPr>
        <w:t xml:space="preserve">：</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bookmarkStart w:id="39" w:name="OLE_LINK12"/>
      <w:r>
        <w:rPr>
          <w:rFonts w:hint="eastAsia" w:ascii="宋体" w:hAnsi="宋体" w:cs="宋体"/>
          <w:szCs w:val="21"/>
        </w:rPr>
        <w:t xml:space="preserve">投标单位（加盖电子公章）：</w:t>
      </w:r>
      <w:r>
        <w:rPr>
          <w:rFonts w:hint="eastAsia" w:ascii="宋体" w:hAnsi="宋体" w:cs="宋体"/>
          <w:szCs w:val="21"/>
          <w:u w:val="single"/>
        </w:rPr>
        <w:t xml:space="preserve">                             </w:t>
      </w:r>
      <w:bookmarkEnd w:id="39"/>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440" w:lineRule="exact"/>
        <w:rPr>
          <w:rFonts w:hint="eastAsia" w:ascii="宋体" w:hAnsi="宋体" w:cs="宋体"/>
          <w:b/>
          <w:bCs/>
          <w:szCs w:val="21"/>
        </w:rPr>
        <w:outlineLvl w:val="1"/>
      </w:pPr>
      <w:r/>
      <w:bookmarkStart w:id="40" w:name="_Toc205834362"/>
      <w:r/>
      <w:bookmarkStart w:id="41" w:name="_Toc205835010"/>
      <w:r>
        <w:rPr>
          <w:rFonts w:ascii="宋体" w:hAnsi="宋体" w:cs="宋体"/>
          <w:b/>
          <w:bCs/>
          <w:szCs w:val="21"/>
        </w:rPr>
        <w:t xml:space="preserve">附件六、知识产权承诺书格式</w:t>
      </w:r>
      <w:r/>
    </w:p>
    <w:p>
      <w:pPr>
        <w:ind w:left="420"/>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ind w:left="420"/>
        <w:jc w:val="center"/>
        <w:spacing w:line="360" w:lineRule="auto"/>
        <w:shd w:val="clear" w:color="auto" w:fill="ffffff"/>
        <w:widowControl/>
        <w:rPr>
          <w:rFonts w:hint="eastAsia" w:ascii="宋体" w:hAnsi="宋体" w:cs="宋体"/>
          <w:b/>
          <w:sz w:val="36"/>
          <w:szCs w:val="36"/>
        </w:rPr>
      </w:pPr>
      <w:r>
        <w:rPr>
          <w:rFonts w:ascii="宋体" w:hAnsi="宋体" w:cs="宋体"/>
          <w:b/>
          <w:sz w:val="36"/>
          <w:szCs w:val="36"/>
        </w:rPr>
        <w:t xml:space="preserve">知识产权承诺书</w:t>
      </w:r>
      <w:bookmarkEnd w:id="40"/>
      <w:r/>
      <w:bookmarkEnd w:id="41"/>
      <w:r/>
      <w:r/>
    </w:p>
    <w:p>
      <w:pPr>
        <w:spacing w:line="360" w:lineRule="auto"/>
        <w:tabs>
          <w:tab w:val="left" w:pos="1498" w:leader="none"/>
        </w:tabs>
        <w:rPr>
          <w:rFonts w:hint="eastAsia" w:ascii="宋体" w:hAnsi="宋体"/>
          <w:szCs w:val="21"/>
        </w:rPr>
      </w:pPr>
      <w:r>
        <w:rPr>
          <w:rFonts w:ascii="宋体" w:hAnsi="宋体"/>
          <w:szCs w:val="21"/>
          <w:u w:val="single"/>
        </w:rPr>
        <w:t xml:space="preserve">                               </w:t>
      </w:r>
      <w:r>
        <w:rPr>
          <w:rFonts w:ascii="宋体" w:hAnsi="宋体"/>
          <w:szCs w:val="21"/>
        </w:rPr>
        <w:t xml:space="preserve">：</w:t>
      </w:r>
      <w:r/>
    </w:p>
    <w:p>
      <w:pPr>
        <w:ind w:firstLine="600"/>
        <w:spacing w:line="360" w:lineRule="auto"/>
        <w:rPr>
          <w:rFonts w:hint="eastAsia" w:ascii="宋体" w:hAnsi="宋体"/>
          <w:b/>
          <w:bCs/>
          <w:szCs w:val="21"/>
        </w:rPr>
      </w:pPr>
      <w:r>
        <w:rPr>
          <w:rFonts w:ascii="宋体" w:hAnsi="宋体"/>
          <w:b/>
          <w:bCs/>
          <w:szCs w:val="21"/>
        </w:rPr>
        <w:t xml:space="preserve">我公司郑重承诺如下：</w:t>
      </w:r>
      <w:r/>
    </w:p>
    <w:p>
      <w:pPr>
        <w:ind w:firstLine="600"/>
        <w:spacing w:line="360" w:lineRule="auto"/>
        <w:rPr>
          <w:rFonts w:hint="eastAsia" w:ascii="宋体" w:hAnsi="宋体"/>
          <w:szCs w:val="21"/>
        </w:rPr>
      </w:pPr>
      <w:r>
        <w:rPr>
          <w:rFonts w:ascii="宋体" w:hAnsi="宋体"/>
          <w:szCs w:val="21"/>
        </w:rPr>
        <w:t xml:space="preserve">我公司在参与江苏省卫生健康委员会药品药具管理中心2026年江苏省基本避孕药具第二轮政府采购项目（项目编号： ）的投标活动中，投标文件针对本项目提供的产品包装设计、图案、图标等，为我公司原创设计或已购买版权的设计，不存在任何侵犯第三方及其授权许可人的知识产权的情形。</w:t>
      </w:r>
      <w:r/>
    </w:p>
    <w:p>
      <w:pPr>
        <w:ind w:firstLine="600"/>
        <w:spacing w:line="360" w:lineRule="auto"/>
        <w:rPr>
          <w:rFonts w:hint="eastAsia" w:ascii="宋体" w:hAnsi="宋体"/>
          <w:szCs w:val="21"/>
        </w:rPr>
      </w:pPr>
      <w:r>
        <w:rPr>
          <w:rFonts w:ascii="宋体" w:hAnsi="宋体"/>
          <w:szCs w:val="21"/>
        </w:rPr>
        <w:t xml:space="preserve">特此承诺。</w:t>
      </w:r>
      <w:r/>
    </w:p>
    <w:p>
      <w:pPr>
        <w:ind w:firstLine="422"/>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投标单位（加盖电子公章）：</w:t>
      </w:r>
      <w:r>
        <w:rPr>
          <w:rFonts w:ascii="宋体" w:hAnsi="宋体" w:cs="宋体"/>
          <w:szCs w:val="21"/>
          <w:u w:val="single"/>
        </w:rPr>
        <w:t xml:space="preserve">                             </w:t>
      </w:r>
      <w:r/>
    </w:p>
    <w:p>
      <w:pPr>
        <w:spacing w:line="360" w:lineRule="auto"/>
        <w:tabs>
          <w:tab w:val="left" w:pos="1280" w:leader="none"/>
        </w:tabs>
        <w:rPr>
          <w:rFonts w:hint="eastAsia" w:ascii="宋体" w:hAnsi="宋体"/>
          <w:szCs w:val="21"/>
          <w:lang w:val="zh-CN"/>
        </w:rPr>
      </w:pPr>
      <w:r>
        <w:rPr>
          <w:rFonts w:ascii="宋体" w:hAnsi="宋体"/>
          <w:szCs w:val="21"/>
          <w:lang w:val="zh-CN"/>
        </w:rPr>
        <w:t xml:space="preserve">日期：</w:t>
      </w:r>
      <w:r/>
    </w:p>
    <w:p>
      <w:pPr>
        <w:ind w:firstLine="420"/>
        <w:spacing w:line="360" w:lineRule="auto"/>
        <w:rPr>
          <w:rFonts w:hint="eastAsia" w:ascii="宋体" w:hAnsi="宋体"/>
          <w:szCs w:val="21"/>
          <w:lang w:bidi="en-US"/>
        </w:rPr>
      </w:pPr>
      <w:r>
        <w:rPr>
          <w:rFonts w:hint="eastAsia" w:ascii="宋体" w:hAnsi="宋体"/>
          <w:szCs w:val="21"/>
          <w:lang w:bidi="en-US"/>
        </w:rPr>
      </w:r>
      <w:r/>
    </w:p>
    <w:p>
      <w:pPr>
        <w:jc w:val="left"/>
        <w:rPr>
          <w:rFonts w:hint="eastAsia" w:ascii="宋体" w:hAnsi="宋体"/>
          <w:b/>
          <w:bCs/>
          <w:szCs w:val="21"/>
        </w:rPr>
      </w:pPr>
      <w:r>
        <w:rPr>
          <w:rFonts w:hint="eastAsia" w:ascii="宋体" w:hAnsi="宋体"/>
          <w:b/>
          <w:bCs/>
          <w:szCs w:val="21"/>
        </w:rPr>
      </w:r>
      <w:r/>
    </w:p>
    <w:p>
      <w:pPr>
        <w:jc w:val="left"/>
        <w:rPr>
          <w:rFonts w:hint="eastAsia" w:ascii="宋体" w:hAnsi="宋体"/>
          <w:b/>
          <w:bCs/>
          <w:szCs w:val="21"/>
        </w:rPr>
      </w:pPr>
      <w:r>
        <w:rPr>
          <w:rFonts w:hint="eastAsia" w:ascii="宋体" w:hAnsi="宋体"/>
          <w:b/>
          <w:bCs/>
          <w:szCs w:val="21"/>
        </w:rPr>
      </w:r>
      <w:r/>
    </w:p>
    <w:p>
      <w:pPr>
        <w:jc w:val="left"/>
        <w:rPr>
          <w:rFonts w:hint="eastAsia" w:ascii="宋体" w:hAnsi="宋体"/>
          <w:b/>
          <w:bCs/>
          <w:szCs w:val="21"/>
        </w:rPr>
      </w:pPr>
      <w:r>
        <w:rPr>
          <w:rFonts w:hint="eastAsia" w:ascii="宋体" w:hAnsi="宋体"/>
          <w:b/>
          <w:bCs/>
          <w:szCs w:val="21"/>
        </w:rPr>
      </w:r>
      <w:r/>
    </w:p>
    <w:p>
      <w:pPr>
        <w:jc w:val="left"/>
        <w:rPr>
          <w:rFonts w:hint="eastAsia" w:ascii="宋体" w:hAnsi="宋体"/>
          <w:b/>
          <w:bCs/>
          <w:szCs w:val="21"/>
        </w:rPr>
      </w:pPr>
      <w:r>
        <w:rPr>
          <w:rFonts w:hint="eastAsia" w:ascii="宋体" w:hAnsi="宋体"/>
          <w:b/>
          <w:bCs/>
          <w:szCs w:val="21"/>
        </w:rPr>
      </w:r>
      <w:r/>
    </w:p>
    <w:p>
      <w:pPr>
        <w:jc w:val="left"/>
        <w:rPr>
          <w:rFonts w:hint="eastAsia" w:ascii="宋体" w:hAnsi="宋体"/>
          <w:b/>
          <w:bCs/>
          <w:szCs w:val="21"/>
        </w:rPr>
      </w:pPr>
      <w:r>
        <w:rPr>
          <w:rFonts w:hint="eastAsia" w:ascii="宋体" w:hAnsi="宋体"/>
          <w:b/>
          <w:bCs/>
          <w:szCs w:val="21"/>
        </w:rPr>
      </w:r>
      <w:r/>
    </w:p>
    <w:p>
      <w:pPr>
        <w:jc w:val="left"/>
        <w:rPr>
          <w:rFonts w:hint="eastAsia" w:ascii="宋体" w:hAnsi="宋体"/>
          <w:b/>
          <w:bCs/>
          <w:szCs w:val="21"/>
        </w:rPr>
      </w:pPr>
      <w:r>
        <w:rPr>
          <w:rFonts w:hint="eastAsia" w:ascii="宋体" w:hAnsi="宋体"/>
          <w:b/>
          <w:bCs/>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 </w:t>
      </w:r>
      <w:r/>
    </w:p>
    <w:p>
      <w:pPr>
        <w:spacing w:line="440" w:lineRule="exact"/>
        <w:rPr>
          <w:rFonts w:hint="eastAsia" w:ascii="宋体" w:hAnsi="宋体" w:cs="宋体"/>
          <w:b/>
          <w:bCs/>
          <w:szCs w:val="21"/>
        </w:rPr>
        <w:outlineLvl w:val="1"/>
      </w:pPr>
      <w:r>
        <w:rPr>
          <w:rFonts w:ascii="宋体" w:hAnsi="宋体" w:cs="宋体"/>
          <w:b/>
          <w:bCs/>
          <w:szCs w:val="21"/>
        </w:rPr>
        <w:br w:type="page" w:clear="all"/>
      </w:r>
      <w:r>
        <w:rPr>
          <w:rFonts w:ascii="宋体" w:hAnsi="宋体" w:cs="宋体"/>
          <w:b/>
          <w:bCs/>
          <w:szCs w:val="21"/>
        </w:rPr>
        <w:t xml:space="preserve">附件七、合同条款偏离表格式</w:t>
      </w:r>
      <w:r/>
    </w:p>
    <w:p>
      <w:pPr>
        <w:ind w:firstLine="420"/>
        <w:jc w:val="left"/>
        <w:spacing w:line="360" w:lineRule="auto"/>
        <w:shd w:val="clear" w:color="auto" w:fill="ffffff"/>
        <w:widowControl/>
        <w:rPr>
          <w:rFonts w:hint="eastAsia" w:ascii="宋体" w:hAnsi="宋体" w:cs="宋体"/>
          <w:szCs w:val="21"/>
        </w:rPr>
      </w:pPr>
      <w:r>
        <w:rPr>
          <w:rFonts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ascii="宋体" w:hAnsi="宋体" w:cs="宋体"/>
          <w:b/>
          <w:sz w:val="36"/>
          <w:szCs w:val="36"/>
        </w:rPr>
        <w:t xml:space="preserve">合同条款偏离表</w:t>
      </w:r>
      <w:r/>
    </w:p>
    <w:p>
      <w:pPr>
        <w:jc w:val="left"/>
        <w:spacing w:line="360" w:lineRule="auto"/>
        <w:shd w:val="clear" w:color="auto" w:fill="ffffff"/>
        <w:widowControl/>
        <w:rPr>
          <w:rFonts w:hint="eastAsia" w:ascii="宋体" w:hAnsi="宋体" w:cs="宋体"/>
          <w:szCs w:val="21"/>
        </w:rPr>
      </w:pPr>
      <w:r>
        <w:rPr>
          <w:rFonts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ascii="宋体" w:hAnsi="宋体" w:cs="宋体"/>
          <w:szCs w:val="21"/>
        </w:rPr>
        <w:t xml:space="preserve">项目名称：</w:t>
      </w:r>
      <w:r>
        <w:rPr>
          <w:rFonts w:ascii="宋体" w:hAnsi="宋体" w:cs="宋体"/>
          <w:szCs w:val="21"/>
        </w:rPr>
        <w:tab/>
      </w:r>
      <w:r>
        <w:rPr>
          <w:rFonts w:ascii="宋体" w:hAnsi="宋体" w:cs="宋体"/>
          <w:szCs w:val="21"/>
        </w:rPr>
        <w:t xml:space="preserve">项目编号：         </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860"/>
        <w:gridCol w:w="1528"/>
        <w:gridCol w:w="1528"/>
        <w:gridCol w:w="1644"/>
        <w:gridCol w:w="1215"/>
      </w:tblGrid>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b/>
                <w:bCs/>
                <w:color w:val="000000"/>
                <w:szCs w:val="21"/>
              </w:rPr>
            </w:pPr>
            <w:r/>
            <w:bookmarkStart w:id="42" w:name="_Hlk144279231"/>
            <w:r>
              <w:rPr>
                <w:rFonts w:ascii="宋体" w:hAnsi="宋体"/>
                <w:b/>
                <w:bCs/>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60" w:lineRule="auto"/>
              <w:widowControl/>
              <w:rPr>
                <w:rFonts w:hint="eastAsia" w:ascii="宋体" w:hAnsi="宋体" w:cs="宋体"/>
                <w:b/>
                <w:szCs w:val="21"/>
              </w:rPr>
            </w:pPr>
            <w:r>
              <w:rPr>
                <w:rFonts w:ascii="宋体" w:hAnsi="宋体" w:cs="宋体"/>
                <w:b/>
                <w:szCs w:val="21"/>
              </w:rPr>
              <w:t xml:space="preserve">招标文件</w:t>
            </w:r>
            <w:r/>
          </w:p>
          <w:p>
            <w:pPr>
              <w:jc w:val="center"/>
              <w:spacing w:after="160" w:line="276" w:lineRule="auto"/>
              <w:rPr>
                <w:rFonts w:hint="eastAsia" w:ascii="宋体" w:hAnsi="宋体"/>
                <w:color w:val="000000"/>
                <w:szCs w:val="21"/>
              </w:rPr>
            </w:pPr>
            <w:r>
              <w:rPr>
                <w:rFonts w:ascii="宋体" w:hAnsi="宋体" w:cs="宋体"/>
                <w:b/>
                <w:szCs w:val="21"/>
              </w:rPr>
              <w:t xml:space="preserve">条目号</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ascii="宋体" w:hAnsi="宋体" w:cs="宋体"/>
                <w:b/>
                <w:szCs w:val="21"/>
              </w:rPr>
              <w:t xml:space="preserve">招标要求规格</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ascii="宋体" w:hAnsi="宋体" w:cs="宋体"/>
                <w:b/>
                <w:szCs w:val="21"/>
              </w:rPr>
              <w:t xml:space="preserve">投标响应</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color w:val="000000"/>
                <w:szCs w:val="21"/>
              </w:rPr>
            </w:pPr>
            <w:r>
              <w:rPr>
                <w:rFonts w:ascii="宋体" w:hAnsi="宋体" w:cs="宋体"/>
                <w:b/>
                <w:szCs w:val="21"/>
              </w:rPr>
              <w:t xml:space="preserve">偏离</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color w:val="000000"/>
                <w:szCs w:val="21"/>
              </w:rPr>
            </w:pPr>
            <w:r>
              <w:rPr>
                <w:rFonts w:ascii="宋体" w:hAnsi="宋体" w:cs="宋体"/>
                <w:b/>
                <w:szCs w:val="21"/>
              </w:rPr>
              <w:t xml:space="preserve">说明</w:t>
            </w:r>
            <w:r/>
          </w:p>
        </w:tc>
      </w:tr>
      <w:tr>
        <w:trPr>
          <w:jc w:val="center"/>
          <w:trHeight w:val="93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after="160" w:line="276" w:lineRule="auto"/>
              <w:rPr>
                <w:rFonts w:hint="eastAsia" w:ascii="宋体" w:hAnsi="宋体"/>
                <w:bCs/>
                <w:color w:val="000000"/>
                <w:szCs w:val="21"/>
              </w:rPr>
            </w:pPr>
            <w:r>
              <w:rPr>
                <w:rFonts w:ascii="宋体" w:hAnsi="宋体"/>
                <w:b/>
                <w:color w:val="000000"/>
                <w:szCs w:val="21"/>
              </w:rPr>
              <w:t xml:space="preserve">对本项目合同条款的偏离情况</w:t>
            </w:r>
            <w:r>
              <w:rPr>
                <w:rFonts w:ascii="宋体" w:hAnsi="宋体"/>
                <w:bCs/>
                <w:color w:val="000000"/>
                <w:szCs w:val="21"/>
              </w:rPr>
              <w:t xml:space="preserve">（应进行选择）：</w:t>
            </w:r>
            <w:r/>
          </w:p>
          <w:p>
            <w:pPr>
              <w:jc w:val="left"/>
              <w:spacing w:after="160" w:line="276" w:lineRule="auto"/>
              <w:rPr>
                <w:rFonts w:hint="eastAsia" w:ascii="宋体" w:hAnsi="宋体"/>
                <w:color w:val="000000"/>
                <w:szCs w:val="21"/>
              </w:rPr>
            </w:pPr>
            <w:r>
              <w:rPr>
                <w:rFonts w:ascii="宋体" w:hAnsi="宋体"/>
                <w:b/>
                <w:color w:val="000000"/>
                <w:szCs w:val="21"/>
              </w:rPr>
              <w:t xml:space="preserve">□无偏离</w:t>
            </w:r>
            <w:r>
              <w:rPr>
                <w:rFonts w:ascii="宋体" w:hAnsi="宋体"/>
                <w:color w:val="000000"/>
                <w:szCs w:val="21"/>
              </w:rPr>
              <w:t xml:space="preserve">（如无偏离，仅选择无偏离即可；</w:t>
            </w:r>
            <w:r>
              <w:rPr>
                <w:rFonts w:ascii="宋体" w:hAnsi="宋体"/>
                <w:bCs/>
                <w:color w:val="000000"/>
                <w:szCs w:val="21"/>
              </w:rPr>
              <w:t xml:space="preserve">无偏离即为</w:t>
            </w:r>
            <w:r>
              <w:rPr>
                <w:rFonts w:ascii="宋体" w:hAnsi="宋体"/>
                <w:szCs w:val="21"/>
              </w:rPr>
              <w:t xml:space="preserve">对合同条款中的所有要求，均视作供应商已对之理解和响应。</w:t>
            </w:r>
            <w:r>
              <w:rPr>
                <w:rFonts w:ascii="宋体" w:hAnsi="宋体"/>
                <w:color w:val="000000"/>
                <w:szCs w:val="21"/>
              </w:rPr>
              <w:t xml:space="preserve">）</w:t>
            </w:r>
            <w:r/>
          </w:p>
          <w:p>
            <w:pPr>
              <w:jc w:val="left"/>
              <w:spacing w:after="160" w:line="276" w:lineRule="auto"/>
              <w:rPr>
                <w:rFonts w:hint="eastAsia" w:ascii="宋体" w:hAnsi="宋体"/>
                <w:color w:val="000000"/>
                <w:szCs w:val="21"/>
              </w:rPr>
            </w:pPr>
            <w:r>
              <w:rPr>
                <w:rFonts w:ascii="宋体" w:hAnsi="宋体"/>
                <w:b/>
                <w:color w:val="000000"/>
                <w:szCs w:val="21"/>
              </w:rPr>
              <w:t xml:space="preserve">□有偏离</w:t>
            </w:r>
            <w:r>
              <w:rPr>
                <w:rFonts w:ascii="宋体" w:hAnsi="宋体"/>
                <w:color w:val="000000"/>
                <w:szCs w:val="21"/>
              </w:rPr>
              <w:t xml:space="preserve">（如有偏离，则应在本表中对负偏离项逐一列明；</w:t>
            </w:r>
            <w:r>
              <w:rPr>
                <w:rFonts w:ascii="宋体" w:hAnsi="宋体"/>
                <w:szCs w:val="21"/>
              </w:rPr>
              <w:t xml:space="preserve">对合同条款中的所有要求，除本表列明的偏离外，均视作供应商已对之理解和响应。</w:t>
            </w:r>
            <w:r>
              <w:rPr>
                <w:rFonts w:ascii="宋体" w:hAnsi="宋体"/>
                <w:color w:val="000000"/>
                <w:szCs w:val="21"/>
              </w:rPr>
              <w:t xml:space="preserve">）</w:t>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color w:val="000000"/>
                <w:szCs w:val="21"/>
              </w:rPr>
            </w:pPr>
            <w:r>
              <w:rPr>
                <w:rFonts w:hint="eastAsia" w:ascii="宋体" w:hAnsi="宋体"/>
                <w:color w:val="000000"/>
                <w:szCs w:val="21"/>
              </w:rPr>
            </w:r>
            <w:bookmarkEnd w:id="42"/>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投标单位（加盖电子公章）：</w:t>
      </w:r>
      <w:r>
        <w:rPr>
          <w:rFonts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b/>
          <w:bCs/>
          <w:szCs w:val="21"/>
        </w:rPr>
        <w:outlineLvl w:val="1"/>
      </w:pPr>
      <w:r>
        <w:rPr>
          <w:rFonts w:ascii="宋体" w:hAnsi="宋体" w:cs="宋体"/>
          <w:b/>
          <w:bCs/>
          <w:szCs w:val="21"/>
        </w:rPr>
        <w:t xml:space="preserve">附件八、技术说明与服务方案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rPr>
          <w:rFonts w:hint="eastAsia" w:ascii="宋体" w:hAnsi="宋体" w:cs="宋体"/>
          <w:szCs w:val="21"/>
        </w:rPr>
      </w:pPr>
      <w:r>
        <w:rPr>
          <w:rFonts w:ascii="宋体" w:hAnsi="宋体" w:cs="宋体"/>
          <w:szCs w:val="21"/>
        </w:rPr>
        <w:t xml:space="preserve">技术方案及服务承诺应根据招标人对项目的要求、评标标准的要求及项目本身的特点编写。</w:t>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ascii="宋体" w:hAnsi="宋体" w:cs="宋体"/>
          <w:szCs w:val="21"/>
        </w:rPr>
        <w:t xml:space="preserve">包括但不限于：</w:t>
      </w:r>
      <w:r/>
    </w:p>
    <w:p>
      <w:pPr>
        <w:jc w:val="center"/>
        <w:spacing w:line="360" w:lineRule="auto"/>
        <w:rPr>
          <w:rFonts w:hint="eastAsia" w:ascii="宋体" w:hAnsi="宋体"/>
          <w:b/>
          <w:bCs/>
          <w:szCs w:val="21"/>
        </w:rPr>
      </w:pPr>
      <w:r/>
      <w:bookmarkStart w:id="43" w:name="_Toc205835004"/>
      <w:r>
        <w:rPr>
          <w:rFonts w:ascii="宋体" w:hAnsi="宋体"/>
          <w:b/>
          <w:bCs/>
          <w:szCs w:val="21"/>
        </w:rPr>
        <w:t xml:space="preserve">一、防护保障措施</w:t>
      </w:r>
      <w:bookmarkEnd w:id="43"/>
      <w:r/>
      <w:r/>
    </w:p>
    <w:p>
      <w:pPr>
        <w:ind w:firstLine="420"/>
        <w:spacing w:line="360" w:lineRule="auto"/>
        <w:tabs>
          <w:tab w:val="left" w:pos="1280" w:leader="none"/>
        </w:tabs>
        <w:rPr>
          <w:rFonts w:hint="eastAsia" w:ascii="宋体" w:hAnsi="宋体"/>
          <w:szCs w:val="21"/>
        </w:rPr>
      </w:pPr>
      <w:r>
        <w:rPr>
          <w:rFonts w:ascii="宋体" w:hAnsi="宋体"/>
          <w:szCs w:val="21"/>
          <w:lang w:val="zh-CN"/>
        </w:rPr>
        <w:t xml:space="preserve">格式内容由投标人自拟，</w:t>
      </w:r>
      <w:r>
        <w:rPr>
          <w:rFonts w:ascii="宋体" w:hAnsi="宋体"/>
          <w:szCs w:val="21"/>
        </w:rPr>
        <w:t xml:space="preserve">包括但不限于</w:t>
      </w:r>
      <w:r>
        <w:rPr>
          <w:rFonts w:ascii="宋体" w:hAnsi="宋体"/>
          <w:szCs w:val="21"/>
        </w:rPr>
        <w:t xml:space="preserve">存储、运输过程中防潮、耐压所采取的防护保障（如：运输包装瓦楞纸的型号、厚度、密度等）。</w:t>
      </w:r>
      <w:r/>
    </w:p>
    <w:tbl>
      <w:tblPr>
        <w:tblStyle w:val="945"/>
        <w:tblW w:w="0" w:type="auto"/>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589"/>
        <w:gridCol w:w="4571"/>
      </w:tblGrid>
      <w:tr>
        <w:trPr>
          <w:trHeight w:val="51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exact"/>
              <w:tabs>
                <w:tab w:val="left" w:pos="1280" w:leader="none"/>
              </w:tabs>
              <w:rPr>
                <w:rFonts w:hint="eastAsia"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spacing w:line="360" w:lineRule="exact"/>
              <w:tabs>
                <w:tab w:val="left" w:pos="1280" w:leader="none"/>
              </w:tabs>
              <w:rPr>
                <w:rFonts w:hint="eastAsia" w:ascii="宋体" w:hAnsi="宋体"/>
                <w:szCs w:val="21"/>
              </w:rPr>
            </w:pPr>
            <w:r>
              <w:rPr>
                <w:rFonts w:ascii="宋体" w:hAnsi="宋体"/>
                <w:szCs w:val="21"/>
              </w:rPr>
              <w:t xml:space="preserve">防护措施</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jc w:val="center"/>
              <w:spacing w:line="360" w:lineRule="exact"/>
              <w:tabs>
                <w:tab w:val="left" w:pos="1280" w:leader="none"/>
              </w:tabs>
              <w:rPr>
                <w:rFonts w:hint="eastAsia" w:ascii="宋体" w:hAnsi="宋体"/>
                <w:szCs w:val="21"/>
              </w:rPr>
            </w:pPr>
            <w:r>
              <w:rPr>
                <w:rFonts w:ascii="宋体" w:hAnsi="宋体"/>
                <w:szCs w:val="21"/>
              </w:rPr>
              <w:t xml:space="preserve">具体描述</w:t>
            </w:r>
            <w:r/>
          </w:p>
        </w:tc>
      </w:tr>
      <w:tr>
        <w:trPr>
          <w:trHeight w:val="51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exact"/>
              <w:tabs>
                <w:tab w:val="left" w:pos="1280" w:leader="none"/>
              </w:tabs>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exact"/>
              <w:tabs>
                <w:tab w:val="left" w:pos="1280" w:leader="none"/>
              </w:tabs>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exact"/>
              <w:tabs>
                <w:tab w:val="left" w:pos="1280" w:leader="none"/>
              </w:tabs>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exact"/>
              <w:tabs>
                <w:tab w:val="left" w:pos="1280" w:leader="none"/>
              </w:tabs>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jc w:val="center"/>
              <w:spacing w:line="360" w:lineRule="exact"/>
              <w:tabs>
                <w:tab w:val="left" w:pos="1280" w:leader="none"/>
              </w:tabs>
              <w:rPr>
                <w:rFonts w:hint="eastAsia" w:ascii="宋体" w:hAnsi="宋体"/>
                <w:szCs w:val="21"/>
              </w:rPr>
            </w:pPr>
            <w:r>
              <w:rPr>
                <w:rFonts w:hint="eastAsia" w:ascii="宋体" w:hAnsi="宋体"/>
                <w:szCs w:val="21"/>
              </w:rPr>
            </w:r>
            <w:r/>
          </w:p>
        </w:tc>
      </w:tr>
    </w:tbl>
    <w:p>
      <w:pPr>
        <w:rPr>
          <w:rFonts w:hint="eastAsia" w:ascii="宋体" w:hAnsi="宋体" w:cs="宋体"/>
          <w:b/>
          <w:color w:val="000000"/>
          <w:szCs w:val="21"/>
        </w:rPr>
      </w:pPr>
      <w:r>
        <w:rPr>
          <w:rFonts w:hint="eastAsia" w:ascii="宋体" w:hAnsi="宋体" w:cs="宋体"/>
          <w:b/>
          <w:color w:val="000000"/>
          <w:szCs w:val="21"/>
        </w:rPr>
      </w:r>
      <w:r/>
    </w:p>
    <w:p>
      <w:pPr>
        <w:jc w:val="left"/>
        <w:spacing w:line="360" w:lineRule="auto"/>
        <w:rPr>
          <w:rFonts w:hint="eastAsia" w:ascii="宋体" w:hAnsi="宋体" w:cs="宋体"/>
          <w:szCs w:val="21"/>
        </w:rPr>
      </w:pPr>
      <w:r>
        <w:rPr>
          <w:rFonts w:hint="eastAsia" w:ascii="宋体" w:hAnsi="宋体" w:cs="宋体"/>
          <w:szCs w:val="21"/>
        </w:rPr>
      </w:r>
      <w:r/>
    </w:p>
    <w:p>
      <w:pPr>
        <w:jc w:val="center"/>
        <w:rPr>
          <w:b/>
          <w:bCs/>
        </w:rPr>
      </w:pPr>
      <w:r>
        <w:rPr>
          <w:b/>
          <w:bCs/>
        </w:rPr>
        <w:t xml:space="preserve">二、售后服务及承诺等</w:t>
      </w:r>
      <w:r/>
    </w:p>
    <w:p>
      <w:pPr>
        <w:jc w:val="left"/>
        <w:spacing w:line="360" w:lineRule="exact"/>
        <w:rPr>
          <w:rFonts w:hint="eastAsia" w:ascii="宋体" w:hAnsi="宋体"/>
          <w:b/>
          <w:bCs/>
          <w:szCs w:val="21"/>
        </w:rPr>
      </w:pPr>
      <w:r>
        <w:rPr>
          <w:rFonts w:hint="eastAsia" w:ascii="宋体" w:hAnsi="宋体"/>
          <w:b/>
          <w:bCs/>
          <w:szCs w:val="21"/>
        </w:rPr>
      </w:r>
      <w:r/>
    </w:p>
    <w:p>
      <w:pPr>
        <w:jc w:val="left"/>
        <w:spacing w:line="360" w:lineRule="exact"/>
        <w:rPr>
          <w:rFonts w:hint="eastAsia" w:ascii="宋体" w:hAnsi="宋体"/>
          <w:b/>
          <w:bCs/>
          <w:szCs w:val="21"/>
        </w:rPr>
      </w:pPr>
      <w:r>
        <w:rPr>
          <w:rFonts w:hint="eastAsia" w:ascii="宋体" w:hAnsi="宋体"/>
          <w:b/>
          <w:bCs/>
          <w:szCs w:val="21"/>
        </w:rPr>
      </w:r>
      <w:r/>
    </w:p>
    <w:p>
      <w:pPr>
        <w:jc w:val="left"/>
        <w:spacing w:line="360" w:lineRule="exact"/>
        <w:rPr>
          <w:rFonts w:hint="eastAsia" w:ascii="宋体" w:hAnsi="宋体"/>
          <w:b/>
          <w:bCs/>
          <w:szCs w:val="21"/>
        </w:rPr>
      </w:pPr>
      <w:r>
        <w:rPr>
          <w:rFonts w:hint="eastAsia" w:ascii="宋体" w:hAnsi="宋体"/>
          <w:b/>
          <w:bCs/>
          <w:szCs w:val="21"/>
        </w:rPr>
      </w:r>
      <w:r/>
    </w:p>
    <w:p>
      <w:pPr>
        <w:jc w:val="left"/>
        <w:spacing w:line="360" w:lineRule="exact"/>
        <w:rPr>
          <w:rFonts w:hint="eastAsia" w:ascii="宋体" w:hAnsi="宋体"/>
          <w:b/>
          <w:bCs/>
          <w:szCs w:val="21"/>
        </w:rPr>
      </w:pPr>
      <w:r>
        <w:rPr>
          <w:rFonts w:hint="eastAsia" w:ascii="宋体" w:hAnsi="宋体"/>
          <w:b/>
          <w:bCs/>
          <w:szCs w:val="21"/>
        </w:rPr>
      </w:r>
      <w:r/>
    </w:p>
    <w:p>
      <w:pPr>
        <w:jc w:val="left"/>
        <w:spacing w:line="360" w:lineRule="exact"/>
        <w:rPr>
          <w:rFonts w:hint="eastAsia" w:ascii="宋体" w:hAnsi="宋体"/>
          <w:b/>
          <w:bCs/>
          <w:szCs w:val="21"/>
        </w:rPr>
      </w:pPr>
      <w:r>
        <w:rPr>
          <w:rFonts w:hint="eastAsia" w:ascii="宋体" w:hAnsi="宋体"/>
          <w:b/>
          <w:bCs/>
          <w:szCs w:val="21"/>
        </w:rPr>
      </w:r>
      <w:r/>
    </w:p>
    <w:p>
      <w:pPr>
        <w:jc w:val="left"/>
        <w:spacing w:line="360" w:lineRule="exact"/>
        <w:rPr>
          <w:rFonts w:hint="eastAsia" w:ascii="宋体" w:hAnsi="宋体"/>
          <w:b/>
          <w:bCs/>
          <w:szCs w:val="21"/>
        </w:rPr>
      </w:pPr>
      <w:r>
        <w:rPr>
          <w:rFonts w:hint="eastAsia" w:ascii="宋体" w:hAnsi="宋体"/>
          <w:b/>
          <w:bCs/>
          <w:szCs w:val="21"/>
        </w:rPr>
      </w:r>
      <w:r/>
    </w:p>
    <w:p>
      <w:pPr>
        <w:jc w:val="center"/>
        <w:spacing w:line="360" w:lineRule="exact"/>
        <w:rPr>
          <w:rFonts w:hint="eastAsia" w:ascii="宋体" w:hAnsi="宋体"/>
          <w:b/>
          <w:bCs/>
          <w:szCs w:val="21"/>
        </w:rPr>
      </w:pPr>
      <w:r>
        <w:rPr>
          <w:rFonts w:ascii="宋体" w:hAnsi="宋体"/>
          <w:b/>
          <w:bCs/>
          <w:szCs w:val="21"/>
        </w:rPr>
        <w:t xml:space="preserve">…</w:t>
      </w:r>
      <w:r/>
    </w:p>
    <w:p>
      <w:pPr>
        <w:jc w:val="left"/>
        <w:spacing w:line="360" w:lineRule="exact"/>
        <w:rPr>
          <w:rFonts w:hint="eastAsia" w:ascii="宋体" w:hAnsi="宋体"/>
          <w:b/>
          <w:bCs/>
          <w:szCs w:val="21"/>
        </w:rPr>
      </w:pPr>
      <w:r>
        <w:rPr>
          <w:rFonts w:hint="eastAsia" w:ascii="宋体" w:hAnsi="宋体"/>
          <w:b/>
          <w:bCs/>
          <w:szCs w:val="21"/>
        </w:rPr>
      </w:r>
      <w:r/>
    </w:p>
    <w:p>
      <w:pPr>
        <w:jc w:val="left"/>
        <w:spacing w:line="360" w:lineRule="exact"/>
        <w:rPr>
          <w:rFonts w:hint="eastAsia" w:ascii="宋体" w:hAnsi="宋体" w:cs="宋体"/>
          <w:b/>
          <w:bCs/>
          <w:szCs w:val="21"/>
        </w:rPr>
        <w:outlineLvl w:val="1"/>
      </w:pPr>
      <w:r>
        <w:rPr>
          <w:rFonts w:ascii="宋体" w:hAnsi="宋体" w:cs="宋体"/>
          <w:b/>
          <w:bCs/>
        </w:rPr>
        <w:br w:type="page" w:clear="all"/>
      </w:r>
      <w:r>
        <w:rPr>
          <w:rFonts w:ascii="宋体" w:hAnsi="宋体" w:cs="宋体"/>
          <w:b/>
          <w:bCs/>
          <w:szCs w:val="21"/>
        </w:rPr>
        <w:t xml:space="preserve">附件九、拟投入本项目设备一览表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ascii="宋体" w:hAnsi="宋体" w:cs="宋体"/>
          <w:b/>
          <w:bCs/>
          <w:sz w:val="24"/>
        </w:rPr>
        <w:t xml:space="preserve">拟投入本项目设备一览表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ascii="宋体" w:hAnsi="宋体" w:cs="宋体"/>
          <w:szCs w:val="21"/>
        </w:rPr>
        <w:t xml:space="preserve">项目名称：                                 项目编号：</w:t>
      </w:r>
      <w:r/>
    </w:p>
    <w:tbl>
      <w:tblPr>
        <w:tblStyle w:val="94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73"/>
        <w:gridCol w:w="1632"/>
        <w:gridCol w:w="1209"/>
        <w:gridCol w:w="1292"/>
        <w:gridCol w:w="2065"/>
        <w:gridCol w:w="1549"/>
      </w:tblGrid>
      <w:tr>
        <w:trPr>
          <w:jc w:val="center"/>
        </w:trPr>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936"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仪器名称</w:t>
            </w:r>
            <w:r/>
          </w:p>
        </w:tc>
        <w:tc>
          <w:tcPr>
            <w:tcBorders>
              <w:top w:val="single" w:color="000000" w:sz="4" w:space="0"/>
              <w:left w:val="none" w:color="000000" w:sz="4" w:space="0"/>
              <w:bottom w:val="single" w:color="000000" w:sz="4" w:space="0"/>
              <w:right w:val="single" w:color="000000" w:sz="4" w:space="0"/>
            </w:tcBorders>
            <w:tcW w:w="693"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品牌型号</w:t>
            </w:r>
            <w:r/>
          </w:p>
        </w:tc>
        <w:tc>
          <w:tcPr>
            <w:tcBorders>
              <w:top w:val="single" w:color="000000" w:sz="4" w:space="0"/>
              <w:left w:val="non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购置年限</w:t>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数量</w:t>
            </w:r>
            <w:r/>
          </w:p>
        </w:tc>
        <w:tc>
          <w:tcPr>
            <w:tcBorders>
              <w:top w:val="single" w:color="000000" w:sz="4" w:space="0"/>
              <w:left w:val="none" w:color="000000" w:sz="4" w:space="0"/>
              <w:bottom w:val="single" w:color="000000" w:sz="4" w:space="0"/>
              <w:right w:val="single" w:color="000000" w:sz="4" w:space="0"/>
            </w:tcBorders>
            <w:tcW w:w="888"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投标单位（加盖电子公章）：</w:t>
      </w:r>
      <w:r>
        <w:rPr>
          <w:rFonts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jc w:val="left"/>
        <w:spacing w:line="360" w:lineRule="exact"/>
        <w:rPr>
          <w:rFonts w:hint="eastAsia" w:ascii="宋体" w:hAnsi="宋体" w:cs="宋体"/>
          <w:b/>
          <w:bCs/>
          <w:szCs w:val="21"/>
        </w:rPr>
        <w:outlineLvl w:val="1"/>
      </w:pPr>
      <w:r>
        <w:rPr>
          <w:rFonts w:ascii="宋体" w:hAnsi="宋体" w:cs="宋体"/>
          <w:b/>
          <w:bCs/>
          <w:sz w:val="24"/>
        </w:rPr>
        <w:br w:type="page" w:clear="all"/>
      </w:r>
      <w:r>
        <w:rPr>
          <w:rFonts w:ascii="宋体" w:hAnsi="宋体" w:cs="宋体"/>
          <w:b/>
          <w:bCs/>
          <w:szCs w:val="21"/>
        </w:rPr>
        <w:t xml:space="preserve">附件十、拟参与本项目服务人员一览表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ascii="宋体" w:hAnsi="宋体" w:cs="宋体"/>
          <w:szCs w:val="21"/>
        </w:rPr>
        <w:t xml:space="preserve">项目名称：                                 项目编号：</w:t>
      </w:r>
      <w:r/>
    </w:p>
    <w:tbl>
      <w:tblPr>
        <w:tblStyle w:val="945"/>
        <w:tblW w:w="9465" w:type="dxa"/>
        <w:jc w:val="center"/>
        <w:tblLayout w:type="fixed"/>
        <w:tblCellMar>
          <w:left w:w="108" w:type="dxa"/>
          <w:top w:w="0" w:type="dxa"/>
          <w:right w:w="108" w:type="dxa"/>
          <w:bottom w:w="0" w:type="dxa"/>
        </w:tblCellMar>
        <w:tblLook w:val="04A0" w:firstRow="1" w:lastRow="0" w:firstColumn="1" w:lastColumn="0" w:noHBand="0" w:noVBand="1"/>
      </w:tblPr>
      <w:tblGrid>
        <w:gridCol w:w="535"/>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执业</w:t>
            </w:r>
            <w:r/>
          </w:p>
          <w:p>
            <w:pPr>
              <w:jc w:val="center"/>
              <w:widowControl/>
              <w:rPr>
                <w:rFonts w:hint="eastAsia" w:ascii="宋体" w:hAnsi="宋体" w:cs="宋体"/>
                <w:b/>
                <w:bCs/>
                <w:szCs w:val="21"/>
              </w:rPr>
            </w:pPr>
            <w:r>
              <w:rPr>
                <w:rFonts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投标单位（加盖电子公章）：</w:t>
      </w:r>
      <w:r>
        <w:rPr>
          <w:rFonts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b/>
          <w:bCs/>
          <w:szCs w:val="21"/>
        </w:rPr>
      </w:pPr>
      <w:r>
        <w:rPr>
          <w:rFonts w:ascii="宋体" w:hAnsi="宋体" w:cs="宋体"/>
          <w:b/>
          <w:bCs/>
          <w:szCs w:val="21"/>
        </w:rPr>
        <w:br w:type="page" w:clear="all"/>
      </w:r>
      <w:r/>
    </w:p>
    <w:p>
      <w:pPr>
        <w:spacing w:line="360" w:lineRule="auto"/>
        <w:widowControl/>
        <w:rPr>
          <w:rFonts w:hint="eastAsia" w:ascii="宋体" w:hAnsi="宋体" w:cs="宋体"/>
          <w:b/>
          <w:bCs/>
          <w:szCs w:val="21"/>
        </w:rPr>
        <w:outlineLvl w:val="1"/>
      </w:pPr>
      <w:r>
        <w:rPr>
          <w:rFonts w:ascii="宋体" w:hAnsi="宋体" w:cs="宋体"/>
          <w:b/>
          <w:bCs/>
          <w:szCs w:val="21"/>
        </w:rPr>
        <w:t xml:space="preserve">附件十一、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ascii="宋体" w:hAnsi="宋体" w:cs="宋体"/>
          <w:b/>
          <w:bCs/>
          <w:sz w:val="24"/>
        </w:rPr>
        <w:t xml:space="preserve">投标人类似业绩情况表</w:t>
      </w:r>
      <w:r/>
    </w:p>
    <w:tbl>
      <w:tblPr>
        <w:tblStyle w:val="945"/>
        <w:tblW w:w="9465" w:type="dxa"/>
        <w:jc w:val="center"/>
        <w:tblLayout w:type="fixed"/>
        <w:tblCellMar>
          <w:left w:w="108" w:type="dxa"/>
          <w:top w:w="0" w:type="dxa"/>
          <w:right w:w="108" w:type="dxa"/>
          <w:bottom w:w="0" w:type="dxa"/>
        </w:tblCellMar>
        <w:tblLook w:val="04A0" w:firstRow="1" w:lastRow="0" w:firstColumn="1" w:lastColumn="0" w:noHBand="0" w:noVBand="1"/>
      </w:tblPr>
      <w:tblGrid>
        <w:gridCol w:w="683"/>
        <w:gridCol w:w="1558"/>
        <w:gridCol w:w="1417"/>
        <w:gridCol w:w="992"/>
        <w:gridCol w:w="1033"/>
        <w:gridCol w:w="1516"/>
        <w:gridCol w:w="1133"/>
        <w:gridCol w:w="1133"/>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项目</w:t>
            </w:r>
            <w:r/>
          </w:p>
          <w:p>
            <w:pPr>
              <w:jc w:val="center"/>
              <w:spacing w:line="400" w:lineRule="atLeast"/>
              <w:widowControl/>
              <w:rPr>
                <w:rFonts w:hint="eastAsia" w:ascii="宋体" w:hAnsi="宋体" w:cs="宋体"/>
                <w:szCs w:val="21"/>
              </w:rPr>
            </w:pPr>
            <w:r>
              <w:rPr>
                <w:rFonts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获奖</w:t>
            </w:r>
            <w:r/>
          </w:p>
          <w:p>
            <w:pPr>
              <w:jc w:val="center"/>
              <w:spacing w:line="400" w:lineRule="atLeast"/>
              <w:widowControl/>
              <w:rPr>
                <w:rFonts w:hint="eastAsia" w:ascii="宋体" w:hAnsi="宋体" w:cs="宋体"/>
                <w:szCs w:val="21"/>
              </w:rPr>
            </w:pPr>
            <w:r>
              <w:rPr>
                <w:rFonts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签约及服务</w:t>
            </w:r>
            <w:r/>
          </w:p>
          <w:p>
            <w:pPr>
              <w:jc w:val="center"/>
              <w:spacing w:line="400" w:lineRule="atLeast"/>
              <w:widowControl/>
              <w:rPr>
                <w:rFonts w:hint="eastAsia" w:ascii="宋体" w:hAnsi="宋体" w:cs="宋体"/>
                <w:szCs w:val="21"/>
              </w:rPr>
            </w:pPr>
            <w:r>
              <w:rPr>
                <w:rFonts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投标单位（加盖电子公章）：</w:t>
      </w:r>
      <w:r>
        <w:rPr>
          <w:rFonts w:ascii="宋体" w:hAnsi="宋体" w:cs="宋体"/>
          <w:szCs w:val="21"/>
          <w:u w:val="single"/>
        </w:rPr>
        <w:t xml:space="preserve">                             </w:t>
      </w:r>
      <w:r/>
    </w:p>
    <w:p>
      <w:pPr>
        <w:jc w:val="left"/>
        <w:widowControl/>
        <w:rPr>
          <w:rFonts w:hint="eastAsia" w:ascii="宋体" w:hAnsi="宋体" w:cs="宋体"/>
          <w:b/>
          <w:bCs/>
          <w:szCs w:val="21"/>
        </w:rPr>
      </w:pPr>
      <w:r>
        <w:rPr>
          <w:rFonts w:ascii="宋体" w:hAnsi="宋体" w:cs="宋体"/>
          <w:b/>
          <w:bCs/>
          <w:szCs w:val="21"/>
        </w:rPr>
        <w:br w:type="page" w:clear="all"/>
      </w:r>
      <w:r/>
    </w:p>
    <w:p>
      <w:pPr>
        <w:spacing w:line="360" w:lineRule="auto"/>
        <w:rPr>
          <w:rFonts w:hint="eastAsia" w:ascii="宋体" w:hAnsi="宋体" w:cs="宋体"/>
          <w:b/>
          <w:bCs/>
          <w:szCs w:val="21"/>
        </w:rPr>
        <w:outlineLvl w:val="1"/>
      </w:pPr>
      <w:r>
        <w:rPr>
          <w:rFonts w:ascii="宋体" w:hAnsi="宋体" w:cs="宋体"/>
          <w:b/>
          <w:bCs/>
          <w:szCs w:val="21"/>
        </w:rPr>
        <w:t xml:space="preserve">附件十二、企业声明函格式</w:t>
      </w:r>
      <w:r/>
    </w:p>
    <w:p>
      <w:pPr>
        <w:jc w:val="center"/>
        <w:spacing w:line="360" w:lineRule="auto"/>
        <w:shd w:val="clear" w:color="auto" w:fill="ffffff"/>
        <w:widowControl/>
        <w:rPr>
          <w:rFonts w:hint="eastAsia" w:ascii="宋体" w:hAnsi="宋体"/>
          <w:b/>
          <w:sz w:val="36"/>
          <w:szCs w:val="36"/>
        </w:rPr>
      </w:pPr>
      <w:r/>
      <w:bookmarkStart w:id="44" w:name="OLE_LINK13"/>
      <w:r/>
      <w:bookmarkStart w:id="45" w:name="OLE_LINK14"/>
      <w:r>
        <w:rPr>
          <w:rFonts w:ascii="宋体" w:hAnsi="宋体"/>
          <w:b/>
          <w:sz w:val="36"/>
          <w:szCs w:val="36"/>
        </w:rPr>
        <w:t xml:space="preserve">中小企业声明函（货物）</w:t>
      </w:r>
      <w:r/>
    </w:p>
    <w:p>
      <w:pPr>
        <w:ind w:firstLine="420"/>
        <w:jc w:val="left"/>
        <w:spacing w:line="360" w:lineRule="auto"/>
        <w:rPr>
          <w:rFonts w:hint="eastAsia" w:ascii="宋体" w:hAnsi="宋体" w:cs="Arial"/>
          <w:szCs w:val="21"/>
        </w:rPr>
      </w:pPr>
      <w:r>
        <w:rPr>
          <w:rFonts w:ascii="宋体" w:hAnsi="宋体"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Arial"/>
          <w:szCs w:val="21"/>
        </w:rPr>
      </w:pPr>
      <w:r>
        <w:rPr>
          <w:rFonts w:ascii="宋体" w:hAnsi="宋体" w:cs="Arial"/>
          <w:szCs w:val="21"/>
        </w:rPr>
        <w:t xml:space="preserve">1.（标的名称），属于（采购文件中明确的所属行业）行业；制造商为（企业名称），从业人员</w:t>
      </w:r>
      <w:r>
        <w:rPr>
          <w:rFonts w:ascii="宋体" w:hAnsi="宋体" w:cs="Arial"/>
          <w:szCs w:val="21"/>
        </w:rPr>
        <w:tab/>
      </w:r>
      <w:r>
        <w:rPr>
          <w:rFonts w:ascii="宋体" w:hAnsi="宋体" w:cs="Arial"/>
          <w:szCs w:val="21"/>
        </w:rPr>
        <w:t xml:space="preserve">人，营业收入为</w:t>
      </w:r>
      <w:r>
        <w:rPr>
          <w:rFonts w:ascii="宋体" w:hAnsi="宋体" w:cs="Arial"/>
          <w:szCs w:val="21"/>
        </w:rPr>
        <w:tab/>
      </w:r>
      <w:r>
        <w:rPr>
          <w:rFonts w:ascii="宋体" w:hAnsi="宋体" w:cs="Arial"/>
          <w:szCs w:val="21"/>
        </w:rPr>
        <w:t xml:space="preserve">万元，资产总额为</w:t>
      </w:r>
      <w:r>
        <w:rPr>
          <w:rFonts w:ascii="宋体" w:hAnsi="宋体" w:cs="Arial"/>
          <w:szCs w:val="21"/>
        </w:rPr>
        <w:tab/>
      </w:r>
      <w:r>
        <w:rPr>
          <w:rFonts w:ascii="宋体" w:hAnsi="宋体" w:cs="Arial"/>
          <w:szCs w:val="21"/>
        </w:rPr>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ind w:firstLine="420"/>
        <w:jc w:val="left"/>
        <w:spacing w:line="360" w:lineRule="auto"/>
        <w:rPr>
          <w:rFonts w:hint="eastAsia" w:ascii="宋体" w:hAnsi="宋体" w:cs="Arial"/>
          <w:szCs w:val="21"/>
        </w:rPr>
      </w:pPr>
      <w:r>
        <w:rPr>
          <w:rFonts w:ascii="宋体" w:hAnsi="宋体" w:cs="Arial"/>
          <w:szCs w:val="21"/>
        </w:rPr>
        <w:t xml:space="preserve">2.（标的名称），属于（采购文件中明确的所属行业）行业；制造商为（企业名称），从业人员</w:t>
      </w:r>
      <w:r>
        <w:rPr>
          <w:rFonts w:ascii="宋体" w:hAnsi="宋体" w:cs="Arial"/>
          <w:szCs w:val="21"/>
        </w:rPr>
        <w:tab/>
      </w:r>
      <w:r>
        <w:rPr>
          <w:rFonts w:ascii="宋体" w:hAnsi="宋体" w:cs="Arial"/>
          <w:szCs w:val="21"/>
        </w:rPr>
        <w:t xml:space="preserve">人，营业收入为</w:t>
      </w:r>
      <w:r>
        <w:rPr>
          <w:rFonts w:ascii="宋体" w:hAnsi="宋体" w:cs="Arial"/>
          <w:szCs w:val="21"/>
        </w:rPr>
        <w:tab/>
      </w:r>
      <w:r>
        <w:rPr>
          <w:rFonts w:ascii="宋体" w:hAnsi="宋体" w:cs="Arial"/>
          <w:szCs w:val="21"/>
        </w:rPr>
        <w:t xml:space="preserve">万元，资产总额为</w:t>
      </w:r>
      <w:r>
        <w:rPr>
          <w:rFonts w:ascii="宋体" w:hAnsi="宋体" w:cs="Arial"/>
          <w:szCs w:val="21"/>
        </w:rPr>
        <w:tab/>
      </w:r>
      <w:r>
        <w:rPr>
          <w:rFonts w:ascii="宋体" w:hAnsi="宋体" w:cs="Arial"/>
          <w:szCs w:val="21"/>
        </w:rPr>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ind w:firstLine="420"/>
        <w:jc w:val="left"/>
        <w:spacing w:line="360" w:lineRule="auto"/>
        <w:rPr>
          <w:rFonts w:hint="eastAsia" w:ascii="宋体" w:hAnsi="宋体" w:cs="Arial"/>
          <w:szCs w:val="21"/>
        </w:rPr>
      </w:pPr>
      <w:r>
        <w:rPr>
          <w:rFonts w:ascii="宋体" w:hAnsi="宋体" w:cs="Arial"/>
          <w:szCs w:val="21"/>
        </w:rPr>
        <w:t xml:space="preserve">……</w:t>
      </w:r>
      <w:r/>
    </w:p>
    <w:p>
      <w:pPr>
        <w:ind w:firstLine="420"/>
        <w:jc w:val="left"/>
        <w:spacing w:line="360" w:lineRule="auto"/>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ind w:firstLine="420"/>
        <w:jc w:val="right"/>
        <w:spacing w:line="360" w:lineRule="auto"/>
        <w:rPr>
          <w:rFonts w:hint="eastAsia" w:ascii="宋体" w:hAnsi="宋体" w:cs="Arial"/>
          <w:szCs w:val="21"/>
        </w:rPr>
      </w:pPr>
      <w:r>
        <w:rPr>
          <w:rFonts w:hint="eastAsia" w:ascii="宋体" w:hAnsi="宋体" w:cs="Arial"/>
          <w:szCs w:val="21"/>
        </w:rPr>
      </w:r>
      <w:r/>
    </w:p>
    <w:p>
      <w:pPr>
        <w:ind w:firstLine="420"/>
        <w:jc w:val="right"/>
        <w:spacing w:line="360" w:lineRule="auto"/>
        <w:rPr>
          <w:rFonts w:hint="eastAsia" w:ascii="宋体" w:hAnsi="宋体" w:cs="Arial"/>
          <w:szCs w:val="21"/>
        </w:rPr>
      </w:pPr>
      <w:r>
        <w:rPr>
          <w:rFonts w:ascii="宋体" w:hAnsi="宋体" w:cs="Arial"/>
          <w:szCs w:val="21"/>
        </w:rPr>
        <w:t xml:space="preserve">企业名称（盖章）：         </w:t>
      </w:r>
      <w:r/>
    </w:p>
    <w:p>
      <w:pPr>
        <w:ind w:firstLine="420"/>
        <w:jc w:val="right"/>
        <w:spacing w:line="360" w:lineRule="auto"/>
        <w:rPr>
          <w:rFonts w:hint="eastAsia" w:ascii="宋体" w:hAnsi="宋体" w:cs="Arial"/>
          <w:szCs w:val="21"/>
        </w:rPr>
      </w:pPr>
      <w:r>
        <w:rPr>
          <w:rFonts w:ascii="宋体" w:hAnsi="宋体" w:cs="Arial"/>
          <w:szCs w:val="21"/>
        </w:rPr>
        <w:t xml:space="preserve">日期：         </w:t>
      </w:r>
      <w:r/>
    </w:p>
    <w:p>
      <w:pPr>
        <w:ind w:firstLine="420"/>
        <w:jc w:val="left"/>
        <w:spacing w:line="360" w:lineRule="auto"/>
        <w:rPr>
          <w:rFonts w:hint="eastAsia" w:ascii="宋体" w:hAnsi="宋体" w:cs="Arial"/>
          <w:szCs w:val="21"/>
        </w:rPr>
      </w:pPr>
      <w:r>
        <w:rPr>
          <w:rFonts w:hint="eastAsia" w:ascii="宋体" w:hAnsi="宋体" w:cs="Arial"/>
          <w:szCs w:val="21"/>
        </w:rPr>
      </w:r>
      <w:r/>
    </w:p>
    <w:p>
      <w:pPr>
        <w:ind w:firstLine="420"/>
        <w:jc w:val="left"/>
        <w:spacing w:line="360" w:lineRule="auto"/>
        <w:rPr>
          <w:rFonts w:hint="eastAsia" w:ascii="宋体" w:hAnsi="宋体"/>
        </w:rPr>
      </w:pPr>
      <w:r>
        <w:rPr>
          <w:rFonts w:hint="eastAsia" w:ascii="宋体" w:hAnsi="宋体"/>
        </w:rPr>
      </w:r>
      <w:r/>
    </w:p>
    <w:p>
      <w:pPr>
        <w:keepLines/>
        <w:keepNext/>
        <w:rPr>
          <w:rFonts w:hint="eastAsia" w:ascii="宋体" w:hAnsi="宋体" w:cs="宋体"/>
        </w:rPr>
      </w:pPr>
      <w:r/>
      <w:bookmarkStart w:id="46" w:name="_Toc1861"/>
      <w:r/>
      <w:bookmarkStart w:id="47" w:name="_Toc13722"/>
      <w:r>
        <w:rPr>
          <w:rFonts w:ascii="宋体" w:hAnsi="宋体" w:cs="宋体"/>
        </w:rPr>
        <w:t xml:space="preserve">备注：</w:t>
      </w:r>
      <w:bookmarkEnd w:id="46"/>
      <w:r/>
      <w:bookmarkEnd w:id="47"/>
      <w:r/>
      <w:r/>
    </w:p>
    <w:p>
      <w:pPr>
        <w:ind w:firstLine="632"/>
        <w:keepLines/>
        <w:keepNext/>
        <w:rPr>
          <w:rFonts w:hint="eastAsia" w:ascii="宋体" w:hAnsi="宋体" w:cs="宋体"/>
          <w:b/>
          <w:bCs/>
        </w:rPr>
      </w:pPr>
      <w:r/>
      <w:bookmarkStart w:id="48" w:name="_Toc3322"/>
      <w:r/>
      <w:bookmarkStart w:id="49" w:name="_Toc18101"/>
      <w:r/>
      <w:bookmarkStart w:id="50" w:name="_Toc26583"/>
      <w:r/>
      <w:bookmarkStart w:id="51" w:name="_Toc4087"/>
      <w:r/>
      <w:bookmarkStart w:id="52" w:name="_Toc22289"/>
      <w:r/>
      <w:bookmarkStart w:id="53" w:name="_Toc2938"/>
      <w:r>
        <w:rPr>
          <w:rFonts w:ascii="宋体" w:hAnsi="宋体" w:cs="宋体"/>
          <w:b/>
          <w:bCs/>
        </w:rPr>
        <w:t xml:space="preserve">1.从业人员、营业收入、资产总额填报上一年度数据，无上一年度数据的新成立企业可不填报。</w:t>
      </w:r>
      <w:bookmarkEnd w:id="48"/>
      <w:r/>
      <w:bookmarkEnd w:id="49"/>
      <w:r/>
      <w:bookmarkEnd w:id="50"/>
      <w:r/>
      <w:bookmarkEnd w:id="51"/>
      <w:r/>
      <w:bookmarkEnd w:id="52"/>
      <w:r/>
      <w:bookmarkEnd w:id="53"/>
      <w:r/>
      <w:r/>
    </w:p>
    <w:p>
      <w:pPr>
        <w:ind w:firstLine="630"/>
        <w:keepLines/>
        <w:keepNext/>
        <w:rPr>
          <w:rFonts w:hint="eastAsia" w:ascii="宋体" w:hAnsi="宋体" w:cs="宋体"/>
          <w:b/>
          <w:bCs/>
        </w:rPr>
      </w:pPr>
      <w:r/>
      <w:bookmarkStart w:id="54" w:name="_Toc927"/>
      <w:r/>
      <w:bookmarkStart w:id="55" w:name="_Toc7010"/>
      <w:r/>
      <w:bookmarkStart w:id="56" w:name="_Toc2574"/>
      <w:r/>
      <w:bookmarkStart w:id="57" w:name="_Toc18057"/>
      <w:r/>
      <w:bookmarkStart w:id="58" w:name="_Toc10475"/>
      <w:r/>
      <w:bookmarkStart w:id="59" w:name="_Toc1944"/>
      <w:r>
        <w:rPr>
          <w:rFonts w:ascii="宋体" w:hAnsi="宋体" w:cs="宋体"/>
        </w:rPr>
        <w:t xml:space="preserve">2.在货物采购项目中，货物由中小企业制造，即货物由中小企业生产且使用该中小企业商号或者注册商标。</w:t>
      </w:r>
      <w:r>
        <w:rPr>
          <w:rFonts w:ascii="宋体" w:hAnsi="宋体" w:cs="宋体"/>
          <w:b/>
          <w:bCs/>
        </w:rPr>
        <w:t xml:space="preserve">供应商提供的货物既有中小企业制造货物，也有大型企业制造货物的，不享受相应扶持政策。</w:t>
      </w:r>
      <w:bookmarkEnd w:id="54"/>
      <w:r/>
      <w:bookmarkEnd w:id="55"/>
      <w:r/>
      <w:bookmarkEnd w:id="56"/>
      <w:r/>
      <w:bookmarkEnd w:id="57"/>
      <w:r/>
      <w:bookmarkEnd w:id="58"/>
      <w:r/>
      <w:bookmarkEnd w:id="59"/>
      <w:r/>
      <w:r/>
    </w:p>
    <w:p>
      <w:pPr>
        <w:ind w:firstLine="630"/>
        <w:keepLines/>
        <w:keepNext/>
        <w:rPr>
          <w:rFonts w:hint="eastAsia" w:ascii="宋体" w:hAnsi="宋体" w:cs="宋体"/>
          <w:b/>
          <w:bCs/>
        </w:rPr>
      </w:pPr>
      <w:r/>
      <w:bookmarkStart w:id="60" w:name="_Toc10358"/>
      <w:r/>
      <w:bookmarkStart w:id="61" w:name="_Toc17905"/>
      <w:r/>
      <w:bookmarkStart w:id="62" w:name="_Toc1268"/>
      <w:r/>
      <w:bookmarkStart w:id="63" w:name="_Toc30404"/>
      <w:r/>
      <w:bookmarkStart w:id="64" w:name="_Toc19903"/>
      <w:r/>
      <w:bookmarkStart w:id="65" w:name="_Toc12857"/>
      <w:r>
        <w:rPr>
          <w:rFonts w:ascii="宋体" w:hAnsi="宋体" w:cs="宋体"/>
        </w:rPr>
        <w:t xml:space="preserve">3.《中小企业声明函》中所填的行业应与本采购标的对应的中小企业划分标准所属行业一致，不一致的不可享受相应政策优惠。</w:t>
      </w:r>
      <w:r>
        <w:rPr>
          <w:rFonts w:ascii="宋体" w:hAnsi="宋体" w:cs="宋体"/>
          <w:b/>
          <w:bCs/>
        </w:rPr>
        <w:t xml:space="preserve">本采购标的对应的中小企业划分标准所属行业，以采购文件中具体规定为准。</w:t>
      </w:r>
      <w:bookmarkEnd w:id="60"/>
      <w:r/>
      <w:bookmarkEnd w:id="61"/>
      <w:r/>
      <w:bookmarkEnd w:id="62"/>
      <w:r/>
      <w:bookmarkEnd w:id="63"/>
      <w:r/>
      <w:bookmarkEnd w:id="64"/>
      <w:r/>
      <w:bookmarkEnd w:id="65"/>
      <w:r/>
      <w:r/>
    </w:p>
    <w:p>
      <w:pPr>
        <w:ind w:firstLine="632"/>
        <w:keepLines/>
        <w:keepNext/>
        <w:rPr>
          <w:rFonts w:hint="eastAsia" w:ascii="宋体" w:hAnsi="宋体" w:cs="宋体"/>
          <w:b/>
          <w:szCs w:val="21"/>
        </w:rPr>
      </w:pPr>
      <w:r/>
      <w:bookmarkStart w:id="66" w:name="_Toc8833"/>
      <w:r/>
      <w:bookmarkStart w:id="67" w:name="_Toc29908"/>
      <w:r/>
      <w:bookmarkStart w:id="68" w:name="_Toc10257"/>
      <w:r/>
      <w:bookmarkStart w:id="69" w:name="_Toc21794"/>
      <w:r/>
      <w:bookmarkStart w:id="70" w:name="_Toc14061"/>
      <w:r/>
      <w:bookmarkStart w:id="71" w:name="_Toc25066"/>
      <w:r>
        <w:rPr>
          <w:rFonts w:ascii="宋体" w:hAnsi="宋体" w:cs="宋体"/>
          <w:b/>
          <w:bCs/>
        </w:rPr>
        <w:t xml:space="preserve">4.如未对（中型企业、小型企业、微型企业）进行勾选，视同非中小微企业，不可享受相应扶持政策。</w:t>
      </w:r>
      <w:bookmarkEnd w:id="66"/>
      <w:r/>
      <w:bookmarkEnd w:id="67"/>
      <w:r/>
      <w:bookmarkEnd w:id="68"/>
      <w:r/>
      <w:bookmarkEnd w:id="69"/>
      <w:r/>
      <w:bookmarkEnd w:id="70"/>
      <w:r/>
      <w:bookmarkEnd w:id="71"/>
      <w:r/>
      <w:r/>
    </w:p>
    <w:p>
      <w:pPr>
        <w:jc w:val="left"/>
        <w:widowControl/>
        <w:rPr>
          <w:rFonts w:hint="eastAsia" w:ascii="宋体" w:hAnsi="宋体"/>
          <w:b/>
        </w:rPr>
      </w:pPr>
      <w:r>
        <w:rPr>
          <w:rFonts w:hint="eastAsia" w:ascii="宋体" w:hAnsi="宋体"/>
          <w:b/>
        </w:rPr>
        <w:br w:type="page" w:clear="all"/>
      </w:r>
      <w:r/>
    </w:p>
    <w:p>
      <w:pPr>
        <w:rPr>
          <w:rFonts w:hint="eastAsia" w:ascii="宋体" w:hAnsi="宋体"/>
          <w:b/>
        </w:rPr>
      </w:pPr>
      <w:r>
        <w:rPr>
          <w:rFonts w:ascii="宋体" w:hAnsi="宋体"/>
          <w:b/>
        </w:rPr>
        <w:t xml:space="preserve">附：中小企业划型标准规定</w:t>
      </w:r>
      <w:r/>
    </w:p>
    <w:p>
      <w:pPr>
        <w:ind w:firstLine="422"/>
        <w:rPr>
          <w:rFonts w:hint="eastAsia" w:ascii="宋体" w:hAnsi="宋体"/>
        </w:rPr>
      </w:pPr>
      <w:r>
        <w:rPr>
          <w:rFonts w:ascii="宋体" w:hAnsi="宋体"/>
          <w:b/>
        </w:rPr>
        <w:t xml:space="preserve">（一）农、林、牧、渔业。</w:t>
      </w:r>
      <w:r>
        <w:rPr>
          <w:rFonts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ascii="宋体" w:hAnsi="宋体"/>
          <w:b/>
        </w:rPr>
        <w:t xml:space="preserve">（二）工业。</w:t>
      </w:r>
      <w:r>
        <w:rPr>
          <w:rFonts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ascii="宋体" w:hAnsi="宋体"/>
          <w:b/>
        </w:rPr>
        <w:t xml:space="preserve">（三）建筑业。</w:t>
      </w:r>
      <w:r>
        <w:rPr>
          <w:rFonts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ascii="宋体" w:hAnsi="宋体"/>
          <w:b/>
        </w:rPr>
        <w:t xml:space="preserve">（四）批发业。</w:t>
      </w:r>
      <w:r>
        <w:rPr>
          <w:rFonts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ascii="宋体" w:hAnsi="宋体"/>
          <w:b/>
        </w:rPr>
        <w:t xml:space="preserve">（五）零售业。</w:t>
      </w:r>
      <w:r>
        <w:rPr>
          <w:rFonts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（六）交通运输业。</w:t>
      </w:r>
      <w:r>
        <w:rPr>
          <w:rFonts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ascii="宋体" w:hAnsi="宋体"/>
          <w:b/>
        </w:rPr>
        <w:t xml:space="preserve">（七）仓储业。</w:t>
      </w:r>
      <w:r>
        <w:rPr>
          <w:rFonts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ascii="宋体" w:hAnsi="宋体"/>
          <w:b/>
        </w:rPr>
        <w:t xml:space="preserve">（八）邮政业。</w:t>
      </w:r>
      <w:r>
        <w:rPr>
          <w:rFonts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ascii="宋体" w:hAnsi="宋体"/>
          <w:b/>
        </w:rPr>
        <w:t xml:space="preserve">（九）住宿业。</w:t>
      </w:r>
      <w:r>
        <w:rPr>
          <w:rFonts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（十）餐饮业。</w:t>
      </w:r>
      <w:r>
        <w:rPr>
          <w:rFonts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（十一）信息传输业。</w:t>
      </w:r>
      <w:r>
        <w:rPr>
          <w:rFonts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（十二）软件和信息技术服务业。</w:t>
      </w:r>
      <w:r>
        <w:rPr>
          <w:rFonts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ascii="宋体" w:hAnsi="宋体"/>
          <w:b/>
        </w:rPr>
        <w:t xml:space="preserve">（十三）房地产开发经营。</w:t>
      </w:r>
      <w:r>
        <w:rPr>
          <w:rFonts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ascii="宋体" w:hAnsi="宋体"/>
          <w:b/>
        </w:rPr>
        <w:t xml:space="preserve">（十四）物业管理。</w:t>
      </w:r>
      <w:r>
        <w:rPr>
          <w:rFonts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ascii="宋体" w:hAnsi="宋体"/>
          <w:b/>
        </w:rPr>
        <w:t xml:space="preserve">（十五）租赁和商务服务业。</w:t>
      </w:r>
      <w:r>
        <w:rPr>
          <w:rFonts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ascii="宋体" w:hAnsi="宋体"/>
          <w:b/>
        </w:rPr>
        <w:t xml:space="preserve">（十六）其他未列明行业。</w:t>
      </w:r>
      <w:r>
        <w:rPr>
          <w:rFonts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rPr>
      </w:pPr>
      <w:r>
        <w:rPr>
          <w:rFonts w:hint="eastAsia" w:ascii="宋体" w:hAnsi="宋体" w:cs="宋体"/>
          <w:b/>
          <w:bCs/>
          <w:sz w:val="28"/>
        </w:rPr>
      </w:r>
      <w:r/>
    </w:p>
    <w:p>
      <w:pPr>
        <w:ind w:firstLine="422"/>
        <w:jc w:val="left"/>
        <w:spacing w:line="360" w:lineRule="auto"/>
        <w:widowControl/>
        <w:rPr>
          <w:rFonts w:hint="eastAsia" w:ascii="宋体" w:hAnsi="宋体" w:cs="宋体"/>
          <w:b/>
          <w:szCs w:val="21"/>
        </w:rPr>
      </w:pPr>
      <w:r>
        <w:rPr>
          <w:rFonts w:hint="eastAsia" w:ascii="宋体" w:hAnsi="宋体" w:cs="宋体"/>
          <w:b/>
          <w:szCs w:val="21"/>
        </w:rPr>
      </w:r>
      <w:r/>
    </w:p>
    <w:p>
      <w:pPr>
        <w:jc w:val="left"/>
        <w:spacing w:line="360" w:lineRule="auto"/>
        <w:widowControl/>
        <w:rPr>
          <w:rFonts w:hint="eastAsia" w:ascii="宋体" w:hAnsi="宋体" w:cs="宋体"/>
          <w:b/>
          <w:bCs/>
          <w:sz w:val="28"/>
        </w:rPr>
        <w:sectPr>
          <w:footnotePr/>
          <w:endnotePr/>
          <w:type w:val="nextPage"/>
          <w:pgSz w:w="11906" w:h="16838" w:orient="portrait"/>
          <w:pgMar w:top="1440" w:right="1803" w:bottom="1440" w:left="1599" w:header="851" w:footer="992" w:gutter="0"/>
          <w:cols w:num="1" w:sep="0" w:space="720" w:equalWidth="1"/>
          <w:docGrid w:linePitch="360"/>
        </w:sectPr>
      </w:pPr>
      <w:r>
        <w:rPr>
          <w:rFonts w:hint="eastAsia" w:ascii="宋体" w:hAnsi="宋体" w:cs="宋体"/>
          <w:b/>
          <w:bCs/>
          <w:sz w:val="28"/>
        </w:rPr>
      </w:r>
      <w:r/>
    </w:p>
    <w:p>
      <w:pPr>
        <w:jc w:val="center"/>
        <w:spacing w:before="24" w:after="24" w:line="360" w:lineRule="auto"/>
        <w:shd w:val="clear" w:color="auto" w:fill="ffffff"/>
        <w:widowControl/>
        <w:rPr>
          <w:rFonts w:hint="eastAsia" w:ascii="宋体" w:hAnsi="宋体" w:cs="宋体"/>
          <w:color w:val="333333"/>
          <w:szCs w:val="21"/>
        </w:rPr>
      </w:pPr>
      <w:r>
        <w:rPr>
          <w:rFonts w:ascii="宋体" w:hAnsi="宋体" w:cs="宋体"/>
          <w:b/>
          <w:color w:val="333333"/>
          <w:szCs w:val="21"/>
          <w:shd w:val="clear" w:color="auto" w:fill="ffffff"/>
        </w:rPr>
        <w:t xml:space="preserve">关于符合本国产品标准的声明函</w:t>
      </w:r>
      <w:r/>
    </w:p>
    <w:p>
      <w:pPr>
        <w:ind w:firstLine="420"/>
        <w:jc w:val="left"/>
        <w:spacing w:line="360" w:lineRule="auto"/>
        <w:widowControl/>
        <w:rPr>
          <w:rFonts w:hint="eastAsia" w:ascii="宋体" w:hAnsi="宋体" w:cs="宋体"/>
          <w:color w:val="000000"/>
          <w:szCs w:val="21"/>
        </w:rPr>
      </w:pPr>
      <w:r>
        <w:rPr>
          <w:rFonts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1.</w:t>
      </w:r>
      <w:r>
        <w:rPr>
          <w:rFonts w:ascii="宋体" w:hAnsi="宋体" w:cs="宋体"/>
          <w:color w:val="000000"/>
          <w:szCs w:val="21"/>
          <w:u w:val="single"/>
          <w:shd w:val="clear" w:color="auto" w:fill="ffffff"/>
        </w:rPr>
        <w:t xml:space="preserve">（产品名称1）</w:t>
      </w:r>
      <w:r>
        <w:rPr>
          <w:rFonts w:ascii="宋体" w:hAnsi="宋体" w:cs="宋体"/>
          <w:color w:val="000000"/>
          <w:szCs w:val="21"/>
          <w:shd w:val="clear" w:color="auto" w:fill="ffffff"/>
          <w:vertAlign w:val="superscript"/>
        </w:rPr>
        <w:t xml:space="preserve">1</w:t>
      </w:r>
      <w:r>
        <w:rPr>
          <w:rFonts w:ascii="宋体" w:hAnsi="宋体" w:cs="宋体"/>
          <w:color w:val="000000"/>
          <w:szCs w:val="21"/>
          <w:shd w:val="clear" w:color="auto" w:fill="ffffff"/>
        </w:rPr>
        <w:t xml:space="preserve">，生产厂为</w:t>
      </w:r>
      <w:r>
        <w:rPr>
          <w:rFonts w:ascii="宋体" w:hAnsi="宋体" w:cs="宋体"/>
          <w:color w:val="000000"/>
          <w:szCs w:val="21"/>
          <w:u w:val="single"/>
          <w:shd w:val="clear" w:color="auto" w:fill="ffffff"/>
        </w:rPr>
        <w:t xml:space="preserve">（厂名）</w:t>
      </w:r>
      <w:r>
        <w:rPr>
          <w:rFonts w:ascii="宋体" w:hAnsi="宋体" w:cs="宋体"/>
          <w:color w:val="000000"/>
          <w:szCs w:val="21"/>
          <w:shd w:val="clear" w:color="auto" w:fill="ffffff"/>
          <w:vertAlign w:val="superscript"/>
        </w:rPr>
        <w:t xml:space="preserve">2</w:t>
      </w:r>
      <w:r>
        <w:rPr>
          <w:rFonts w:ascii="宋体" w:hAnsi="宋体" w:cs="宋体"/>
          <w:color w:val="000000"/>
          <w:szCs w:val="21"/>
          <w:shd w:val="clear" w:color="auto" w:fill="ffffff"/>
        </w:rPr>
        <w:t xml:space="preserve">，厂址为</w:t>
      </w:r>
      <w:r>
        <w:rPr>
          <w:rFonts w:ascii="宋体" w:hAnsi="宋体" w:cs="宋体"/>
          <w:color w:val="000000"/>
          <w:szCs w:val="21"/>
          <w:u w:val="single"/>
          <w:shd w:val="clear" w:color="auto" w:fill="ffffff"/>
        </w:rPr>
        <w:t xml:space="preserve">（生产厂址）</w:t>
      </w:r>
      <w:r>
        <w:rPr>
          <w:rFonts w:ascii="宋体" w:hAnsi="宋体" w:cs="宋体"/>
          <w:color w:val="000000"/>
          <w:szCs w:val="21"/>
          <w:shd w:val="clear" w:color="auto" w:fill="ffffff"/>
        </w:rPr>
        <w:t xml:space="preserve">。</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的中国境内生产的组件成本占比≥</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vertAlign w:val="superscript"/>
        </w:rPr>
        <w:t xml:space="preserve">3</w:t>
      </w:r>
      <w:r>
        <w:rPr>
          <w:rFonts w:ascii="宋体" w:hAnsi="宋体" w:cs="宋体"/>
          <w:color w:val="000000"/>
          <w:szCs w:val="21"/>
          <w:shd w:val="clear" w:color="auto" w:fill="ffffff"/>
        </w:rPr>
        <w:t xml:space="preserve">。</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vertAlign w:val="superscript"/>
        </w:rPr>
        <w:t xml:space="preserve">4</w:t>
      </w:r>
      <w:r>
        <w:rPr>
          <w:rFonts w:ascii="宋体" w:hAnsi="宋体" w:cs="宋体"/>
          <w:color w:val="000000"/>
          <w:szCs w:val="21"/>
          <w:shd w:val="clear" w:color="auto" w:fill="ffffff"/>
        </w:rPr>
        <w:t xml:space="preserve">在中国境内生产。</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vertAlign w:val="superscript"/>
        </w:rPr>
        <w:t xml:space="preserve">5</w:t>
      </w:r>
      <w:r>
        <w:rPr>
          <w:rFonts w:ascii="宋体" w:hAnsi="宋体" w:cs="宋体"/>
          <w:color w:val="000000"/>
          <w:szCs w:val="21"/>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2.</w:t>
      </w:r>
      <w:r>
        <w:rPr>
          <w:rFonts w:ascii="宋体" w:hAnsi="宋体" w:cs="宋体"/>
          <w:color w:val="000000"/>
          <w:szCs w:val="21"/>
          <w:u w:val="single"/>
          <w:shd w:val="clear" w:color="auto" w:fill="ffffff"/>
        </w:rPr>
        <w:t xml:space="preserve">（产品名称2）</w:t>
      </w:r>
      <w:r>
        <w:rPr>
          <w:rFonts w:ascii="宋体" w:hAnsi="宋体" w:cs="宋体"/>
          <w:color w:val="000000"/>
          <w:szCs w:val="21"/>
          <w:shd w:val="clear" w:color="auto" w:fill="ffffff"/>
        </w:rPr>
        <w:t xml:space="preserve">，生产厂为</w:t>
      </w:r>
      <w:r>
        <w:rPr>
          <w:rFonts w:ascii="宋体" w:hAnsi="宋体" w:cs="宋体"/>
          <w:color w:val="000000"/>
          <w:szCs w:val="21"/>
          <w:u w:val="single"/>
          <w:shd w:val="clear" w:color="auto" w:fill="ffffff"/>
        </w:rPr>
        <w:t xml:space="preserve">（厂名）</w:t>
      </w:r>
      <w:r>
        <w:rPr>
          <w:rFonts w:ascii="宋体" w:hAnsi="宋体" w:cs="宋体"/>
          <w:color w:val="000000"/>
          <w:szCs w:val="21"/>
          <w:shd w:val="clear" w:color="auto" w:fill="ffffff"/>
        </w:rPr>
        <w:t xml:space="preserve">，厂址为</w:t>
      </w:r>
      <w:r>
        <w:rPr>
          <w:rFonts w:ascii="宋体" w:hAnsi="宋体" w:cs="宋体"/>
          <w:color w:val="000000"/>
          <w:szCs w:val="21"/>
          <w:u w:val="single"/>
          <w:shd w:val="clear" w:color="auto" w:fill="ffffff"/>
        </w:rPr>
        <w:t xml:space="preserve">（生产厂址）</w:t>
      </w:r>
      <w:r>
        <w:rPr>
          <w:rFonts w:ascii="宋体" w:hAnsi="宋体" w:cs="宋体"/>
          <w:color w:val="000000"/>
          <w:szCs w:val="21"/>
          <w:shd w:val="clear" w:color="auto" w:fill="ffffff"/>
        </w:rPr>
        <w:t xml:space="preserve">。</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的中国境内生产的组件成本占比≥</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在中国境内生产。</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3.</w:t>
      </w:r>
      <w:r>
        <w:rPr>
          <w:rFonts w:ascii="宋体" w:hAnsi="宋体" w:cs="宋体"/>
          <w:color w:val="000000"/>
          <w:szCs w:val="21"/>
          <w:u w:val="single"/>
          <w:shd w:val="clear" w:color="auto" w:fill="ffffff"/>
        </w:rPr>
        <w:t xml:space="preserve">（产品名称3）</w:t>
      </w:r>
      <w:r>
        <w:rPr>
          <w:rFonts w:ascii="宋体" w:hAnsi="宋体" w:cs="宋体"/>
          <w:color w:val="000000"/>
          <w:szCs w:val="21"/>
          <w:shd w:val="clear" w:color="auto" w:fill="ffffff"/>
        </w:rPr>
        <w:t xml:space="preserve">，生产厂为</w:t>
      </w:r>
      <w:r>
        <w:rPr>
          <w:rFonts w:ascii="宋体" w:hAnsi="宋体" w:cs="宋体"/>
          <w:color w:val="000000"/>
          <w:szCs w:val="21"/>
          <w:u w:val="single"/>
          <w:shd w:val="clear" w:color="auto" w:fill="ffffff"/>
        </w:rPr>
        <w:t xml:space="preserve">（厂名）</w:t>
      </w:r>
      <w:r>
        <w:rPr>
          <w:rFonts w:ascii="宋体" w:hAnsi="宋体" w:cs="宋体"/>
          <w:color w:val="000000"/>
          <w:szCs w:val="21"/>
          <w:shd w:val="clear" w:color="auto" w:fill="ffffff"/>
        </w:rPr>
        <w:t xml:space="preserve">，厂址为</w:t>
      </w:r>
      <w:r>
        <w:rPr>
          <w:rFonts w:ascii="宋体" w:hAnsi="宋体" w:cs="宋体"/>
          <w:color w:val="000000"/>
          <w:szCs w:val="21"/>
          <w:u w:val="single"/>
          <w:shd w:val="clear" w:color="auto" w:fill="ffffff"/>
        </w:rPr>
        <w:t xml:space="preserve">（生产厂址）</w:t>
      </w:r>
      <w:r>
        <w:rPr>
          <w:rFonts w:ascii="宋体" w:hAnsi="宋体" w:cs="宋体"/>
          <w:color w:val="000000"/>
          <w:szCs w:val="21"/>
          <w:shd w:val="clear" w:color="auto" w:fill="ffffff"/>
        </w:rPr>
        <w:t xml:space="preserve">。</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的中国境内生产的组件成本占比≥</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在中国境内生产。</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w:t>
      </w:r>
      <w:r/>
    </w:p>
    <w:p>
      <w:pPr>
        <w:ind w:firstLine="420"/>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Cs w:val="21"/>
        </w:rPr>
      </w:pPr>
      <w:r>
        <w:rPr>
          <w:rFonts w:hint="eastAsia" w:ascii="宋体" w:hAnsi="宋体" w:cs="宋体"/>
          <w:color w:val="000000"/>
          <w:szCs w:val="21"/>
        </w:rPr>
      </w:r>
      <w:r/>
    </w:p>
    <w:p>
      <w:pPr>
        <w:jc w:val="righ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           日期：　     年　  月　  日         </w:t>
      </w:r>
      <w:r/>
    </w:p>
    <w:p>
      <w:pPr>
        <w:jc w:val="left"/>
        <w:spacing w:before="30" w:after="30" w:line="0" w:lineRule="atLeast"/>
        <w:widowControl/>
        <w:rPr>
          <w:rFonts w:hint="eastAsia" w:ascii="宋体" w:hAnsi="宋体" w:cs="宋体"/>
          <w:color w:val="000000"/>
          <w:szCs w:val="21"/>
        </w:rPr>
      </w:pPr>
      <w:r>
        <w:rPr>
          <w:rFonts w:ascii="宋体" w:hAnsi="宋体" w:cs="宋体"/>
          <w:color w:val="000000"/>
          <w:szCs w:val="21"/>
          <w:shd w:val="clear" w:color="auto" w:fill="ffffff"/>
        </w:rPr>
        <w:t xml:space="preserve">_______________</w:t>
      </w:r>
      <w:r/>
    </w:p>
    <w:p>
      <w:pPr>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Cs w:val="21"/>
        </w:rPr>
      </w:pPr>
      <w:r>
        <w:rPr>
          <w:rFonts w:ascii="宋体" w:hAnsi="宋体" w:cs="宋体"/>
          <w:color w:val="000000"/>
          <w:szCs w:val="21"/>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Cs w:val="21"/>
          <w:shd w:val="clear" w:color="auto" w:fill="ffffff"/>
        </w:rPr>
      </w:pPr>
      <w:r>
        <w:rPr>
          <w:rFonts w:ascii="宋体" w:hAnsi="宋体" w:cs="宋体"/>
          <w:color w:val="000000"/>
          <w:szCs w:val="21"/>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Cs w:val="21"/>
          <w:shd w:val="clear" w:color="auto" w:fill="ffffff"/>
        </w:rPr>
      </w:pPr>
      <w:r>
        <w:rPr>
          <w:rFonts w:ascii="宋体" w:hAnsi="宋体" w:cs="宋体"/>
          <w:color w:val="000000"/>
          <w:szCs w:val="21"/>
          <w:shd w:val="clear" w:color="auto" w:fill="ffffff"/>
        </w:rPr>
        <w:t xml:space="preserve">6.《声明函》中标注“</w:t>
      </w:r>
      <w:r>
        <w:rPr>
          <w:rFonts w:ascii="宋体" w:hAnsi="宋体" w:cs="宋体"/>
          <w:color w:val="000000"/>
          <w:szCs w:val="21"/>
          <w:u w:val="single"/>
          <w:shd w:val="clear" w:color="auto" w:fill="ffffff"/>
        </w:rPr>
        <w:t xml:space="preserve">  /  </w:t>
      </w:r>
      <w:r>
        <w:rPr>
          <w:rFonts w:ascii="宋体" w:hAnsi="宋体" w:cs="宋体"/>
          <w:color w:val="000000"/>
          <w:szCs w:val="21"/>
          <w:shd w:val="clear" w:color="auto" w:fill="ffffff"/>
        </w:rPr>
        <w:t xml:space="preserve">”的地方无需填写。</w:t>
      </w:r>
      <w:r/>
    </w:p>
    <w:p>
      <w:pPr>
        <w:rPr>
          <w:szCs w:val="21"/>
        </w:rPr>
      </w:pPr>
      <w:r>
        <w:rPr>
          <w:szCs w:val="21"/>
        </w:rPr>
      </w:r>
      <w:r/>
    </w:p>
    <w:p>
      <w:pPr>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ascii="宋体" w:hAnsi="宋体" w:cs="宋体"/>
          <w:bCs/>
          <w:szCs w:val="21"/>
        </w:rPr>
        <w:t xml:space="preserve">采购本国产品的支持政策</w:t>
      </w:r>
      <w:r/>
    </w:p>
    <w:p>
      <w:pPr>
        <w:ind w:firstLine="420"/>
        <w:spacing w:line="360" w:lineRule="auto"/>
        <w:shd w:val="clear" w:color="auto" w:fill="ffffff"/>
        <w:widowControl/>
        <w:rPr>
          <w:rFonts w:hint="eastAsia" w:ascii="宋体" w:hAnsi="宋体" w:cs="宋体"/>
          <w:szCs w:val="21"/>
        </w:rPr>
      </w:pPr>
      <w:r>
        <w:rPr>
          <w:rFonts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30"/>
        <w:spacing w:line="360" w:lineRule="auto"/>
        <w:rPr>
          <w:rFonts w:hint="eastAsia" w:ascii="宋体" w:hAnsi="宋体" w:cs="宋体"/>
          <w:bCs/>
          <w:szCs w:val="21"/>
        </w:rPr>
      </w:pPr>
      <w:r>
        <w:rPr>
          <w:rFonts w:ascii="宋体" w:hAnsi="宋体" w:cs="宋体"/>
          <w:bCs/>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bCs/>
          <w:szCs w:val="21"/>
        </w:rPr>
      </w:pPr>
      <w:r>
        <w:rPr>
          <w:rFonts w:ascii="宋体" w:hAnsi="宋体" w:cs="宋体"/>
          <w:bCs/>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0"/>
        <w:spacing w:line="360" w:lineRule="auto"/>
        <w:rPr>
          <w:rFonts w:hint="eastAsia" w:ascii="宋体" w:hAnsi="宋体" w:cs="宋体"/>
          <w:bCs/>
          <w:szCs w:val="21"/>
        </w:rPr>
      </w:pPr>
      <w:r>
        <w:rPr>
          <w:rFonts w:ascii="宋体" w:hAnsi="宋体" w:cs="宋体"/>
          <w:bCs/>
          <w:szCs w:val="21"/>
        </w:rPr>
        <w:t xml:space="preserve">（3）供应商需按照招标文件的要求提供《关于符合本国产品标准的声明函》（以下简称《声明函》），如不提供将不享受本国产品价格评审优惠。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bCs/>
          <w:szCs w:val="21"/>
        </w:rPr>
      </w:pPr>
      <w:r>
        <w:rPr>
          <w:rFonts w:ascii="宋体" w:hAnsi="宋体" w:cs="宋体"/>
          <w:bCs/>
          <w:szCs w:val="21"/>
        </w:rPr>
        <w:t xml:space="preserve">（4）供应商需在《声明函》中逐一、准确填写产品名称、厂名、生产厂址三项信息（《声明函》中标注“/ ”的地方无需填写）。</w:t>
      </w:r>
      <w:r/>
    </w:p>
    <w:p>
      <w:pPr>
        <w:ind w:firstLine="630"/>
        <w:spacing w:line="360" w:lineRule="auto"/>
        <w:rPr>
          <w:rFonts w:hint="eastAsia" w:ascii="宋体" w:hAnsi="宋体" w:cs="宋体"/>
          <w:bCs/>
          <w:color w:val="333333"/>
          <w:szCs w:val="21"/>
          <w:shd w:val="clear" w:color="auto" w:fill="ffffff"/>
        </w:rPr>
      </w:pPr>
      <w:r>
        <w:rPr>
          <w:rFonts w:ascii="宋体" w:hAnsi="宋体" w:cs="宋体"/>
          <w:bCs/>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hint="eastAsia" w:ascii="宋体" w:hAnsi="宋体"/>
          <w:b/>
          <w:sz w:val="36"/>
          <w:szCs w:val="36"/>
        </w:rPr>
      </w:pPr>
      <w:r>
        <w:rPr>
          <w:rFonts w:ascii="宋体" w:hAnsi="宋体"/>
          <w:b/>
          <w:sz w:val="36"/>
          <w:szCs w:val="36"/>
        </w:rPr>
        <w:br w:type="page" w:clear="all"/>
      </w:r>
      <w:r/>
    </w:p>
    <w:p>
      <w:pPr>
        <w:jc w:val="center"/>
        <w:spacing w:before="30" w:after="30"/>
        <w:shd w:val="clear" w:color="auto" w:fill="ffffff"/>
        <w:widowControl/>
        <w:rPr>
          <w:rFonts w:hint="eastAsia" w:ascii="宋体" w:hAnsi="宋体"/>
          <w:b/>
          <w:sz w:val="36"/>
          <w:szCs w:val="36"/>
        </w:rPr>
      </w:pPr>
      <w:r>
        <w:rPr>
          <w:rFonts w:ascii="宋体" w:hAnsi="宋体"/>
          <w:b/>
          <w:sz w:val="36"/>
          <w:szCs w:val="36"/>
        </w:rPr>
        <w:t xml:space="preserve">产品成本占比承诺函</w:t>
      </w:r>
      <w:r/>
    </w:p>
    <w:p>
      <w:pPr>
        <w:jc w:val="left"/>
        <w:spacing w:before="30" w:after="30"/>
        <w:shd w:val="clear" w:color="auto" w:fill="ffffff"/>
        <w:widowControl/>
        <w:rPr>
          <w:rFonts w:hint="eastAsia" w:ascii="宋体" w:hAnsi="宋体"/>
          <w:b/>
          <w:sz w:val="36"/>
          <w:szCs w:val="36"/>
        </w:rPr>
      </w:pPr>
      <w:r>
        <w:rPr>
          <w:rFonts w:hint="eastAsia" w:ascii="宋体" w:hAnsi="宋体"/>
          <w:b/>
          <w:sz w:val="36"/>
          <w:szCs w:val="36"/>
        </w:rPr>
      </w:r>
      <w:r/>
    </w:p>
    <w:p>
      <w:pPr>
        <w:ind w:firstLine="420"/>
        <w:jc w:val="left"/>
        <w:spacing w:line="360" w:lineRule="auto"/>
        <w:widowControl/>
        <w:rPr>
          <w:rFonts w:hint="eastAsia" w:ascii="宋体" w:hAnsi="宋体"/>
          <w:color w:val="333333"/>
          <w:szCs w:val="21"/>
          <w:shd w:val="clear" w:color="auto" w:fill="ffffff"/>
        </w:rPr>
      </w:pPr>
      <w:r>
        <w:rPr>
          <w:rFonts w:ascii="宋体" w:hAnsi="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spacing w:val="6"/>
          <w:szCs w:val="21"/>
        </w:rPr>
      </w:pPr>
      <w:r>
        <w:rPr>
          <w:rFonts w:ascii="宋体" w:hAnsi="宋体"/>
          <w:color w:val="333333"/>
          <w:szCs w:val="21"/>
          <w:shd w:val="clear" w:color="auto" w:fill="ffffff"/>
        </w:rPr>
        <w:t xml:space="preserve">为本采购项目或者采购包提供的符合本国产品标准的产品成本之和占提供的全部产品成本之和的比例为</w:t>
      </w:r>
      <w:r>
        <w:rPr>
          <w:rFonts w:ascii="宋体" w:hAnsi="宋体"/>
          <w:spacing w:val="6"/>
          <w:szCs w:val="21"/>
        </w:rPr>
        <w:t xml:space="preserve">______%。</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r>
      <w:r/>
    </w:p>
    <w:p>
      <w:pPr>
        <w:jc w:val="right"/>
        <w:spacing w:line="360" w:lineRule="auto"/>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公司（单位）名称（盖章）：　        </w:t>
      </w:r>
      <w:r/>
    </w:p>
    <w:p>
      <w:pPr>
        <w:ind w:firstLine="420"/>
        <w:jc w:val="right"/>
        <w:shd w:val="clear" w:color="auto" w:fill="ffffff"/>
        <w:widowControl/>
        <w:rPr>
          <w:rFonts w:hint="eastAsia" w:ascii="宋体" w:hAnsi="宋体" w:cs="宋体"/>
          <w:color w:val="333333"/>
          <w:szCs w:val="21"/>
        </w:rPr>
      </w:pPr>
      <w:r>
        <w:rPr>
          <w:rFonts w:ascii="宋体" w:hAnsi="宋体"/>
          <w:color w:val="333333"/>
          <w:szCs w:val="21"/>
          <w:shd w:val="clear" w:color="auto" w:fill="ffffff"/>
        </w:rPr>
        <w:t xml:space="preserve">日期：　     </w:t>
      </w:r>
      <w:r>
        <w:rPr>
          <w:rFonts w:ascii="宋体" w:hAnsi="宋体" w:cs="宋体"/>
          <w:color w:val="333333"/>
          <w:szCs w:val="21"/>
          <w:shd w:val="clear" w:color="auto" w:fill="ffffff"/>
        </w:rPr>
        <w:t xml:space="preserve">年　</w:t>
      </w:r>
      <w:r>
        <w:rPr>
          <w:rFonts w:ascii="宋体" w:hAnsi="宋体"/>
          <w:color w:val="333333"/>
          <w:szCs w:val="21"/>
          <w:shd w:val="clear" w:color="auto" w:fill="ffffff"/>
        </w:rPr>
        <w:t xml:space="preserve">  </w:t>
      </w:r>
      <w:r>
        <w:rPr>
          <w:rFonts w:ascii="宋体" w:hAnsi="宋体" w:cs="宋体"/>
          <w:color w:val="333333"/>
          <w:szCs w:val="21"/>
          <w:shd w:val="clear" w:color="auto" w:fill="ffffff"/>
        </w:rPr>
        <w:t xml:space="preserve">月　</w:t>
      </w:r>
      <w:r>
        <w:rPr>
          <w:rFonts w:ascii="宋体" w:hAnsi="宋体"/>
          <w:color w:val="333333"/>
          <w:szCs w:val="21"/>
          <w:shd w:val="clear" w:color="auto" w:fill="ffffff"/>
        </w:rPr>
        <w:t xml:space="preserve">  </w:t>
      </w:r>
      <w:r>
        <w:rPr>
          <w:rFonts w:ascii="宋体" w:hAnsi="宋体" w:cs="宋体"/>
          <w:color w:val="333333"/>
          <w:szCs w:val="21"/>
          <w:shd w:val="clear" w:color="auto" w:fill="ffffff"/>
        </w:rPr>
        <w:t xml:space="preserve">日</w:t>
      </w:r>
      <w:r>
        <w:rPr>
          <w:color w:val="333333"/>
          <w:sz w:val="24"/>
          <w:shd w:val="clear" w:color="auto" w:fill="ffffff"/>
        </w:rPr>
        <w:t xml:space="preserve">    </w:t>
      </w:r>
      <w:r/>
    </w:p>
    <w:p>
      <w:pPr>
        <w:jc w:val="left"/>
        <w:widowControl/>
        <w:rPr>
          <w:rFonts w:hint="eastAsia" w:ascii="宋体" w:hAnsi="宋体"/>
          <w:b/>
          <w:sz w:val="36"/>
          <w:szCs w:val="36"/>
        </w:rPr>
      </w:pPr>
      <w:r>
        <w:rPr>
          <w:rFonts w:ascii="宋体" w:hAnsi="宋体"/>
          <w:b/>
          <w:sz w:val="36"/>
          <w:szCs w:val="36"/>
        </w:rPr>
        <w:br w:type="page" w:clear="all"/>
      </w:r>
      <w:r/>
    </w:p>
    <w:p>
      <w:pPr>
        <w:jc w:val="center"/>
        <w:spacing w:line="360" w:lineRule="auto"/>
        <w:rPr>
          <w:rFonts w:hint="eastAsia" w:ascii="宋体" w:hAnsi="宋体" w:cs="宋体"/>
          <w:b/>
          <w:bCs/>
          <w:sz w:val="28"/>
        </w:rPr>
      </w:pPr>
      <w:r>
        <w:rPr>
          <w:rFonts w:ascii="宋体" w:hAnsi="宋体" w:cs="宋体"/>
          <w:b/>
          <w:bCs/>
          <w:sz w:val="28"/>
        </w:rPr>
        <w:t xml:space="preserve">残疾人福利性单位声明函</w:t>
      </w:r>
      <w:bookmarkEnd w:id="44"/>
      <w:r/>
      <w:bookmarkEnd w:id="45"/>
      <w:r/>
      <w:r/>
    </w:p>
    <w:p>
      <w:pPr>
        <w:ind w:firstLine="420"/>
        <w:jc w:val="left"/>
        <w:spacing w:line="440" w:lineRule="exact"/>
        <w:widowControl/>
        <w:rPr>
          <w:rFonts w:hint="eastAsia"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ascii="宋体" w:hAnsi="宋体" w:cs="宋体"/>
          <w:szCs w:val="21"/>
        </w:rPr>
        <w:t xml:space="preserve">单位名称</w:t>
      </w:r>
      <w:r>
        <w:rPr>
          <w:rFonts w:ascii="宋体" w:hAnsi="宋体" w:cs="宋体"/>
          <w:szCs w:val="21"/>
        </w:rPr>
        <w:t xml:space="preserve">（加盖公章）</w:t>
      </w:r>
      <w:r>
        <w:rPr>
          <w:rFonts w:ascii="宋体" w:hAnsi="宋体" w:cs="宋体"/>
          <w:szCs w:val="21"/>
        </w:rPr>
        <w:t xml:space="preserve">：</w:t>
      </w:r>
      <w:r/>
    </w:p>
    <w:p>
      <w:pPr>
        <w:ind w:firstLine="5040"/>
        <w:jc w:val="left"/>
        <w:spacing w:line="440" w:lineRule="exact"/>
        <w:widowControl/>
        <w:rPr>
          <w:rFonts w:hint="eastAsia" w:ascii="宋体" w:hAnsi="宋体" w:cs="宋体"/>
          <w:szCs w:val="21"/>
        </w:rPr>
      </w:pPr>
      <w:r>
        <w:rPr>
          <w:rFonts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ascii="宋体" w:hAnsi="宋体" w:cs="宋体"/>
          <w:b/>
          <w:bCs/>
          <w:sz w:val="28"/>
        </w:rPr>
        <w:t xml:space="preserve">属于监狱企业的证明文件</w:t>
      </w:r>
      <w:r/>
    </w:p>
    <w:p>
      <w:pPr>
        <w:spacing w:line="360" w:lineRule="auto"/>
        <w:rPr>
          <w:rFonts w:hint="eastAsia" w:ascii="宋体" w:hAnsi="宋体" w:cs="宋体"/>
        </w:rPr>
      </w:pPr>
      <w:r>
        <w:rPr>
          <w:rFonts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ascii="宋体" w:hAnsi="宋体" w:cs="宋体"/>
          <w:b/>
          <w:bCs/>
          <w:sz w:val="28"/>
        </w:rPr>
        <w:t xml:space="preserve">节能产品认证证书</w:t>
      </w:r>
      <w:r/>
    </w:p>
    <w:p>
      <w:pPr>
        <w:spacing w:line="360" w:lineRule="auto"/>
        <w:rPr>
          <w:rFonts w:hint="eastAsia" w:ascii="宋体" w:hAnsi="宋体" w:cs="宋体"/>
          <w:bCs/>
        </w:rPr>
      </w:pPr>
      <w:r>
        <w:rPr>
          <w:rFonts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ascii="宋体" w:hAnsi="宋体" w:cs="宋体"/>
          <w:b/>
          <w:bCs/>
          <w:sz w:val="28"/>
        </w:rPr>
        <w:t xml:space="preserve">环境标志产品认证证书</w:t>
      </w:r>
      <w:r/>
    </w:p>
    <w:p>
      <w:pPr>
        <w:spacing w:line="360" w:lineRule="auto"/>
        <w:rPr>
          <w:rFonts w:hint="eastAsia" w:ascii="宋体" w:hAnsi="宋体" w:cs="宋体"/>
          <w:bCs/>
        </w:rPr>
      </w:pPr>
      <w:r>
        <w:rPr>
          <w:rFonts w:ascii="宋体" w:hAnsi="宋体" w:cs="宋体"/>
          <w:bCs/>
        </w:rPr>
        <w:t xml:space="preserve">（提供国家确定的认证机构出具的、处于有效期之内的产品认证证书）</w:t>
      </w:r>
      <w:r/>
    </w:p>
    <w:p>
      <w:pPr>
        <w:jc w:val="center"/>
        <w:spacing w:line="360" w:lineRule="auto"/>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ascii="宋体" w:hAnsi="宋体" w:cs="宋体"/>
          <w:b/>
          <w:bCs/>
          <w:sz w:val="28"/>
        </w:rPr>
        <w:t xml:space="preserve">进口产品转让技术、消化吸收再创新方案</w:t>
      </w:r>
      <w:r/>
    </w:p>
    <w:p>
      <w:pPr>
        <w:spacing w:line="360" w:lineRule="auto"/>
        <w:rPr>
          <w:rFonts w:hint="eastAsia" w:ascii="宋体" w:hAnsi="宋体" w:cs="宋体"/>
          <w:bCs/>
        </w:rPr>
      </w:pPr>
      <w:r>
        <w:rPr>
          <w:rFonts w:ascii="宋体" w:hAnsi="宋体" w:cs="宋体"/>
          <w:bCs/>
        </w:rPr>
        <w:t xml:space="preserve">（对于允许进口产品参加的项目）</w:t>
      </w:r>
      <w:r/>
    </w:p>
    <w:p>
      <w:pPr>
        <w:jc w:val="left"/>
        <w:spacing w:line="360" w:lineRule="auto"/>
        <w:shd w:val="clear" w:color="auto" w:fill="ffffff"/>
        <w:widowControl/>
        <w:rPr>
          <w:rFonts w:hint="eastAsia" w:ascii="宋体" w:hAnsi="宋体" w:cs="Arial"/>
          <w:szCs w:val="21"/>
          <w:u w:val="single"/>
        </w:rPr>
      </w:pPr>
      <w:r>
        <w:rPr>
          <w:rFonts w:hint="eastAsia" w:ascii="宋体" w:hAnsi="宋体" w:cs="Arial"/>
          <w:szCs w:val="21"/>
          <w:u w:val="single"/>
        </w:rPr>
      </w:r>
      <w:r/>
    </w:p>
    <w:p>
      <w:pPr>
        <w:jc w:val="left"/>
        <w:widowControl/>
        <w:rPr>
          <w:rFonts w:hint="eastAsia" w:ascii="宋体" w:hAnsi="宋体" w:cs="宋体"/>
          <w:b/>
        </w:rPr>
      </w:pPr>
      <w:r>
        <w:rPr>
          <w:rFonts w:ascii="宋体" w:hAnsi="宋体" w:cs="宋体"/>
          <w:b/>
        </w:rPr>
        <w:br w:type="page" w:clear="all"/>
      </w:r>
      <w:r/>
    </w:p>
    <w:p>
      <w:pPr>
        <w:spacing w:line="360" w:lineRule="auto"/>
        <w:rPr>
          <w:rFonts w:hint="eastAsia" w:ascii="宋体" w:hAnsi="宋体" w:cs="宋体"/>
          <w:b/>
          <w:bCs/>
          <w:szCs w:val="21"/>
        </w:rPr>
        <w:outlineLvl w:val="1"/>
      </w:pPr>
      <w:r>
        <w:rPr>
          <w:rFonts w:ascii="宋体" w:hAnsi="宋体" w:cs="宋体"/>
          <w:b/>
          <w:bCs/>
          <w:szCs w:val="21"/>
        </w:rPr>
        <w:t xml:space="preserve">附件十三、无重大违法记录声明格式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ascii="宋体" w:hAnsi="宋体" w:cs="宋体"/>
          <w:szCs w:val="21"/>
        </w:rPr>
        <w:t xml:space="preserve">我单位</w:t>
      </w:r>
      <w:r>
        <w:rPr>
          <w:rFonts w:ascii="宋体" w:hAnsi="宋体" w:cs="宋体"/>
        </w:rPr>
        <w:t xml:space="preserve">参加政府采购活动前3年内在经营活动中（</w:t>
      </w:r>
      <w:r>
        <w:rPr>
          <w:rFonts w:ascii="宋体" w:hAnsi="宋体" w:cs="宋体"/>
          <w:b/>
          <w:i/>
          <w:u w:val="single"/>
        </w:rPr>
        <w:t xml:space="preserve">在下划线上如实填写：有或没有</w:t>
      </w:r>
      <w:r>
        <w:rPr>
          <w:rFonts w:ascii="宋体" w:hAnsi="宋体" w:cs="宋体"/>
        </w:rPr>
        <w:t xml:space="preserve">）</w:t>
      </w:r>
      <w:r>
        <w:rPr>
          <w:rFonts w:ascii="宋体" w:hAnsi="宋体" w:cs="宋体"/>
          <w:b/>
        </w:rPr>
        <w:t xml:space="preserve">重大违法记录</w:t>
      </w:r>
      <w:r>
        <w:rPr>
          <w:rFonts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Arial"/>
        </w:rPr>
      </w:pPr>
      <w:r>
        <w:rPr>
          <w:rFonts w:ascii="宋体" w:hAnsi="宋体" w:cs="Arial"/>
        </w:rPr>
        <w:t xml:space="preserve">声明人：（加盖电子公章）</w:t>
      </w:r>
      <w:r/>
    </w:p>
    <w:p>
      <w:pPr>
        <w:ind w:firstLine="5040"/>
        <w:spacing w:line="360" w:lineRule="auto"/>
        <w:rPr>
          <w:rFonts w:hint="eastAsia" w:ascii="宋体" w:hAnsi="宋体" w:cs="宋体"/>
          <w:b/>
        </w:rPr>
      </w:pPr>
      <w:r>
        <w:rPr>
          <w:rFonts w:ascii="宋体" w:hAnsi="宋体" w:cs="Arial"/>
          <w:szCs w:val="21"/>
          <w:lang w:val="zh-CN"/>
        </w:rPr>
        <w:t xml:space="preserve">日期：年月</w:t>
      </w:r>
      <w:r>
        <w:rPr>
          <w:rFonts w:ascii="宋体" w:hAnsi="宋体" w:cs="宋体"/>
          <w:b/>
          <w:szCs w:val="21"/>
          <w:lang w:val="zh-CN"/>
        </w:rPr>
        <w:br w:type="page" w:clear="all"/>
      </w:r>
      <w:r/>
    </w:p>
    <w:p>
      <w:pPr>
        <w:spacing w:line="360" w:lineRule="auto"/>
        <w:rPr>
          <w:rFonts w:hint="eastAsia" w:ascii="宋体" w:hAnsi="宋体" w:cs="宋体"/>
          <w:b/>
        </w:rPr>
        <w:outlineLvl w:val="1"/>
      </w:pPr>
      <w:r>
        <w:rPr>
          <w:rFonts w:ascii="宋体" w:hAnsi="宋体" w:cs="宋体"/>
          <w:b/>
        </w:rPr>
        <w:t xml:space="preserve">附件十四、资格资信证明文件</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color w:val="000000"/>
          <w:szCs w:val="21"/>
        </w:rPr>
        <w:outlineLvl w:val="1"/>
      </w:pPr>
      <w:r>
        <w:rPr>
          <w:rFonts w:ascii="宋体" w:hAnsi="宋体" w:cs="宋体"/>
          <w:b/>
        </w:rPr>
        <w:t xml:space="preserve">附件十五、投标人需要提供的其他材料</w:t>
      </w:r>
      <w:r/>
    </w:p>
    <w:p>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sectPr>
      <w:headerReference w:type="default" r:id="rId9"/>
      <w:footerReference w:type="default" r:id="rId12"/>
      <w:footerReference w:type="first" r:id="rId13"/>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楷体_GBK">
    <w:panose1 w:val="020B0503020202020204"/>
  </w:font>
  <w:font w:name="Cambria Math">
    <w:panose1 w:val="02040503050406030204"/>
  </w:font>
  <w:font w:name="方正仿宋_GBK">
    <w:panose1 w:val="020B0503020202020204"/>
  </w:font>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方正大标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0224092"/>
      <w:rPr/>
    </w:sdtPr>
    <w:sdtContent>
      <w:p>
        <w:pPr>
          <w:pStyle w:val="967"/>
          <w:jc w:val="center"/>
        </w:pPr>
        <w:r>
          <w:fldChar w:fldCharType="begin"/>
        </w:r>
        <w:r>
          <w:instrText xml:space="preserve">PAGE   \* MERGEFORMAT</w:instrText>
        </w:r>
        <w:r>
          <w:fldChar w:fldCharType="separate"/>
        </w:r>
        <w:r>
          <w:rPr>
            <w:lang w:val="zh-CN"/>
          </w:rPr>
          <w:t xml:space="preserve">2</w:t>
        </w:r>
        <w:r>
          <w:fldChar w:fldCharType="end"/>
        </w:r>
        <w:r/>
      </w:p>
    </w:sdtContent>
  </w:sdt>
  <w:p>
    <w:pPr>
      <w:jc w:val="center"/>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94796241"/>
      <w:rPr/>
    </w:sdtPr>
    <w:sdtContent>
      <w:p>
        <w:pPr>
          <w:pStyle w:val="96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2668270</wp:posOffset>
              </wp:positionH>
              <wp:positionV relativeFrom="paragraph">
                <wp:posOffset>-4445</wp:posOffset>
              </wp:positionV>
              <wp:extent cx="108585" cy="127000"/>
              <wp:effectExtent l="0" t="0" r="5715" b="698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08642" cy="12674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0.1pt;mso-position-horizontal:absolute;mso-position-vertical-relative:text;margin-top:-0.3pt;mso-position-vertical:absolute;width:8.5pt;height:10.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5"/>
      <w:isLgl w:val="false"/>
      <w:suff w:val="nothing"/>
      <w:lvlText w:val="第%1章"/>
      <w:lvlJc w:val="left"/>
      <w:pPr>
        <w:ind w:left="0" w:firstLine="0"/>
      </w:pPr>
    </w:lvl>
    <w:lvl w:ilvl="1">
      <w:start w:val="1"/>
      <w:numFmt w:val="none"/>
      <w:pStyle w:val="936"/>
      <w:isLgl w:val="false"/>
      <w:suff w:val="nothing"/>
      <w:lvlText w:val=""/>
      <w:lvlJc w:val="left"/>
      <w:pPr>
        <w:ind w:left="0" w:firstLine="0"/>
      </w:pPr>
    </w:lvl>
    <w:lvl w:ilvl="2">
      <w:start w:val="1"/>
      <w:numFmt w:val="none"/>
      <w:pStyle w:val="937"/>
      <w:isLgl w:val="false"/>
      <w:suff w:val="nothing"/>
      <w:lvlText w:val=""/>
      <w:lvlJc w:val="left"/>
      <w:pPr>
        <w:ind w:left="0" w:firstLine="0"/>
      </w:pPr>
    </w:lvl>
    <w:lvl w:ilvl="3">
      <w:start w:val="1"/>
      <w:numFmt w:val="none"/>
      <w:pStyle w:val="938"/>
      <w:isLgl w:val="false"/>
      <w:suff w:val="nothing"/>
      <w:lvlText w:val=""/>
      <w:lvlJc w:val="left"/>
      <w:pPr>
        <w:ind w:left="0" w:firstLine="0"/>
      </w:pPr>
    </w:lvl>
    <w:lvl w:ilvl="4">
      <w:start w:val="1"/>
      <w:numFmt w:val="none"/>
      <w:pStyle w:val="939"/>
      <w:isLgl w:val="false"/>
      <w:suff w:val="nothing"/>
      <w:lvlText w:val=""/>
      <w:lvlJc w:val="left"/>
      <w:pPr>
        <w:ind w:left="0" w:firstLine="0"/>
      </w:pPr>
    </w:lvl>
    <w:lvl w:ilvl="5">
      <w:start w:val="1"/>
      <w:numFmt w:val="none"/>
      <w:pStyle w:val="940"/>
      <w:isLgl w:val="false"/>
      <w:suff w:val="nothing"/>
      <w:lvlText w:val=""/>
      <w:lvlJc w:val="left"/>
      <w:pPr>
        <w:ind w:left="0" w:firstLine="0"/>
      </w:pPr>
    </w:lvl>
    <w:lvl w:ilvl="6">
      <w:start w:val="1"/>
      <w:numFmt w:val="none"/>
      <w:pStyle w:val="941"/>
      <w:isLgl w:val="false"/>
      <w:suff w:val="nothing"/>
      <w:lvlText w:val=""/>
      <w:lvlJc w:val="left"/>
      <w:pPr>
        <w:ind w:left="0" w:firstLine="0"/>
      </w:pPr>
    </w:lvl>
    <w:lvl w:ilvl="7">
      <w:start w:val="1"/>
      <w:numFmt w:val="none"/>
      <w:pStyle w:val="942"/>
      <w:isLgl w:val="false"/>
      <w:suff w:val="nothing"/>
      <w:lvlText w:val=""/>
      <w:lvlJc w:val="left"/>
      <w:pPr>
        <w:ind w:left="0" w:firstLine="0"/>
      </w:pPr>
    </w:lvl>
    <w:lvl w:ilvl="8">
      <w:start w:val="1"/>
      <w:numFmt w:val="none"/>
      <w:pStyle w:val="943"/>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8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07"/>
      <w:isLgl/>
      <w:suff w:val="tab"/>
      <w:lvlText w:val="%1.%2"/>
      <w:lvlJc w:val="left"/>
      <w:pPr>
        <w:ind w:left="425" w:hanging="425"/>
      </w:pPr>
      <w:rPr>
        <w:rFonts w:hint="eastAsia" w:ascii="Arial Unicode MS" w:hAnsi="Arial Unicode MS" w:eastAsia="微软雅黑"/>
        <w:b/>
        <w:i w:val="0"/>
      </w:rPr>
    </w:lvl>
    <w:lvl w:ilvl="2">
      <w:start w:val="1"/>
      <w:numFmt w:val="decimal"/>
      <w:pStyle w:val="112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japaneseCounting"/>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bullet"/>
      <w:pStyle w:val="94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7"/>
  </w:num>
  <w:num w:numId="5">
    <w:abstractNumId w:val="2"/>
  </w:num>
  <w:num w:numId="6">
    <w:abstractNumId w:val="9"/>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44"/>
    <w:link w:val="935"/>
    <w:uiPriority w:val="9"/>
    <w:rPr>
      <w:rFonts w:ascii="Arial" w:hAnsi="Arial" w:eastAsia="Arial" w:cs="Arial"/>
      <w:sz w:val="40"/>
      <w:szCs w:val="40"/>
    </w:rPr>
  </w:style>
  <w:style w:type="character" w:styleId="783">
    <w:name w:val="Heading 2 Char"/>
    <w:basedOn w:val="944"/>
    <w:link w:val="936"/>
    <w:uiPriority w:val="9"/>
    <w:rPr>
      <w:rFonts w:ascii="Arial" w:hAnsi="Arial" w:eastAsia="Arial" w:cs="Arial"/>
      <w:sz w:val="34"/>
    </w:rPr>
  </w:style>
  <w:style w:type="character" w:styleId="784">
    <w:name w:val="Heading 3 Char"/>
    <w:basedOn w:val="944"/>
    <w:link w:val="937"/>
    <w:uiPriority w:val="9"/>
    <w:rPr>
      <w:rFonts w:ascii="Arial" w:hAnsi="Arial" w:eastAsia="Arial" w:cs="Arial"/>
      <w:sz w:val="30"/>
      <w:szCs w:val="30"/>
    </w:rPr>
  </w:style>
  <w:style w:type="character" w:styleId="785">
    <w:name w:val="Heading 4 Char"/>
    <w:basedOn w:val="944"/>
    <w:link w:val="938"/>
    <w:uiPriority w:val="9"/>
    <w:rPr>
      <w:rFonts w:ascii="Arial" w:hAnsi="Arial" w:eastAsia="Arial" w:cs="Arial"/>
      <w:b/>
      <w:bCs/>
      <w:sz w:val="26"/>
      <w:szCs w:val="26"/>
    </w:rPr>
  </w:style>
  <w:style w:type="character" w:styleId="786">
    <w:name w:val="Heading 5 Char"/>
    <w:basedOn w:val="944"/>
    <w:link w:val="939"/>
    <w:uiPriority w:val="9"/>
    <w:rPr>
      <w:rFonts w:ascii="Arial" w:hAnsi="Arial" w:eastAsia="Arial" w:cs="Arial"/>
      <w:b/>
      <w:bCs/>
      <w:sz w:val="24"/>
      <w:szCs w:val="24"/>
    </w:rPr>
  </w:style>
  <w:style w:type="character" w:styleId="787">
    <w:name w:val="Heading 6 Char"/>
    <w:basedOn w:val="944"/>
    <w:link w:val="940"/>
    <w:uiPriority w:val="9"/>
    <w:rPr>
      <w:rFonts w:ascii="Arial" w:hAnsi="Arial" w:eastAsia="Arial" w:cs="Arial"/>
      <w:b/>
      <w:bCs/>
      <w:sz w:val="22"/>
      <w:szCs w:val="22"/>
    </w:rPr>
  </w:style>
  <w:style w:type="character" w:styleId="788">
    <w:name w:val="Heading 7 Char"/>
    <w:basedOn w:val="944"/>
    <w:link w:val="941"/>
    <w:uiPriority w:val="9"/>
    <w:rPr>
      <w:rFonts w:ascii="Arial" w:hAnsi="Arial" w:eastAsia="Arial" w:cs="Arial"/>
      <w:b/>
      <w:bCs/>
      <w:i/>
      <w:iCs/>
      <w:sz w:val="22"/>
      <w:szCs w:val="22"/>
    </w:rPr>
  </w:style>
  <w:style w:type="character" w:styleId="789">
    <w:name w:val="Heading 8 Char"/>
    <w:basedOn w:val="944"/>
    <w:link w:val="942"/>
    <w:uiPriority w:val="9"/>
    <w:rPr>
      <w:rFonts w:ascii="Arial" w:hAnsi="Arial" w:eastAsia="Arial" w:cs="Arial"/>
      <w:i/>
      <w:iCs/>
      <w:sz w:val="22"/>
      <w:szCs w:val="22"/>
    </w:rPr>
  </w:style>
  <w:style w:type="character" w:styleId="790">
    <w:name w:val="Heading 9 Char"/>
    <w:basedOn w:val="944"/>
    <w:link w:val="943"/>
    <w:uiPriority w:val="9"/>
    <w:rPr>
      <w:rFonts w:ascii="Arial" w:hAnsi="Arial" w:eastAsia="Arial" w:cs="Arial"/>
      <w:i/>
      <w:iCs/>
      <w:sz w:val="21"/>
      <w:szCs w:val="21"/>
    </w:rPr>
  </w:style>
  <w:style w:type="paragraph" w:styleId="791">
    <w:name w:val="No Spacing"/>
    <w:uiPriority w:val="1"/>
    <w:qFormat/>
    <w:pPr>
      <w:spacing w:before="0" w:after="0" w:line="240" w:lineRule="auto"/>
    </w:pPr>
  </w:style>
  <w:style w:type="character" w:styleId="792">
    <w:name w:val="Title Char"/>
    <w:basedOn w:val="944"/>
    <w:link w:val="979"/>
    <w:uiPriority w:val="10"/>
    <w:rPr>
      <w:sz w:val="48"/>
      <w:szCs w:val="48"/>
    </w:rPr>
  </w:style>
  <w:style w:type="character" w:styleId="793">
    <w:name w:val="Subtitle Char"/>
    <w:basedOn w:val="944"/>
    <w:link w:val="972"/>
    <w:uiPriority w:val="11"/>
    <w:rPr>
      <w:sz w:val="24"/>
      <w:szCs w:val="24"/>
    </w:rPr>
  </w:style>
  <w:style w:type="paragraph" w:styleId="794">
    <w:name w:val="Quote"/>
    <w:basedOn w:val="934"/>
    <w:next w:val="934"/>
    <w:link w:val="795"/>
    <w:uiPriority w:val="29"/>
    <w:qFormat/>
    <w:pPr>
      <w:ind w:left="720" w:right="720"/>
    </w:pPr>
    <w:rPr>
      <w:i/>
    </w:rPr>
  </w:style>
  <w:style w:type="character" w:styleId="795">
    <w:name w:val="Quote Char"/>
    <w:link w:val="794"/>
    <w:uiPriority w:val="29"/>
    <w:rPr>
      <w:i/>
    </w:rPr>
  </w:style>
  <w:style w:type="paragraph" w:styleId="796">
    <w:name w:val="Intense Quote"/>
    <w:basedOn w:val="934"/>
    <w:next w:val="934"/>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4"/>
    <w:link w:val="969"/>
    <w:uiPriority w:val="99"/>
  </w:style>
  <w:style w:type="character" w:styleId="799">
    <w:name w:val="Footer Char"/>
    <w:basedOn w:val="944"/>
    <w:link w:val="967"/>
    <w:uiPriority w:val="99"/>
  </w:style>
  <w:style w:type="character" w:styleId="800">
    <w:name w:val="Caption Char"/>
    <w:basedOn w:val="950"/>
    <w:link w:val="967"/>
    <w:uiPriority w:val="99"/>
  </w:style>
  <w:style w:type="table" w:styleId="801">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6">
    <w:name w:val="footnote text"/>
    <w:basedOn w:val="934"/>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basedOn w:val="944"/>
    <w:uiPriority w:val="99"/>
    <w:unhideWhenUsed/>
    <w:rPr>
      <w:vertAlign w:val="superscript"/>
    </w:rPr>
  </w:style>
  <w:style w:type="paragraph" w:styleId="929">
    <w:name w:val="endnote text"/>
    <w:basedOn w:val="934"/>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4"/>
    <w:uiPriority w:val="99"/>
    <w:semiHidden/>
    <w:unhideWhenUsed/>
    <w:rPr>
      <w:vertAlign w:val="superscript"/>
    </w:r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5">
    <w:name w:val="Heading 1"/>
    <w:basedOn w:val="934"/>
    <w:next w:val="934"/>
    <w:link w:val="1074"/>
    <w:uiPriority w:val="0"/>
    <w:qFormat/>
    <w:pPr>
      <w:numPr>
        <w:ilvl w:val="0"/>
        <w:numId w:val="1"/>
      </w:numPr>
      <w:jc w:val="center"/>
      <w:keepLines/>
      <w:keepNext/>
      <w:spacing w:before="340" w:after="330" w:line="578" w:lineRule="auto"/>
      <w:outlineLvl w:val="0"/>
    </w:pPr>
    <w:rPr>
      <w:b/>
      <w:bCs/>
      <w:sz w:val="32"/>
      <w:szCs w:val="44"/>
    </w:rPr>
  </w:style>
  <w:style w:type="paragraph" w:styleId="936">
    <w:name w:val="Heading 2"/>
    <w:basedOn w:val="934"/>
    <w:next w:val="934"/>
    <w:link w:val="100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37">
    <w:name w:val="Heading 3"/>
    <w:basedOn w:val="934"/>
    <w:next w:val="934"/>
    <w:link w:val="1042"/>
    <w:uiPriority w:val="0"/>
    <w:qFormat/>
    <w:pPr>
      <w:numPr>
        <w:ilvl w:val="2"/>
        <w:numId w:val="1"/>
      </w:numPr>
      <w:keepLines/>
      <w:keepNext/>
      <w:spacing w:before="260" w:after="260" w:line="416" w:lineRule="auto"/>
      <w:outlineLvl w:val="2"/>
    </w:pPr>
    <w:rPr>
      <w:b/>
      <w:bCs/>
      <w:sz w:val="32"/>
      <w:szCs w:val="32"/>
    </w:rPr>
  </w:style>
  <w:style w:type="paragraph" w:styleId="938">
    <w:name w:val="Heading 4"/>
    <w:basedOn w:val="934"/>
    <w:next w:val="934"/>
    <w:link w:val="108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39">
    <w:name w:val="Heading 5"/>
    <w:basedOn w:val="934"/>
    <w:next w:val="934"/>
    <w:link w:val="1032"/>
    <w:uiPriority w:val="0"/>
    <w:qFormat/>
    <w:pPr>
      <w:numPr>
        <w:ilvl w:val="4"/>
        <w:numId w:val="1"/>
      </w:numPr>
      <w:keepLines/>
      <w:keepNext/>
      <w:spacing w:before="280" w:after="290" w:line="376" w:lineRule="auto"/>
      <w:outlineLvl w:val="4"/>
    </w:pPr>
    <w:rPr>
      <w:b/>
      <w:bCs/>
      <w:sz w:val="28"/>
      <w:szCs w:val="28"/>
    </w:rPr>
  </w:style>
  <w:style w:type="paragraph" w:styleId="940">
    <w:name w:val="Heading 6"/>
    <w:basedOn w:val="934"/>
    <w:next w:val="934"/>
    <w:link w:val="1018"/>
    <w:uiPriority w:val="0"/>
    <w:qFormat/>
    <w:pPr>
      <w:numPr>
        <w:ilvl w:val="5"/>
        <w:numId w:val="1"/>
      </w:numPr>
      <w:keepLines/>
      <w:keepNext/>
      <w:spacing w:before="240" w:after="64" w:line="320" w:lineRule="auto"/>
      <w:outlineLvl w:val="5"/>
    </w:pPr>
    <w:rPr>
      <w:rFonts w:ascii="Cambria" w:hAnsi="Cambria"/>
      <w:b/>
      <w:bCs/>
      <w:sz w:val="24"/>
    </w:rPr>
  </w:style>
  <w:style w:type="paragraph" w:styleId="941">
    <w:name w:val="Heading 7"/>
    <w:basedOn w:val="934"/>
    <w:next w:val="934"/>
    <w:link w:val="1073"/>
    <w:uiPriority w:val="0"/>
    <w:qFormat/>
    <w:pPr>
      <w:numPr>
        <w:ilvl w:val="6"/>
        <w:numId w:val="1"/>
      </w:numPr>
      <w:keepLines/>
      <w:keepNext/>
      <w:spacing w:before="240" w:after="64" w:line="320" w:lineRule="auto"/>
      <w:outlineLvl w:val="6"/>
    </w:pPr>
    <w:rPr>
      <w:b/>
      <w:bCs/>
      <w:sz w:val="24"/>
    </w:rPr>
  </w:style>
  <w:style w:type="paragraph" w:styleId="942">
    <w:name w:val="Heading 8"/>
    <w:basedOn w:val="934"/>
    <w:next w:val="934"/>
    <w:link w:val="1058"/>
    <w:uiPriority w:val="0"/>
    <w:qFormat/>
    <w:pPr>
      <w:numPr>
        <w:ilvl w:val="7"/>
        <w:numId w:val="1"/>
      </w:numPr>
      <w:keepLines/>
      <w:keepNext/>
      <w:spacing w:before="240" w:after="64" w:line="320" w:lineRule="auto"/>
      <w:outlineLvl w:val="7"/>
    </w:pPr>
    <w:rPr>
      <w:rFonts w:ascii="Cambria" w:hAnsi="Cambria"/>
      <w:sz w:val="24"/>
    </w:rPr>
  </w:style>
  <w:style w:type="paragraph" w:styleId="943">
    <w:name w:val="Heading 9"/>
    <w:basedOn w:val="934"/>
    <w:next w:val="934"/>
    <w:link w:val="1036"/>
    <w:uiPriority w:val="0"/>
    <w:qFormat/>
    <w:pPr>
      <w:numPr>
        <w:ilvl w:val="8"/>
        <w:numId w:val="1"/>
      </w:numPr>
      <w:keepLines/>
      <w:keepNext/>
      <w:spacing w:before="240" w:after="64" w:line="320" w:lineRule="auto"/>
      <w:outlineLvl w:val="8"/>
    </w:pPr>
    <w:rPr>
      <w:rFonts w:ascii="Cambria" w:hAnsi="Cambria"/>
      <w:szCs w:val="21"/>
    </w:rPr>
  </w:style>
  <w:style w:type="character" w:styleId="944" w:default="1">
    <w:name w:val="Default Paragraph Font"/>
    <w:uiPriority w:val="1"/>
    <w:semiHidden/>
    <w:unhideWhenUsed/>
    <w:qFormat/>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List 3"/>
    <w:basedOn w:val="934"/>
    <w:uiPriority w:val="99"/>
    <w:unhideWhenUsed/>
    <w:qFormat/>
    <w:pPr>
      <w:ind w:left="1260" w:hanging="420"/>
      <w:spacing w:before="100" w:beforeAutospacing="1" w:after="100" w:afterAutospacing="1"/>
    </w:pPr>
    <w:rPr>
      <w:szCs w:val="21"/>
    </w:rPr>
  </w:style>
  <w:style w:type="paragraph" w:styleId="947">
    <w:name w:val="toc 7"/>
    <w:basedOn w:val="934"/>
    <w:next w:val="934"/>
    <w:uiPriority w:val="39"/>
    <w:unhideWhenUsed/>
    <w:qFormat/>
    <w:pPr>
      <w:ind w:left="2520"/>
    </w:pPr>
    <w:rPr>
      <w:rFonts w:ascii="Calibri" w:hAnsi="Calibri"/>
      <w:szCs w:val="22"/>
    </w:rPr>
  </w:style>
  <w:style w:type="paragraph" w:styleId="948">
    <w:name w:val="List Number"/>
    <w:basedOn w:val="934"/>
    <w:uiPriority w:val="0"/>
    <w:qFormat/>
    <w:pPr>
      <w:numPr>
        <w:ilvl w:val="0"/>
        <w:numId w:val="2"/>
      </w:numPr>
      <w:contextualSpacing/>
    </w:pPr>
    <w:rPr>
      <w:rFonts w:ascii="Calibri" w:hAnsi="Calibri"/>
    </w:rPr>
  </w:style>
  <w:style w:type="paragraph" w:styleId="949">
    <w:name w:val="Normal Indent"/>
    <w:basedOn w:val="934"/>
    <w:link w:val="1162"/>
    <w:uiPriority w:val="0"/>
    <w:qFormat/>
    <w:pPr>
      <w:ind w:firstLine="420"/>
    </w:pPr>
    <w:rPr>
      <w:b/>
      <w:sz w:val="24"/>
      <w:szCs w:val="20"/>
    </w:rPr>
  </w:style>
  <w:style w:type="paragraph" w:styleId="950">
    <w:name w:val="Caption"/>
    <w:basedOn w:val="934"/>
    <w:next w:val="934"/>
    <w:uiPriority w:val="0"/>
    <w:qFormat/>
    <w:rPr>
      <w:rFonts w:ascii="Cambria" w:hAnsi="Cambria" w:eastAsia="黑体"/>
      <w:sz w:val="20"/>
      <w:szCs w:val="22"/>
    </w:rPr>
  </w:style>
  <w:style w:type="paragraph" w:styleId="951">
    <w:name w:val="Document Map"/>
    <w:basedOn w:val="934"/>
    <w:link w:val="1026"/>
    <w:uiPriority w:val="0"/>
    <w:qFormat/>
    <w:rPr>
      <w:rFonts w:ascii="宋体"/>
      <w:sz w:val="18"/>
      <w:szCs w:val="18"/>
    </w:rPr>
  </w:style>
  <w:style w:type="paragraph" w:styleId="952">
    <w:name w:val="annotation text"/>
    <w:basedOn w:val="934"/>
    <w:link w:val="1050"/>
    <w:uiPriority w:val="0"/>
    <w:qFormat/>
    <w:pPr>
      <w:jc w:val="left"/>
    </w:pPr>
  </w:style>
  <w:style w:type="paragraph" w:styleId="953">
    <w:name w:val="Body Text 3"/>
    <w:basedOn w:val="934"/>
    <w:link w:val="1069"/>
    <w:uiPriority w:val="0"/>
    <w:qFormat/>
    <w:rPr>
      <w:rFonts w:ascii="宋体"/>
      <w:sz w:val="24"/>
      <w:szCs w:val="20"/>
    </w:rPr>
  </w:style>
  <w:style w:type="paragraph" w:styleId="954">
    <w:name w:val="Body Text"/>
    <w:basedOn w:val="934"/>
    <w:next w:val="955"/>
    <w:link w:val="1057"/>
    <w:uiPriority w:val="0"/>
    <w:qFormat/>
    <w:pPr>
      <w:jc w:val="center"/>
    </w:pPr>
    <w:rPr>
      <w:rFonts w:eastAsia="幼圆"/>
      <w:b/>
      <w:bCs/>
      <w:sz w:val="44"/>
    </w:rPr>
  </w:style>
  <w:style w:type="paragraph" w:styleId="955" w:customStyle="1">
    <w:name w:val="一级条标题"/>
    <w:basedOn w:val="956"/>
    <w:next w:val="9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customStyle="1">
    <w:name w:val="章标题"/>
    <w:basedOn w:val="934"/>
    <w:next w:val="93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57" w:customStyle="1">
    <w:name w:val="段"/>
    <w:basedOn w:val="934"/>
    <w:next w:val="934"/>
    <w:uiPriority w:val="0"/>
    <w:qFormat/>
    <w:pPr>
      <w:ind w:firstLine="200"/>
      <w:widowControl/>
    </w:pPr>
    <w:rPr>
      <w:rFonts w:hint="eastAsia" w:ascii="宋体"/>
      <w:szCs w:val="20"/>
    </w:rPr>
  </w:style>
  <w:style w:type="paragraph" w:styleId="958">
    <w:name w:val="Body Text Indent"/>
    <w:basedOn w:val="934"/>
    <w:next w:val="934"/>
    <w:link w:val="1013"/>
    <w:uiPriority w:val="0"/>
    <w:qFormat/>
    <w:pPr>
      <w:ind w:left="420"/>
      <w:spacing w:after="120"/>
    </w:pPr>
  </w:style>
  <w:style w:type="paragraph" w:styleId="959">
    <w:name w:val="index 4"/>
    <w:basedOn w:val="934"/>
    <w:next w:val="934"/>
    <w:uiPriority w:val="0"/>
    <w:qFormat/>
    <w:pPr>
      <w:ind w:left="600"/>
    </w:pPr>
    <w:rPr>
      <w:rFonts w:ascii="Calibri" w:hAnsi="Calibri"/>
    </w:rPr>
  </w:style>
  <w:style w:type="paragraph" w:styleId="960">
    <w:name w:val="toc 5"/>
    <w:basedOn w:val="934"/>
    <w:next w:val="934"/>
    <w:uiPriority w:val="39"/>
    <w:unhideWhenUsed/>
    <w:qFormat/>
    <w:pPr>
      <w:ind w:left="1680"/>
    </w:pPr>
    <w:rPr>
      <w:rFonts w:ascii="Calibri" w:hAnsi="Calibri"/>
      <w:szCs w:val="22"/>
    </w:rPr>
  </w:style>
  <w:style w:type="paragraph" w:styleId="961">
    <w:name w:val="toc 3"/>
    <w:basedOn w:val="934"/>
    <w:next w:val="934"/>
    <w:uiPriority w:val="39"/>
    <w:qFormat/>
    <w:pPr>
      <w:ind w:left="840"/>
    </w:pPr>
    <w:rPr>
      <w:rFonts w:ascii="Calibri" w:hAnsi="Calibri"/>
      <w:szCs w:val="22"/>
    </w:rPr>
  </w:style>
  <w:style w:type="paragraph" w:styleId="962">
    <w:name w:val="Plain Text"/>
    <w:basedOn w:val="934"/>
    <w:link w:val="1019"/>
    <w:uiPriority w:val="0"/>
    <w:qFormat/>
    <w:rPr>
      <w:rFonts w:ascii="Ari"/>
    </w:rPr>
  </w:style>
  <w:style w:type="paragraph" w:styleId="963">
    <w:name w:val="toc 8"/>
    <w:basedOn w:val="934"/>
    <w:next w:val="934"/>
    <w:uiPriority w:val="39"/>
    <w:unhideWhenUsed/>
    <w:qFormat/>
    <w:pPr>
      <w:ind w:left="2940"/>
    </w:pPr>
    <w:rPr>
      <w:rFonts w:ascii="Calibri" w:hAnsi="Calibri"/>
      <w:szCs w:val="22"/>
    </w:rPr>
  </w:style>
  <w:style w:type="paragraph" w:styleId="964">
    <w:name w:val="Date"/>
    <w:basedOn w:val="934"/>
    <w:next w:val="934"/>
    <w:link w:val="1027"/>
    <w:uiPriority w:val="0"/>
    <w:unhideWhenUsed/>
    <w:qFormat/>
  </w:style>
  <w:style w:type="paragraph" w:styleId="965">
    <w:name w:val="Body Text Indent 2"/>
    <w:basedOn w:val="934"/>
    <w:link w:val="1049"/>
    <w:uiPriority w:val="99"/>
    <w:unhideWhenUsed/>
    <w:qFormat/>
    <w:pPr>
      <w:ind w:firstLine="525"/>
      <w:spacing w:line="420" w:lineRule="exact"/>
    </w:pPr>
    <w:rPr>
      <w:rFonts w:ascii="宋体"/>
      <w:sz w:val="20"/>
      <w:szCs w:val="20"/>
    </w:rPr>
  </w:style>
  <w:style w:type="paragraph" w:styleId="966">
    <w:name w:val="Balloon Text"/>
    <w:basedOn w:val="934"/>
    <w:link w:val="1072"/>
    <w:uiPriority w:val="0"/>
    <w:qFormat/>
    <w:rPr>
      <w:sz w:val="18"/>
      <w:szCs w:val="18"/>
    </w:rPr>
  </w:style>
  <w:style w:type="paragraph" w:styleId="967">
    <w:name w:val="Footer"/>
    <w:basedOn w:val="934"/>
    <w:next w:val="968"/>
    <w:link w:val="1062"/>
    <w:uiPriority w:val="99"/>
    <w:qFormat/>
    <w:pPr>
      <w:jc w:val="left"/>
      <w:tabs>
        <w:tab w:val="center" w:pos="4153" w:leader="none"/>
        <w:tab w:val="right" w:pos="8306" w:leader="none"/>
      </w:tabs>
    </w:pPr>
    <w:rPr>
      <w:sz w:val="18"/>
      <w:szCs w:val="18"/>
    </w:rPr>
  </w:style>
  <w:style w:type="paragraph" w:styleId="968">
    <w:name w:val="toc 2"/>
    <w:basedOn w:val="934"/>
    <w:next w:val="934"/>
    <w:uiPriority w:val="39"/>
    <w:qFormat/>
    <w:pPr>
      <w:ind w:left="420"/>
    </w:pPr>
    <w:rPr>
      <w:rFonts w:ascii="Calibri" w:hAnsi="Calibri"/>
      <w:szCs w:val="22"/>
    </w:rPr>
  </w:style>
  <w:style w:type="paragraph" w:styleId="969">
    <w:name w:val="Header"/>
    <w:basedOn w:val="934"/>
    <w:link w:val="1017"/>
    <w:uiPriority w:val="0"/>
    <w:qFormat/>
    <w:pPr>
      <w:jc w:val="center"/>
      <w:tabs>
        <w:tab w:val="center" w:pos="4153" w:leader="none"/>
        <w:tab w:val="right" w:pos="8306" w:leader="none"/>
      </w:tabs>
      <w:pBdr>
        <w:bottom w:val="single" w:color="auto" w:sz="6" w:space="1"/>
      </w:pBdr>
    </w:pPr>
    <w:rPr>
      <w:sz w:val="18"/>
      <w:szCs w:val="18"/>
    </w:rPr>
  </w:style>
  <w:style w:type="paragraph" w:styleId="970">
    <w:name w:val="toc 1"/>
    <w:basedOn w:val="934"/>
    <w:next w:val="934"/>
    <w:uiPriority w:val="39"/>
    <w:qFormat/>
  </w:style>
  <w:style w:type="paragraph" w:styleId="971">
    <w:name w:val="toc 4"/>
    <w:basedOn w:val="934"/>
    <w:next w:val="934"/>
    <w:uiPriority w:val="39"/>
    <w:unhideWhenUsed/>
    <w:qFormat/>
    <w:pPr>
      <w:ind w:left="1260"/>
    </w:pPr>
    <w:rPr>
      <w:rFonts w:ascii="Calibri" w:hAnsi="Calibri"/>
      <w:szCs w:val="22"/>
    </w:rPr>
  </w:style>
  <w:style w:type="paragraph" w:styleId="972">
    <w:name w:val="Subtitle"/>
    <w:basedOn w:val="934"/>
    <w:next w:val="934"/>
    <w:link w:val="1045"/>
    <w:uiPriority w:val="0"/>
    <w:qFormat/>
    <w:pPr>
      <w:jc w:val="center"/>
      <w:spacing w:before="240" w:after="60" w:line="312" w:lineRule="auto"/>
      <w:outlineLvl w:val="1"/>
    </w:pPr>
    <w:rPr>
      <w:rFonts w:ascii="Cambria" w:hAnsi="Cambria"/>
      <w:b/>
      <w:bCs/>
      <w:sz w:val="32"/>
      <w:szCs w:val="32"/>
    </w:rPr>
  </w:style>
  <w:style w:type="paragraph" w:styleId="973">
    <w:name w:val="toc 6"/>
    <w:basedOn w:val="934"/>
    <w:next w:val="934"/>
    <w:uiPriority w:val="39"/>
    <w:unhideWhenUsed/>
    <w:qFormat/>
    <w:pPr>
      <w:ind w:left="2100"/>
    </w:pPr>
    <w:rPr>
      <w:rFonts w:ascii="Calibri" w:hAnsi="Calibri"/>
      <w:szCs w:val="22"/>
    </w:rPr>
  </w:style>
  <w:style w:type="paragraph" w:styleId="974">
    <w:name w:val="Body Text Indent 3"/>
    <w:basedOn w:val="934"/>
    <w:link w:val="1070"/>
    <w:uiPriority w:val="0"/>
    <w:qFormat/>
    <w:pPr>
      <w:ind w:left="420"/>
      <w:spacing w:after="120"/>
    </w:pPr>
    <w:rPr>
      <w:sz w:val="16"/>
      <w:szCs w:val="20"/>
    </w:rPr>
  </w:style>
  <w:style w:type="paragraph" w:styleId="975">
    <w:name w:val="toc 9"/>
    <w:basedOn w:val="934"/>
    <w:next w:val="934"/>
    <w:uiPriority w:val="39"/>
    <w:unhideWhenUsed/>
    <w:qFormat/>
    <w:pPr>
      <w:ind w:left="3360"/>
    </w:pPr>
    <w:rPr>
      <w:rFonts w:ascii="Calibri" w:hAnsi="Calibri"/>
      <w:szCs w:val="22"/>
    </w:rPr>
  </w:style>
  <w:style w:type="paragraph" w:styleId="976">
    <w:name w:val="HTML Preformatted"/>
    <w:basedOn w:val="934"/>
    <w:link w:val="11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7">
    <w:name w:val="Normal (Web)"/>
    <w:basedOn w:val="934"/>
    <w:uiPriority w:val="0"/>
    <w:qFormat/>
    <w:pPr>
      <w:jc w:val="left"/>
      <w:spacing w:before="100" w:beforeAutospacing="1" w:after="100" w:afterAutospacing="1"/>
      <w:widowControl/>
    </w:pPr>
    <w:rPr>
      <w:rFonts w:ascii="宋体" w:hAnsi="宋体" w:cs="宋体"/>
      <w:sz w:val="24"/>
    </w:rPr>
  </w:style>
  <w:style w:type="paragraph" w:styleId="978">
    <w:name w:val="index 1"/>
    <w:basedOn w:val="934"/>
    <w:next w:val="934"/>
    <w:uiPriority w:val="0"/>
    <w:qFormat/>
    <w:pPr>
      <w:jc w:val="center"/>
      <w:spacing w:line="220" w:lineRule="exact"/>
    </w:pPr>
    <w:rPr>
      <w:rFonts w:ascii="仿宋_GB2312" w:hAnsi="Calibri" w:eastAsia="仿宋_GB2312"/>
      <w:szCs w:val="22"/>
    </w:rPr>
  </w:style>
  <w:style w:type="paragraph" w:styleId="979">
    <w:name w:val="Title"/>
    <w:basedOn w:val="934"/>
    <w:link w:val="1022"/>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2"/>
    <w:next w:val="952"/>
    <w:link w:val="1060"/>
    <w:uiPriority w:val="0"/>
    <w:qFormat/>
    <w:rPr>
      <w:b/>
      <w:bCs/>
    </w:rPr>
  </w:style>
  <w:style w:type="paragraph" w:styleId="981">
    <w:name w:val="Body Text First Indent"/>
    <w:basedOn w:val="954"/>
    <w:uiPriority w:val="0"/>
    <w:qFormat/>
    <w:pPr>
      <w:ind w:right="-24" w:firstLine="425"/>
      <w:spacing w:line="360" w:lineRule="auto"/>
    </w:pPr>
    <w:rPr>
      <w:rFonts w:ascii="Arial" w:hAnsi="Arial" w:eastAsia="仿宋_GB2312" w:cs="Arial"/>
      <w:szCs w:val="32"/>
    </w:rPr>
  </w:style>
  <w:style w:type="paragraph" w:styleId="982">
    <w:name w:val="Body Text First Indent 2"/>
    <w:basedOn w:val="958"/>
    <w:next w:val="981"/>
    <w:uiPriority w:val="99"/>
    <w:semiHidden/>
    <w:unhideWhenUsed/>
    <w:qFormat/>
    <w:pPr>
      <w:ind w:firstLine="420"/>
    </w:pPr>
  </w:style>
  <w:style w:type="table" w:styleId="983">
    <w:name w:val="Table Grid"/>
    <w:basedOn w:val="94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basedOn w:val="944"/>
    <w:uiPriority w:val="22"/>
    <w:qFormat/>
    <w:rPr>
      <w:rFonts w:cs="Times New Roman"/>
      <w:b/>
    </w:rPr>
  </w:style>
  <w:style w:type="character" w:styleId="985">
    <w:name w:val="page number"/>
    <w:uiPriority w:val="0"/>
    <w:qFormat/>
    <w:rPr>
      <w:rFonts w:eastAsia="宋体"/>
      <w:b/>
      <w:spacing w:val="0"/>
      <w:sz w:val="24"/>
      <w:szCs w:val="24"/>
      <w:vertAlign w:val="baseline"/>
      <w:lang w:val="en-US" w:eastAsia="zh-CN" w:bidi="ar-SA"/>
    </w:rPr>
  </w:style>
  <w:style w:type="character" w:styleId="986">
    <w:name w:val="FollowedHyperlink"/>
    <w:uiPriority w:val="0"/>
    <w:qFormat/>
    <w:rPr>
      <w:color w:val="800080"/>
      <w:u w:val="single"/>
    </w:rPr>
  </w:style>
  <w:style w:type="character" w:styleId="987">
    <w:name w:val="Emphasis"/>
    <w:basedOn w:val="944"/>
    <w:uiPriority w:val="0"/>
    <w:qFormat/>
    <w:rPr>
      <w:color w:val="cc0000"/>
    </w:rPr>
  </w:style>
  <w:style w:type="character" w:styleId="988">
    <w:name w:val="Hyperlink"/>
    <w:uiPriority w:val="99"/>
    <w:qFormat/>
    <w:rPr>
      <w:color w:val="0000ff"/>
      <w:u w:val="single"/>
    </w:rPr>
  </w:style>
  <w:style w:type="character" w:styleId="989">
    <w:name w:val="annotation reference"/>
    <w:uiPriority w:val="0"/>
    <w:qFormat/>
    <w:rPr>
      <w:sz w:val="21"/>
      <w:szCs w:val="21"/>
    </w:rPr>
  </w:style>
  <w:style w:type="character" w:styleId="990">
    <w:name w:val="HTML Cite"/>
    <w:uiPriority w:val="0"/>
    <w:qFormat/>
    <w:rPr>
      <w:color w:val="008000"/>
    </w:rPr>
  </w:style>
  <w:style w:type="paragraph" w:styleId="991" w:customStyle="1">
    <w:name w:val="索引 41"/>
    <w:basedOn w:val="934"/>
    <w:next w:val="934"/>
    <w:uiPriority w:val="0"/>
    <w:semiHidden/>
    <w:qFormat/>
    <w:pPr>
      <w:ind w:left="1260"/>
    </w:pPr>
    <w:rPr>
      <w:rFonts w:ascii="Calibri" w:hAnsi="Calibri" w:eastAsia="Calibri" w:cs="宋体"/>
      <w:sz w:val="20"/>
      <w:lang w:val="zh-CN"/>
    </w:rPr>
  </w:style>
  <w:style w:type="paragraph" w:styleId="992" w:customStyle="1">
    <w:name w:val="NormalIndent"/>
    <w:basedOn w:val="934"/>
    <w:uiPriority w:val="0"/>
    <w:qFormat/>
    <w:pPr>
      <w:ind w:firstLine="420"/>
    </w:pPr>
  </w:style>
  <w:style w:type="paragraph" w:styleId="99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Body Text First Indent 21"/>
    <w:basedOn w:val="996"/>
    <w:uiPriority w:val="0"/>
    <w:qFormat/>
    <w:pPr>
      <w:ind w:firstLine="420"/>
    </w:pPr>
  </w:style>
  <w:style w:type="paragraph" w:styleId="996" w:customStyle="1">
    <w:name w:val="Body Text Indent1"/>
    <w:basedOn w:val="934"/>
    <w:uiPriority w:val="0"/>
    <w:qFormat/>
    <w:pPr>
      <w:ind w:left="420"/>
    </w:pPr>
  </w:style>
  <w:style w:type="paragraph" w:styleId="997">
    <w:name w:val="List Paragraph"/>
    <w:basedOn w:val="934"/>
    <w:next w:val="952"/>
    <w:link w:val="1179"/>
    <w:uiPriority w:val="99"/>
    <w:qFormat/>
    <w:pPr>
      <w:ind w:firstLine="420"/>
    </w:pPr>
  </w:style>
  <w:style w:type="character" w:styleId="998" w:customStyle="1">
    <w:name w:val="明显强调1"/>
    <w:uiPriority w:val="0"/>
    <w:qFormat/>
    <w:rPr>
      <w:b/>
      <w:bCs/>
      <w:i/>
      <w:iCs/>
      <w:color w:val="4f81bd"/>
    </w:rPr>
  </w:style>
  <w:style w:type="character" w:styleId="999" w:customStyle="1">
    <w:name w:val="批注文字 Char2"/>
    <w:uiPriority w:val="0"/>
    <w:qFormat/>
    <w:rPr>
      <w:sz w:val="21"/>
    </w:rPr>
  </w:style>
  <w:style w:type="character" w:styleId="1000" w:customStyle="1">
    <w:name w:val="标题 3 Char_0"/>
    <w:link w:val="1001"/>
    <w:uiPriority w:val="0"/>
    <w:qFormat/>
    <w:rPr>
      <w:b/>
      <w:bCs/>
      <w:sz w:val="32"/>
      <w:szCs w:val="32"/>
    </w:rPr>
  </w:style>
  <w:style w:type="paragraph" w:styleId="1001" w:customStyle="1">
    <w:name w:val="标题 3_0"/>
    <w:basedOn w:val="1002"/>
    <w:next w:val="1002"/>
    <w:link w:val="1000"/>
    <w:uiPriority w:val="0"/>
    <w:qFormat/>
    <w:pPr>
      <w:keepLines/>
      <w:keepNext/>
      <w:spacing w:before="260" w:after="260" w:line="416" w:lineRule="auto"/>
      <w:outlineLvl w:val="2"/>
    </w:pPr>
    <w:rPr>
      <w:b/>
      <w:bCs/>
      <w:sz w:val="32"/>
      <w:szCs w:val="32"/>
    </w:rPr>
  </w:style>
  <w:style w:type="paragraph" w:styleId="100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3" w:customStyle="1">
    <w:name w:val="标题 2 字符"/>
    <w:link w:val="936"/>
    <w:uiPriority w:val="0"/>
    <w:qFormat/>
    <w:rPr>
      <w:rFonts w:ascii="Cambria" w:hAnsi="Cambria"/>
      <w:b/>
      <w:bCs/>
      <w:sz w:val="32"/>
      <w:szCs w:val="32"/>
    </w:rPr>
  </w:style>
  <w:style w:type="character" w:styleId="1004" w:customStyle="1">
    <w:name w:val="正文文本 Char2"/>
    <w:uiPriority w:val="99"/>
    <w:semiHidden/>
    <w:qFormat/>
    <w:rPr>
      <w:rFonts w:ascii="Calibri" w:hAnsi="Calibri" w:eastAsia="宋体" w:cs="Times New Roman"/>
    </w:rPr>
  </w:style>
  <w:style w:type="character" w:styleId="1005" w:customStyle="1">
    <w:name w:val="页脚 Char1"/>
    <w:uiPriority w:val="99"/>
    <w:semiHidden/>
    <w:qFormat/>
    <w:rPr>
      <w:rFonts w:ascii="Calibri" w:hAnsi="Calibri" w:eastAsia="宋体" w:cs="Times New Roman"/>
      <w:sz w:val="18"/>
      <w:szCs w:val="18"/>
    </w:rPr>
  </w:style>
  <w:style w:type="character" w:styleId="1006" w:customStyle="1">
    <w:name w:val="明显引用 Char2"/>
    <w:uiPriority w:val="99"/>
    <w:qFormat/>
    <w:rPr>
      <w:b/>
      <w:bCs/>
      <w:i/>
      <w:iCs/>
      <w:color w:val="4f81bd"/>
      <w:sz w:val="21"/>
      <w:szCs w:val="24"/>
    </w:rPr>
  </w:style>
  <w:style w:type="character" w:styleId="1007" w:customStyle="1">
    <w:name w:val="引用 Char"/>
    <w:link w:val="1008"/>
    <w:uiPriority w:val="0"/>
    <w:qFormat/>
    <w:rPr>
      <w:i/>
      <w:iCs/>
      <w:color w:val="000000"/>
    </w:rPr>
  </w:style>
  <w:style w:type="paragraph" w:styleId="1008" w:customStyle="1">
    <w:name w:val="引用1"/>
    <w:basedOn w:val="934"/>
    <w:next w:val="934"/>
    <w:link w:val="1007"/>
    <w:uiPriority w:val="0"/>
    <w:qFormat/>
    <w:rPr>
      <w:i/>
      <w:iCs/>
      <w:color w:val="000000"/>
      <w:sz w:val="20"/>
      <w:szCs w:val="20"/>
    </w:rPr>
  </w:style>
  <w:style w:type="character" w:styleId="1009" w:customStyle="1">
    <w:name w:val="标题 1 Char_0"/>
    <w:link w:val="1010"/>
    <w:uiPriority w:val="0"/>
    <w:qFormat/>
    <w:rPr>
      <w:b/>
      <w:bCs/>
      <w:sz w:val="44"/>
      <w:szCs w:val="44"/>
    </w:rPr>
  </w:style>
  <w:style w:type="paragraph" w:styleId="1010" w:customStyle="1">
    <w:name w:val="标题 1_0"/>
    <w:basedOn w:val="1002"/>
    <w:next w:val="1002"/>
    <w:link w:val="1009"/>
    <w:uiPriority w:val="0"/>
    <w:qFormat/>
    <w:pPr>
      <w:keepLines/>
      <w:keepNext/>
      <w:spacing w:before="340" w:after="330" w:line="578" w:lineRule="auto"/>
      <w:outlineLvl w:val="0"/>
    </w:pPr>
    <w:rPr>
      <w:b/>
      <w:bCs/>
      <w:sz w:val="44"/>
      <w:szCs w:val="44"/>
    </w:rPr>
  </w:style>
  <w:style w:type="character" w:styleId="1011" w:customStyle="1">
    <w:name w:val="正文文本缩进 3 Char1"/>
    <w:uiPriority w:val="99"/>
    <w:semiHidden/>
    <w:qFormat/>
    <w:rPr>
      <w:sz w:val="16"/>
      <w:szCs w:val="16"/>
    </w:rPr>
  </w:style>
  <w:style w:type="character" w:styleId="1012" w:customStyle="1">
    <w:name w:val="引用 Char1"/>
    <w:uiPriority w:val="29"/>
    <w:qFormat/>
    <w:rPr>
      <w:i/>
      <w:iCs/>
      <w:color w:val="000000"/>
      <w:sz w:val="21"/>
    </w:rPr>
  </w:style>
  <w:style w:type="character" w:styleId="1013" w:customStyle="1">
    <w:name w:val="正文文本缩进 字符"/>
    <w:link w:val="958"/>
    <w:uiPriority w:val="0"/>
    <w:qFormat/>
    <w:rPr>
      <w:sz w:val="21"/>
      <w:szCs w:val="24"/>
    </w:rPr>
  </w:style>
  <w:style w:type="character" w:styleId="1014" w:customStyle="1">
    <w:name w:val="font161"/>
    <w:uiPriority w:val="0"/>
    <w:qFormat/>
    <w:rPr>
      <w:b/>
      <w:sz w:val="32"/>
    </w:rPr>
  </w:style>
  <w:style w:type="character" w:styleId="1015" w:customStyle="1">
    <w:name w:val="标题 4 Char_0"/>
    <w:link w:val="1016"/>
    <w:uiPriority w:val="0"/>
    <w:qFormat/>
    <w:rPr>
      <w:rFonts w:ascii="Arial" w:hAnsi="Arial" w:eastAsia="黑体"/>
      <w:b/>
      <w:bCs/>
      <w:sz w:val="28"/>
      <w:szCs w:val="28"/>
    </w:rPr>
  </w:style>
  <w:style w:type="paragraph" w:styleId="1016" w:customStyle="1">
    <w:name w:val="标题 4_0"/>
    <w:basedOn w:val="1002"/>
    <w:next w:val="1002"/>
    <w:link w:val="1015"/>
    <w:uiPriority w:val="0"/>
    <w:qFormat/>
    <w:pPr>
      <w:keepLines/>
      <w:keepNext/>
      <w:spacing w:before="280" w:after="290" w:line="376" w:lineRule="auto"/>
      <w:outlineLvl w:val="3"/>
    </w:pPr>
    <w:rPr>
      <w:rFonts w:ascii="Arial" w:hAnsi="Arial" w:eastAsia="黑体"/>
      <w:b/>
      <w:bCs/>
      <w:sz w:val="28"/>
      <w:szCs w:val="28"/>
    </w:rPr>
  </w:style>
  <w:style w:type="character" w:styleId="1017" w:customStyle="1">
    <w:name w:val="页眉 字符"/>
    <w:link w:val="969"/>
    <w:uiPriority w:val="0"/>
    <w:qFormat/>
    <w:rPr>
      <w:sz w:val="18"/>
      <w:szCs w:val="18"/>
    </w:rPr>
  </w:style>
  <w:style w:type="character" w:styleId="1018" w:customStyle="1">
    <w:name w:val="标题 6 字符"/>
    <w:link w:val="940"/>
    <w:uiPriority w:val="0"/>
    <w:qFormat/>
    <w:rPr>
      <w:rFonts w:ascii="Cambria" w:hAnsi="Cambria"/>
      <w:b/>
      <w:bCs/>
      <w:sz w:val="24"/>
      <w:szCs w:val="24"/>
    </w:rPr>
  </w:style>
  <w:style w:type="character" w:styleId="1019" w:customStyle="1">
    <w:name w:val="纯文本 字符"/>
    <w:link w:val="962"/>
    <w:uiPriority w:val="99"/>
    <w:qFormat/>
    <w:rPr>
      <w:rFonts w:ascii="Ari"/>
      <w:lang w:val="en-US" w:eastAsia="zh-CN" w:bidi="ar-SA"/>
    </w:rPr>
  </w:style>
  <w:style w:type="character" w:styleId="1020" w:customStyle="1">
    <w:name w:val="引用 Char2"/>
    <w:uiPriority w:val="99"/>
    <w:qFormat/>
    <w:rPr>
      <w:i/>
      <w:iCs/>
      <w:color w:val="000000"/>
      <w:sz w:val="21"/>
      <w:szCs w:val="24"/>
    </w:rPr>
  </w:style>
  <w:style w:type="character" w:styleId="1021" w:customStyle="1">
    <w:name w:val="rvts11"/>
    <w:uiPriority w:val="0"/>
    <w:qFormat/>
    <w:rPr>
      <w:rFonts w:hint="default" w:ascii="KNLe" w:hAnsi="KNLe"/>
      <w:sz w:val="24"/>
      <w:szCs w:val="24"/>
      <w:u w:val="single"/>
    </w:rPr>
  </w:style>
  <w:style w:type="character" w:styleId="1022" w:customStyle="1">
    <w:name w:val="标题 字符"/>
    <w:link w:val="979"/>
    <w:uiPriority w:val="0"/>
    <w:qFormat/>
    <w:rPr>
      <w:rFonts w:ascii="Arial" w:hAnsi="Arial"/>
      <w:b/>
      <w:sz w:val="32"/>
    </w:rPr>
  </w:style>
  <w:style w:type="character" w:styleId="1023" w:customStyle="1">
    <w:name w:val="标题5 Char Char"/>
    <w:link w:val="1024"/>
    <w:uiPriority w:val="0"/>
    <w:qFormat/>
    <w:rPr>
      <w:rFonts w:ascii="Arial" w:hAnsi="Arial"/>
      <w:b/>
      <w:bCs/>
      <w:sz w:val="24"/>
      <w:szCs w:val="32"/>
    </w:rPr>
  </w:style>
  <w:style w:type="paragraph" w:styleId="1024" w:customStyle="1">
    <w:name w:val="标题5"/>
    <w:basedOn w:val="937"/>
    <w:link w:val="1023"/>
    <w:uiPriority w:val="0"/>
    <w:qFormat/>
    <w:pPr>
      <w:numPr>
        <w:ilvl w:val="0"/>
        <w:numId w:val="0"/>
      </w:numPr>
      <w:spacing w:line="413" w:lineRule="auto"/>
    </w:pPr>
    <w:rPr>
      <w:rFonts w:ascii="Arial" w:hAnsi="Arial"/>
      <w:sz w:val="24"/>
    </w:rPr>
  </w:style>
  <w:style w:type="character" w:styleId="1025" w:customStyle="1">
    <w:name w:val="副标题 Char2"/>
    <w:uiPriority w:val="11"/>
    <w:qFormat/>
    <w:rPr>
      <w:rFonts w:ascii="Cambria" w:hAnsi="Cambria" w:cs="Times New Roman"/>
      <w:b/>
      <w:bCs/>
      <w:sz w:val="32"/>
      <w:szCs w:val="32"/>
    </w:rPr>
  </w:style>
  <w:style w:type="character" w:styleId="1026" w:customStyle="1">
    <w:name w:val="文档结构图 字符"/>
    <w:link w:val="951"/>
    <w:uiPriority w:val="0"/>
    <w:qFormat/>
    <w:rPr>
      <w:rFonts w:ascii="宋体"/>
      <w:sz w:val="18"/>
      <w:szCs w:val="18"/>
    </w:rPr>
  </w:style>
  <w:style w:type="character" w:styleId="1027" w:customStyle="1">
    <w:name w:val="日期 字符"/>
    <w:link w:val="964"/>
    <w:uiPriority w:val="0"/>
    <w:qFormat/>
    <w:rPr>
      <w:sz w:val="21"/>
      <w:szCs w:val="24"/>
    </w:rPr>
  </w:style>
  <w:style w:type="character" w:styleId="1028" w:customStyle="1">
    <w:name w:val="批注主题 Char1"/>
    <w:uiPriority w:val="0"/>
    <w:qFormat/>
    <w:rPr>
      <w:b/>
      <w:bCs/>
      <w:sz w:val="21"/>
      <w:szCs w:val="22"/>
    </w:rPr>
  </w:style>
  <w:style w:type="character" w:styleId="1029" w:customStyle="1">
    <w:name w:val="font31"/>
    <w:uiPriority w:val="0"/>
    <w:qFormat/>
    <w:rPr>
      <w:rFonts w:hint="eastAsia" w:ascii="宋体" w:hAnsi="宋体" w:eastAsia="宋体" w:cs="宋体"/>
      <w:color w:val="000000"/>
      <w:sz w:val="20"/>
      <w:szCs w:val="20"/>
      <w:u w:val="none"/>
    </w:rPr>
  </w:style>
  <w:style w:type="character" w:styleId="1030" w:customStyle="1">
    <w:name w:val="明显引用 Char"/>
    <w:link w:val="1031"/>
    <w:uiPriority w:val="0"/>
    <w:qFormat/>
    <w:rPr>
      <w:b/>
      <w:bCs/>
      <w:i/>
      <w:iCs/>
      <w:color w:val="4f81bd"/>
    </w:rPr>
  </w:style>
  <w:style w:type="paragraph" w:styleId="1031" w:customStyle="1">
    <w:name w:val="明显引用1"/>
    <w:basedOn w:val="934"/>
    <w:next w:val="934"/>
    <w:link w:val="1030"/>
    <w:uiPriority w:val="0"/>
    <w:qFormat/>
    <w:pPr>
      <w:ind w:left="936" w:right="936"/>
      <w:spacing w:before="200" w:after="280"/>
      <w:pBdr>
        <w:bottom w:val="single" w:color="4F81BD" w:sz="4" w:space="4"/>
      </w:pBdr>
    </w:pPr>
    <w:rPr>
      <w:b/>
      <w:bCs/>
      <w:i/>
      <w:iCs/>
      <w:color w:val="4f81bd"/>
      <w:sz w:val="20"/>
      <w:szCs w:val="20"/>
    </w:rPr>
  </w:style>
  <w:style w:type="character" w:styleId="1032" w:customStyle="1">
    <w:name w:val="标题 5 字符"/>
    <w:link w:val="939"/>
    <w:uiPriority w:val="0"/>
    <w:qFormat/>
    <w:rPr>
      <w:b/>
      <w:bCs/>
      <w:sz w:val="28"/>
      <w:szCs w:val="28"/>
    </w:rPr>
  </w:style>
  <w:style w:type="character" w:styleId="1033" w:customStyle="1">
    <w:name w:val="日期 Char1"/>
    <w:uiPriority w:val="0"/>
    <w:qFormat/>
    <w:rPr>
      <w:rFonts w:ascii="Calibri" w:hAnsi="Calibri" w:eastAsia="宋体" w:cs="Times New Roman"/>
    </w:rPr>
  </w:style>
  <w:style w:type="character" w:styleId="1034" w:customStyle="1">
    <w:name w:val="批注框文本 Char1"/>
    <w:uiPriority w:val="0"/>
    <w:qFormat/>
    <w:rPr>
      <w:sz w:val="18"/>
      <w:szCs w:val="18"/>
    </w:rPr>
  </w:style>
  <w:style w:type="character" w:styleId="1035" w:customStyle="1">
    <w:name w:val="标题 Char1"/>
    <w:uiPriority w:val="10"/>
    <w:qFormat/>
    <w:rPr>
      <w:rFonts w:ascii="Cambria" w:hAnsi="Cambria" w:eastAsia="宋体" w:cs="Times New Roman"/>
      <w:b/>
      <w:bCs/>
      <w:sz w:val="32"/>
      <w:szCs w:val="32"/>
    </w:rPr>
  </w:style>
  <w:style w:type="character" w:styleId="1036" w:customStyle="1">
    <w:name w:val="标题 9 字符"/>
    <w:link w:val="943"/>
    <w:uiPriority w:val="0"/>
    <w:qFormat/>
    <w:rPr>
      <w:rFonts w:ascii="Cambria" w:hAnsi="Cambria"/>
      <w:sz w:val="21"/>
      <w:szCs w:val="21"/>
    </w:rPr>
  </w:style>
  <w:style w:type="character" w:styleId="1037" w:customStyle="1">
    <w:name w:val="不明显参考1"/>
    <w:uiPriority w:val="0"/>
    <w:qFormat/>
    <w:rPr>
      <w:smallCaps/>
      <w:color w:val="c0504d"/>
      <w:u w:val="single"/>
    </w:rPr>
  </w:style>
  <w:style w:type="character" w:styleId="1038" w:customStyle="1">
    <w:name w:val="批注文字 Char1"/>
    <w:uiPriority w:val="0"/>
    <w:qFormat/>
    <w:rPr>
      <w:rFonts w:ascii="Calibri" w:hAnsi="Calibri" w:eastAsia="宋体" w:cs="Times New Roman"/>
    </w:rPr>
  </w:style>
  <w:style w:type="character" w:styleId="1039" w:customStyle="1">
    <w:name w:val="标题 Char2"/>
    <w:uiPriority w:val="10"/>
    <w:qFormat/>
    <w:rPr>
      <w:rFonts w:ascii="Cambria" w:hAnsi="Cambria" w:cs="Times New Roman"/>
      <w:b/>
      <w:bCs/>
      <w:sz w:val="32"/>
      <w:szCs w:val="32"/>
    </w:rPr>
  </w:style>
  <w:style w:type="character" w:styleId="1040" w:customStyle="1">
    <w:name w:val="正文文本 3 Char1"/>
    <w:uiPriority w:val="99"/>
    <w:semiHidden/>
    <w:qFormat/>
    <w:rPr>
      <w:sz w:val="16"/>
      <w:szCs w:val="16"/>
    </w:rPr>
  </w:style>
  <w:style w:type="character" w:styleId="1041" w:customStyle="1">
    <w:name w:val="批注主题 Char2"/>
    <w:uiPriority w:val="0"/>
    <w:qFormat/>
    <w:rPr>
      <w:b/>
      <w:bCs/>
      <w:sz w:val="21"/>
    </w:rPr>
  </w:style>
  <w:style w:type="character" w:styleId="1042" w:customStyle="1">
    <w:name w:val="标题 3 字符"/>
    <w:link w:val="937"/>
    <w:uiPriority w:val="0"/>
    <w:qFormat/>
    <w:rPr>
      <w:b/>
      <w:bCs/>
      <w:sz w:val="32"/>
      <w:szCs w:val="32"/>
    </w:rPr>
  </w:style>
  <w:style w:type="character" w:styleId="1043" w:customStyle="1">
    <w:name w:val="正文文本 Char_0"/>
    <w:link w:val="1044"/>
    <w:uiPriority w:val="0"/>
    <w:qFormat/>
    <w:rPr>
      <w:szCs w:val="24"/>
    </w:rPr>
  </w:style>
  <w:style w:type="paragraph" w:styleId="1044" w:customStyle="1">
    <w:name w:val="正文文本_0"/>
    <w:basedOn w:val="1002"/>
    <w:link w:val="1043"/>
    <w:uiPriority w:val="0"/>
    <w:qFormat/>
    <w:pPr>
      <w:spacing w:after="120"/>
    </w:pPr>
    <w:rPr>
      <w:sz w:val="20"/>
    </w:rPr>
  </w:style>
  <w:style w:type="character" w:styleId="1045" w:customStyle="1">
    <w:name w:val="副标题 字符"/>
    <w:link w:val="972"/>
    <w:uiPriority w:val="0"/>
    <w:qFormat/>
    <w:rPr>
      <w:rFonts w:ascii="Cambria" w:hAnsi="Cambria"/>
      <w:b/>
      <w:bCs/>
      <w:sz w:val="32"/>
      <w:szCs w:val="32"/>
    </w:rPr>
  </w:style>
  <w:style w:type="character" w:styleId="1046" w:customStyle="1">
    <w:name w:val="bookmark"/>
    <w:basedOn w:val="944"/>
    <w:uiPriority w:val="0"/>
    <w:qFormat/>
  </w:style>
  <w:style w:type="character" w:styleId="1047" w:customStyle="1">
    <w:name w:val="标题 5 Char_0"/>
    <w:link w:val="1048"/>
    <w:uiPriority w:val="0"/>
    <w:qFormat/>
    <w:rPr>
      <w:rFonts w:ascii="Calibri" w:hAnsi="Calibri"/>
      <w:b/>
      <w:bCs/>
      <w:sz w:val="28"/>
      <w:szCs w:val="28"/>
    </w:rPr>
  </w:style>
  <w:style w:type="paragraph" w:styleId="1048" w:customStyle="1">
    <w:name w:val="标题 5_0"/>
    <w:basedOn w:val="1002"/>
    <w:next w:val="1002"/>
    <w:link w:val="1047"/>
    <w:uiPriority w:val="0"/>
    <w:qFormat/>
    <w:pPr>
      <w:keepLines/>
      <w:keepNext/>
      <w:spacing w:before="280" w:after="290" w:line="372" w:lineRule="auto"/>
      <w:outlineLvl w:val="4"/>
    </w:pPr>
    <w:rPr>
      <w:rFonts w:ascii="Calibri" w:hAnsi="Calibri"/>
      <w:b/>
      <w:bCs/>
      <w:sz w:val="28"/>
      <w:szCs w:val="28"/>
    </w:rPr>
  </w:style>
  <w:style w:type="character" w:styleId="1049" w:customStyle="1">
    <w:name w:val="正文文本缩进 2 字符"/>
    <w:link w:val="965"/>
    <w:uiPriority w:val="99"/>
    <w:qFormat/>
    <w:rPr>
      <w:rFonts w:ascii="宋体"/>
    </w:rPr>
  </w:style>
  <w:style w:type="character" w:styleId="1050" w:customStyle="1">
    <w:name w:val="批注文字 字符"/>
    <w:link w:val="952"/>
    <w:uiPriority w:val="0"/>
    <w:qFormat/>
    <w:rPr>
      <w:sz w:val="21"/>
      <w:szCs w:val="24"/>
    </w:rPr>
  </w:style>
  <w:style w:type="character" w:styleId="1051" w:customStyle="1">
    <w:name w:val="font11"/>
    <w:uiPriority w:val="0"/>
    <w:qFormat/>
    <w:rPr>
      <w:rFonts w:hint="eastAsia" w:ascii="宋体" w:hAnsi="宋体" w:eastAsia="宋体" w:cs="宋体"/>
      <w:color w:val="000000"/>
      <w:sz w:val="20"/>
      <w:szCs w:val="20"/>
      <w:u w:val="none"/>
    </w:rPr>
  </w:style>
  <w:style w:type="character" w:styleId="1052" w:customStyle="1">
    <w:name w:val="明显参考1"/>
    <w:uiPriority w:val="0"/>
    <w:qFormat/>
    <w:rPr>
      <w:b/>
      <w:bCs/>
      <w:smallCaps/>
      <w:color w:val="c0504d"/>
      <w:spacing w:val="5"/>
      <w:u w:val="single"/>
    </w:rPr>
  </w:style>
  <w:style w:type="character" w:styleId="1053" w:customStyle="1">
    <w:name w:val="超链接_0"/>
    <w:uiPriority w:val="99"/>
    <w:qFormat/>
    <w:rPr>
      <w:rFonts w:ascii="Calibri" w:hAnsi="Calibri"/>
      <w:color w:val="0000ff"/>
      <w:u w:val="single"/>
    </w:rPr>
  </w:style>
  <w:style w:type="character" w:styleId="1054" w:customStyle="1">
    <w:name w:val="文档结构图 Char2"/>
    <w:uiPriority w:val="99"/>
    <w:semiHidden/>
    <w:qFormat/>
    <w:rPr>
      <w:rFonts w:ascii="宋体" w:hAnsi="Calibri" w:eastAsia="宋体" w:cs="Times New Roman"/>
      <w:sz w:val="18"/>
      <w:szCs w:val="18"/>
    </w:rPr>
  </w:style>
  <w:style w:type="character" w:styleId="1055" w:customStyle="1">
    <w:name w:val="textcontents"/>
    <w:uiPriority w:val="0"/>
    <w:qFormat/>
    <w:rPr>
      <w:rFonts w:cs="Times New Roman"/>
    </w:rPr>
  </w:style>
  <w:style w:type="character" w:styleId="1056" w:customStyle="1">
    <w:name w:val="标题 1 Char"/>
    <w:uiPriority w:val="0"/>
    <w:qFormat/>
    <w:rPr>
      <w:b/>
      <w:bCs/>
      <w:sz w:val="32"/>
      <w:szCs w:val="44"/>
    </w:rPr>
  </w:style>
  <w:style w:type="character" w:styleId="1057" w:customStyle="1">
    <w:name w:val="正文文本 字符"/>
    <w:link w:val="954"/>
    <w:uiPriority w:val="0"/>
    <w:qFormat/>
    <w:rPr>
      <w:rFonts w:eastAsia="幼圆"/>
      <w:b/>
      <w:bCs/>
      <w:sz w:val="44"/>
      <w:szCs w:val="24"/>
    </w:rPr>
  </w:style>
  <w:style w:type="character" w:styleId="1058" w:customStyle="1">
    <w:name w:val="标题 8 字符"/>
    <w:link w:val="942"/>
    <w:uiPriority w:val="0"/>
    <w:qFormat/>
    <w:rPr>
      <w:rFonts w:ascii="Cambria" w:hAnsi="Cambria"/>
      <w:sz w:val="24"/>
      <w:szCs w:val="24"/>
    </w:rPr>
  </w:style>
  <w:style w:type="character" w:styleId="1059" w:customStyle="1">
    <w:name w:val="副标题 Char1"/>
    <w:uiPriority w:val="11"/>
    <w:qFormat/>
    <w:rPr>
      <w:rFonts w:ascii="Cambria" w:hAnsi="Cambria" w:cs="Times New Roman"/>
      <w:b/>
      <w:bCs/>
      <w:sz w:val="32"/>
      <w:szCs w:val="32"/>
    </w:rPr>
  </w:style>
  <w:style w:type="character" w:styleId="1060" w:customStyle="1">
    <w:name w:val="批注主题 字符"/>
    <w:link w:val="980"/>
    <w:uiPriority w:val="0"/>
    <w:qFormat/>
    <w:rPr>
      <w:b/>
      <w:bCs/>
      <w:sz w:val="21"/>
      <w:szCs w:val="24"/>
    </w:rPr>
  </w:style>
  <w:style w:type="character" w:styleId="1061" w:customStyle="1">
    <w:name w:val="书籍标题1"/>
    <w:uiPriority w:val="0"/>
    <w:qFormat/>
    <w:rPr>
      <w:b/>
      <w:bCs/>
      <w:smallCaps/>
      <w:spacing w:val="5"/>
    </w:rPr>
  </w:style>
  <w:style w:type="character" w:styleId="1062" w:customStyle="1">
    <w:name w:val="页脚 字符"/>
    <w:link w:val="967"/>
    <w:uiPriority w:val="99"/>
    <w:qFormat/>
    <w:rPr>
      <w:sz w:val="18"/>
      <w:szCs w:val="18"/>
    </w:rPr>
  </w:style>
  <w:style w:type="character" w:styleId="1063" w:customStyle="1">
    <w:name w:val="标题4 Char Char"/>
    <w:link w:val="1064"/>
    <w:uiPriority w:val="0"/>
    <w:qFormat/>
    <w:rPr>
      <w:rFonts w:ascii="Arial" w:hAnsi="Arial"/>
      <w:b/>
      <w:bCs/>
      <w:sz w:val="24"/>
      <w:szCs w:val="32"/>
    </w:rPr>
  </w:style>
  <w:style w:type="paragraph" w:styleId="1064" w:customStyle="1">
    <w:name w:val="标题4"/>
    <w:basedOn w:val="936"/>
    <w:next w:val="959"/>
    <w:link w:val="1063"/>
    <w:uiPriority w:val="0"/>
    <w:qFormat/>
    <w:pPr>
      <w:numPr>
        <w:ilvl w:val="0"/>
        <w:numId w:val="0"/>
      </w:numPr>
      <w:spacing w:line="413" w:lineRule="auto"/>
    </w:pPr>
    <w:rPr>
      <w:rFonts w:ascii="Arial" w:hAnsi="Arial"/>
      <w:sz w:val="24"/>
    </w:rPr>
  </w:style>
  <w:style w:type="character" w:styleId="1065" w:customStyle="1">
    <w:name w:val="正文文本 Char1"/>
    <w:uiPriority w:val="0"/>
    <w:qFormat/>
    <w:rPr>
      <w:rFonts w:ascii="Calibri" w:hAnsi="Calibri" w:eastAsia="宋体" w:cs="Times New Roman"/>
    </w:rPr>
  </w:style>
  <w:style w:type="character" w:styleId="1066" w:customStyle="1">
    <w:name w:val="明显引用 Char1"/>
    <w:uiPriority w:val="30"/>
    <w:qFormat/>
    <w:rPr>
      <w:b/>
      <w:bCs/>
      <w:i/>
      <w:iCs/>
      <w:color w:val="4f81bd"/>
      <w:sz w:val="21"/>
    </w:rPr>
  </w:style>
  <w:style w:type="character" w:styleId="1067" w:customStyle="1">
    <w:name w:val="页眉 Char1"/>
    <w:uiPriority w:val="99"/>
    <w:semiHidden/>
    <w:qFormat/>
    <w:rPr>
      <w:rFonts w:ascii="Calibri" w:hAnsi="Calibri" w:eastAsia="宋体" w:cs="Times New Roman"/>
      <w:sz w:val="18"/>
      <w:szCs w:val="18"/>
    </w:rPr>
  </w:style>
  <w:style w:type="character" w:styleId="1068" w:customStyle="1">
    <w:name w:val="不明显强调1"/>
    <w:uiPriority w:val="0"/>
    <w:qFormat/>
    <w:rPr>
      <w:i/>
      <w:iCs/>
      <w:color w:val="808080"/>
    </w:rPr>
  </w:style>
  <w:style w:type="character" w:styleId="1069" w:customStyle="1">
    <w:name w:val="正文文本 3 字符"/>
    <w:link w:val="953"/>
    <w:uiPriority w:val="0"/>
    <w:qFormat/>
    <w:rPr>
      <w:rFonts w:ascii="宋体"/>
      <w:sz w:val="24"/>
    </w:rPr>
  </w:style>
  <w:style w:type="character" w:styleId="1070" w:customStyle="1">
    <w:name w:val="正文文本缩进 3 字符"/>
    <w:link w:val="974"/>
    <w:uiPriority w:val="0"/>
    <w:qFormat/>
    <w:rPr>
      <w:sz w:val="16"/>
    </w:rPr>
  </w:style>
  <w:style w:type="character" w:styleId="1071" w:customStyle="1">
    <w:name w:val="font21"/>
    <w:uiPriority w:val="0"/>
    <w:qFormat/>
    <w:rPr>
      <w:rFonts w:hint="eastAsia" w:ascii="宋体" w:hAnsi="宋体" w:eastAsia="宋体" w:cs="宋体"/>
      <w:color w:val="000000"/>
      <w:sz w:val="20"/>
      <w:szCs w:val="20"/>
      <w:u w:val="none"/>
    </w:rPr>
  </w:style>
  <w:style w:type="character" w:styleId="1072" w:customStyle="1">
    <w:name w:val="批注框文本 字符"/>
    <w:link w:val="966"/>
    <w:uiPriority w:val="0"/>
    <w:qFormat/>
    <w:rPr>
      <w:sz w:val="18"/>
      <w:szCs w:val="18"/>
    </w:rPr>
  </w:style>
  <w:style w:type="character" w:styleId="1073" w:customStyle="1">
    <w:name w:val="标题 7 字符"/>
    <w:link w:val="941"/>
    <w:uiPriority w:val="0"/>
    <w:qFormat/>
    <w:rPr>
      <w:b/>
      <w:bCs/>
      <w:sz w:val="24"/>
      <w:szCs w:val="24"/>
    </w:rPr>
  </w:style>
  <w:style w:type="character" w:styleId="1074" w:customStyle="1">
    <w:name w:val="标题 1 字符"/>
    <w:link w:val="935"/>
    <w:uiPriority w:val="0"/>
    <w:qFormat/>
    <w:rPr>
      <w:b/>
      <w:bCs/>
      <w:sz w:val="32"/>
      <w:szCs w:val="44"/>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标题 2 Char_0"/>
    <w:link w:val="1077"/>
    <w:uiPriority w:val="0"/>
    <w:qFormat/>
    <w:rPr>
      <w:rFonts w:ascii="Cambria" w:hAnsi="Cambria"/>
      <w:b/>
      <w:bCs/>
      <w:sz w:val="32"/>
      <w:szCs w:val="32"/>
    </w:rPr>
  </w:style>
  <w:style w:type="paragraph" w:styleId="1077" w:customStyle="1">
    <w:name w:val="标题 2_0"/>
    <w:basedOn w:val="1002"/>
    <w:next w:val="1002"/>
    <w:link w:val="1076"/>
    <w:uiPriority w:val="0"/>
    <w:unhideWhenUsed/>
    <w:qFormat/>
    <w:pPr>
      <w:keepLines/>
      <w:keepNext/>
      <w:spacing w:before="260" w:after="260" w:line="416" w:lineRule="auto"/>
      <w:outlineLvl w:val="1"/>
    </w:pPr>
    <w:rPr>
      <w:rFonts w:ascii="Cambria" w:hAnsi="Cambria"/>
      <w:b/>
      <w:bCs/>
      <w:sz w:val="32"/>
      <w:szCs w:val="32"/>
    </w:rPr>
  </w:style>
  <w:style w:type="character" w:styleId="1078" w:customStyle="1">
    <w:name w:val="日期 Char2"/>
    <w:uiPriority w:val="99"/>
    <w:semiHidden/>
    <w:qFormat/>
    <w:rPr>
      <w:rFonts w:ascii="Calibri" w:hAnsi="Calibri" w:eastAsia="宋体" w:cs="Times New Roman"/>
    </w:rPr>
  </w:style>
  <w:style w:type="character" w:styleId="1079" w:customStyle="1">
    <w:name w:val="批注框文本 Char2"/>
    <w:uiPriority w:val="99"/>
    <w:semiHidden/>
    <w:qFormat/>
    <w:rPr>
      <w:rFonts w:ascii="Calibri" w:hAnsi="Calibri" w:eastAsia="宋体" w:cs="Times New Roman"/>
      <w:sz w:val="18"/>
      <w:szCs w:val="18"/>
    </w:rPr>
  </w:style>
  <w:style w:type="character" w:styleId="1080" w:customStyle="1">
    <w:name w:val="标题 4 字符"/>
    <w:link w:val="938"/>
    <w:uiPriority w:val="0"/>
    <w:qFormat/>
    <w:rPr>
      <w:rFonts w:ascii="Cambria" w:hAnsi="Cambria"/>
      <w:b/>
      <w:bCs/>
      <w:sz w:val="28"/>
      <w:szCs w:val="28"/>
    </w:rPr>
  </w:style>
  <w:style w:type="character" w:styleId="1081" w:customStyle="1">
    <w:name w:val="列出段落 Char"/>
    <w:link w:val="1082"/>
    <w:uiPriority w:val="34"/>
    <w:qFormat/>
    <w:rPr>
      <w:sz w:val="21"/>
      <w:szCs w:val="24"/>
    </w:rPr>
  </w:style>
  <w:style w:type="paragraph" w:styleId="1082" w:customStyle="1">
    <w:name w:val="List Paragraph1"/>
    <w:basedOn w:val="934"/>
    <w:link w:val="1081"/>
    <w:uiPriority w:val="34"/>
    <w:qFormat/>
    <w:pPr>
      <w:ind w:firstLine="420"/>
    </w:pPr>
  </w:style>
  <w:style w:type="paragraph" w:styleId="1083" w:customStyle="1">
    <w:name w:val="样式 标题 3 + (中文) 黑体 小四 非加粗 段前: 7.8 磅 段后: 0 磅 行距: 固定值 20 磅"/>
    <w:basedOn w:val="937"/>
    <w:next w:val="934"/>
    <w:uiPriority w:val="0"/>
    <w:qFormat/>
    <w:pPr>
      <w:spacing w:before="0" w:after="0" w:line="400" w:lineRule="exact"/>
    </w:pPr>
    <w:rPr>
      <w:rFonts w:eastAsia="黑体" w:cs="宋体"/>
      <w:b w:val="0"/>
      <w:bCs w:val="0"/>
      <w:sz w:val="24"/>
      <w:szCs w:val="20"/>
    </w:rPr>
  </w:style>
  <w:style w:type="paragraph" w:styleId="1084" w:customStyle="1">
    <w:name w:val="_Style 34"/>
    <w:next w:val="934"/>
    <w:uiPriority w:val="0"/>
    <w:qFormat/>
    <w:pPr>
      <w:jc w:val="both"/>
      <w:widowControl w:val="off"/>
    </w:pPr>
    <w:rPr>
      <w:rFonts w:ascii="Times New Roman" w:hAnsi="Times New Roman" w:eastAsia="宋体" w:cs="Times New Roman"/>
      <w:sz w:val="21"/>
      <w:lang w:val="en-US" w:eastAsia="zh-CN" w:bidi="ar-SA"/>
    </w:rPr>
  </w:style>
  <w:style w:type="paragraph" w:styleId="108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6" w:customStyle="1">
    <w:name w:val="_Style 36"/>
    <w:next w:val="934"/>
    <w:uiPriority w:val="0"/>
    <w:qFormat/>
    <w:pPr>
      <w:jc w:val="both"/>
      <w:widowControl w:val="off"/>
    </w:pPr>
    <w:rPr>
      <w:rFonts w:ascii="Times New Roman" w:hAnsi="Times New Roman" w:eastAsia="宋体" w:cs="Times New Roman"/>
      <w:sz w:val="21"/>
      <w:lang w:val="en-US" w:eastAsia="zh-CN" w:bidi="ar-SA"/>
    </w:rPr>
  </w:style>
  <w:style w:type="paragraph" w:styleId="1087" w:customStyle="1">
    <w:name w:val="空半行"/>
    <w:basedOn w:val="934"/>
    <w:uiPriority w:val="0"/>
    <w:qFormat/>
    <w:pPr>
      <w:spacing w:line="120" w:lineRule="exact"/>
    </w:pPr>
    <w:rPr>
      <w:rFonts w:ascii="Calibri" w:hAnsi="Calibri" w:eastAsia="仿宋_GB2312"/>
      <w:color w:val="ffffff"/>
      <w:sz w:val="30"/>
      <w:szCs w:val="22"/>
    </w:rPr>
  </w:style>
  <w:style w:type="paragraph" w:styleId="1088" w:customStyle="1">
    <w:name w:val="1方案格式1"/>
    <w:basedOn w:val="935"/>
    <w:uiPriority w:val="0"/>
    <w:qFormat/>
    <w:pPr>
      <w:numPr>
        <w:numId w:val="3"/>
      </w:numPr>
      <w:ind w:left="0" w:firstLine="0"/>
      <w:spacing w:line="360" w:lineRule="auto"/>
      <w:tabs>
        <w:tab w:val="left" w:pos="360" w:leader="none"/>
      </w:tabs>
    </w:pPr>
    <w:rPr>
      <w:rFonts w:eastAsia="微软雅黑"/>
      <w:bCs w:val="0"/>
      <w:sz w:val="48"/>
    </w:rPr>
  </w:style>
  <w:style w:type="paragraph" w:styleId="1089" w:customStyle="1">
    <w:name w:val="格式３"/>
    <w:basedOn w:val="934"/>
    <w:uiPriority w:val="0"/>
    <w:qFormat/>
    <w:pPr>
      <w:ind w:left="600" w:hanging="600"/>
      <w:spacing w:line="420" w:lineRule="exact"/>
    </w:pPr>
    <w:rPr>
      <w:rFonts w:ascii="宋体" w:hAnsi="宋体"/>
      <w:color w:val="000000"/>
      <w:sz w:val="24"/>
      <w:szCs w:val="20"/>
    </w:rPr>
  </w:style>
  <w:style w:type="paragraph" w:styleId="1090" w:customStyle="1">
    <w:name w:val="正文1"/>
    <w:uiPriority w:val="0"/>
    <w:qFormat/>
    <w:pPr>
      <w:jc w:val="both"/>
      <w:widowControl w:val="off"/>
    </w:pPr>
    <w:rPr>
      <w:rFonts w:ascii="Calibri" w:hAnsi="Calibri" w:eastAsia="宋体" w:cs="Times New Roman"/>
      <w:lang w:val="en-US" w:eastAsia="zh-CN" w:bidi="ar-SA"/>
    </w:rPr>
  </w:style>
  <w:style w:type="paragraph" w:styleId="1091" w:customStyle="1">
    <w:name w:val="列出段落1"/>
    <w:basedOn w:val="934"/>
    <w:uiPriority w:val="99"/>
    <w:qFormat/>
    <w:pPr>
      <w:contextualSpacing/>
      <w:ind w:left="720"/>
      <w:jc w:val="left"/>
      <w:widowControl/>
    </w:pPr>
    <w:rPr>
      <w:rFonts w:ascii="Arial" w:hAnsi="Arial" w:eastAsia="黑体"/>
      <w:sz w:val="24"/>
      <w:lang w:eastAsia="en-US"/>
    </w:rPr>
  </w:style>
  <w:style w:type="paragraph" w:styleId="1092" w:customStyle="1">
    <w:name w:val="正文空2字"/>
    <w:basedOn w:val="934"/>
    <w:uiPriority w:val="0"/>
    <w:qFormat/>
    <w:pPr>
      <w:ind w:firstLine="200"/>
      <w:spacing w:line="360" w:lineRule="auto"/>
    </w:pPr>
    <w:rPr>
      <w:sz w:val="24"/>
      <w:lang w:bidi="en-US"/>
    </w:rPr>
  </w:style>
  <w:style w:type="paragraph" w:styleId="109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4" w:customStyle="1">
    <w:name w:val="目录 5_0"/>
    <w:basedOn w:val="1002"/>
    <w:next w:val="1002"/>
    <w:uiPriority w:val="39"/>
    <w:qFormat/>
    <w:pPr>
      <w:ind w:left="1680"/>
    </w:pPr>
    <w:rPr>
      <w:rFonts w:ascii="Calibri" w:hAnsi="Calibri"/>
    </w:rPr>
  </w:style>
  <w:style w:type="paragraph" w:styleId="1095" w:customStyle="1">
    <w:name w:val="修订1"/>
    <w:uiPriority w:val="0"/>
    <w:qFormat/>
    <w:rPr>
      <w:rFonts w:ascii="Times New Roman" w:hAnsi="Times New Roman" w:eastAsia="宋体" w:cs="Times New Roman"/>
      <w:sz w:val="21"/>
      <w:szCs w:val="24"/>
      <w:lang w:val="en-US" w:eastAsia="zh-CN" w:bidi="ar-SA"/>
    </w:rPr>
  </w:style>
  <w:style w:type="paragraph" w:styleId="1096" w:customStyle="1">
    <w:name w:val="标题 11"/>
    <w:basedOn w:val="1090"/>
    <w:next w:val="109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97" w:customStyle="1">
    <w:name w:val="正文 + 行距: 固定值 20 磅"/>
    <w:basedOn w:val="934"/>
    <w:uiPriority w:val="0"/>
    <w:qFormat/>
    <w:pPr>
      <w:ind w:firstLine="716"/>
      <w:spacing w:line="400" w:lineRule="exact"/>
    </w:pPr>
    <w:rPr>
      <w:rFonts w:ascii="Calibri" w:hAnsi="Calibri"/>
      <w:szCs w:val="22"/>
    </w:rPr>
  </w:style>
  <w:style w:type="paragraph" w:styleId="1098" w:customStyle="1">
    <w:name w:val="TOC 标题1"/>
    <w:basedOn w:val="935"/>
    <w:next w:val="93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99" w:customStyle="1">
    <w:name w:val="表格文字"/>
    <w:basedOn w:val="934"/>
    <w:link w:val="1128"/>
    <w:uiPriority w:val="0"/>
    <w:qFormat/>
    <w:pPr>
      <w:jc w:val="left"/>
      <w:spacing w:line="420" w:lineRule="atLeast"/>
    </w:pPr>
    <w:rPr>
      <w:rFonts w:ascii="Calibri" w:hAnsi="Calibri"/>
      <w:szCs w:val="22"/>
    </w:rPr>
  </w:style>
  <w:style w:type="paragraph" w:styleId="1100" w:customStyle="1">
    <w:name w:val="flNote"/>
    <w:basedOn w:val="934"/>
    <w:uiPriority w:val="0"/>
    <w:qFormat/>
    <w:pPr>
      <w:jc w:val="center"/>
      <w:spacing w:before="320" w:after="160" w:line="360" w:lineRule="atLeast"/>
    </w:pPr>
    <w:rPr>
      <w:rFonts w:ascii="Arial" w:hAnsi="Calibri" w:eastAsia="黑体"/>
      <w:sz w:val="30"/>
      <w:szCs w:val="22"/>
    </w:rPr>
  </w:style>
  <w:style w:type="paragraph" w:styleId="1101" w:customStyle="1">
    <w:name w:val="文章正文"/>
    <w:basedOn w:val="934"/>
    <w:uiPriority w:val="99"/>
    <w:qFormat/>
    <w:pPr>
      <w:ind w:firstLine="480"/>
      <w:spacing w:line="360" w:lineRule="auto"/>
    </w:pPr>
    <w:rPr>
      <w:rFonts w:ascii="仿宋_GB2312" w:hAnsi="宋体" w:eastAsia="仿宋_GB2312"/>
      <w:color w:val="ff0000"/>
      <w:sz w:val="24"/>
    </w:rPr>
  </w:style>
  <w:style w:type="paragraph" w:styleId="1102" w:customStyle="1">
    <w:name w:val="表格"/>
    <w:basedOn w:val="934"/>
    <w:uiPriority w:val="0"/>
    <w:qFormat/>
    <w:pPr>
      <w:jc w:val="center"/>
    </w:pPr>
    <w:rPr>
      <w:rFonts w:ascii="华文细黑" w:hAnsi="华文细黑"/>
      <w:szCs w:val="22"/>
    </w:rPr>
  </w:style>
  <w:style w:type="paragraph" w:styleId="1103" w:customStyle="1">
    <w:name w:val="Char"/>
    <w:basedOn w:val="934"/>
    <w:uiPriority w:val="0"/>
    <w:qFormat/>
    <w:pPr>
      <w:jc w:val="left"/>
      <w:spacing w:after="160" w:line="240" w:lineRule="exact"/>
      <w:widowControl/>
    </w:pPr>
    <w:rPr>
      <w:rFonts w:ascii="Verdana" w:hAnsi="Verdana"/>
      <w:sz w:val="20"/>
      <w:szCs w:val="20"/>
      <w:lang w:eastAsia="en-US"/>
    </w:rPr>
  </w:style>
  <w:style w:type="paragraph" w:styleId="1104" w:customStyle="1">
    <w:name w:val="列出段落2"/>
    <w:basedOn w:val="934"/>
    <w:uiPriority w:val="34"/>
    <w:qFormat/>
    <w:pPr>
      <w:ind w:firstLine="420"/>
    </w:pPr>
  </w:style>
  <w:style w:type="paragraph" w:styleId="1105" w:customStyle="1">
    <w:name w:val="6'"/>
    <w:basedOn w:val="934"/>
    <w:uiPriority w:val="0"/>
    <w:qFormat/>
    <w:pPr>
      <w:jc w:val="center"/>
      <w:spacing w:line="320" w:lineRule="exact"/>
    </w:pPr>
    <w:rPr>
      <w:rFonts w:ascii="Calibri" w:hAnsi="Calibri"/>
      <w:spacing w:val="20"/>
      <w:szCs w:val="22"/>
    </w:rPr>
  </w:style>
  <w:style w:type="paragraph" w:styleId="1106" w:customStyle="1">
    <w:name w:val="Char Char Char Char Char Char Char"/>
    <w:basedOn w:val="934"/>
    <w:uiPriority w:val="0"/>
    <w:qFormat/>
    <w:pPr>
      <w:spacing w:line="360" w:lineRule="auto"/>
    </w:pPr>
    <w:rPr>
      <w:sz w:val="24"/>
      <w:szCs w:val="20"/>
    </w:rPr>
  </w:style>
  <w:style w:type="paragraph" w:styleId="1107" w:customStyle="1">
    <w:name w:val="2方案格式2"/>
    <w:basedOn w:val="1088"/>
    <w:uiPriority w:val="0"/>
    <w:qFormat/>
    <w:pPr>
      <w:numPr>
        <w:ilvl w:val="1"/>
      </w:numPr>
      <w:spacing w:before="50" w:after="50" w:line="240" w:lineRule="auto"/>
      <w:outlineLvl w:val="1"/>
    </w:pPr>
    <w:rPr>
      <w:sz w:val="44"/>
    </w:rPr>
  </w:style>
  <w:style w:type="paragraph" w:styleId="1108" w:customStyle="1">
    <w:name w:val="文档正文"/>
    <w:basedOn w:val="934"/>
    <w:uiPriority w:val="0"/>
    <w:qFormat/>
    <w:pPr>
      <w:ind w:firstLine="567"/>
      <w:spacing w:line="480" w:lineRule="atLeast"/>
    </w:pPr>
    <w:rPr>
      <w:rFonts w:ascii="Ari" w:eastAsia="Ari"/>
      <w:sz w:val="28"/>
      <w:szCs w:val="20"/>
    </w:rPr>
  </w:style>
  <w:style w:type="paragraph" w:styleId="1109" w:customStyle="1">
    <w:name w:val="txt"/>
    <w:basedOn w:val="934"/>
    <w:uiPriority w:val="0"/>
    <w:qFormat/>
    <w:pPr>
      <w:jc w:val="left"/>
      <w:spacing w:before="100" w:beforeAutospacing="1" w:after="100" w:afterAutospacing="1"/>
      <w:widowControl/>
    </w:pPr>
    <w:rPr>
      <w:rFonts w:ascii="宋体" w:hAnsi="宋体" w:cs="宋体"/>
      <w:sz w:val="24"/>
    </w:rPr>
  </w:style>
  <w:style w:type="paragraph" w:styleId="1110" w:customStyle="1">
    <w:name w:val="目录 4_0"/>
    <w:basedOn w:val="1002"/>
    <w:next w:val="1002"/>
    <w:uiPriority w:val="39"/>
    <w:qFormat/>
    <w:pPr>
      <w:ind w:left="1260"/>
    </w:pPr>
    <w:rPr>
      <w:rFonts w:ascii="Calibri" w:hAnsi="Calibri"/>
    </w:rPr>
  </w:style>
  <w:style w:type="paragraph" w:styleId="1111" w:customStyle="1">
    <w:name w:val="目录 3_0"/>
    <w:basedOn w:val="1002"/>
    <w:next w:val="1002"/>
    <w:uiPriority w:val="39"/>
    <w:qFormat/>
    <w:pPr>
      <w:ind w:left="840"/>
    </w:pPr>
    <w:rPr>
      <w:rFonts w:ascii="Calibri" w:hAnsi="Calibri"/>
    </w:rPr>
  </w:style>
  <w:style w:type="paragraph" w:styleId="1112" w:customStyle="1">
    <w:name w:val="样式 标题 1 + 黑体 三号 非加粗 居中 段前: 6 磅 段后: 6 磅 行距: 固定值 20 磅"/>
    <w:basedOn w:val="935"/>
    <w:uiPriority w:val="0"/>
    <w:qFormat/>
    <w:pPr>
      <w:numPr>
        <w:numId w:val="0"/>
      </w:numPr>
      <w:spacing w:before="120" w:after="120" w:line="400" w:lineRule="exact"/>
    </w:pPr>
    <w:rPr>
      <w:rFonts w:ascii="黑体" w:hAnsi="黑体" w:eastAsia="黑体"/>
      <w:b w:val="0"/>
      <w:bCs w:val="0"/>
      <w:szCs w:val="20"/>
    </w:rPr>
  </w:style>
  <w:style w:type="paragraph" w:styleId="1113" w:customStyle="1">
    <w:name w:val="1"/>
    <w:basedOn w:val="934"/>
    <w:next w:val="934"/>
    <w:uiPriority w:val="0"/>
    <w:qFormat/>
    <w:rPr>
      <w:rFonts w:ascii="Calibri" w:hAnsi="Calibri"/>
      <w:szCs w:val="22"/>
    </w:rPr>
  </w:style>
  <w:style w:type="paragraph" w:styleId="1114" w:customStyle="1">
    <w:name w:val="Blockquote_0"/>
    <w:basedOn w:val="1002"/>
    <w:uiPriority w:val="0"/>
    <w:qFormat/>
    <w:pPr>
      <w:ind w:left="360" w:right="360"/>
      <w:jc w:val="left"/>
      <w:spacing w:before="100" w:after="100"/>
    </w:pPr>
    <w:rPr>
      <w:rFonts w:ascii="Calibri" w:hAnsi="Calibri" w:eastAsia="Times New Roman"/>
      <w:sz w:val="24"/>
      <w:szCs w:val="20"/>
    </w:rPr>
  </w:style>
  <w:style w:type="paragraph" w:styleId="1115" w:customStyle="1">
    <w:name w:val="列出段落11"/>
    <w:basedOn w:val="934"/>
    <w:uiPriority w:val="0"/>
    <w:qFormat/>
    <w:pPr>
      <w:contextualSpacing/>
      <w:ind w:left="720"/>
      <w:jc w:val="left"/>
      <w:widowControl/>
    </w:pPr>
    <w:rPr>
      <w:rFonts w:ascii="Arial" w:hAnsi="Arial" w:eastAsia="黑体"/>
      <w:sz w:val="24"/>
      <w:lang w:eastAsia="en-US"/>
    </w:rPr>
  </w:style>
  <w:style w:type="paragraph" w:styleId="1116" w:customStyle="1">
    <w:name w:val="样式 标题 2 + Times New Roman 四号 非加粗 段前: 5 磅 段后: 0 磅 行距: 固定值 20..._0"/>
    <w:basedOn w:val="934"/>
    <w:uiPriority w:val="0"/>
    <w:qFormat/>
    <w:pPr>
      <w:keepLines/>
      <w:keepNext/>
      <w:spacing w:before="100" w:line="360" w:lineRule="auto"/>
      <w:outlineLvl w:val="1"/>
    </w:pPr>
    <w:rPr>
      <w:rFonts w:eastAsia="Times New Roman" w:cs="宋体"/>
      <w:sz w:val="28"/>
      <w:szCs w:val="20"/>
    </w:rPr>
  </w:style>
  <w:style w:type="paragraph" w:styleId="1117" w:customStyle="1">
    <w:name w:val="op_mapdots_left"/>
    <w:basedOn w:val="934"/>
    <w:uiPriority w:val="0"/>
    <w:qFormat/>
    <w:pPr>
      <w:jc w:val="left"/>
      <w:spacing w:before="100" w:beforeAutospacing="1" w:after="100" w:afterAutospacing="1"/>
      <w:widowControl/>
    </w:pPr>
    <w:rPr>
      <w:rFonts w:ascii="宋体" w:hAnsi="宋体" w:cs="宋体"/>
      <w:sz w:val="24"/>
    </w:rPr>
  </w:style>
  <w:style w:type="paragraph" w:styleId="1118" w:customStyle="1">
    <w:name w:val="p0"/>
    <w:basedOn w:val="934"/>
    <w:uiPriority w:val="0"/>
    <w:qFormat/>
    <w:pPr>
      <w:widowControl/>
    </w:pPr>
    <w:rPr>
      <w:b/>
      <w:bCs/>
      <w:sz w:val="24"/>
    </w:rPr>
  </w:style>
  <w:style w:type="paragraph" w:styleId="1119" w:customStyle="1">
    <w:name w:val="Blockquote"/>
    <w:basedOn w:val="934"/>
    <w:uiPriority w:val="0"/>
    <w:qFormat/>
    <w:pPr>
      <w:ind w:left="360" w:right="360"/>
      <w:jc w:val="left"/>
      <w:spacing w:before="100" w:after="100"/>
    </w:pPr>
    <w:rPr>
      <w:rFonts w:ascii="Calibri" w:hAnsi="Calibri"/>
      <w:sz w:val="24"/>
      <w:szCs w:val="22"/>
    </w:rPr>
  </w:style>
  <w:style w:type="paragraph" w:styleId="1120" w:customStyle="1">
    <w:name w:val="3方案格式3"/>
    <w:basedOn w:val="1107"/>
    <w:uiPriority w:val="0"/>
    <w:qFormat/>
    <w:pPr>
      <w:numPr>
        <w:ilvl w:val="2"/>
      </w:numPr>
      <w:outlineLvl w:val="2"/>
    </w:pPr>
    <w:rPr>
      <w:sz w:val="32"/>
    </w:rPr>
  </w:style>
  <w:style w:type="paragraph" w:styleId="1121" w:customStyle="1">
    <w:name w:val="样式 标题 2 + Times New Roman 四号 非加粗 段前: 5 磅 段后: 0 磅 行距: 固定值 20..."/>
    <w:basedOn w:val="93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2" w:customStyle="1">
    <w:name w:val="标题2"/>
    <w:basedOn w:val="936"/>
    <w:next w:val="954"/>
    <w:uiPriority w:val="0"/>
    <w:qFormat/>
    <w:pPr>
      <w:spacing w:before="156" w:after="156" w:line="360" w:lineRule="auto"/>
    </w:pPr>
    <w:rPr>
      <w:bCs w:val="0"/>
      <w:sz w:val="24"/>
    </w:rPr>
  </w:style>
  <w:style w:type="paragraph" w:styleId="1123" w:customStyle="1">
    <w:name w:val="普通正文"/>
    <w:basedOn w:val="934"/>
    <w:uiPriority w:val="0"/>
    <w:qFormat/>
    <w:pPr>
      <w:ind w:firstLine="480"/>
      <w:jc w:val="left"/>
      <w:spacing w:before="120" w:after="120" w:line="360" w:lineRule="auto"/>
    </w:pPr>
    <w:rPr>
      <w:rFonts w:ascii="Arial" w:hAnsi="Arial"/>
      <w:sz w:val="24"/>
    </w:rPr>
  </w:style>
  <w:style w:type="paragraph" w:styleId="1124" w:customStyle="1">
    <w:name w:val="正文11"/>
    <w:uiPriority w:val="0"/>
    <w:qFormat/>
    <w:rPr>
      <w:rFonts w:ascii="Calibri" w:hAnsi="Calibri" w:eastAsia="宋体" w:cs="Calibri"/>
      <w:sz w:val="24"/>
      <w:szCs w:val="24"/>
      <w:lang w:val="en-US" w:eastAsia="zh-CN" w:bidi="ar-SA"/>
    </w:rPr>
  </w:style>
  <w:style w:type="paragraph" w:styleId="1125" w:customStyle="1">
    <w:name w:val="正文2"/>
    <w:uiPriority w:val="0"/>
    <w:qFormat/>
    <w:rPr>
      <w:rFonts w:ascii="Times New Roman" w:hAnsi="Times New Roman" w:eastAsia="微软雅黑" w:cs="Times New Roman"/>
      <w:sz w:val="24"/>
      <w:szCs w:val="24"/>
      <w:lang w:val="en-US" w:eastAsia="zh-CN" w:bidi="ar-SA"/>
    </w:rPr>
  </w:style>
  <w:style w:type="paragraph" w:styleId="1126" w:customStyle="1">
    <w:name w:val="列出段落3"/>
    <w:basedOn w:val="934"/>
    <w:uiPriority w:val="0"/>
    <w:qFormat/>
    <w:pPr>
      <w:ind w:firstLine="420"/>
      <w:jc w:val="left"/>
      <w:spacing w:after="200"/>
      <w:widowControl/>
    </w:pPr>
    <w:rPr>
      <w:rFonts w:ascii="Tahoma" w:hAnsi="Tahoma" w:eastAsia="微软雅黑"/>
      <w:sz w:val="22"/>
      <w:szCs w:val="22"/>
    </w:rPr>
  </w:style>
  <w:style w:type="paragraph" w:styleId="1127" w:customStyle="1">
    <w:name w:val="纯文本2"/>
    <w:basedOn w:val="934"/>
    <w:uiPriority w:val="0"/>
    <w:qFormat/>
    <w:pPr>
      <w:jc w:val="left"/>
    </w:pPr>
    <w:rPr>
      <w:rFonts w:hint="eastAsia" w:ascii="宋体" w:hAnsi="宋体" w:cs="Courier New"/>
      <w:sz w:val="24"/>
      <w:szCs w:val="20"/>
      <w:lang w:bidi="hi-IN"/>
    </w:rPr>
  </w:style>
  <w:style w:type="character" w:styleId="1128" w:customStyle="1">
    <w:name w:val="表格文字 字符"/>
    <w:link w:val="1099"/>
    <w:uiPriority w:val="0"/>
    <w:qFormat/>
    <w:rPr>
      <w:rFonts w:ascii="Calibri" w:hAnsi="Calibri" w:eastAsia="宋体" w:cs="Times New Roman"/>
      <w:sz w:val="21"/>
      <w:szCs w:val="22"/>
    </w:rPr>
  </w:style>
  <w:style w:type="paragraph" w:styleId="1129" w:customStyle="1">
    <w:name w:val="trs_editor"/>
    <w:basedOn w:val="934"/>
    <w:uiPriority w:val="0"/>
    <w:qFormat/>
    <w:pPr>
      <w:jc w:val="left"/>
      <w:spacing w:before="100" w:beforeAutospacing="1" w:after="100" w:afterAutospacing="1"/>
      <w:widowControl/>
    </w:pPr>
    <w:rPr>
      <w:rFonts w:ascii="宋体" w:hAnsi="宋体" w:cs="宋体"/>
      <w:sz w:val="24"/>
    </w:rPr>
  </w:style>
  <w:style w:type="character" w:styleId="1130" w:customStyle="1">
    <w:name w:val="未处理的提及1"/>
    <w:basedOn w:val="944"/>
    <w:uiPriority w:val="99"/>
    <w:semiHidden/>
    <w:unhideWhenUsed/>
    <w:qFormat/>
    <w:rPr>
      <w:color w:val="605e5c"/>
      <w:shd w:val="clear" w:color="auto" w:fill="e1dfdd"/>
    </w:rPr>
  </w:style>
  <w:style w:type="paragraph" w:styleId="1131" w:customStyle="1">
    <w:name w:val="_Style 3"/>
    <w:basedOn w:val="934"/>
    <w:uiPriority w:val="99"/>
    <w:qFormat/>
    <w:pPr>
      <w:ind w:firstLine="420"/>
    </w:pPr>
    <w:rPr>
      <w:szCs w:val="22"/>
    </w:rPr>
  </w:style>
  <w:style w:type="table" w:styleId="1132" w:customStyle="1">
    <w:name w:val="网格型1"/>
    <w:basedOn w:val="94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3" w:customStyle="1">
    <w:name w:val="批注文字 字符1"/>
    <w:uiPriority w:val="99"/>
    <w:qFormat/>
    <w:rPr>
      <w:sz w:val="24"/>
      <w:szCs w:val="22"/>
    </w:rPr>
  </w:style>
  <w:style w:type="character" w:styleId="1134" w:customStyle="1">
    <w:name w:val="f141"/>
    <w:uiPriority w:val="0"/>
    <w:qFormat/>
    <w:rPr>
      <w:sz w:val="21"/>
      <w:szCs w:val="21"/>
    </w:rPr>
  </w:style>
  <w:style w:type="character" w:styleId="1135" w:customStyle="1">
    <w:name w:val="p141"/>
    <w:uiPriority w:val="0"/>
    <w:qFormat/>
    <w:rPr>
      <w:sz w:val="21"/>
      <w:szCs w:val="21"/>
    </w:rPr>
  </w:style>
  <w:style w:type="character" w:styleId="1136" w:customStyle="1">
    <w:name w:val="s10pv000000"/>
    <w:basedOn w:val="944"/>
    <w:uiPriority w:val="0"/>
    <w:qFormat/>
  </w:style>
  <w:style w:type="paragraph" w:styleId="1137" w:customStyle="1">
    <w:name w:val="样式 标题 4 + 段前: 5 磅 段后: 5 磅 行距: 单倍行距"/>
    <w:basedOn w:val="938"/>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38" w:customStyle="1">
    <w:name w:val="基准标题"/>
    <w:basedOn w:val="954"/>
    <w:next w:val="954"/>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139" w:customStyle="1">
    <w:name w:val="font6"/>
    <w:basedOn w:val="934"/>
    <w:uiPriority w:val="0"/>
    <w:qFormat/>
    <w:pPr>
      <w:jc w:val="left"/>
      <w:spacing w:before="100" w:beforeAutospacing="1" w:after="100" w:afterAutospacing="1"/>
      <w:widowControl/>
    </w:pPr>
    <w:rPr>
      <w:rFonts w:hint="eastAsia" w:ascii="宋体" w:hAnsi="宋体"/>
      <w:sz w:val="24"/>
    </w:rPr>
  </w:style>
  <w:style w:type="paragraph" w:styleId="1140" w:customStyle="1">
    <w:name w:val="样式4"/>
    <w:basedOn w:val="934"/>
    <w:uiPriority w:val="0"/>
    <w:qFormat/>
    <w:pPr>
      <w:ind w:left="2328" w:hanging="708"/>
      <w:tabs>
        <w:tab w:val="left" w:pos="2328" w:leader="none"/>
      </w:tabs>
    </w:pPr>
  </w:style>
  <w:style w:type="paragraph" w:styleId="1141" w:customStyle="1">
    <w:name w:val="font5"/>
    <w:basedOn w:val="934"/>
    <w:uiPriority w:val="0"/>
    <w:qFormat/>
    <w:pPr>
      <w:jc w:val="left"/>
      <w:spacing w:before="100" w:beforeAutospacing="1" w:after="100" w:afterAutospacing="1"/>
      <w:widowControl/>
    </w:pPr>
    <w:rPr>
      <w:rFonts w:hint="eastAsia" w:ascii="宋体" w:hAnsi="宋体"/>
      <w:sz w:val="18"/>
      <w:szCs w:val="18"/>
    </w:rPr>
  </w:style>
  <w:style w:type="paragraph" w:styleId="1142" w:customStyle="1">
    <w:name w:val="3 Char"/>
    <w:basedOn w:val="934"/>
    <w:uiPriority w:val="0"/>
    <w:qFormat/>
    <w:pPr>
      <w:jc w:val="center"/>
      <w:spacing w:line="400" w:lineRule="exact"/>
      <w:widowControl/>
    </w:pPr>
    <w:rPr>
      <w:rFonts w:ascii="Verdana" w:hAnsi="Verdana"/>
      <w:szCs w:val="20"/>
      <w:lang w:eastAsia="en-US"/>
    </w:rPr>
  </w:style>
  <w:style w:type="paragraph" w:styleId="1143" w:customStyle="1">
    <w:name w:val="样式 标题 2 + 宋体 五号 非加粗 黑色"/>
    <w:basedOn w:val="936"/>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44" w:customStyle="1">
    <w:name w:val="xl29"/>
    <w:basedOn w:val="934"/>
    <w:uiPriority w:val="0"/>
    <w:qFormat/>
    <w:pPr>
      <w:jc w:val="center"/>
      <w:spacing w:before="100" w:beforeAutospacing="1" w:after="100" w:afterAutospacing="1"/>
      <w:widowControl/>
    </w:pPr>
    <w:rPr>
      <w:rFonts w:ascii="宋体" w:hAnsi="宋体"/>
      <w:sz w:val="28"/>
      <w:szCs w:val="28"/>
    </w:rPr>
  </w:style>
  <w:style w:type="paragraph" w:styleId="1145" w:customStyle="1">
    <w:name w:val="图"/>
    <w:basedOn w:val="934"/>
    <w:uiPriority w:val="0"/>
    <w:qFormat/>
    <w:pPr>
      <w:jc w:val="center"/>
      <w:keepNext/>
      <w:spacing w:before="60" w:after="60" w:line="300" w:lineRule="auto"/>
    </w:pPr>
    <w:rPr>
      <w:spacing w:val="20"/>
      <w:sz w:val="24"/>
      <w:szCs w:val="20"/>
    </w:rPr>
  </w:style>
  <w:style w:type="paragraph" w:styleId="1146" w:customStyle="1">
    <w:name w:val="设计方案"/>
    <w:basedOn w:val="934"/>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47" w:customStyle="1">
    <w:name w:val="xl24"/>
    <w:basedOn w:val="9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48" w:customStyle="1">
    <w:name w:val="样式1"/>
    <w:basedOn w:val="934"/>
    <w:uiPriority w:val="0"/>
    <w:qFormat/>
    <w:pPr>
      <w:ind w:left="425" w:hanging="425"/>
      <w:tabs>
        <w:tab w:val="left" w:pos="425" w:leader="none"/>
        <w:tab w:val="left" w:pos="709" w:leader="none"/>
      </w:tabs>
    </w:pPr>
    <w:rPr>
      <w:rFonts w:ascii="宋体" w:hAnsi="宋体"/>
      <w:szCs w:val="20"/>
    </w:rPr>
  </w:style>
  <w:style w:type="paragraph" w:styleId="1149" w:customStyle="1">
    <w:name w:val="head"/>
    <w:basedOn w:val="934"/>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50" w:customStyle="1">
    <w:name w:val="默认段落字体 Para Char Char Char Char"/>
    <w:basedOn w:val="934"/>
    <w:uiPriority w:val="0"/>
    <w:qFormat/>
    <w:rPr>
      <w:szCs w:val="20"/>
    </w:rPr>
  </w:style>
  <w:style w:type="paragraph" w:styleId="1151" w:customStyle="1">
    <w:name w:val="Char Char Char Char"/>
    <w:basedOn w:val="934"/>
    <w:uiPriority w:val="0"/>
    <w:qFormat/>
    <w:pPr>
      <w:jc w:val="left"/>
      <w:spacing w:after="160" w:line="240" w:lineRule="exact"/>
      <w:widowControl/>
    </w:pPr>
    <w:rPr>
      <w:rFonts w:ascii="Verdana" w:hAnsi="Verdana" w:eastAsia="仿宋_GB2312"/>
      <w:sz w:val="24"/>
      <w:szCs w:val="20"/>
      <w:lang w:eastAsia="en-US"/>
    </w:rPr>
  </w:style>
  <w:style w:type="paragraph" w:styleId="1152" w:customStyle="1">
    <w:name w:val="font0"/>
    <w:basedOn w:val="934"/>
    <w:uiPriority w:val="0"/>
    <w:qFormat/>
    <w:pPr>
      <w:jc w:val="left"/>
      <w:spacing w:before="100" w:beforeAutospacing="1" w:after="100" w:afterAutospacing="1"/>
      <w:widowControl/>
    </w:pPr>
    <w:rPr>
      <w:rFonts w:hint="eastAsia" w:ascii="宋体" w:hAnsi="宋体"/>
      <w:sz w:val="24"/>
    </w:rPr>
  </w:style>
  <w:style w:type="paragraph" w:styleId="1153" w:customStyle="1">
    <w:name w:val="样式 标题 3h3H3sect1.2.3 + 五号 段前: 6 磅 段后: 6 磅 行距: 单倍行距"/>
    <w:basedOn w:val="937"/>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54" w:customStyle="1">
    <w:name w:val="纯文本 Char1"/>
    <w:basedOn w:val="944"/>
    <w:uiPriority w:val="0"/>
    <w:qFormat/>
    <w:rPr>
      <w:rFonts w:ascii="宋体" w:hAnsi="Courier New" w:eastAsia="宋体" w:cs="Courier New"/>
      <w:szCs w:val="21"/>
    </w:rPr>
  </w:style>
  <w:style w:type="character" w:styleId="1155" w:customStyle="1">
    <w:name w:val="HTML 预设格式 字符"/>
    <w:basedOn w:val="944"/>
    <w:link w:val="976"/>
    <w:uiPriority w:val="99"/>
    <w:qFormat/>
    <w:rPr>
      <w:rFonts w:ascii="宋体" w:hAnsi="宋体"/>
      <w:sz w:val="24"/>
      <w:szCs w:val="24"/>
    </w:rPr>
  </w:style>
  <w:style w:type="paragraph" w:styleId="1156" w:customStyle="1">
    <w:name w:val="Char1 Char Char Char"/>
    <w:basedOn w:val="934"/>
    <w:uiPriority w:val="0"/>
    <w:qFormat/>
    <w:rPr>
      <w:szCs w:val="20"/>
    </w:rPr>
  </w:style>
  <w:style w:type="paragraph" w:styleId="1157" w:customStyle="1">
    <w:name w:val="Char1"/>
    <w:basedOn w:val="934"/>
    <w:uiPriority w:val="0"/>
    <w:qFormat/>
    <w:pPr>
      <w:jc w:val="left"/>
      <w:spacing w:after="160" w:line="240" w:lineRule="exact"/>
      <w:widowControl/>
    </w:pPr>
    <w:rPr>
      <w:sz w:val="24"/>
    </w:rPr>
  </w:style>
  <w:style w:type="paragraph" w:styleId="1158" w:customStyle="1">
    <w:name w:val="默认段落字体 Para Char"/>
    <w:basedOn w:val="934"/>
    <w:uiPriority w:val="0"/>
    <w:qFormat/>
  </w:style>
  <w:style w:type="paragraph" w:styleId="1159" w:customStyle="1">
    <w:name w:val="Char1 Char Char Char Char Char Char Char Char Char"/>
    <w:basedOn w:val="934"/>
    <w:uiPriority w:val="0"/>
    <w:qFormat/>
    <w:pPr>
      <w:jc w:val="center"/>
      <w:spacing w:line="400" w:lineRule="exact"/>
      <w:widowControl/>
    </w:pPr>
    <w:rPr>
      <w:rFonts w:ascii="Verdana" w:hAnsi="Verdana"/>
      <w:szCs w:val="20"/>
      <w:lang w:eastAsia="en-US"/>
    </w:rPr>
  </w:style>
  <w:style w:type="paragraph" w:styleId="1160" w:customStyle="1">
    <w:name w:val="普通(网站)1"/>
    <w:basedOn w:val="934"/>
    <w:uiPriority w:val="0"/>
    <w:qFormat/>
    <w:pPr>
      <w:jc w:val="left"/>
      <w:spacing w:before="100" w:beforeAutospacing="1" w:after="100" w:afterAutospacing="1"/>
      <w:widowControl/>
    </w:pPr>
    <w:rPr>
      <w:rFonts w:ascii="宋体" w:hAnsi="宋体"/>
      <w:sz w:val="24"/>
    </w:rPr>
  </w:style>
  <w:style w:type="paragraph" w:styleId="1161" w:customStyle="1">
    <w:name w:val="Char Char2 Char"/>
    <w:basedOn w:val="934"/>
    <w:uiPriority w:val="0"/>
    <w:qFormat/>
    <w:rPr>
      <w:rFonts w:ascii="宋体" w:hAnsi="宋体"/>
      <w:b/>
      <w:sz w:val="28"/>
      <w:szCs w:val="28"/>
    </w:rPr>
  </w:style>
  <w:style w:type="character" w:styleId="1162" w:customStyle="1">
    <w:name w:val="正文缩进 字符"/>
    <w:link w:val="949"/>
    <w:uiPriority w:val="0"/>
    <w:qFormat/>
    <w:rPr>
      <w:b/>
      <w:sz w:val="24"/>
    </w:rPr>
  </w:style>
  <w:style w:type="paragraph" w:styleId="1163" w:customStyle="1">
    <w:name w:val="Char Char Char"/>
    <w:basedOn w:val="934"/>
    <w:uiPriority w:val="0"/>
    <w:qFormat/>
    <w:rPr>
      <w:rFonts w:ascii="宋体" w:hAnsi="宋体"/>
      <w:b/>
      <w:sz w:val="28"/>
      <w:szCs w:val="28"/>
    </w:rPr>
  </w:style>
  <w:style w:type="paragraph" w:styleId="1164" w:customStyle="1">
    <w:name w:val="Char2"/>
    <w:basedOn w:val="934"/>
    <w:uiPriority w:val="0"/>
    <w:qFormat/>
    <w:pPr>
      <w:jc w:val="left"/>
      <w:spacing w:after="160" w:line="240" w:lineRule="exact"/>
      <w:widowControl/>
    </w:pPr>
    <w:rPr>
      <w:szCs w:val="20"/>
    </w:rPr>
  </w:style>
  <w:style w:type="paragraph" w:styleId="1165" w:customStyle="1">
    <w:name w:val="a"/>
    <w:basedOn w:val="934"/>
    <w:uiPriority w:val="0"/>
    <w:qFormat/>
    <w:pPr>
      <w:jc w:val="left"/>
      <w:spacing w:before="100" w:beforeAutospacing="1" w:after="100" w:afterAutospacing="1"/>
      <w:widowControl/>
    </w:pPr>
    <w:rPr>
      <w:rFonts w:ascii="宋体" w:hAnsi="宋体" w:cs="宋体"/>
      <w:sz w:val="24"/>
    </w:rPr>
  </w:style>
  <w:style w:type="character" w:styleId="1166" w:customStyle="1">
    <w:name w:val="description5"/>
    <w:basedOn w:val="944"/>
    <w:uiPriority w:val="0"/>
    <w:qFormat/>
  </w:style>
  <w:style w:type="character" w:styleId="1167">
    <w:name w:val="Placeholder Text"/>
    <w:uiPriority w:val="99"/>
    <w:semiHidden/>
    <w:qFormat/>
    <w:rPr>
      <w:color w:val="808080"/>
    </w:rPr>
  </w:style>
  <w:style w:type="paragraph" w:styleId="1168" w:customStyle="1">
    <w:name w:val="Table Paragraph"/>
    <w:basedOn w:val="934"/>
    <w:uiPriority w:val="1"/>
    <w:qFormat/>
    <w:pPr>
      <w:jc w:val="left"/>
    </w:pPr>
    <w:rPr>
      <w:sz w:val="24"/>
    </w:rPr>
  </w:style>
  <w:style w:type="character" w:styleId="1169" w:customStyle="1">
    <w:name w:val="Char Char7"/>
    <w:uiPriority w:val="0"/>
    <w:qFormat/>
    <w:rPr>
      <w:rFonts w:ascii="Tahoma" w:hAnsi="Tahoma" w:eastAsia="微软雅黑"/>
      <w:b/>
      <w:bCs/>
      <w:sz w:val="32"/>
      <w:szCs w:val="32"/>
      <w:lang w:val="en-US" w:eastAsia="zh-CN" w:bidi="ar-SA"/>
    </w:rPr>
  </w:style>
  <w:style w:type="character" w:styleId="1170" w:customStyle="1">
    <w:name w:val="font01"/>
    <w:uiPriority w:val="0"/>
    <w:qFormat/>
    <w:rPr>
      <w:rFonts w:hint="eastAsia" w:ascii="宋体" w:hAnsi="宋体" w:eastAsia="宋体" w:cs="宋体"/>
      <w:color w:val="000000"/>
      <w:sz w:val="20"/>
      <w:szCs w:val="20"/>
      <w:u w:val="none"/>
    </w:rPr>
  </w:style>
  <w:style w:type="character" w:styleId="1171" w:customStyle="1">
    <w:name w:val="font81"/>
    <w:uiPriority w:val="0"/>
    <w:qFormat/>
    <w:rPr>
      <w:rFonts w:hint="eastAsia" w:ascii="宋体" w:hAnsi="宋体" w:eastAsia="宋体" w:cs="宋体"/>
      <w:color w:val="000000"/>
      <w:sz w:val="22"/>
      <w:szCs w:val="22"/>
      <w:u w:val="none"/>
    </w:rPr>
  </w:style>
  <w:style w:type="character" w:styleId="1172" w:customStyle="1">
    <w:name w:val="font71"/>
    <w:uiPriority w:val="0"/>
    <w:qFormat/>
    <w:rPr>
      <w:rFonts w:hint="eastAsia" w:ascii="宋体" w:hAnsi="宋体" w:eastAsia="宋体" w:cs="宋体"/>
      <w:color w:val="000000"/>
      <w:sz w:val="22"/>
      <w:szCs w:val="22"/>
      <w:u w:val="none"/>
    </w:rPr>
  </w:style>
  <w:style w:type="character" w:styleId="1173" w:customStyle="1">
    <w:name w:val="font51"/>
    <w:uiPriority w:val="0"/>
    <w:qFormat/>
    <w:rPr>
      <w:rFonts w:hint="default" w:ascii="Calibri" w:hAnsi="Calibri" w:cs="Calibri"/>
      <w:color w:val="000000"/>
      <w:sz w:val="22"/>
      <w:szCs w:val="22"/>
      <w:u w:val="none"/>
    </w:rPr>
  </w:style>
  <w:style w:type="character" w:styleId="1174" w:customStyle="1">
    <w:name w:val="font61"/>
    <w:uiPriority w:val="0"/>
    <w:qFormat/>
    <w:rPr>
      <w:rFonts w:hint="default" w:ascii="Calibri" w:hAnsi="Calibri" w:cs="Calibri"/>
      <w:color w:val="000000"/>
      <w:sz w:val="22"/>
      <w:szCs w:val="22"/>
      <w:u w:val="none"/>
    </w:rPr>
  </w:style>
  <w:style w:type="character" w:styleId="1175" w:customStyle="1">
    <w:name w:val="font41"/>
    <w:uiPriority w:val="0"/>
    <w:qFormat/>
    <w:rPr>
      <w:rFonts w:hint="eastAsia" w:ascii="宋体" w:hAnsi="宋体" w:eastAsia="宋体" w:cs="宋体"/>
      <w:color w:val="000000"/>
      <w:sz w:val="22"/>
      <w:szCs w:val="22"/>
      <w:u w:val="none"/>
    </w:rPr>
  </w:style>
  <w:style w:type="character" w:styleId="1176" w:customStyle="1">
    <w:name w:val="未处理的提及2"/>
    <w:basedOn w:val="944"/>
    <w:uiPriority w:val="99"/>
    <w:semiHidden/>
    <w:unhideWhenUsed/>
    <w:qFormat/>
    <w:rPr>
      <w:color w:val="605e5c"/>
      <w:shd w:val="clear" w:color="auto" w:fill="e1dfdd"/>
    </w:rPr>
  </w:style>
  <w:style w:type="character" w:styleId="1177" w:customStyle="1">
    <w:name w:val="未处理的提及3"/>
    <w:basedOn w:val="944"/>
    <w:uiPriority w:val="99"/>
    <w:semiHidden/>
    <w:unhideWhenUsed/>
    <w:qFormat/>
    <w:rPr>
      <w:color w:val="605e5c"/>
      <w:shd w:val="clear" w:color="auto" w:fill="e1dfdd"/>
    </w:rPr>
  </w:style>
  <w:style w:type="paragraph" w:styleId="1178" w:customStyle="1">
    <w:name w:val="_Style 234"/>
    <w:basedOn w:val="934"/>
    <w:next w:val="997"/>
    <w:uiPriority w:val="34"/>
    <w:qFormat/>
    <w:pPr>
      <w:ind w:left="420" w:firstLine="420"/>
      <w:spacing w:line="400" w:lineRule="exact"/>
    </w:pPr>
    <w:rPr>
      <w:rFonts w:ascii="Calibri" w:hAnsi="Calibri"/>
    </w:rPr>
  </w:style>
  <w:style w:type="character" w:styleId="1179" w:customStyle="1">
    <w:name w:val="列表段落 字符"/>
    <w:link w:val="997"/>
    <w:uiPriority w:val="99"/>
    <w:qFormat/>
    <w:rPr>
      <w:sz w:val="21"/>
      <w:szCs w:val="24"/>
    </w:rPr>
  </w:style>
  <w:style w:type="character" w:styleId="1180" w:customStyle="1">
    <w:name w:val="彩色列表 - 强调文字颜色 1字符"/>
    <w:uiPriority w:val="34"/>
    <w:qFormat/>
    <w:rPr>
      <w:rFonts w:ascii="Calibri" w:hAnsi="Calibri"/>
      <w:sz w:val="21"/>
      <w:szCs w:val="24"/>
    </w:rPr>
  </w:style>
  <w:style w:type="character" w:styleId="1181" w:customStyle="1">
    <w:name w:val="批注主题 字符1"/>
    <w:basedOn w:val="1133"/>
    <w:uiPriority w:val="99"/>
    <w:semiHidden/>
    <w:qFormat/>
    <w:rPr>
      <w:rFonts w:ascii="Calibri" w:hAnsi="Calibri" w:eastAsia="宋体" w:cs="Times New Roman"/>
      <w:b/>
      <w:bCs/>
      <w:sz w:val="24"/>
      <w:szCs w:val="24"/>
    </w:rPr>
  </w:style>
  <w:style w:type="character" w:styleId="1182" w:customStyle="1">
    <w:name w:val="正文文本缩进 2 字符1"/>
    <w:basedOn w:val="944"/>
    <w:uiPriority w:val="99"/>
    <w:semiHidden/>
    <w:qFormat/>
    <w:rPr>
      <w:rFonts w:ascii="Calibri" w:hAnsi="Calibri" w:eastAsia="宋体" w:cs="Times New Roman"/>
      <w:szCs w:val="24"/>
    </w:rPr>
  </w:style>
  <w:style w:type="character" w:styleId="1183" w:customStyle="1">
    <w:name w:val="标题 字符1"/>
    <w:basedOn w:val="944"/>
    <w:uiPriority w:val="10"/>
    <w:qFormat/>
    <w:rPr>
      <w:rFonts w:asciiTheme="majorHAnsi" w:hAnsiTheme="majorHAnsi" w:eastAsiaTheme="majorEastAsia" w:cstheme="majorBidi"/>
      <w:b/>
      <w:bCs/>
      <w:sz w:val="32"/>
      <w:szCs w:val="32"/>
    </w:rPr>
  </w:style>
  <w:style w:type="character" w:styleId="1184" w:customStyle="1">
    <w:name w:val="正文文本缩进 字符1"/>
    <w:basedOn w:val="944"/>
    <w:uiPriority w:val="99"/>
    <w:semiHidden/>
    <w:qFormat/>
    <w:rPr>
      <w:rFonts w:ascii="Calibri" w:hAnsi="Calibri" w:eastAsia="宋体" w:cs="Times New Roman"/>
      <w:szCs w:val="24"/>
    </w:rPr>
  </w:style>
  <w:style w:type="character" w:styleId="1185" w:customStyle="1">
    <w:name w:val="副标题 字符1"/>
    <w:basedOn w:val="944"/>
    <w:uiPriority w:val="11"/>
    <w:qFormat/>
    <w:rPr>
      <w:b/>
      <w:bCs/>
      <w:sz w:val="32"/>
      <w:szCs w:val="32"/>
    </w:rPr>
  </w:style>
  <w:style w:type="character" w:styleId="1186" w:customStyle="1">
    <w:name w:val="日期 字符1"/>
    <w:basedOn w:val="944"/>
    <w:uiPriority w:val="99"/>
    <w:semiHidden/>
    <w:qFormat/>
    <w:rPr>
      <w:rFonts w:ascii="Calibri" w:hAnsi="Calibri" w:eastAsia="宋体" w:cs="Times New Roman"/>
      <w:szCs w:val="24"/>
    </w:rPr>
  </w:style>
  <w:style w:type="paragraph" w:styleId="1187" w:customStyle="1">
    <w:name w:val="修订2"/>
    <w:uiPriority w:val="99"/>
    <w:unhideWhenUsed/>
    <w:qFormat/>
    <w:rPr>
      <w:rFonts w:ascii="Calibri" w:hAnsi="Calibri" w:eastAsia="宋体" w:cs="Times New Roman"/>
      <w:sz w:val="21"/>
      <w:szCs w:val="24"/>
      <w:lang w:val="en-US" w:eastAsia="zh-CN" w:bidi="ar-SA"/>
    </w:rPr>
  </w:style>
  <w:style w:type="character" w:styleId="1188" w:customStyle="1">
    <w:name w:val="正文文本 字符1"/>
    <w:basedOn w:val="944"/>
    <w:uiPriority w:val="99"/>
    <w:semiHidden/>
    <w:qFormat/>
    <w:rPr>
      <w:rFonts w:ascii="Calibri" w:hAnsi="Calibri" w:eastAsia="宋体" w:cs="Times New Roman"/>
      <w:szCs w:val="24"/>
    </w:rPr>
  </w:style>
  <w:style w:type="character" w:styleId="1189" w:customStyle="1">
    <w:name w:val="批注框文本 字符1"/>
    <w:basedOn w:val="944"/>
    <w:uiPriority w:val="99"/>
    <w:semiHidden/>
    <w:qFormat/>
    <w:rPr>
      <w:rFonts w:ascii="Calibri" w:hAnsi="Calibri" w:eastAsia="宋体" w:cs="Times New Roman"/>
      <w:sz w:val="18"/>
      <w:szCs w:val="18"/>
    </w:rPr>
  </w:style>
  <w:style w:type="paragraph" w:styleId="1190" w:customStyle="1">
    <w:name w:val="小四 段落 宋体 Char Char Char"/>
    <w:basedOn w:val="948"/>
    <w:uiPriority w:val="0"/>
    <w:qFormat/>
    <w:pPr>
      <w:numPr>
        <w:ilvl w:val="0"/>
        <w:numId w:val="0"/>
      </w:numPr>
      <w:ind w:right="-33" w:firstLine="480"/>
      <w:jc w:val="left"/>
      <w:spacing w:line="360" w:lineRule="auto"/>
    </w:pPr>
    <w:rPr>
      <w:rFonts w:ascii="Times New Roman" w:hAnsi="Times New Roman"/>
      <w:sz w:val="24"/>
      <w:szCs w:val="20"/>
    </w:rPr>
  </w:style>
  <w:style w:type="character" w:styleId="1191" w:customStyle="1">
    <w:name w:val="纯文本 字符1"/>
    <w:basedOn w:val="944"/>
    <w:uiPriority w:val="99"/>
    <w:semiHidden/>
    <w:qFormat/>
    <w:rPr>
      <w:rFonts w:hAnsi="Courier New" w:cs="Courier New" w:asciiTheme="minorEastAsia"/>
      <w:szCs w:val="24"/>
    </w:rPr>
  </w:style>
  <w:style w:type="character" w:styleId="1192" w:customStyle="1">
    <w:name w:val="文档结构图 字符1"/>
    <w:basedOn w:val="944"/>
    <w:uiPriority w:val="99"/>
    <w:semiHidden/>
    <w:qFormat/>
    <w:rPr>
      <w:rFonts w:ascii="Microsoft YaHei UI" w:hAnsi="Calibri" w:eastAsia="Microsoft YaHei UI" w:cs="Times New Roman"/>
      <w:sz w:val="18"/>
      <w:szCs w:val="18"/>
    </w:rPr>
  </w:style>
  <w:style w:type="character" w:styleId="1193" w:customStyle="1">
    <w:name w:val="正文文本 3 字符1"/>
    <w:basedOn w:val="944"/>
    <w:uiPriority w:val="99"/>
    <w:semiHidden/>
    <w:qFormat/>
    <w:rPr>
      <w:rFonts w:ascii="Calibri" w:hAnsi="Calibri" w:eastAsia="宋体" w:cs="Times New Roman"/>
      <w:sz w:val="16"/>
      <w:szCs w:val="16"/>
    </w:rPr>
  </w:style>
  <w:style w:type="paragraph" w:styleId="1194" w:customStyle="1">
    <w:name w:val="_Style 106"/>
    <w:basedOn w:val="934"/>
    <w:next w:val="997"/>
    <w:uiPriority w:val="34"/>
    <w:qFormat/>
    <w:pPr>
      <w:ind w:left="420" w:firstLine="420"/>
      <w:spacing w:line="400" w:lineRule="exact"/>
    </w:pPr>
    <w:rPr>
      <w:rFonts w:ascii="Calibri" w:hAnsi="Calibri"/>
    </w:rPr>
  </w:style>
  <w:style w:type="character" w:styleId="1195" w:customStyle="1">
    <w:name w:val="正文文本缩进 3 字符1"/>
    <w:basedOn w:val="944"/>
    <w:uiPriority w:val="99"/>
    <w:semiHidden/>
    <w:qFormat/>
    <w:rPr>
      <w:rFonts w:ascii="Calibri" w:hAnsi="Calibri" w:eastAsia="宋体" w:cs="Times New Roman"/>
      <w:sz w:val="16"/>
      <w:szCs w:val="16"/>
    </w:rPr>
  </w:style>
  <w:style w:type="character" w:styleId="1196" w:customStyle="1">
    <w:name w:val="未处理的提及4"/>
    <w:basedOn w:val="944"/>
    <w:uiPriority w:val="99"/>
    <w:semiHidden/>
    <w:unhideWhenUsed/>
    <w:qFormat/>
    <w:rPr>
      <w:color w:val="605e5c"/>
      <w:shd w:val="clear" w:color="auto" w:fill="e1dfdd"/>
    </w:rPr>
  </w:style>
  <w:style w:type="character" w:styleId="1197" w:customStyle="1">
    <w:name w:val="未处理的提及5"/>
    <w:basedOn w:val="944"/>
    <w:uiPriority w:val="99"/>
    <w:semiHidden/>
    <w:unhideWhenUsed/>
    <w:qFormat/>
    <w:rPr>
      <w:color w:val="605e5c"/>
      <w:shd w:val="clear" w:color="auto" w:fill="e1dfdd"/>
    </w:rPr>
  </w:style>
  <w:style w:type="character" w:styleId="1198" w:customStyle="1">
    <w:name w:val="未处理的提及6"/>
    <w:basedOn w:val="944"/>
    <w:uiPriority w:val="99"/>
    <w:semiHidden/>
    <w:unhideWhenUsed/>
    <w:qFormat/>
    <w:rPr>
      <w:color w:val="605e5c"/>
      <w:shd w:val="clear" w:color="auto" w:fill="e1dfdd"/>
    </w:rPr>
  </w:style>
  <w:style w:type="character" w:styleId="1199" w:customStyle="1">
    <w:name w:val="font101"/>
    <w:uiPriority w:val="0"/>
    <w:qFormat/>
    <w:rPr>
      <w:rFonts w:ascii="PingFangTC-light" w:hAnsi="PingFangTC-light" w:eastAsia="PingFangTC-light" w:cs="PingFangTC-light"/>
      <w:color w:val="ff0000"/>
      <w:sz w:val="22"/>
      <w:szCs w:val="22"/>
      <w:u w:val="none"/>
    </w:rPr>
  </w:style>
  <w:style w:type="character" w:styleId="1200" w:customStyle="1">
    <w:name w:val="font112"/>
    <w:uiPriority w:val="0"/>
    <w:qFormat/>
    <w:rPr>
      <w:rFonts w:ascii="Calibri" w:hAnsi="Calibri" w:cs="Calibri"/>
      <w:color w:val="ff0000"/>
      <w:sz w:val="21"/>
      <w:szCs w:val="21"/>
      <w:u w:val="none"/>
    </w:rPr>
  </w:style>
  <w:style w:type="character" w:styleId="1201" w:customStyle="1">
    <w:name w:val="font121"/>
    <w:uiPriority w:val="0"/>
    <w:qFormat/>
    <w:rPr>
      <w:rFonts w:hint="eastAsia" w:ascii="宋体" w:hAnsi="宋体" w:eastAsia="宋体" w:cs="宋体"/>
      <w:color w:val="000000"/>
      <w:sz w:val="20"/>
      <w:szCs w:val="20"/>
      <w:u w:val="none"/>
    </w:rPr>
  </w:style>
  <w:style w:type="character" w:styleId="1202" w:customStyle="1">
    <w:name w:val="纯文本 Char"/>
    <w:uiPriority w:val="0"/>
    <w:qFormat/>
    <w:rPr>
      <w:rFonts w:ascii="宋体" w:hAnsi="Courier New" w:eastAsia="宋体" w:cs="Courier New"/>
      <w:szCs w:val="21"/>
    </w:rPr>
  </w:style>
  <w:style w:type="character" w:styleId="1203" w:customStyle="1">
    <w:name w:val="NormalCharacter"/>
    <w:uiPriority w:val="0"/>
    <w:qFormat/>
    <w:rPr>
      <w:rFonts w:ascii="Times New Roman" w:hAnsi="Times New Roman" w:eastAsia="宋体" w:cs="Times New Roman"/>
      <w:sz w:val="21"/>
      <w:szCs w:val="22"/>
      <w:lang w:val="en-US" w:eastAsia="zh-CN" w:bidi="ar-SA"/>
    </w:rPr>
  </w:style>
  <w:style w:type="paragraph" w:styleId="1204" w:customStyle="1">
    <w:name w:val="样式 宋体 五号 行距: 单倍行距"/>
    <w:basedOn w:val="934"/>
    <w:uiPriority w:val="0"/>
    <w:qFormat/>
    <w:pPr>
      <w:jc w:val="left"/>
    </w:pPr>
    <w:rPr>
      <w:rFonts w:ascii="宋体" w:hAnsi="宋体"/>
      <w:szCs w:val="20"/>
    </w:rPr>
  </w:style>
  <w:style w:type="paragraph" w:styleId="1205"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206" w:customStyle="1">
    <w:name w:val="RZM投标图片和表格"/>
    <w:basedOn w:val="934"/>
    <w:uiPriority w:val="0"/>
    <w:qFormat/>
    <w:rPr>
      <w:szCs w:val="20"/>
    </w:rPr>
  </w:style>
  <w:style w:type="paragraph" w:styleId="1207" w:customStyle="1">
    <w:name w:val="列表段落1"/>
    <w:basedOn w:val="934"/>
    <w:next w:val="952"/>
    <w:uiPriority w:val="0"/>
    <w:qFormat/>
    <w:pPr>
      <w:ind w:firstLine="420"/>
    </w:pPr>
  </w:style>
  <w:style w:type="paragraph" w:styleId="1208" w:customStyle="1">
    <w:name w:val="正文缩进1"/>
    <w:basedOn w:val="934"/>
    <w:next w:val="934"/>
    <w:uiPriority w:val="0"/>
    <w:qFormat/>
    <w:pPr>
      <w:ind w:firstLine="420"/>
    </w:pPr>
    <w:rPr>
      <w:szCs w:val="21"/>
    </w:rPr>
  </w:style>
  <w:style w:type="paragraph" w:styleId="120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1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97110C-3F70-47BD-B1BC-E739F75BC1EA}"/>
</file>

<file path=customXml/itemProps2.xml><?xml version="1.0" encoding="utf-8"?>
<ds:datastoreItem xmlns:ds="http://schemas.openxmlformats.org/officeDocument/2006/customXml" ds:itemID="{200873C3-1D62-4EB1-90CA-246183C3F16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4</cp:revision>
  <dcterms:created xsi:type="dcterms:W3CDTF">2026-08-17T15:02:00Z</dcterms:created>
  <dcterms:modified xsi:type="dcterms:W3CDTF">2026-08-20T07:38:01Z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D282D4FDB4894690900AB049E45EF43A_13</vt:lpwstr>
  </property>
  <property fmtid="{D5CDD505-2E9C-101B-9397-08002B2CF9AE}" pid="4" name="KSOTemplateDocerSaveRecord">
    <vt:lpwstr>eyJoZGlkIjoiYjkzZTEyYWVhYjhhOTkzODFmNzI0YjI5ZTdkYWI2ZjciLCJ1c2VySWQiOiIxMDM1MzczMDAzIn0=</vt:lpwstr>
  </property>
</Properties>
</file>